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D546" w14:textId="77777777" w:rsidR="00874815" w:rsidRDefault="00317692">
      <w:pPr>
        <w:pStyle w:val="Bodytext40"/>
      </w:pPr>
      <w:r>
        <w:rPr>
          <w:rStyle w:val="Bodytext4"/>
          <w:b/>
        </w:rPr>
        <w:t>I. DISPOSITIONS GÉNÉRALES</w:t>
      </w:r>
    </w:p>
    <w:p w14:paraId="057FA5D7" w14:textId="77777777" w:rsidR="00874815" w:rsidRDefault="00317692">
      <w:pPr>
        <w:pStyle w:val="Heading10"/>
        <w:keepNext/>
        <w:keepLines/>
      </w:pPr>
      <w:bookmarkStart w:id="0" w:name="bookmark2"/>
      <w:r>
        <w:rPr>
          <w:rStyle w:val="Heading1"/>
        </w:rPr>
        <w:t>MINISTÈRE DE LA SANTÉ</w:t>
      </w:r>
      <w:bookmarkEnd w:id="0"/>
    </w:p>
    <w:p w14:paraId="0D09E08E" w14:textId="77777777" w:rsidR="00874815" w:rsidRDefault="00317692">
      <w:pPr>
        <w:pStyle w:val="BodyText"/>
        <w:spacing w:after="260" w:line="233" w:lineRule="auto"/>
        <w:ind w:left="1040" w:hanging="1040"/>
        <w:jc w:val="both"/>
      </w:pPr>
      <w:r>
        <w:rPr>
          <w:rStyle w:val="BodyTextChar"/>
          <w:b/>
          <w:sz w:val="24"/>
        </w:rPr>
        <w:t xml:space="preserve">7416 </w:t>
      </w:r>
      <w:r>
        <w:rPr>
          <w:rStyle w:val="BodyTextChar"/>
          <w:i/>
        </w:rPr>
        <w:t>Décret royal 192/2023 du 21 mars réglementant les dispositifs médicaux.</w:t>
      </w:r>
    </w:p>
    <w:p w14:paraId="4EF86AF2" w14:textId="77777777" w:rsidR="00874815" w:rsidRDefault="00317692">
      <w:pPr>
        <w:pStyle w:val="BodyText"/>
        <w:jc w:val="both"/>
      </w:pPr>
      <w:r>
        <w:rPr>
          <w:rStyle w:val="BodyTextChar"/>
        </w:rPr>
        <w:t>Au niveau européen, il a été jugé nécessaire d’établir un nouveau cadre réglementaire solide, transparent, prévisible et durable pour les dispositifs médicaux, garantissant le plus haut niveau de sécurité et de protection de la santé des patients et des utilisateurs, tout en stimulant l’innovation et les intérêts des petites et moyennes entreprises opérant dans ce secteur. À cette fin, le règlement (UE) 2017/745 du Parlement européen et du Conseil du 5 avril 2017 relatif aux dispositifs médicaux, modifiant la directive 2001/83/CE, le règlement (CE) n° 178/2002 et le règlement (CE) n° 1223/2009 et abrogeant les directives 90/385/CEE et 93/42/CEE du Conseil, en vigueur depuis le 26 mai 2021, a été adopté.</w:t>
      </w:r>
    </w:p>
    <w:p w14:paraId="2B2BAB12" w14:textId="77777777" w:rsidR="00874815" w:rsidRDefault="00317692">
      <w:pPr>
        <w:pStyle w:val="BodyText"/>
        <w:jc w:val="both"/>
      </w:pPr>
      <w:r>
        <w:rPr>
          <w:rStyle w:val="BodyTextChar"/>
        </w:rPr>
        <w:t>Le présent règlement harmonise les règles applicables à la mise sur le marché et à la mise en service des dispositifs médicaux et de leurs accessoires dans l’Union européenne, leur permettant ainsi de bénéficier du principe de libre circulation des marchandises et, en outre, d’assurer un niveau élevé de protection, de sorte que les dispositifs en circulation ne présentent pas de risques pour la santé des patients, des utilisateurs ou des tiers et n’assurent pas les services fournis par le fabricant, lorsqu’ils sont utilisés dans les conditions fixées.</w:t>
      </w:r>
    </w:p>
    <w:p w14:paraId="454E8D42" w14:textId="77777777" w:rsidR="00874815" w:rsidRDefault="00317692">
      <w:pPr>
        <w:pStyle w:val="BodyText"/>
        <w:jc w:val="both"/>
      </w:pPr>
      <w:r>
        <w:rPr>
          <w:rStyle w:val="BodyTextChar"/>
        </w:rPr>
        <w:t xml:space="preserve">En outre, le règlement (UE) 2017/745 du Parlement européen et du Conseil du 5 avril 2017 consolide le critère réglementaire applicable à un certain nombre de questions pertinentes, telles que la surveillance des organismes notifiés, les procédures d’évaluation de la conformité, la recherche et l’évaluation cliniques, la surveillance et le contrôle du marché. Il introduit également des dispositions visant à garantir la transparence et la traçabilité des dispositifs médicaux, par l’intermédiaire de la base de données européenne </w:t>
      </w:r>
      <w:proofErr w:type="spellStart"/>
      <w:r>
        <w:rPr>
          <w:rStyle w:val="BodyTextChar"/>
        </w:rPr>
        <w:t>Eudamed</w:t>
      </w:r>
      <w:proofErr w:type="spellEnd"/>
      <w:r>
        <w:rPr>
          <w:rStyle w:val="BodyTextChar"/>
        </w:rPr>
        <w:t>, du système d’identification unique des dispositifs (système IUD), des informations pour les patients implantés, avec les dérogations prévues par le règlement, et de la publication du résumé sur la sécurité clinique et les performances des dispositifs implantables et de classe III.</w:t>
      </w:r>
    </w:p>
    <w:p w14:paraId="718DEDE5" w14:textId="77777777" w:rsidR="00874815" w:rsidRDefault="00317692">
      <w:pPr>
        <w:pStyle w:val="BodyText"/>
        <w:jc w:val="both"/>
      </w:pPr>
      <w:r>
        <w:rPr>
          <w:rStyle w:val="BodyTextChar"/>
        </w:rPr>
        <w:t>De même, le règlement (UE) 2017/745 du Parlement européen et du Conseil du 5 avril 2017 fixe les obligations des États membres en ce qui concerne la qualification des dispositifs en ce qui concerne les cas de frontières. Il établit également certains groupes de dispositifs sans objet médical qui, en raison de leur similitude avec les dispositifs médicaux en termes de fonctionnement et de risques, doivent être réglementés par le présent règlement.</w:t>
      </w:r>
    </w:p>
    <w:p w14:paraId="6CEC70FC" w14:textId="77777777" w:rsidR="00874815" w:rsidRDefault="00317692">
      <w:pPr>
        <w:pStyle w:val="BodyText"/>
        <w:jc w:val="both"/>
      </w:pPr>
      <w:r>
        <w:rPr>
          <w:noProof/>
        </w:rPr>
        <mc:AlternateContent>
          <mc:Choice Requires="wps">
            <w:drawing>
              <wp:anchor distT="0" distB="0" distL="114300" distR="114300" simplePos="0" relativeHeight="125829378" behindDoc="0" locked="0" layoutInCell="1" allowOverlap="1" wp14:anchorId="686EDB0F" wp14:editId="7FD6CBA7">
                <wp:simplePos x="0" y="0"/>
                <wp:positionH relativeFrom="page">
                  <wp:posOffset>7155180</wp:posOffset>
                </wp:positionH>
                <wp:positionV relativeFrom="paragraph">
                  <wp:posOffset>762000</wp:posOffset>
                </wp:positionV>
                <wp:extent cx="222250" cy="1337945"/>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D5D1208"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0689ADAD" w14:textId="77777777" w:rsidR="00874815" w:rsidRDefault="00317692">
                            <w:pPr>
                              <w:pStyle w:val="Bodytext20"/>
                            </w:pPr>
                            <w:r>
                              <w:rPr>
                                <w:rStyle w:val="Bodytext2"/>
                              </w:rPr>
                              <w:t xml:space="preserve">Consultable à l’adresse </w:t>
                            </w:r>
                            <w:hyperlink r:id="rId7" w:history="1">
                              <w:r>
                                <w:rPr>
                                  <w:rStyle w:val="Bodytext2"/>
                                </w:rPr>
                                <w:t>https://www.boe.es</w:t>
                              </w:r>
                            </w:hyperlink>
                          </w:p>
                        </w:txbxContent>
                      </wps:txbx>
                      <wps:bodyPr vert="vert270" lIns="0" tIns="0" rIns="0" bIns="0"/>
                    </wps:wsp>
                  </a:graphicData>
                </a:graphic>
              </wp:anchor>
            </w:drawing>
          </mc:Choice>
          <mc:Fallback xmlns:oel="http://schemas.microsoft.com/office/2019/extlst">
            <w:pict>
              <v:shapetype w14:anchorId="686EDB0F" id="_x0000_t202" coordsize="21600,21600" o:spt="202" path="m,l,21600r21600,l21600,xe">
                <v:stroke joinstyle="miter"/>
                <v:path gradientshapeok="t" o:connecttype="rect"/>
              </v:shapetype>
              <v:shape id="Shape 1" o:spid="_x0000_s1026" type="#_x0000_t202" style="position:absolute;left:0;text-align:left;margin-left:563.4pt;margin-top:60pt;width:17.5pt;height:105.35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" filled="f" stroked="f">
                <v:textbox style="layout-flow:vertical;mso-layout-flow-alt:bottom-to-top" inset="0,0,0,0">
                  <w:txbxContent>
                    <w:p w14:paraId="4D5D1208"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0689ADAD" w14:textId="77777777" w:rsidR="00874815" w:rsidRDefault="00000000">
                      <w:pPr>
                        <w:pStyle w:val="Bodytext20"/>
                      </w:pPr>
                      <w:r>
                        <w:rPr>
                          <w:rStyle w:val="Bodytext2"/>
                        </w:rPr>
                        <w:t xml:space="preserve">Consultable à l’adresse </w:t>
                      </w:r>
                      <w:hyperlink r:id="rId8" w:history="1">
                        <w:r>
                          <w:rPr>
                            <w:rStyle w:val="Bodytext2"/>
                          </w:rPr>
                          <w:t xml:space="preserve">https://www.boe.es</w:t>
                        </w:r>
                      </w:hyperlink>
                    </w:p>
                  </w:txbxContent>
                </v:textbox>
                <w10:wrap type="square" anchorx="page"/>
              </v:shape>
            </w:pict>
          </mc:Fallback>
        </mc:AlternateContent>
      </w:r>
      <w:r>
        <w:rPr>
          <w:rStyle w:val="BodyTextChar"/>
        </w:rPr>
        <w:t>Il adapte également les définitions, déclare l’importance de la normalisation dans la conformité des dispositifs, permet à la Commission d’adopter des spécifications communes, met en œuvre les obligations des différents opérateurs économiques, y compris les distributeurs et les importateurs, et établit la procédure de consultation des groupes d’experts pour certains dispositifs des classes III et </w:t>
      </w:r>
      <w:proofErr w:type="spellStart"/>
      <w:r>
        <w:rPr>
          <w:rStyle w:val="BodyTextChar"/>
        </w:rPr>
        <w:t>IIb</w:t>
      </w:r>
      <w:proofErr w:type="spellEnd"/>
      <w:r>
        <w:rPr>
          <w:rStyle w:val="BodyTextChar"/>
        </w:rPr>
        <w:t>.</w:t>
      </w:r>
    </w:p>
    <w:p w14:paraId="45B76B0F" w14:textId="41CBD30B" w:rsidR="005B587D" w:rsidRDefault="00317692">
      <w:pPr>
        <w:pStyle w:val="BodyText"/>
        <w:jc w:val="both"/>
        <w:rPr>
          <w:rStyle w:val="BodyTextChar"/>
        </w:rPr>
      </w:pPr>
      <w:r>
        <w:rPr>
          <w:rStyle w:val="BodyTextChar"/>
        </w:rPr>
        <w:t>Bien que le règlement (UE) 2017/745 du Parlement européen et du Conseil du 5 avril 2017 relatif aux dispositifs médicaux soit directement applicable dans les pays de l’Union européenne, il est nécessaire de réglementer les aspects que la norme européenne laisse à la réglementation de chaque État membre au niveau national. À cette fin, le présent décret royal est donc approuvé, précisant des questions telles que la détermination de l’autorité compétente aux fins du règlement (UE) 2017/745 du Parlement européen et du Conseil du 5 avril 2017 relatif aux garanties sanitaires des dispositifs; la mise en place du régime linguistique, la réglementation des procédures pour la fabrication des dispositifs destinés à être utilisés dans l’établissement de santé lui-même et pour le retraitement des dispositifs à usage unique et leur utilisation. Elle abroge la législation antérieure, à savoir le décret royal 1591/2009 du 16 octobre réglementant les dispositifs médicaux, et le décret royal 1616/2009 du 26 octobre réglementant les dispositifs médicaux implantables actifs, avec les exceptions prévues par les dispositions transitoires et par la disposition dérogatoire du présent règlement.</w:t>
      </w:r>
    </w:p>
    <w:p w14:paraId="436C1E85" w14:textId="77777777" w:rsidR="005B587D" w:rsidRDefault="005B587D">
      <w:pPr>
        <w:rPr>
          <w:rStyle w:val="BodyTextChar"/>
        </w:rPr>
      </w:pPr>
      <w:r>
        <w:br w:type="page"/>
      </w:r>
    </w:p>
    <w:p w14:paraId="0E4680E7" w14:textId="77777777" w:rsidR="00874815" w:rsidRDefault="00874815">
      <w:pPr>
        <w:pStyle w:val="BodyText"/>
        <w:jc w:val="both"/>
      </w:pPr>
    </w:p>
    <w:p w14:paraId="2892ED80" w14:textId="77777777" w:rsidR="00874815" w:rsidRDefault="00317692">
      <w:pPr>
        <w:pStyle w:val="BodyText"/>
        <w:jc w:val="both"/>
      </w:pPr>
      <w:r>
        <w:rPr>
          <w:rStyle w:val="BodyTextChar"/>
        </w:rPr>
        <w:t>Le présent décret royal comprend 41 articles structurés en neuf chapitres, trois dispositions additionnelles, neuf dispositions transitoires, une disposition dérogatoire et quatre dispositions finales.</w:t>
      </w:r>
    </w:p>
    <w:p w14:paraId="27AE132E" w14:textId="77777777" w:rsidR="00874815" w:rsidRDefault="00317692">
      <w:pPr>
        <w:pStyle w:val="BodyText"/>
        <w:jc w:val="both"/>
      </w:pPr>
      <w:r>
        <w:rPr>
          <w:rStyle w:val="BodyTextChar"/>
        </w:rPr>
        <w:t>Le chapitre I contient des dispositions générales, qui comprennent l’objet du décret royal, les définitions, le champ d’application, l’autorité compétente en la matière et les garanties sanitaires à respecter par les dispositifs, ainsi que des dispositions relatives à la coopération administrative entre l’agence espagnole des médicaments et des dispositifs médicaux et les communautés autonomes et établit le régime linguistique.</w:t>
      </w:r>
    </w:p>
    <w:p w14:paraId="5C2290B8" w14:textId="77777777" w:rsidR="00874815" w:rsidRDefault="00317692">
      <w:pPr>
        <w:pStyle w:val="BodyText"/>
        <w:jc w:val="both"/>
      </w:pPr>
      <w:r>
        <w:rPr>
          <w:rStyle w:val="BodyTextChar"/>
        </w:rPr>
        <w:t>En ce qui concerne les activités de fabrication, de regroupement, de stérilisation et d’importation de dispositifs médicaux, le chapitre II traite des exigences et des conditions auxquelles doivent satisfaire les entreprises exerçant ces activités, ainsi que de la procédure à suivre pour l’octroi de la licence d’exploitation préalable conformément à l’article 100 de la loi 14/1986 du 25 avril, la loi générale sur la santé. La réglementation du retraitement des dispositifs médicaux à usage unique dans les hôpitaux se distingue comme une nouveauté.</w:t>
      </w:r>
    </w:p>
    <w:p w14:paraId="3516C7D9" w14:textId="77777777" w:rsidR="00874815" w:rsidRDefault="00317692">
      <w:pPr>
        <w:pStyle w:val="BodyText"/>
        <w:jc w:val="both"/>
      </w:pPr>
      <w:r>
        <w:rPr>
          <w:rStyle w:val="BodyTextChar"/>
        </w:rPr>
        <w:t>En ce qui concerne la fabrication par les hôpitaux de dispositifs destinés à leur usage propre et exclusif, le décret royal fixe l’obligation de notifier le début de l’activité et la déclaration prévue à l’article 5, paragraphe 5, du règlement (UE) 2017/745 du Parlement européen et du Conseil du 5 avril 2017 à l’agence espagnole des médicaments et des dispositifs médicaux. Ce type de fabrication et d’utilisation exclusive dans les hôpitaux n’est pas destiné à une commercialisation ultérieure ou à un avantage économique et est dans l’intérêt direct d’un groupe spécifique de patients pour lesquels il n’y a pas d’alternative sur le marché, il nécessite donc l’agilité et la flexibilité correspondantes, dans l’intérêt des patients, assurant toujours le bon fonctionnement et la sécurité des dispositifs.</w:t>
      </w:r>
    </w:p>
    <w:p w14:paraId="45FDA3FA" w14:textId="77777777" w:rsidR="00874815" w:rsidRDefault="00317692">
      <w:pPr>
        <w:pStyle w:val="BodyText"/>
        <w:jc w:val="both"/>
      </w:pPr>
      <w:r>
        <w:rPr>
          <w:rStyle w:val="BodyTextChar"/>
        </w:rPr>
        <w:t>Les dispositifs sur mesure constituent un groupe spécial de dispositifs, puisqu’ils sont destinés à être utilisés par un patient particulier présentant certaines caractéristiques. Le présent décret royal établit donc des conditions et des procédures spécifiques.</w:t>
      </w:r>
    </w:p>
    <w:p w14:paraId="2E8886FD" w14:textId="77777777" w:rsidR="00874815" w:rsidRDefault="00317692">
      <w:pPr>
        <w:pStyle w:val="BodyText"/>
        <w:jc w:val="both"/>
      </w:pPr>
      <w:r>
        <w:rPr>
          <w:rStyle w:val="BodyTextChar"/>
        </w:rPr>
        <w:t>Le chapitre III traite de la réglementation du retraitement des dispositifs à usage unique. Cette autorisation n’est autorisée qu’en vertu des dispositions du présent décret royal, qui fixe également les conditions d’utilisation des dispositifs retraités. Les personnes habilitées à effectuer ces activités de retraitement sont des fabricants et des hôpitaux, bien que leur activité dans ce domaine nécessite une plus grande spécification technique à effectuer par le ministère de la santé.</w:t>
      </w:r>
    </w:p>
    <w:p w14:paraId="46AF513B" w14:textId="77777777" w:rsidR="00874815" w:rsidRDefault="00317692">
      <w:pPr>
        <w:pStyle w:val="BodyText"/>
        <w:jc w:val="both"/>
      </w:pPr>
      <w:r>
        <w:rPr>
          <w:rStyle w:val="BodyTextChar"/>
        </w:rPr>
        <w:t>Le chapitre IV définit le régime applicable aux organismes notifiés, en particulier l’autorité et les conditions de leur désignation, la vérification de leur adéquation, les exigences en matière de procédure et de documentation, la révocation de la désignation et les obligations des organismes désignés.</w:t>
      </w:r>
    </w:p>
    <w:p w14:paraId="4ECC1C8C" w14:textId="77777777" w:rsidR="00874815" w:rsidRDefault="00317692">
      <w:pPr>
        <w:pStyle w:val="BodyText"/>
        <w:jc w:val="both"/>
      </w:pPr>
      <w:r>
        <w:rPr>
          <w:noProof/>
        </w:rPr>
        <mc:AlternateContent>
          <mc:Choice Requires="wps">
            <w:drawing>
              <wp:anchor distT="0" distB="0" distL="114300" distR="114300" simplePos="0" relativeHeight="125829380" behindDoc="0" locked="0" layoutInCell="1" allowOverlap="1" wp14:anchorId="6E4FB383" wp14:editId="02A68D86">
                <wp:simplePos x="0" y="0"/>
                <wp:positionH relativeFrom="page">
                  <wp:posOffset>7155180</wp:posOffset>
                </wp:positionH>
                <wp:positionV relativeFrom="paragraph">
                  <wp:posOffset>317500</wp:posOffset>
                </wp:positionV>
                <wp:extent cx="222250" cy="133794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0FD27E63"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9474374" w14:textId="77777777" w:rsidR="00874815" w:rsidRDefault="00317692">
                            <w:pPr>
                              <w:pStyle w:val="Bodytext20"/>
                            </w:pPr>
                            <w:r>
                              <w:rPr>
                                <w:rStyle w:val="Bodytext2"/>
                              </w:rPr>
                              <w:t xml:space="preserve">Consultable à l’adresse </w:t>
                            </w:r>
                            <w:hyperlink r:id="rId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E4FB383" id="Shape 3" o:spid="_x0000_s1027" type="#_x0000_t202" style="position:absolute;left:0;text-align:left;margin-left:563.4pt;margin-top:25pt;width:17.5pt;height:105.35pt;z-index:12582938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" filled="f" stroked="f">
                <v:textbox style="layout-flow:vertical;mso-layout-flow-alt:bottom-to-top" inset="0,0,0,0">
                  <w:txbxContent>
                    <w:p w14:paraId="0FD27E6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9474374" w14:textId="77777777" w:rsidR="00874815" w:rsidRDefault="00000000">
                      <w:pPr>
                        <w:pStyle w:val="Bodytext20"/>
                      </w:pPr>
                      <w:r>
                        <w:rPr>
                          <w:rStyle w:val="Bodytext2"/>
                        </w:rPr>
                        <w:t xml:space="preserve">Consultable à l’adresse </w:t>
                      </w:r>
                      <w:hyperlink r:id="rId10" w:history="1">
                        <w:r>
                          <w:rPr>
                            <w:rStyle w:val="Bodytext2"/>
                          </w:rPr>
                          <w:t xml:space="preserve">https://www.boe.es</w:t>
                        </w:r>
                      </w:hyperlink>
                    </w:p>
                  </w:txbxContent>
                </v:textbox>
                <w10:wrap type="square" anchorx="page"/>
              </v:shape>
            </w:pict>
          </mc:Fallback>
        </mc:AlternateContent>
      </w:r>
      <w:r>
        <w:rPr>
          <w:rStyle w:val="BodyTextChar"/>
        </w:rPr>
        <w:t xml:space="preserve">En ce qui concerne la mise sur le marché et la mise en service des dispositifs visés au chapitre V, cette disposition prévoit l’établissement d’un registre de commercialisation des dispositifs distribués en Espagne, qui permet d’établir la traçabilité des dispositifs, tout en fixant de manière exhaustive les obligations imposées aux opérateurs économiques participant à ces </w:t>
      </w:r>
      <w:proofErr w:type="gramStart"/>
      <w:r>
        <w:rPr>
          <w:rStyle w:val="BodyTextChar"/>
        </w:rPr>
        <w:t>activités</w:t>
      </w:r>
      <w:proofErr w:type="gramEnd"/>
      <w:r>
        <w:rPr>
          <w:rStyle w:val="BodyTextChar"/>
        </w:rPr>
        <w:t>. En outre, les activités de distribution et de vente sont entièrement réglementées, établissant le concept de dispositifs soumis à prescription et incluant l’affichage des appareils à des fins commerciales. En outre, ce chapitre prévoit la création d’un registre des personnes chargées de la mise sur le marché de dispositifs sur mesure.</w:t>
      </w:r>
      <w:r>
        <w:br w:type="page"/>
      </w:r>
    </w:p>
    <w:p w14:paraId="07701814" w14:textId="77777777" w:rsidR="00874815" w:rsidRDefault="00317692">
      <w:pPr>
        <w:pStyle w:val="BodyText"/>
        <w:jc w:val="both"/>
      </w:pPr>
      <w:r>
        <w:rPr>
          <w:rStyle w:val="BodyTextChar"/>
        </w:rPr>
        <w:lastRenderedPageBreak/>
        <w:t>Le chapitre VI fixe les conditions du commerce extérieur des dispositifs, en précisant les exigences à appliquer par le contrôle sanitaire à l’importation.</w:t>
      </w:r>
    </w:p>
    <w:p w14:paraId="72587C59" w14:textId="77777777" w:rsidR="00874815" w:rsidRDefault="00317692">
      <w:pPr>
        <w:pStyle w:val="BodyText"/>
        <w:jc w:val="both"/>
      </w:pPr>
      <w:r>
        <w:rPr>
          <w:rStyle w:val="BodyTextChar"/>
        </w:rPr>
        <w:t>En général, l’évaluation de la conformité des dispositifs exige la disponibilité de données cliniques, la recherche clinique étant l’une des étapes cruciales du développement de nouveaux dispositifs ou de nouvelles applications. Pour cette raison, le chapitre VII du décret royal régit les aspects relatifs à la recherche clinique et établit le régime linguistique et l’approbation par les comités d’éthique de la recherche sur les médicaments.</w:t>
      </w:r>
    </w:p>
    <w:p w14:paraId="47A74E4E" w14:textId="77777777" w:rsidR="00874815" w:rsidRDefault="00317692">
      <w:pPr>
        <w:pStyle w:val="BodyText"/>
        <w:jc w:val="both"/>
      </w:pPr>
      <w:r>
        <w:rPr>
          <w:rStyle w:val="BodyTextChar"/>
        </w:rPr>
        <w:t>Le système de surveillance des dispositifs médicaux, réglementé au chapitre VIII, est un instrument essentiel pour assurer la sécurité et la qualité des dispositifs médicaux. Reçoit et évalue les signalements d’incidents graves et de mesures correctives de sécurité et détermine les mesures de protection de la santé visant à en réduire les conséquences et à prévenir leur récidive à l’avenir. Une attention particulière est accordée aux dispositifs implantables, avec la réglementation de la carte d’implant, à l’exception des dérogations prévues par le règlement (UE) 2017/745 du Parlement européen et du Conseil du 5 avril 2017 et de l’établissement de registres nationaux des implants.</w:t>
      </w:r>
    </w:p>
    <w:p w14:paraId="7873D66E" w14:textId="77777777" w:rsidR="00874815" w:rsidRDefault="00317692">
      <w:pPr>
        <w:pStyle w:val="BodyText"/>
        <w:jc w:val="both"/>
      </w:pPr>
      <w:r>
        <w:rPr>
          <w:rStyle w:val="BodyTextChar"/>
        </w:rPr>
        <w:t>Enfin, le chapitre IX et le dernier de cette norme concernent la réglementation des activités de contrôle du marché et les mesures de protection de la santé, avec un accent particulier sur les activités d’inspection.</w:t>
      </w:r>
    </w:p>
    <w:p w14:paraId="0EF640D6" w14:textId="77777777" w:rsidR="00874815" w:rsidRDefault="00317692">
      <w:pPr>
        <w:pStyle w:val="BodyText"/>
        <w:jc w:val="both"/>
      </w:pPr>
      <w:r>
        <w:rPr>
          <w:rStyle w:val="BodyTextChar"/>
        </w:rPr>
        <w:t>Le présent décret royal est conforme aux principes de bonne réglementation prévus à l’article 129 de la loi 39/2015 du 1er octobre sur la procédure administrative commune des administrations publiques, notamment les principes de nécessité, d’efficacité, de proportionnalité, de sécurité juridique, de transparence et de productivité. Elle est conforme aux principes de nécessité et d’efficacité, car elle est justifiée par les raisons d’intérêt général décrites aux paragraphes précédents et constitue l’instrument le plus approprié pour garantir la réalisation des objectifs proposés.</w:t>
      </w:r>
    </w:p>
    <w:p w14:paraId="1822036C" w14:textId="77777777" w:rsidR="00874815" w:rsidRDefault="00317692">
      <w:pPr>
        <w:pStyle w:val="BodyText"/>
        <w:jc w:val="both"/>
      </w:pPr>
      <w:r>
        <w:rPr>
          <w:rStyle w:val="BodyTextChar"/>
        </w:rPr>
        <w:t>En ce qui concerne le respect du principe de proportionnalité, cette règle contient les règlements nécessaires pour répondre aux besoins identifiés, de sorte que, pour atteindre les objectifs fixés, il n’existe pas d’autres mesures moins restrictives des droits ou imposant moins d’obligations aux destinataires. En outre, toute limitation des droits et obligations imposées par la règle est proportionnée aux objectifs poursuivis et justifiée par le caractère impératif du respect du règlement (UE) 2017/745 du Parlement européen et du Conseil du 5 avril 2017 et, au niveau national, par la loi 14/1986 du 25 avril et par le texte consolidé de la loi sur les garanties et l’utilisation rationnelle des médicaments et des dispositifs médicaux, approuvée par le décret législatif royal 1/2015, du 24 juillet.</w:t>
      </w:r>
    </w:p>
    <w:p w14:paraId="6BEA0A1E" w14:textId="77777777" w:rsidR="00874815" w:rsidRDefault="00317692">
      <w:pPr>
        <w:pStyle w:val="BodyText"/>
        <w:jc w:val="both"/>
      </w:pPr>
      <w:r>
        <w:rPr>
          <w:rStyle w:val="BodyTextChar"/>
        </w:rPr>
        <w:t>Dans le même temps, l’adaptation nécessaire de la réglementation nationale applicable aux dispositifs médicaux dans le cadre des normes de l’Union européenne conduit à une plus grande sécurité juridique et assure la cohérence et la stabilité du cadre réglementaire dans ce domaine.</w:t>
      </w:r>
    </w:p>
    <w:p w14:paraId="0C931078" w14:textId="77777777" w:rsidR="00874815" w:rsidRDefault="00317692">
      <w:pPr>
        <w:pStyle w:val="BodyText"/>
        <w:jc w:val="both"/>
      </w:pPr>
      <w:r>
        <w:rPr>
          <w:rStyle w:val="BodyTextChar"/>
        </w:rPr>
        <w:t>Le présent décret royal n’introduit ni n’établit de procédures complémentaires ou autres que celles prévues par la loi 39/2015 du 1er octobre. Toutefois, des spécialités de la procédure spécifique sont maintenues en raison de cette question, en ce qui concerne les délais et les rapports à obtenir, qui étaient déjà présents dans les procédures régies par la législation antérieure.</w:t>
      </w:r>
    </w:p>
    <w:p w14:paraId="00EB90E8" w14:textId="77777777" w:rsidR="00874815" w:rsidRDefault="00317692">
      <w:pPr>
        <w:pStyle w:val="BodyText"/>
        <w:jc w:val="both"/>
      </w:pPr>
      <w:r>
        <w:rPr>
          <w:noProof/>
        </w:rPr>
        <mc:AlternateContent>
          <mc:Choice Requires="wps">
            <w:drawing>
              <wp:anchor distT="0" distB="0" distL="114300" distR="114300" simplePos="0" relativeHeight="125829382" behindDoc="0" locked="0" layoutInCell="1" allowOverlap="1" wp14:anchorId="4A8FF491" wp14:editId="0FA642EF">
                <wp:simplePos x="0" y="0"/>
                <wp:positionH relativeFrom="page">
                  <wp:posOffset>7156450</wp:posOffset>
                </wp:positionH>
                <wp:positionV relativeFrom="paragraph">
                  <wp:posOffset>317500</wp:posOffset>
                </wp:positionV>
                <wp:extent cx="222250" cy="1337945"/>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62C52B1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4112F05D" w14:textId="77777777" w:rsidR="00874815" w:rsidRDefault="00317692">
                            <w:pPr>
                              <w:pStyle w:val="Bodytext20"/>
                            </w:pPr>
                            <w:r>
                              <w:rPr>
                                <w:rStyle w:val="Bodytext2"/>
                              </w:rPr>
                              <w:t xml:space="preserve">Consultable à l’adresse </w:t>
                            </w:r>
                            <w:hyperlink r:id="rId1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A8FF491" id="Shape 5" o:spid="_x0000_s1028" type="#_x0000_t202" style="position:absolute;left:0;text-align:left;margin-left:563.5pt;margin-top:25pt;width:17.5pt;height:105.35pt;z-index:12582938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QlegEAAPA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" filled="f" stroked="f">
                <v:textbox style="layout-flow:vertical;mso-layout-flow-alt:bottom-to-top" inset="0,0,0,0">
                  <w:txbxContent>
                    <w:p w14:paraId="62C52B1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112F05D" w14:textId="77777777" w:rsidR="00874815" w:rsidRDefault="00000000">
                      <w:pPr>
                        <w:pStyle w:val="Bodytext20"/>
                      </w:pPr>
                      <w:r>
                        <w:rPr>
                          <w:rStyle w:val="Bodytext2"/>
                        </w:rPr>
                        <w:t xml:space="preserve">Consultable à l’adresse </w:t>
                      </w:r>
                      <w:hyperlink r:id="rId12" w:history="1">
                        <w:r>
                          <w:rPr>
                            <w:rStyle w:val="Bodytext2"/>
                          </w:rPr>
                          <w:t xml:space="preserve">https://www.boe.es</w:t>
                        </w:r>
                      </w:hyperlink>
                    </w:p>
                  </w:txbxContent>
                </v:textbox>
                <w10:wrap type="square" anchorx="page"/>
              </v:shape>
            </w:pict>
          </mc:Fallback>
        </mc:AlternateContent>
      </w:r>
      <w:r>
        <w:rPr>
          <w:rStyle w:val="BodyTextChar"/>
        </w:rPr>
        <w:t>En outre, au cours de la procédure d’élaboration du texte présenté, la participation active des destinataires potentiels du règlement a été encouragée par les procédures de consultation publique préalable et d’audition et d’information du public.</w:t>
      </w:r>
    </w:p>
    <w:p w14:paraId="6822C86E" w14:textId="77777777" w:rsidR="00874815" w:rsidRDefault="00317692">
      <w:pPr>
        <w:pStyle w:val="BodyText"/>
        <w:jc w:val="both"/>
      </w:pPr>
      <w:r>
        <w:rPr>
          <w:rStyle w:val="BodyTextChar"/>
        </w:rPr>
        <w:t>Les Communautés autonomes et les villes de Ceuta et Melilla ont été consultées lors de sa préparation et les secteurs concernés ont fait l’objet d’une audition. Il a également été soumis à un rapport de l’agence espagnole de protection des données, et le rapport requis du Conseil des consommateurs et des utilisateurs a été obtenu.</w:t>
      </w:r>
    </w:p>
    <w:p w14:paraId="19700DFD" w14:textId="0C20EE62" w:rsidR="005B587D" w:rsidRDefault="00317692">
      <w:pPr>
        <w:pStyle w:val="BodyText"/>
        <w:jc w:val="both"/>
        <w:rPr>
          <w:rStyle w:val="BodyTextChar"/>
        </w:rPr>
      </w:pPr>
      <w:r>
        <w:rPr>
          <w:rStyle w:val="BodyTextChar"/>
        </w:rPr>
        <w:t>En outre, et conformément aux dispositions de l’article 67, paragraphe 2, et de l’article 71 de la loi 16/2003 du 28 mai relative à la cohésion et à la qualité du système national de santé, le présent décret royal a fait l’objet d’un rapport préliminaire du Comité consultatif et de la plénière du Conseil interterritorial du système national de la santé.</w:t>
      </w:r>
    </w:p>
    <w:p w14:paraId="6665CBE3" w14:textId="77777777" w:rsidR="005B587D" w:rsidRDefault="005B587D">
      <w:pPr>
        <w:rPr>
          <w:rStyle w:val="BodyTextChar"/>
        </w:rPr>
      </w:pPr>
      <w:r>
        <w:br w:type="page"/>
      </w:r>
    </w:p>
    <w:p w14:paraId="2542BB87" w14:textId="77777777" w:rsidR="00874815" w:rsidRDefault="00874815">
      <w:pPr>
        <w:pStyle w:val="BodyText"/>
        <w:jc w:val="both"/>
      </w:pPr>
    </w:p>
    <w:p w14:paraId="7AD562AC" w14:textId="77777777" w:rsidR="00874815" w:rsidRDefault="00317692">
      <w:pPr>
        <w:pStyle w:val="BodyText"/>
        <w:jc w:val="both"/>
      </w:pPr>
      <w:r>
        <w:rPr>
          <w:rStyle w:val="BodyTextChar"/>
        </w:rPr>
        <w:t>Le présent décret royal a également été soumis à la procédure d’information des normes et réglementations techniques et réglementaires relatives à la société de l’information, régie par le décret royal 1337/1999 du 31 juillet, en vue de se conformer à la directive (UE) 2015/1535 du Parlement européen et du Conseil du 9 septembre 2015 prévoyant une procédure d’information dans le domaine des réglementations techniques et des règles relatives aux services de la société de l’information.</w:t>
      </w:r>
    </w:p>
    <w:p w14:paraId="6737506D" w14:textId="77777777" w:rsidR="00874815" w:rsidRDefault="00317692">
      <w:pPr>
        <w:pStyle w:val="BodyText"/>
        <w:jc w:val="both"/>
      </w:pPr>
      <w:r>
        <w:rPr>
          <w:rStyle w:val="BodyTextChar"/>
        </w:rPr>
        <w:t>Le présent décret royal est pris en vertu de la compétence exclusive conférée à l’État par l’article 149, paragraphe 1, point 16), de la Constitution espagnole en ce qui concerne les bases et la coordination générale des soins de santé et de la législation sur les dispositifs pharmaceutiques, à l’exception du chapitre VI, qui relève de la compétence exclusive de l’État pour réglementer la santé à l’étranger.</w:t>
      </w:r>
    </w:p>
    <w:p w14:paraId="50154DD2" w14:textId="77777777" w:rsidR="00874815" w:rsidRDefault="00317692">
      <w:pPr>
        <w:pStyle w:val="BodyText"/>
        <w:spacing w:after="240"/>
        <w:jc w:val="both"/>
      </w:pPr>
      <w:r>
        <w:rPr>
          <w:rStyle w:val="BodyTextChar"/>
        </w:rPr>
        <w:t>En conséquence, sur proposition du ministre de la santé, avec l’approbation préalable du ministre des finances et de la fonction publique, en accord avec le Conseil d’État et après délibération du Conseil des ministres lors de sa session du 20 mars 2023,</w:t>
      </w:r>
    </w:p>
    <w:p w14:paraId="5C576487" w14:textId="77777777" w:rsidR="00874815" w:rsidRDefault="00317692">
      <w:pPr>
        <w:pStyle w:val="Heading20"/>
        <w:keepNext/>
        <w:keepLines/>
        <w:spacing w:after="240"/>
      </w:pPr>
      <w:bookmarkStart w:id="1" w:name="bookmark4"/>
      <w:r>
        <w:rPr>
          <w:rStyle w:val="Heading2"/>
        </w:rPr>
        <w:t xml:space="preserve">EST DÉCRÉTÉ CE QUI </w:t>
      </w:r>
      <w:proofErr w:type="gramStart"/>
      <w:r>
        <w:rPr>
          <w:rStyle w:val="Heading2"/>
        </w:rPr>
        <w:t>SUIT:</w:t>
      </w:r>
      <w:bookmarkEnd w:id="1"/>
      <w:proofErr w:type="gramEnd"/>
    </w:p>
    <w:p w14:paraId="1FB876D2" w14:textId="77777777" w:rsidR="00874815" w:rsidRDefault="00317692">
      <w:pPr>
        <w:pStyle w:val="Heading20"/>
        <w:keepNext/>
        <w:keepLines/>
      </w:pPr>
      <w:bookmarkStart w:id="2" w:name="bookmark6"/>
      <w:r>
        <w:rPr>
          <w:rStyle w:val="Heading2"/>
        </w:rPr>
        <w:t>CHAPITRE I</w:t>
      </w:r>
      <w:bookmarkEnd w:id="2"/>
    </w:p>
    <w:p w14:paraId="02B31FB9" w14:textId="77777777" w:rsidR="00874815" w:rsidRDefault="00317692">
      <w:pPr>
        <w:pStyle w:val="BodyText"/>
        <w:spacing w:after="180"/>
        <w:ind w:firstLine="0"/>
        <w:jc w:val="center"/>
      </w:pPr>
      <w:r>
        <w:rPr>
          <w:rStyle w:val="BodyTextChar"/>
          <w:b/>
        </w:rPr>
        <w:t>Dispositions générales</w:t>
      </w:r>
    </w:p>
    <w:p w14:paraId="2CD4AFFC" w14:textId="77777777" w:rsidR="00874815" w:rsidRDefault="00317692">
      <w:pPr>
        <w:pStyle w:val="BodyText"/>
        <w:spacing w:after="120"/>
        <w:ind w:firstLine="0"/>
        <w:jc w:val="both"/>
      </w:pPr>
      <w:r>
        <w:rPr>
          <w:rStyle w:val="BodyTextChar"/>
        </w:rPr>
        <w:t xml:space="preserve">Article 1. </w:t>
      </w:r>
      <w:r>
        <w:rPr>
          <w:rStyle w:val="BodyTextChar"/>
          <w:i/>
        </w:rPr>
        <w:t>Objectif.</w:t>
      </w:r>
    </w:p>
    <w:p w14:paraId="76701DBA" w14:textId="77777777" w:rsidR="00874815" w:rsidRDefault="00317692">
      <w:pPr>
        <w:pStyle w:val="BodyText"/>
        <w:spacing w:after="120"/>
        <w:jc w:val="both"/>
      </w:pPr>
      <w:r>
        <w:rPr>
          <w:rStyle w:val="BodyTextChar"/>
        </w:rPr>
        <w:t xml:space="preserve">Le présent décret royal a pour objectif de réglementer les dispositifs médicaux à usage humain et leurs accessoires, dispositifs non médicaux, et </w:t>
      </w:r>
      <w:proofErr w:type="gramStart"/>
      <w:r>
        <w:rPr>
          <w:rStyle w:val="BodyTextChar"/>
        </w:rPr>
        <w:t>notamment:</w:t>
      </w:r>
      <w:proofErr w:type="gramEnd"/>
    </w:p>
    <w:p w14:paraId="46316ED7" w14:textId="77777777" w:rsidR="00874815" w:rsidRDefault="00317692">
      <w:pPr>
        <w:pStyle w:val="BodyText"/>
        <w:numPr>
          <w:ilvl w:val="0"/>
          <w:numId w:val="1"/>
        </w:numPr>
        <w:tabs>
          <w:tab w:val="left" w:pos="742"/>
        </w:tabs>
        <w:jc w:val="both"/>
      </w:pPr>
      <w:r>
        <w:rPr>
          <w:rStyle w:val="BodyTextChar"/>
        </w:rPr>
        <w:t>L’autorité compétente et les garanties sanitaires.</w:t>
      </w:r>
    </w:p>
    <w:p w14:paraId="71761B20" w14:textId="77777777" w:rsidR="00874815" w:rsidRDefault="00317692">
      <w:pPr>
        <w:pStyle w:val="BodyText"/>
        <w:numPr>
          <w:ilvl w:val="0"/>
          <w:numId w:val="1"/>
        </w:numPr>
        <w:tabs>
          <w:tab w:val="left" w:pos="727"/>
        </w:tabs>
        <w:jc w:val="both"/>
      </w:pPr>
      <w:r>
        <w:rPr>
          <w:rStyle w:val="BodyTextChar"/>
        </w:rPr>
        <w:t>Les procédures d’octroi de licences d’exploitation préalables pour les installations</w:t>
      </w:r>
    </w:p>
    <w:p w14:paraId="5AFB7F7A" w14:textId="77777777" w:rsidR="00874815" w:rsidRDefault="00317692">
      <w:pPr>
        <w:pStyle w:val="BodyText"/>
        <w:numPr>
          <w:ilvl w:val="0"/>
          <w:numId w:val="1"/>
        </w:numPr>
        <w:tabs>
          <w:tab w:val="left" w:pos="742"/>
        </w:tabs>
        <w:jc w:val="both"/>
      </w:pPr>
      <w:r>
        <w:rPr>
          <w:rStyle w:val="BodyTextChar"/>
        </w:rPr>
        <w:t>Les exigences et les actions des organismes notifiés.</w:t>
      </w:r>
    </w:p>
    <w:p w14:paraId="7D56580A" w14:textId="77777777" w:rsidR="00874815" w:rsidRDefault="00317692">
      <w:pPr>
        <w:pStyle w:val="BodyText"/>
        <w:numPr>
          <w:ilvl w:val="0"/>
          <w:numId w:val="1"/>
        </w:numPr>
        <w:tabs>
          <w:tab w:val="left" w:pos="742"/>
        </w:tabs>
        <w:jc w:val="both"/>
      </w:pPr>
      <w:r>
        <w:rPr>
          <w:rStyle w:val="BodyTextChar"/>
        </w:rPr>
        <w:t>Le retraitement des dispositifs médicaux à usage unique.</w:t>
      </w:r>
    </w:p>
    <w:p w14:paraId="747C66F9" w14:textId="77777777" w:rsidR="00874815" w:rsidRDefault="00317692">
      <w:pPr>
        <w:pStyle w:val="BodyText"/>
        <w:numPr>
          <w:ilvl w:val="0"/>
          <w:numId w:val="1"/>
        </w:numPr>
        <w:tabs>
          <w:tab w:val="left" w:pos="742"/>
        </w:tabs>
        <w:jc w:val="both"/>
      </w:pPr>
      <w:r>
        <w:rPr>
          <w:rStyle w:val="BodyTextChar"/>
        </w:rPr>
        <w:t>Le marketing et la mise en service en Espagne</w:t>
      </w:r>
    </w:p>
    <w:p w14:paraId="63875BA9" w14:textId="77777777" w:rsidR="00874815" w:rsidRDefault="00317692">
      <w:pPr>
        <w:pStyle w:val="BodyText"/>
        <w:numPr>
          <w:ilvl w:val="0"/>
          <w:numId w:val="1"/>
        </w:numPr>
        <w:tabs>
          <w:tab w:val="left" w:pos="742"/>
        </w:tabs>
        <w:jc w:val="both"/>
      </w:pPr>
      <w:r>
        <w:rPr>
          <w:rStyle w:val="BodyTextChar"/>
        </w:rPr>
        <w:t>Le commerce sur le marché de l’Union européenne et sur le marché extérieur.</w:t>
      </w:r>
    </w:p>
    <w:p w14:paraId="5AD45050" w14:textId="77777777" w:rsidR="00874815" w:rsidRDefault="00317692">
      <w:pPr>
        <w:pStyle w:val="BodyText"/>
        <w:numPr>
          <w:ilvl w:val="0"/>
          <w:numId w:val="1"/>
        </w:numPr>
        <w:tabs>
          <w:tab w:val="left" w:pos="742"/>
        </w:tabs>
        <w:jc w:val="both"/>
      </w:pPr>
      <w:r>
        <w:rPr>
          <w:rStyle w:val="BodyTextChar"/>
        </w:rPr>
        <w:t>Les études cliniques.</w:t>
      </w:r>
    </w:p>
    <w:p w14:paraId="1E19F8D0" w14:textId="77777777" w:rsidR="00874815" w:rsidRDefault="00317692">
      <w:pPr>
        <w:pStyle w:val="BodyText"/>
        <w:numPr>
          <w:ilvl w:val="0"/>
          <w:numId w:val="1"/>
        </w:numPr>
        <w:tabs>
          <w:tab w:val="left" w:pos="742"/>
        </w:tabs>
        <w:jc w:val="both"/>
      </w:pPr>
      <w:r>
        <w:rPr>
          <w:rStyle w:val="BodyTextChar"/>
        </w:rPr>
        <w:t>Le système de surveillance.</w:t>
      </w:r>
    </w:p>
    <w:p w14:paraId="656AFEAE" w14:textId="77777777" w:rsidR="00874815" w:rsidRDefault="00317692">
      <w:pPr>
        <w:pStyle w:val="BodyText"/>
        <w:numPr>
          <w:ilvl w:val="0"/>
          <w:numId w:val="1"/>
        </w:numPr>
        <w:tabs>
          <w:tab w:val="left" w:pos="742"/>
        </w:tabs>
        <w:spacing w:after="180"/>
        <w:jc w:val="both"/>
      </w:pPr>
      <w:r>
        <w:rPr>
          <w:rStyle w:val="BodyTextChar"/>
        </w:rPr>
        <w:t>Les mesures d’inspection et de contrôle du marché et de protection de la santé.</w:t>
      </w:r>
    </w:p>
    <w:p w14:paraId="54B93F1D" w14:textId="77777777" w:rsidR="00874815" w:rsidRDefault="00317692">
      <w:pPr>
        <w:pStyle w:val="BodyText"/>
        <w:spacing w:after="120"/>
        <w:ind w:firstLine="0"/>
        <w:jc w:val="both"/>
      </w:pPr>
      <w:r>
        <w:rPr>
          <w:rStyle w:val="BodyTextChar"/>
        </w:rPr>
        <w:t xml:space="preserve">Article 2. </w:t>
      </w:r>
      <w:r>
        <w:rPr>
          <w:rStyle w:val="BodyTextChar"/>
          <w:i/>
        </w:rPr>
        <w:t>Définitions.</w:t>
      </w:r>
    </w:p>
    <w:p w14:paraId="61B71692" w14:textId="77777777" w:rsidR="00874815" w:rsidRDefault="00317692">
      <w:pPr>
        <w:pStyle w:val="BodyText"/>
        <w:spacing w:after="180"/>
        <w:jc w:val="both"/>
      </w:pPr>
      <w:r>
        <w:rPr>
          <w:noProof/>
        </w:rPr>
        <mc:AlternateContent>
          <mc:Choice Requires="wps">
            <w:drawing>
              <wp:anchor distT="0" distB="0" distL="114300" distR="114300" simplePos="0" relativeHeight="125829384" behindDoc="0" locked="0" layoutInCell="1" allowOverlap="1" wp14:anchorId="786296A6" wp14:editId="793A579C">
                <wp:simplePos x="0" y="0"/>
                <wp:positionH relativeFrom="page">
                  <wp:posOffset>7155180</wp:posOffset>
                </wp:positionH>
                <wp:positionV relativeFrom="paragraph">
                  <wp:posOffset>914400</wp:posOffset>
                </wp:positionV>
                <wp:extent cx="222250" cy="1337945"/>
                <wp:effectExtent l="0" t="0" r="0" b="0"/>
                <wp:wrapSquare wrapText="bothSides"/>
                <wp:docPr id="7" name="Shape 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29BAB9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9128190" w14:textId="77777777" w:rsidR="00874815" w:rsidRDefault="00317692">
                            <w:pPr>
                              <w:pStyle w:val="Bodytext20"/>
                            </w:pPr>
                            <w:r>
                              <w:rPr>
                                <w:rStyle w:val="Bodytext2"/>
                              </w:rPr>
                              <w:t xml:space="preserve">Consultable à l’adresse </w:t>
                            </w:r>
                            <w:hyperlink r:id="rId1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86296A6" id="Shape 7" o:spid="_x0000_s1029" type="#_x0000_t202" style="position:absolute;left:0;text-align:left;margin-left:563.4pt;margin-top:1in;width:17.5pt;height:105.35pt;z-index:125829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" filled="f" stroked="f">
                <v:textbox style="layout-flow:vertical;mso-layout-flow-alt:bottom-to-top" inset="0,0,0,0">
                  <w:txbxContent>
                    <w:p w14:paraId="129BAB9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9128190" w14:textId="77777777" w:rsidR="00874815" w:rsidRDefault="00000000">
                      <w:pPr>
                        <w:pStyle w:val="Bodytext20"/>
                      </w:pPr>
                      <w:r>
                        <w:rPr>
                          <w:rStyle w:val="Bodytext2"/>
                        </w:rPr>
                        <w:t xml:space="preserve">Consultable à l’adresse </w:t>
                      </w:r>
                      <w:hyperlink r:id="rId14" w:history="1">
                        <w:r>
                          <w:rPr>
                            <w:rStyle w:val="Bodytext2"/>
                          </w:rPr>
                          <w:t xml:space="preserve">https://www.boe.es</w:t>
                        </w:r>
                      </w:hyperlink>
                    </w:p>
                  </w:txbxContent>
                </v:textbox>
                <w10:wrap type="square" anchorx="page"/>
              </v:shape>
            </w:pict>
          </mc:Fallback>
        </mc:AlternateContent>
      </w:r>
      <w:r>
        <w:rPr>
          <w:rStyle w:val="BodyTextChar"/>
        </w:rPr>
        <w:t>Aux fins du présent décret royal, les définitions figurant à l’article 2 du règlement (UE) 2017/745 du Parlement européen et du Conseil du 5 avril 2017 relatif aux dispositifs médicaux, modifiant la directive 2001/83/CE, le règlement (CE) n° 178/2002 et le règlement (CE) n° 1223/2009 et abrogeant les directives 90/385/CEE et 93/42/CEE du Conseil ainsi que les lois à adopter pour leur mise en œuvre s’appliquent.</w:t>
      </w:r>
    </w:p>
    <w:p w14:paraId="47E9D37A" w14:textId="77777777" w:rsidR="00874815" w:rsidRDefault="00317692">
      <w:pPr>
        <w:pStyle w:val="BodyText"/>
        <w:spacing w:after="120"/>
        <w:ind w:firstLine="0"/>
        <w:jc w:val="both"/>
      </w:pPr>
      <w:r>
        <w:rPr>
          <w:rStyle w:val="BodyTextChar"/>
        </w:rPr>
        <w:t xml:space="preserve">Article 3. </w:t>
      </w:r>
      <w:r>
        <w:rPr>
          <w:rStyle w:val="BodyTextChar"/>
          <w:i/>
        </w:rPr>
        <w:t>Champ d’application.</w:t>
      </w:r>
    </w:p>
    <w:p w14:paraId="7062D37F" w14:textId="77777777" w:rsidR="00874815" w:rsidRDefault="00317692">
      <w:pPr>
        <w:pStyle w:val="BodyText"/>
        <w:numPr>
          <w:ilvl w:val="0"/>
          <w:numId w:val="2"/>
        </w:numPr>
        <w:tabs>
          <w:tab w:val="left" w:pos="742"/>
        </w:tabs>
        <w:spacing w:after="120"/>
        <w:jc w:val="both"/>
      </w:pPr>
      <w:r>
        <w:rPr>
          <w:rStyle w:val="BodyTextChar"/>
        </w:rPr>
        <w:t xml:space="preserve">Le présent décret royal </w:t>
      </w:r>
      <w:proofErr w:type="gramStart"/>
      <w:r>
        <w:rPr>
          <w:rStyle w:val="BodyTextChar"/>
        </w:rPr>
        <w:t>s’applique:</w:t>
      </w:r>
      <w:proofErr w:type="gramEnd"/>
    </w:p>
    <w:p w14:paraId="1A58A9B9" w14:textId="77777777" w:rsidR="00874815" w:rsidRDefault="00317692">
      <w:pPr>
        <w:pStyle w:val="BodyText"/>
        <w:numPr>
          <w:ilvl w:val="0"/>
          <w:numId w:val="3"/>
        </w:numPr>
        <w:tabs>
          <w:tab w:val="left" w:pos="727"/>
        </w:tabs>
        <w:spacing w:after="160"/>
        <w:jc w:val="both"/>
      </w:pPr>
      <w:r>
        <w:rPr>
          <w:rStyle w:val="BodyTextChar"/>
        </w:rPr>
        <w:t>Aux dispositifs relevant du champ d’application de l’article 1er du règlement (UE) 2017/745 du Parlement européen et du Conseil du 5 avril 2017.</w:t>
      </w:r>
      <w:r>
        <w:br w:type="page"/>
      </w:r>
    </w:p>
    <w:p w14:paraId="5673D7FA" w14:textId="77777777" w:rsidR="00874815" w:rsidRDefault="00317692">
      <w:pPr>
        <w:pStyle w:val="BodyText"/>
        <w:jc w:val="both"/>
      </w:pPr>
      <w:r>
        <w:rPr>
          <w:rStyle w:val="BodyTextChar"/>
        </w:rPr>
        <w:lastRenderedPageBreak/>
        <w:t>Aux fins du présent décret royal, les dispositifs médicaux à usage humain et leurs accessoires, ainsi que les dispositifs non médicaux énumérés à l’annexe XVI du règlement (UE) 2017/745 du Parlement européen et du Conseil du 5 avril 2017 sont ci-après dénommés</w:t>
      </w:r>
      <w:proofErr w:type="gramStart"/>
      <w:r>
        <w:rPr>
          <w:rStyle w:val="BodyTextChar"/>
        </w:rPr>
        <w:t xml:space="preserve"> «dispositifs</w:t>
      </w:r>
      <w:proofErr w:type="gramEnd"/>
      <w:r>
        <w:rPr>
          <w:rStyle w:val="BodyTextChar"/>
        </w:rPr>
        <w:t>».</w:t>
      </w:r>
    </w:p>
    <w:p w14:paraId="35316D62" w14:textId="77777777" w:rsidR="00874815" w:rsidRDefault="00317692">
      <w:pPr>
        <w:pStyle w:val="BodyText"/>
        <w:numPr>
          <w:ilvl w:val="0"/>
          <w:numId w:val="3"/>
        </w:numPr>
        <w:tabs>
          <w:tab w:val="left" w:pos="715"/>
        </w:tabs>
        <w:spacing w:after="120"/>
        <w:jc w:val="both"/>
      </w:pPr>
      <w:r>
        <w:rPr>
          <w:rStyle w:val="BodyTextChar"/>
        </w:rPr>
        <w:t>Aux dispositifs et instruments utilisés dans le maquillage permanent, semi-permanent ou le tatouage de la peau à l’aide de techniques invasives. Ces dispositifs ne portent pas le marquage CE et sont conformes aux exigences générales de sécurité et de performance qui leur sont applicables. Leur fabrication, leur importation, leur distribution et leur vente sont soumises à la surveillance des autorités sanitaires compétentes et doivent respecter les procédures prévues aux articles 7, 24 et 25.</w:t>
      </w:r>
    </w:p>
    <w:p w14:paraId="443E2118" w14:textId="77777777" w:rsidR="00874815" w:rsidRDefault="00317692">
      <w:pPr>
        <w:pStyle w:val="BodyText"/>
        <w:numPr>
          <w:ilvl w:val="0"/>
          <w:numId w:val="2"/>
        </w:numPr>
        <w:tabs>
          <w:tab w:val="left" w:pos="715"/>
        </w:tabs>
        <w:jc w:val="both"/>
      </w:pPr>
      <w:r>
        <w:rPr>
          <w:rStyle w:val="BodyTextChar"/>
        </w:rPr>
        <w:t>Lorsqu’un dispositif destiné par son fabricant à être utilisé comme équipement de protection individuelle est également destiné à être utilisé comme dispositif médical, il doit, outre les règles applicables aux dispositifs de protection individuelle, se conformer aux dispositions du présent décret royal.</w:t>
      </w:r>
    </w:p>
    <w:p w14:paraId="1E885D0E" w14:textId="77777777" w:rsidR="00874815" w:rsidRDefault="00317692">
      <w:pPr>
        <w:pStyle w:val="BodyText"/>
        <w:numPr>
          <w:ilvl w:val="0"/>
          <w:numId w:val="2"/>
        </w:numPr>
        <w:tabs>
          <w:tab w:val="left" w:pos="715"/>
        </w:tabs>
        <w:jc w:val="both"/>
      </w:pPr>
      <w:r>
        <w:rPr>
          <w:rStyle w:val="BodyTextChar"/>
        </w:rPr>
        <w:t>Les dispositifs médicaux dont la conformité a été déterminée conformément au règlement (UE) 2017/745 du Parlement européen et du Conseil du 5 avril 2017 ne relèvent pas du décret royal 186/2016 du 6 mai réglementant la compatibilité électromagnétique des équipements électriques et électroniques.</w:t>
      </w:r>
    </w:p>
    <w:p w14:paraId="70669290" w14:textId="77777777" w:rsidR="00874815" w:rsidRDefault="00317692">
      <w:pPr>
        <w:pStyle w:val="BodyText"/>
        <w:numPr>
          <w:ilvl w:val="0"/>
          <w:numId w:val="2"/>
        </w:numPr>
        <w:tabs>
          <w:tab w:val="left" w:pos="715"/>
        </w:tabs>
        <w:jc w:val="both"/>
      </w:pPr>
      <w:r>
        <w:rPr>
          <w:rStyle w:val="BodyTextChar"/>
        </w:rPr>
        <w:t>Cette disposition n’affecte pas l’application du décret royal 601/2019 du 18 octobre relatif à la justification et à l’optimisation de l’utilisation des rayonnements ionisants pour la radioprotection des personnes lors d’une exposition médicale; ni du décret royal 1029/2022 du 20 décembre portant approbation du règlement relatif à la protection sanitaire contre les risques liés à l'exposition aux rayonnements ionisants; ni du décret royal 1836/1999 du 3 décembre portant approbation du règlement relatif aux installations nucléaires et radioactives; ni du décret royal 1085/2009 du 3 juillet portant approbation du règlement relatif à l’installation et à l’utilisation de dispositifs de radiographie à des fins de diagnostic médical.</w:t>
      </w:r>
    </w:p>
    <w:p w14:paraId="2A118C29" w14:textId="77777777" w:rsidR="00874815" w:rsidRDefault="00317692">
      <w:pPr>
        <w:pStyle w:val="BodyText"/>
        <w:numPr>
          <w:ilvl w:val="0"/>
          <w:numId w:val="2"/>
        </w:numPr>
        <w:tabs>
          <w:tab w:val="left" w:pos="715"/>
        </w:tabs>
        <w:spacing w:after="180"/>
        <w:jc w:val="both"/>
      </w:pPr>
      <w:r>
        <w:rPr>
          <w:rStyle w:val="BodyTextChar"/>
        </w:rPr>
        <w:t>Les dispositifs qui sont des machines conformément aux dispositions du décret royal 1644/2008 du 10 octobre fixant les normes de mise sur le marché et de mise en service des machines doivent également satisfaire aux exigences essentielles de santé et de sécurité qui y sont énoncées, à condition que ces exigences essentielles de santé et de sécurité soient plus spécifiques que les exigences générales de sécurité et de performance énoncées à l’annexe I du règlement (UE) 2017/745 du Parlement européen et du Conseil du 5 avril 2017.</w:t>
      </w:r>
    </w:p>
    <w:p w14:paraId="7E3ABF75" w14:textId="77777777" w:rsidR="00874815" w:rsidRDefault="00317692">
      <w:pPr>
        <w:pStyle w:val="BodyText"/>
        <w:spacing w:after="120"/>
        <w:ind w:firstLine="0"/>
        <w:jc w:val="both"/>
      </w:pPr>
      <w:r>
        <w:rPr>
          <w:rStyle w:val="BodyTextChar"/>
        </w:rPr>
        <w:t xml:space="preserve">Article 4. </w:t>
      </w:r>
      <w:r>
        <w:rPr>
          <w:rStyle w:val="BodyTextChar"/>
          <w:i/>
        </w:rPr>
        <w:t>Autorité compétente.</w:t>
      </w:r>
    </w:p>
    <w:p w14:paraId="2ECFDF0B" w14:textId="77777777" w:rsidR="00874815" w:rsidRDefault="00317692">
      <w:pPr>
        <w:pStyle w:val="BodyText"/>
        <w:numPr>
          <w:ilvl w:val="0"/>
          <w:numId w:val="4"/>
        </w:numPr>
        <w:tabs>
          <w:tab w:val="left" w:pos="715"/>
        </w:tabs>
        <w:jc w:val="both"/>
      </w:pPr>
      <w:r>
        <w:rPr>
          <w:rStyle w:val="BodyTextChar"/>
        </w:rPr>
        <w:t>L’autorité compétente visée à l’article 101 du règlement (UE) 2017/745 du Parlement européen et du Conseil du 5 avril 2017 est l’agence espagnole des médicaments et des dispositifs médicaux, indépendamment des compétences d’autres autorités sanitaires.</w:t>
      </w:r>
    </w:p>
    <w:p w14:paraId="77AC866E" w14:textId="77777777" w:rsidR="00874815" w:rsidRDefault="00317692">
      <w:pPr>
        <w:pStyle w:val="BodyText"/>
        <w:numPr>
          <w:ilvl w:val="0"/>
          <w:numId w:val="4"/>
        </w:numPr>
        <w:tabs>
          <w:tab w:val="left" w:pos="715"/>
        </w:tabs>
        <w:spacing w:after="160"/>
        <w:jc w:val="both"/>
      </w:pPr>
      <w:r>
        <w:rPr>
          <w:noProof/>
        </w:rPr>
        <mc:AlternateContent>
          <mc:Choice Requires="wps">
            <w:drawing>
              <wp:anchor distT="0" distB="0" distL="114300" distR="114300" simplePos="0" relativeHeight="125829386" behindDoc="0" locked="0" layoutInCell="1" allowOverlap="1" wp14:anchorId="4E3FFEDF" wp14:editId="08218CF4">
                <wp:simplePos x="0" y="0"/>
                <wp:positionH relativeFrom="page">
                  <wp:posOffset>7155180</wp:posOffset>
                </wp:positionH>
                <wp:positionV relativeFrom="paragraph">
                  <wp:posOffset>723900</wp:posOffset>
                </wp:positionV>
                <wp:extent cx="222250" cy="1337945"/>
                <wp:effectExtent l="0" t="0" r="0" b="0"/>
                <wp:wrapSquare wrapText="bothSides"/>
                <wp:docPr id="9" name="Shape 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22472D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B566ACA" w14:textId="77777777" w:rsidR="00874815" w:rsidRDefault="00317692">
                            <w:pPr>
                              <w:pStyle w:val="Bodytext20"/>
                            </w:pPr>
                            <w:r>
                              <w:rPr>
                                <w:rStyle w:val="Bodytext2"/>
                              </w:rPr>
                              <w:t xml:space="preserve">Consultable à l’adresse </w:t>
                            </w:r>
                            <w:hyperlink r:id="rId1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E3FFEDF" id="Shape 9" o:spid="_x0000_s1030" type="#_x0000_t202" style="position:absolute;left:0;text-align:left;margin-left:563.4pt;margin-top:57pt;width:17.5pt;height:105.35pt;z-index:12582938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" filled="f" stroked="f">
                <v:textbox style="layout-flow:vertical;mso-layout-flow-alt:bottom-to-top" inset="0,0,0,0">
                  <w:txbxContent>
                    <w:p w14:paraId="122472D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B566ACA" w14:textId="77777777" w:rsidR="00874815" w:rsidRDefault="00000000">
                      <w:pPr>
                        <w:pStyle w:val="Bodytext20"/>
                      </w:pPr>
                      <w:r>
                        <w:rPr>
                          <w:rStyle w:val="Bodytext2"/>
                        </w:rPr>
                        <w:t xml:space="preserve">Consultable à l’adresse </w:t>
                      </w:r>
                      <w:hyperlink r:id="rId16" w:history="1">
                        <w:r>
                          <w:rPr>
                            <w:rStyle w:val="Bodytext2"/>
                          </w:rPr>
                          <w:t xml:space="preserve">https://www.boe.es</w:t>
                        </w:r>
                      </w:hyperlink>
                    </w:p>
                  </w:txbxContent>
                </v:textbox>
                <w10:wrap type="square" anchorx="page"/>
              </v:shape>
            </w:pict>
          </mc:Fallback>
        </mc:AlternateContent>
      </w:r>
      <w:r>
        <w:rPr>
          <w:rStyle w:val="BodyTextChar"/>
        </w:rPr>
        <w:t>L’agence espagnole des médicaments et des dispositifs médicaux statue sur l’application à un dispositif de définitions et de critères de classification conformément à l’article 2 et à l’article 51, paragraphe 2, et à l’annexe VIII du règlement (UE) 2017/745 du Parlement européen et du Conseil du 5 avril 2017. Préalablement à la présente décision, et si nécessaire, l’Agence espagnole des médicaments et dispositifs médicaux peut consulter le comité des dispositifs médicaux, régi par l’article 28 bis du décret royal 1275/2011 du 16 septembre, instituant l’Agence espagnole des médicaments et des dispositifs médicaux et approuvant son statut, ainsi que des experts dans ce domaine.</w:t>
      </w:r>
      <w:r>
        <w:br w:type="page"/>
      </w:r>
    </w:p>
    <w:p w14:paraId="30AE1735" w14:textId="77777777" w:rsidR="00874815" w:rsidRDefault="00317692">
      <w:pPr>
        <w:pStyle w:val="BodyText"/>
        <w:spacing w:after="120"/>
        <w:ind w:firstLine="0"/>
        <w:jc w:val="both"/>
      </w:pPr>
      <w:r>
        <w:rPr>
          <w:rStyle w:val="BodyTextChar"/>
        </w:rPr>
        <w:lastRenderedPageBreak/>
        <w:t xml:space="preserve">Article 5. </w:t>
      </w:r>
      <w:r>
        <w:rPr>
          <w:rStyle w:val="BodyTextChar"/>
          <w:i/>
        </w:rPr>
        <w:t>Garanties sanitaires des dispositifs.</w:t>
      </w:r>
    </w:p>
    <w:p w14:paraId="21BD1FCD" w14:textId="77777777" w:rsidR="00874815" w:rsidRDefault="00317692">
      <w:pPr>
        <w:pStyle w:val="BodyText"/>
        <w:numPr>
          <w:ilvl w:val="0"/>
          <w:numId w:val="5"/>
        </w:numPr>
        <w:tabs>
          <w:tab w:val="left" w:pos="725"/>
        </w:tabs>
        <w:jc w:val="both"/>
      </w:pPr>
      <w:r>
        <w:rPr>
          <w:rStyle w:val="BodyTextChar"/>
        </w:rPr>
        <w:t>Les dispositifs ne peuvent être mis sur le marché, commercialisés ou mis en service que s’ils satisfont aux exigences énoncées dans le règlement (UE) 2017/745 du Parlement européen et du Conseil du 5 avril 2017 et dans le présent décret royal, pour autant qu’ils soient dûment fournis, correctement installés et entretenus conformément aux instructions du fabricant, et qu’ils soient utilisés conformément à leur destination, sans compromettre la sécurité ou la santé des patients, des utilisateurs ou, le cas échéant, des tiers.</w:t>
      </w:r>
    </w:p>
    <w:p w14:paraId="6F79C340" w14:textId="77777777" w:rsidR="00874815" w:rsidRDefault="00317692">
      <w:pPr>
        <w:pStyle w:val="BodyText"/>
        <w:numPr>
          <w:ilvl w:val="0"/>
          <w:numId w:val="5"/>
        </w:numPr>
        <w:tabs>
          <w:tab w:val="left" w:pos="725"/>
        </w:tabs>
        <w:jc w:val="both"/>
      </w:pPr>
      <w:r>
        <w:rPr>
          <w:rStyle w:val="BodyTextChar"/>
        </w:rPr>
        <w:t>Au moment de la mise en service en Espagne, les dispositifs doivent inclure les données et informations figurant au paragraphe 23 de l’annexe I du règlement (UE) 2017/745 du Parlement européen et du Conseil du 5 avril 2017 au moins en espagnol afin de permettre d’avoir des informations efficaces, véridiques et suffisantes sur leurs caractéristiques essentielles d’une manière certaine et objective.</w:t>
      </w:r>
    </w:p>
    <w:p w14:paraId="2D446EE7" w14:textId="77777777" w:rsidR="00874815" w:rsidRDefault="00317692">
      <w:pPr>
        <w:pStyle w:val="BodyText"/>
        <w:numPr>
          <w:ilvl w:val="0"/>
          <w:numId w:val="5"/>
        </w:numPr>
        <w:tabs>
          <w:tab w:val="left" w:pos="725"/>
        </w:tabs>
        <w:jc w:val="both"/>
      </w:pPr>
      <w:r>
        <w:rPr>
          <w:rStyle w:val="BodyTextChar"/>
        </w:rPr>
        <w:t>Seuls les dispositifs conformes aux dispositions du règlement (UE) 2017/745 du Parlement européen et du Conseil du 5 avril 2017 et du présent décret royal ne peuvent être utilisés en Espagne que dans les conditions et aux fins fixées par le fabricant de ces dispositifs, sans préjudice de l’article 17 dudit règlement, en ce qui concerne l’éventuel retraitement et le réemploi des dispositifs à usage unique.</w:t>
      </w:r>
    </w:p>
    <w:p w14:paraId="355F691D" w14:textId="77777777" w:rsidR="00874815" w:rsidRDefault="00317692">
      <w:pPr>
        <w:pStyle w:val="BodyText"/>
        <w:jc w:val="both"/>
      </w:pPr>
      <w:r>
        <w:rPr>
          <w:rStyle w:val="BodyTextChar"/>
        </w:rPr>
        <w:t>Afin d’assurer l’utilisation correcte des appareils, les professionnels qui les utilisent doivent être correctement qualifiés et formés.</w:t>
      </w:r>
    </w:p>
    <w:p w14:paraId="2850452B" w14:textId="77777777" w:rsidR="00874815" w:rsidRDefault="00317692">
      <w:pPr>
        <w:pStyle w:val="BodyText"/>
        <w:jc w:val="both"/>
      </w:pPr>
      <w:r>
        <w:rPr>
          <w:rStyle w:val="BodyTextChar"/>
        </w:rPr>
        <w:t>Les dispositifs sont entretenus de manière adéquate, par un personnel dûment qualifié, de manière à garantir que, pendant leur période d’utilisation, ceux-ci conservent la sécurité et les performances prévues par leur fabricant, sans préjudice de l’article 17 du règlement (UE) 2017/745 du Parlement européen et du Conseil du 5 avril 2017 en ce qui concerne l’éventuel retraitement et le réemploi des dispositifs à usage unique.</w:t>
      </w:r>
    </w:p>
    <w:p w14:paraId="2A7A4EFA" w14:textId="77777777" w:rsidR="00874815" w:rsidRDefault="00317692">
      <w:pPr>
        <w:pStyle w:val="BodyText"/>
        <w:numPr>
          <w:ilvl w:val="0"/>
          <w:numId w:val="5"/>
        </w:numPr>
        <w:tabs>
          <w:tab w:val="left" w:pos="725"/>
        </w:tabs>
        <w:spacing w:after="180"/>
        <w:jc w:val="both"/>
      </w:pPr>
      <w:r>
        <w:rPr>
          <w:rStyle w:val="BodyTextChar"/>
        </w:rPr>
        <w:t>Conformément aux dispositions de la loi 41/2002 du 14 novembre, règlement de base de l’autonomie du patient et des droits et obligations en matière d’information et de documentation clinique, le patient recevra des informations permettant l’identification de tout dispositif médical implantable reçu pendant le traitement. Cela s’effectue sans préjudice de l’article 18 du règlement (UE) 2017/745 du Parlement européen et du Conseil du 5 avril 2017 et de l’article 36 du présent décret royal relatif à l’obligation de remettre la carte d’implant au patient.</w:t>
      </w:r>
    </w:p>
    <w:p w14:paraId="313483D2" w14:textId="77777777" w:rsidR="00874815" w:rsidRDefault="00317692">
      <w:pPr>
        <w:pStyle w:val="BodyText"/>
        <w:spacing w:after="120"/>
        <w:ind w:firstLine="0"/>
        <w:jc w:val="both"/>
      </w:pPr>
      <w:r>
        <w:rPr>
          <w:rStyle w:val="BodyTextChar"/>
        </w:rPr>
        <w:t xml:space="preserve">Article 6. </w:t>
      </w:r>
      <w:r>
        <w:rPr>
          <w:rStyle w:val="BodyTextChar"/>
          <w:i/>
        </w:rPr>
        <w:t>Coopération administrative.</w:t>
      </w:r>
    </w:p>
    <w:p w14:paraId="46B1CF34" w14:textId="77777777" w:rsidR="00874815" w:rsidRDefault="00317692">
      <w:pPr>
        <w:pStyle w:val="BodyText"/>
        <w:spacing w:after="240"/>
        <w:jc w:val="both"/>
      </w:pPr>
      <w:r>
        <w:rPr>
          <w:rStyle w:val="BodyTextChar"/>
        </w:rPr>
        <w:t>L’agence espagnole des médicaments et dispositifs médicaux et les Communautés autonomes coopèrent dans le cadre de leurs compétences, notamment en ce qui concerne les registres, la surveillance du marché et la vigilance.</w:t>
      </w:r>
    </w:p>
    <w:p w14:paraId="2E66D569" w14:textId="77777777" w:rsidR="00874815" w:rsidRDefault="00317692">
      <w:pPr>
        <w:pStyle w:val="Heading20"/>
        <w:keepNext/>
        <w:keepLines/>
      </w:pPr>
      <w:bookmarkStart w:id="3" w:name="bookmark8"/>
      <w:r>
        <w:rPr>
          <w:rStyle w:val="Heading2"/>
        </w:rPr>
        <w:t>CHAPITRE II</w:t>
      </w:r>
      <w:bookmarkEnd w:id="3"/>
    </w:p>
    <w:p w14:paraId="3A15D69D" w14:textId="77777777" w:rsidR="00874815" w:rsidRDefault="00317692">
      <w:pPr>
        <w:pStyle w:val="BodyText"/>
        <w:spacing w:after="180"/>
        <w:ind w:firstLine="0"/>
        <w:jc w:val="center"/>
      </w:pPr>
      <w:r>
        <w:rPr>
          <w:rStyle w:val="BodyTextChar"/>
          <w:b/>
        </w:rPr>
        <w:t>Installations</w:t>
      </w:r>
    </w:p>
    <w:p w14:paraId="72D72B16" w14:textId="77777777" w:rsidR="00874815" w:rsidRDefault="00317692">
      <w:pPr>
        <w:pStyle w:val="BodyText"/>
        <w:spacing w:after="120"/>
        <w:ind w:firstLine="0"/>
        <w:jc w:val="both"/>
      </w:pPr>
      <w:r>
        <w:rPr>
          <w:noProof/>
        </w:rPr>
        <mc:AlternateContent>
          <mc:Choice Requires="wps">
            <w:drawing>
              <wp:anchor distT="0" distB="0" distL="114300" distR="114300" simplePos="0" relativeHeight="125829388" behindDoc="0" locked="0" layoutInCell="1" allowOverlap="1" wp14:anchorId="0A291B40" wp14:editId="660718F9">
                <wp:simplePos x="0" y="0"/>
                <wp:positionH relativeFrom="page">
                  <wp:posOffset>7155180</wp:posOffset>
                </wp:positionH>
                <wp:positionV relativeFrom="paragraph">
                  <wp:posOffset>139700</wp:posOffset>
                </wp:positionV>
                <wp:extent cx="222250" cy="1337945"/>
                <wp:effectExtent l="0" t="0" r="0" b="0"/>
                <wp:wrapSquare wrapText="bothSides"/>
                <wp:docPr id="11" name="Shape 1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4CECEEC"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CE4F8E4" w14:textId="77777777" w:rsidR="00874815" w:rsidRDefault="00317692">
                            <w:pPr>
                              <w:pStyle w:val="Bodytext20"/>
                            </w:pPr>
                            <w:r>
                              <w:rPr>
                                <w:rStyle w:val="Bodytext2"/>
                              </w:rPr>
                              <w:t xml:space="preserve">Consultable à l’adresse </w:t>
                            </w:r>
                            <w:hyperlink r:id="rId1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A291B40" id="Shape 11" o:spid="_x0000_s1031" type="#_x0000_t202" style="position:absolute;left:0;text-align:left;margin-left:563.4pt;margin-top:11pt;width:17.5pt;height:105.35pt;z-index:1258293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" filled="f" stroked="f">
                <v:textbox style="layout-flow:vertical;mso-layout-flow-alt:bottom-to-top" inset="0,0,0,0">
                  <w:txbxContent>
                    <w:p w14:paraId="34CECEEC"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CE4F8E4" w14:textId="77777777" w:rsidR="00874815" w:rsidRDefault="00000000">
                      <w:pPr>
                        <w:pStyle w:val="Bodytext20"/>
                      </w:pPr>
                      <w:r>
                        <w:rPr>
                          <w:rStyle w:val="Bodytext2"/>
                        </w:rPr>
                        <w:t xml:space="preserve">Consultable à l’adresse </w:t>
                      </w:r>
                      <w:hyperlink r:id="rId18" w:history="1">
                        <w:r>
                          <w:rPr>
                            <w:rStyle w:val="Bodytext2"/>
                          </w:rPr>
                          <w:t xml:space="preserve">https://www.boe.es</w:t>
                        </w:r>
                      </w:hyperlink>
                    </w:p>
                  </w:txbxContent>
                </v:textbox>
                <w10:wrap type="square" anchorx="page"/>
              </v:shape>
            </w:pict>
          </mc:Fallback>
        </mc:AlternateContent>
      </w:r>
      <w:r>
        <w:rPr>
          <w:rStyle w:val="BodyTextChar"/>
        </w:rPr>
        <w:t xml:space="preserve">Article 7. </w:t>
      </w:r>
      <w:r>
        <w:rPr>
          <w:rStyle w:val="BodyTextChar"/>
          <w:i/>
        </w:rPr>
        <w:t>Licence d’exploitation préalable pour les installations.</w:t>
      </w:r>
    </w:p>
    <w:p w14:paraId="439CD3F8" w14:textId="4E5A9D10" w:rsidR="005B587D" w:rsidRDefault="00317692">
      <w:pPr>
        <w:pStyle w:val="BodyText"/>
        <w:numPr>
          <w:ilvl w:val="0"/>
          <w:numId w:val="6"/>
        </w:numPr>
        <w:tabs>
          <w:tab w:val="left" w:pos="725"/>
        </w:tabs>
        <w:jc w:val="both"/>
        <w:rPr>
          <w:rStyle w:val="BodyTextChar"/>
        </w:rPr>
      </w:pPr>
      <w:r>
        <w:rPr>
          <w:rStyle w:val="BodyTextChar"/>
        </w:rPr>
        <w:t>Conformément à l’article 100 de la loi générale sur la santé 14/1986 du 25 avril, les personnes physiques et morales engagées dans la fabrication, l’importation, le regroupement ou la stérilisation des dispositifs médicaux et des installations dans lesquelles ces activités sont exercées nécessiteront une licence d’exploitation préalable délivrée par l’agence espagnole des médicaments et des dispositifs médicaux. Cette exigence s’applique également aux appareils et instruments utilisés dans le maquillage ou le tatouage permanent ou semi-permanent de la peau par des techniques invasives, ainsi qu’aux dispositifs non médicaux énumérés à l’annexe XVI et aux établissements de santé exerçant l’activité visée à l’article 17 du règlement (UE) 2017/745 du Parlement européen et du Conseil du 5 avril 2017.</w:t>
      </w:r>
    </w:p>
    <w:p w14:paraId="05483FE4" w14:textId="77777777" w:rsidR="005B587D" w:rsidRDefault="005B587D">
      <w:pPr>
        <w:rPr>
          <w:rStyle w:val="BodyTextChar"/>
        </w:rPr>
      </w:pPr>
      <w:r>
        <w:br w:type="page"/>
      </w:r>
    </w:p>
    <w:p w14:paraId="727C9700" w14:textId="77777777" w:rsidR="00874815" w:rsidRDefault="00317692">
      <w:pPr>
        <w:pStyle w:val="BodyText"/>
        <w:jc w:val="both"/>
      </w:pPr>
      <w:r>
        <w:rPr>
          <w:rStyle w:val="BodyTextChar"/>
        </w:rPr>
        <w:lastRenderedPageBreak/>
        <w:t>Aux fins du présent décret royal, tant les importateurs établis en Espagne qui mettent un dispositif en provenance d’un pays tiers sur le marché de l’Union européenne que les personnes physiques et morales qui, sans être importateurs conformément au règlement (UE) 2017/745 du Parlement européen et du Conseil du 5 avril 2017, importent physiquement un dispositif en Espagne, exigent une licence d’importation.</w:t>
      </w:r>
    </w:p>
    <w:p w14:paraId="30B9C6E6" w14:textId="77777777" w:rsidR="00874815" w:rsidRDefault="00317692">
      <w:pPr>
        <w:pStyle w:val="BodyText"/>
        <w:jc w:val="both"/>
      </w:pPr>
      <w:r>
        <w:rPr>
          <w:rStyle w:val="BodyTextChar"/>
        </w:rPr>
        <w:t>La licence d’exploitation préalable est également exigée des personnes physiques et morales qui complètent la fabrication des dispositifs pour des tiers, sans préjudice des dispositions relatives à la fabrication de dispositifs sur mesure dans leur réglementation spécifique.</w:t>
      </w:r>
    </w:p>
    <w:p w14:paraId="62102E9C" w14:textId="77777777" w:rsidR="00874815" w:rsidRDefault="00317692">
      <w:pPr>
        <w:pStyle w:val="BodyText"/>
        <w:numPr>
          <w:ilvl w:val="0"/>
          <w:numId w:val="6"/>
        </w:numPr>
        <w:tabs>
          <w:tab w:val="left" w:pos="725"/>
        </w:tabs>
        <w:jc w:val="both"/>
      </w:pPr>
      <w:r>
        <w:rPr>
          <w:rStyle w:val="BodyTextChar"/>
        </w:rPr>
        <w:t>Une licence d’exploitation préalable unique est accordée pour les installations et les activités qui y seront exercées, tant individuelles que combinées.</w:t>
      </w:r>
    </w:p>
    <w:p w14:paraId="21D8F456" w14:textId="77777777" w:rsidR="00874815" w:rsidRDefault="00317692">
      <w:pPr>
        <w:pStyle w:val="BodyText"/>
        <w:numPr>
          <w:ilvl w:val="0"/>
          <w:numId w:val="6"/>
        </w:numPr>
        <w:tabs>
          <w:tab w:val="left" w:pos="725"/>
        </w:tabs>
        <w:jc w:val="both"/>
      </w:pPr>
      <w:r>
        <w:rPr>
          <w:rStyle w:val="BodyTextChar"/>
        </w:rPr>
        <w:t>Afin d’obtenir les autorisations visées au paragraphe 1, celles-ci sont demandées par voie électronique à l’agence espagnole des médicaments et des dispositifs médicaux, qui examine les documents soumis et notifie la décision dans un délai de trois mois à compter de la date d’enregistrement de la demande sur le site internet de l’agence espagnole des médicaments et des dispositifs médicaux, sans préjudice des dispositions de l’article 22, paragraphe 1, point a), de la loi 39/2015 du 1er octobre relative à la procédure administrative commune des administrations publiques en ce qui concerne la suspension du délai de présentation des documents. Les décisions de l’agence espagnole des médicaments et des dispositifs médicaux ont mis fin à la procédure administrative.</w:t>
      </w:r>
    </w:p>
    <w:p w14:paraId="1B223CAB" w14:textId="77777777" w:rsidR="00874815" w:rsidRDefault="00317692">
      <w:pPr>
        <w:pStyle w:val="BodyText"/>
        <w:numPr>
          <w:ilvl w:val="0"/>
          <w:numId w:val="6"/>
        </w:numPr>
        <w:tabs>
          <w:tab w:val="left" w:pos="725"/>
        </w:tabs>
        <w:jc w:val="both"/>
      </w:pPr>
      <w:r>
        <w:rPr>
          <w:rStyle w:val="BodyTextChar"/>
        </w:rPr>
        <w:t>L’agence espagnole des médicaments et des dispositifs médicaux demande aux domaines fonctionnels de la santé et de la politique sociale des délégations gouvernementales où se trouve le siège social de l’entreprise, ainsi qu’aux zones où se trouvent l’établissement ou les installations, lorsque ceux-ci ne sont pas dans la même délimitation fonctionnelle, de faire un rapport sur les conditions dans lesquelles les personnes physiques et morales exerceront les activités visées au paragraphe 1, en ordonnant à cet effet l’inspection des installations nécessaires. La demande d’un tel rapport peut suspendre, pour une période maximale de trois mois, la procédure conformément à l’article 22, paragraphe 1, point d), de la loi 39/2015 du 1er octobre. La demande de ce rapport et sa réception sont communiquées à la personne concernée.</w:t>
      </w:r>
    </w:p>
    <w:p w14:paraId="0B7E3328" w14:textId="77777777" w:rsidR="00874815" w:rsidRDefault="00317692">
      <w:pPr>
        <w:pStyle w:val="BodyText"/>
        <w:jc w:val="both"/>
      </w:pPr>
      <w:r>
        <w:rPr>
          <w:rStyle w:val="BodyTextChar"/>
        </w:rPr>
        <w:t>Toutefois, les dispositions du paragraphe précédent, à titre exceptionnel, pour des raisons d’urgence ou lorsque la nature des activités le conseille, ledit rapport et l’inspection correspondante peuvent être effectués par l’agence espagnole des médicaments et des dispositifs médicaux elle-même. Dans ce cas, la procédure prévue à l’article 22, paragraphe 1, point e), de la loi 39/2015 du 1er octobre peut également être suspendue pour une période maximale de trois mois.</w:t>
      </w:r>
    </w:p>
    <w:p w14:paraId="037D4081" w14:textId="77777777" w:rsidR="00874815" w:rsidRDefault="00317692">
      <w:pPr>
        <w:pStyle w:val="BodyText"/>
        <w:numPr>
          <w:ilvl w:val="0"/>
          <w:numId w:val="6"/>
        </w:numPr>
        <w:tabs>
          <w:tab w:val="left" w:pos="725"/>
        </w:tabs>
        <w:jc w:val="both"/>
      </w:pPr>
      <w:r>
        <w:rPr>
          <w:rStyle w:val="BodyTextChar"/>
        </w:rPr>
        <w:t>Lorsque les activités de fabrication, d’assemblage, de stérilisation ou de stockage sont effectuées dans des installations établies en dehors du territoire espagnol, les rapports d’inspection visés aux paragraphes précédents peuvent être remplacés par des documents étayant adéquatement les activités menées.</w:t>
      </w:r>
    </w:p>
    <w:p w14:paraId="77204676" w14:textId="77777777" w:rsidR="00874815" w:rsidRDefault="00317692">
      <w:pPr>
        <w:pStyle w:val="BodyText"/>
        <w:numPr>
          <w:ilvl w:val="0"/>
          <w:numId w:val="6"/>
        </w:numPr>
        <w:tabs>
          <w:tab w:val="left" w:pos="725"/>
        </w:tabs>
        <w:jc w:val="both"/>
      </w:pPr>
      <w:r>
        <w:rPr>
          <w:noProof/>
        </w:rPr>
        <mc:AlternateContent>
          <mc:Choice Requires="wps">
            <w:drawing>
              <wp:anchor distT="0" distB="0" distL="114300" distR="114300" simplePos="0" relativeHeight="125829390" behindDoc="0" locked="0" layoutInCell="1" allowOverlap="1" wp14:anchorId="39560789" wp14:editId="346BEF02">
                <wp:simplePos x="0" y="0"/>
                <wp:positionH relativeFrom="page">
                  <wp:posOffset>7156450</wp:posOffset>
                </wp:positionH>
                <wp:positionV relativeFrom="paragraph">
                  <wp:posOffset>165100</wp:posOffset>
                </wp:positionV>
                <wp:extent cx="222250" cy="1337945"/>
                <wp:effectExtent l="0" t="0" r="0" b="0"/>
                <wp:wrapSquare wrapText="bothSides"/>
                <wp:docPr id="13" name="Shape 1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C74929F"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3F299F53" w14:textId="77777777" w:rsidR="00874815" w:rsidRDefault="00317692">
                            <w:pPr>
                              <w:pStyle w:val="Bodytext20"/>
                            </w:pPr>
                            <w:r>
                              <w:rPr>
                                <w:rStyle w:val="Bodytext2"/>
                              </w:rPr>
                              <w:t xml:space="preserve">Consultable à l’adresse </w:t>
                            </w:r>
                            <w:hyperlink r:id="rId1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9560789" id="Shape 13" o:spid="_x0000_s1032" type="#_x0000_t202" style="position:absolute;left:0;text-align:left;margin-left:563.5pt;margin-top:13pt;width:17.5pt;height:105.35pt;z-index:12582939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" filled="f" stroked="f">
                <v:textbox style="layout-flow:vertical;mso-layout-flow-alt:bottom-to-top" inset="0,0,0,0">
                  <w:txbxContent>
                    <w:p w14:paraId="1C74929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F299F53" w14:textId="77777777" w:rsidR="00874815" w:rsidRDefault="00000000">
                      <w:pPr>
                        <w:pStyle w:val="Bodytext20"/>
                      </w:pPr>
                      <w:r>
                        <w:rPr>
                          <w:rStyle w:val="Bodytext2"/>
                        </w:rPr>
                        <w:t xml:space="preserve">Consultable à l’adresse </w:t>
                      </w:r>
                      <w:hyperlink r:id="rId20" w:history="1">
                        <w:r>
                          <w:rPr>
                            <w:rStyle w:val="Bodytext2"/>
                          </w:rPr>
                          <w:t xml:space="preserve">https://www.boe.es</w:t>
                        </w:r>
                      </w:hyperlink>
                    </w:p>
                  </w:txbxContent>
                </v:textbox>
                <w10:wrap type="square" anchorx="page"/>
              </v:shape>
            </w:pict>
          </mc:Fallback>
        </mc:AlternateContent>
      </w:r>
      <w:r>
        <w:rPr>
          <w:rStyle w:val="BodyTextChar"/>
        </w:rPr>
        <w:t>L’agence espagnole des médicaments et des dispositifs médicaux refuse, suspend ou révoque les licences d’exploitation si la documentation fournie ou les rapports d’inspection y afférents ne garantissent pas que des installations, des moyens, des procédures et du personnel adéquats sont disponibles pour mener à bien les activités respectives ou lorsque les conditions dans lesquelles la licence a été accordée, ses modifications ou ses prorogations ne sont pas maintenues.</w:t>
      </w:r>
    </w:p>
    <w:p w14:paraId="2C3C2683" w14:textId="0867478F" w:rsidR="005B587D" w:rsidRDefault="00317692">
      <w:pPr>
        <w:pStyle w:val="BodyText"/>
        <w:numPr>
          <w:ilvl w:val="0"/>
          <w:numId w:val="6"/>
        </w:numPr>
        <w:tabs>
          <w:tab w:val="left" w:pos="725"/>
        </w:tabs>
        <w:jc w:val="both"/>
        <w:rPr>
          <w:rStyle w:val="BodyTextChar"/>
        </w:rPr>
      </w:pPr>
      <w:r>
        <w:rPr>
          <w:rStyle w:val="BodyTextChar"/>
        </w:rPr>
        <w:t>L’agence espagnole des médicaments et des dispositifs médicaux et les autorités sanitaires des communautés autonomes se tiennent mutuellement informées des licences d’exploitation accordées conformément aux dispositions du présent chapitre, ainsi que de leurs modifications, suspensions ou révocations, par l’intermédiaire de l’application informatique autorisée à cet effet.</w:t>
      </w:r>
    </w:p>
    <w:p w14:paraId="7D30FE7B" w14:textId="77777777" w:rsidR="005B587D" w:rsidRDefault="005B587D">
      <w:pPr>
        <w:rPr>
          <w:rStyle w:val="BodyTextChar"/>
        </w:rPr>
      </w:pPr>
      <w:r>
        <w:br w:type="page"/>
      </w:r>
    </w:p>
    <w:p w14:paraId="1A9E3CFE" w14:textId="77777777" w:rsidR="00874815" w:rsidRDefault="00317692">
      <w:pPr>
        <w:pStyle w:val="BodyText"/>
        <w:numPr>
          <w:ilvl w:val="0"/>
          <w:numId w:val="6"/>
        </w:numPr>
        <w:tabs>
          <w:tab w:val="left" w:pos="723"/>
        </w:tabs>
        <w:jc w:val="both"/>
      </w:pPr>
      <w:r>
        <w:rPr>
          <w:rStyle w:val="BodyTextChar"/>
        </w:rPr>
        <w:lastRenderedPageBreak/>
        <w:t>Les licences d’exploitation ont une durée de validité ne dépassant pas cinq ans, qui est spécifiée dans le document d’autorisation et peut être revalidée à la demande de la personne concernée avant leur expiration, après vérification du respect des exigences.</w:t>
      </w:r>
    </w:p>
    <w:p w14:paraId="4396A81A" w14:textId="77777777" w:rsidR="00874815" w:rsidRDefault="00317692">
      <w:pPr>
        <w:pStyle w:val="BodyText"/>
        <w:jc w:val="both"/>
      </w:pPr>
      <w:r>
        <w:rPr>
          <w:rStyle w:val="BodyTextChar"/>
        </w:rPr>
        <w:t>Toute modification des conditions dans lesquelles la licence d’exploitation a été accordée doit être préalablement autorisée par l’agence espagnole des médicaments et des dispositifs médicaux.</w:t>
      </w:r>
    </w:p>
    <w:p w14:paraId="05BBC065" w14:textId="77777777" w:rsidR="00874815" w:rsidRDefault="00317692">
      <w:pPr>
        <w:pStyle w:val="BodyText"/>
        <w:numPr>
          <w:ilvl w:val="0"/>
          <w:numId w:val="6"/>
        </w:numPr>
        <w:tabs>
          <w:tab w:val="left" w:pos="723"/>
        </w:tabs>
        <w:jc w:val="both"/>
      </w:pPr>
      <w:r>
        <w:rPr>
          <w:rStyle w:val="BodyTextChar"/>
        </w:rPr>
        <w:t>Le dialogue des activités des entités autorisées ne les dégage pas de la responsabilité ultime des défaillances des sous-traitants.</w:t>
      </w:r>
    </w:p>
    <w:p w14:paraId="0ED09918" w14:textId="77777777" w:rsidR="00874815" w:rsidRDefault="00317692">
      <w:pPr>
        <w:pStyle w:val="BodyText"/>
        <w:numPr>
          <w:ilvl w:val="0"/>
          <w:numId w:val="6"/>
        </w:numPr>
        <w:tabs>
          <w:tab w:val="left" w:pos="736"/>
        </w:tabs>
        <w:jc w:val="both"/>
      </w:pPr>
      <w:r>
        <w:rPr>
          <w:rStyle w:val="BodyTextChar"/>
        </w:rPr>
        <w:t>Les dispositions des paragraphes précédents ne s’appliquent pas aux dispositifs expérimentaux.</w:t>
      </w:r>
    </w:p>
    <w:p w14:paraId="738DDC3F" w14:textId="77777777" w:rsidR="00874815" w:rsidRDefault="00317692">
      <w:pPr>
        <w:pStyle w:val="BodyText"/>
        <w:numPr>
          <w:ilvl w:val="0"/>
          <w:numId w:val="6"/>
        </w:numPr>
        <w:tabs>
          <w:tab w:val="left" w:pos="723"/>
        </w:tabs>
        <w:spacing w:after="180"/>
        <w:jc w:val="both"/>
      </w:pPr>
      <w:r>
        <w:rPr>
          <w:rStyle w:val="BodyTextChar"/>
        </w:rPr>
        <w:t>Les activités de fabrication de dispositifs sur mesure sont réglementées conformément à l’article 10.</w:t>
      </w:r>
    </w:p>
    <w:p w14:paraId="24475560" w14:textId="77777777" w:rsidR="00874815" w:rsidRDefault="00317692">
      <w:pPr>
        <w:pStyle w:val="BodyText"/>
        <w:spacing w:after="120"/>
        <w:ind w:firstLine="0"/>
        <w:jc w:val="both"/>
      </w:pPr>
      <w:r>
        <w:rPr>
          <w:rStyle w:val="BodyTextChar"/>
        </w:rPr>
        <w:t xml:space="preserve">Article 8. </w:t>
      </w:r>
      <w:r>
        <w:rPr>
          <w:rStyle w:val="BodyTextChar"/>
          <w:i/>
        </w:rPr>
        <w:t>Exigences relatives à l’octroi de la licence d’exploitation antérieure.</w:t>
      </w:r>
    </w:p>
    <w:p w14:paraId="5FA2FA59" w14:textId="77777777" w:rsidR="00874815" w:rsidRDefault="00317692">
      <w:pPr>
        <w:pStyle w:val="BodyText"/>
        <w:spacing w:after="120"/>
        <w:jc w:val="both"/>
      </w:pPr>
      <w:r>
        <w:rPr>
          <w:rStyle w:val="BodyTextChar"/>
        </w:rPr>
        <w:t xml:space="preserve">La demande de licence d’exploitation préalable est accompagnée d’une pièce justificative des exigences </w:t>
      </w:r>
      <w:proofErr w:type="gramStart"/>
      <w:r>
        <w:rPr>
          <w:rStyle w:val="BodyTextChar"/>
        </w:rPr>
        <w:t>suivantes:</w:t>
      </w:r>
      <w:proofErr w:type="gramEnd"/>
    </w:p>
    <w:p w14:paraId="0A6B0433" w14:textId="77777777" w:rsidR="00874815" w:rsidRDefault="00317692">
      <w:pPr>
        <w:pStyle w:val="BodyText"/>
        <w:numPr>
          <w:ilvl w:val="0"/>
          <w:numId w:val="7"/>
        </w:numPr>
        <w:tabs>
          <w:tab w:val="left" w:pos="723"/>
        </w:tabs>
        <w:jc w:val="both"/>
      </w:pPr>
      <w:r>
        <w:rPr>
          <w:rStyle w:val="BodyTextChar"/>
        </w:rPr>
        <w:t>La disponibilité d’un système de gestion de la qualité capable d’assurer la qualité des dispositifs et la mise en œuvre des procédures et des contrôles requis.</w:t>
      </w:r>
    </w:p>
    <w:p w14:paraId="468CC02A" w14:textId="77777777" w:rsidR="00874815" w:rsidRDefault="00317692">
      <w:pPr>
        <w:pStyle w:val="BodyText"/>
        <w:numPr>
          <w:ilvl w:val="0"/>
          <w:numId w:val="7"/>
        </w:numPr>
        <w:tabs>
          <w:tab w:val="left" w:pos="723"/>
        </w:tabs>
        <w:jc w:val="both"/>
      </w:pPr>
      <w:r>
        <w:rPr>
          <w:rStyle w:val="BodyTextChar"/>
        </w:rPr>
        <w:t>La disponibilité d’installations, de procédures, d’équipements et de personnel appropriés en fonction des activités et des dispositifs concernés.</w:t>
      </w:r>
    </w:p>
    <w:p w14:paraId="20B4E879" w14:textId="77777777" w:rsidR="00874815" w:rsidRDefault="00317692">
      <w:pPr>
        <w:pStyle w:val="BodyText"/>
        <w:numPr>
          <w:ilvl w:val="0"/>
          <w:numId w:val="7"/>
        </w:numPr>
        <w:tabs>
          <w:tab w:val="left" w:pos="723"/>
        </w:tabs>
        <w:jc w:val="both"/>
      </w:pPr>
      <w:r>
        <w:rPr>
          <w:rStyle w:val="BodyTextChar"/>
        </w:rPr>
        <w:t>La disponibilité d’un agent technique, titulaire d’un diplôme universitaire ou d’un cours d’enseignement supérieur, qui atteste d’une qualification appropriée selon les dispositifs dont il est responsable, qui exercera une supervision directe de ces activités.</w:t>
      </w:r>
    </w:p>
    <w:p w14:paraId="57471BEF" w14:textId="77777777" w:rsidR="00874815" w:rsidRDefault="00317692">
      <w:pPr>
        <w:pStyle w:val="BodyText"/>
        <w:jc w:val="both"/>
      </w:pPr>
      <w:r>
        <w:rPr>
          <w:rStyle w:val="BodyTextChar"/>
        </w:rPr>
        <w:t>Si la certification visée au paragraphe précédent ne démontre pas pleinement la qualification, elle peut être complétée sur la base de la formation et/ou de l’expérience.</w:t>
      </w:r>
    </w:p>
    <w:p w14:paraId="5E077F95" w14:textId="77777777" w:rsidR="00874815" w:rsidRDefault="00317692">
      <w:pPr>
        <w:pStyle w:val="BodyText"/>
        <w:jc w:val="both"/>
      </w:pPr>
      <w:r>
        <w:rPr>
          <w:rStyle w:val="BodyTextChar"/>
        </w:rPr>
        <w:t>La disponibilité doit être démontrée par contrat avec le technicien responsable dans lequel le temps passé sera précisé, ce qui doit être suffisant en fonction du type et du volume de l’activité effectuée.</w:t>
      </w:r>
    </w:p>
    <w:p w14:paraId="60B65636" w14:textId="77777777" w:rsidR="00874815" w:rsidRDefault="00317692">
      <w:pPr>
        <w:pStyle w:val="BodyText"/>
        <w:numPr>
          <w:ilvl w:val="0"/>
          <w:numId w:val="7"/>
        </w:numPr>
        <w:tabs>
          <w:tab w:val="left" w:pos="723"/>
        </w:tabs>
        <w:jc w:val="both"/>
      </w:pPr>
      <w:r>
        <w:rPr>
          <w:rStyle w:val="BodyTextChar"/>
        </w:rPr>
        <w:t>La disponibilité d’un système de classement des documents pour stocker la documentation générée avec chaque dispositif et maintenance d’un registre de tous les dispositifs afin d’assurer la traçabilité de ces dispositifs. Le dossier documentaire est tenu à la disposition des autorités compétentes pendant une période d’au moins dix ans après la mise sur le marché ou la mise en service de la dernière unité du dispositif. Dans le cas des dispositifs implantables, la période doit être d’au moins 15 ans.</w:t>
      </w:r>
    </w:p>
    <w:p w14:paraId="4E1642B6" w14:textId="77777777" w:rsidR="00874815" w:rsidRDefault="00317692">
      <w:pPr>
        <w:pStyle w:val="BodyText"/>
        <w:numPr>
          <w:ilvl w:val="0"/>
          <w:numId w:val="7"/>
        </w:numPr>
        <w:tabs>
          <w:tab w:val="left" w:pos="723"/>
        </w:tabs>
        <w:jc w:val="both"/>
      </w:pPr>
      <w:r>
        <w:rPr>
          <w:rStyle w:val="BodyTextChar"/>
        </w:rPr>
        <w:t>En cas d’activités combinées, les noms et adresses des sous-traitants doivent être indiqués, les activités et moyens disponibles pour les exécuter, les contrats correspondants et les procédures utilisées.</w:t>
      </w:r>
    </w:p>
    <w:p w14:paraId="470A2BF0" w14:textId="77777777" w:rsidR="00874815" w:rsidRDefault="00317692">
      <w:pPr>
        <w:pStyle w:val="BodyText"/>
        <w:spacing w:after="180"/>
        <w:jc w:val="both"/>
      </w:pPr>
      <w:r>
        <w:rPr>
          <w:rStyle w:val="BodyTextChar"/>
        </w:rPr>
        <w:t>Ces activités combinées ne peuvent être exercées que par des entités qui satisfont aux exigences énoncées aux points a) et b) du présent article.</w:t>
      </w:r>
    </w:p>
    <w:p w14:paraId="6C447EA3" w14:textId="77777777" w:rsidR="00874815" w:rsidRDefault="00317692">
      <w:pPr>
        <w:pStyle w:val="BodyText"/>
        <w:spacing w:after="120"/>
        <w:ind w:left="360" w:hanging="360"/>
        <w:jc w:val="both"/>
      </w:pPr>
      <w:r>
        <w:rPr>
          <w:noProof/>
        </w:rPr>
        <mc:AlternateContent>
          <mc:Choice Requires="wps">
            <w:drawing>
              <wp:anchor distT="0" distB="0" distL="114300" distR="114300" simplePos="0" relativeHeight="125829392" behindDoc="0" locked="0" layoutInCell="1" allowOverlap="1" wp14:anchorId="2BBCEA35" wp14:editId="0971BBDD">
                <wp:simplePos x="0" y="0"/>
                <wp:positionH relativeFrom="page">
                  <wp:posOffset>7155180</wp:posOffset>
                </wp:positionH>
                <wp:positionV relativeFrom="paragraph">
                  <wp:posOffset>-38100</wp:posOffset>
                </wp:positionV>
                <wp:extent cx="222250" cy="1337945"/>
                <wp:effectExtent l="0" t="0" r="0" b="0"/>
                <wp:wrapSquare wrapText="bothSides"/>
                <wp:docPr id="15" name="Shape 1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26EA623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08C69FEA" w14:textId="77777777" w:rsidR="00874815" w:rsidRDefault="00317692">
                            <w:pPr>
                              <w:pStyle w:val="Bodytext20"/>
                            </w:pPr>
                            <w:r>
                              <w:rPr>
                                <w:rStyle w:val="Bodytext2"/>
                              </w:rPr>
                              <w:t xml:space="preserve">Consultable à l’adresse </w:t>
                            </w:r>
                            <w:hyperlink r:id="rId2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BBCEA35" id="Shape 15" o:spid="_x0000_s1033" type="#_x0000_t202" style="position:absolute;left:0;text-align:left;margin-left:563.4pt;margin-top:-3pt;width:17.5pt;height:105.35pt;z-index:1258293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" filled="f" stroked="f">
                <v:textbox style="layout-flow:vertical;mso-layout-flow-alt:bottom-to-top" inset="0,0,0,0">
                  <w:txbxContent>
                    <w:p w14:paraId="26EA623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08C69FEA" w14:textId="77777777" w:rsidR="00874815" w:rsidRDefault="00000000">
                      <w:pPr>
                        <w:pStyle w:val="Bodytext20"/>
                      </w:pPr>
                      <w:r>
                        <w:rPr>
                          <w:rStyle w:val="Bodytext2"/>
                        </w:rPr>
                        <w:t xml:space="preserve">Consultable à l’adresse </w:t>
                      </w:r>
                      <w:hyperlink r:id="rId22" w:history="1">
                        <w:r>
                          <w:rPr>
                            <w:rStyle w:val="Bodytext2"/>
                          </w:rPr>
                          <w:t xml:space="preserve">https://www.boe.es</w:t>
                        </w:r>
                      </w:hyperlink>
                    </w:p>
                  </w:txbxContent>
                </v:textbox>
                <w10:wrap type="square" anchorx="page"/>
              </v:shape>
            </w:pict>
          </mc:Fallback>
        </mc:AlternateContent>
      </w:r>
      <w:r>
        <w:rPr>
          <w:rStyle w:val="BodyTextChar"/>
        </w:rPr>
        <w:t xml:space="preserve">Article 9. </w:t>
      </w:r>
      <w:r>
        <w:rPr>
          <w:rStyle w:val="BodyTextChar"/>
          <w:i/>
        </w:rPr>
        <w:t>Fabrication de dispositifs par les hôpitaux pour leur utilisation exclusive par l’hôpital lui-même.</w:t>
      </w:r>
    </w:p>
    <w:p w14:paraId="1ABB1500" w14:textId="77777777" w:rsidR="00874815" w:rsidRDefault="00317692">
      <w:pPr>
        <w:pStyle w:val="BodyText"/>
        <w:numPr>
          <w:ilvl w:val="0"/>
          <w:numId w:val="8"/>
        </w:numPr>
        <w:tabs>
          <w:tab w:val="left" w:pos="723"/>
        </w:tabs>
        <w:spacing w:after="160"/>
        <w:jc w:val="both"/>
      </w:pPr>
      <w:r>
        <w:rPr>
          <w:rStyle w:val="BodyTextChar"/>
        </w:rPr>
        <w:t>Seuls les hôpitaux peuvent exercer l’activité prévue à l’article 5, paragraphe 5, du règlement (UE) 2017/745 du Parlement européen et du Conseil du 5 avril 2017, telle que définie dans le décret royal 1277/2003 du 10 octobre fixant la base générale de l’autorisation des centres, services et établissements de santé.</w:t>
      </w:r>
      <w:r>
        <w:br w:type="page"/>
      </w:r>
    </w:p>
    <w:p w14:paraId="16215621" w14:textId="77777777" w:rsidR="00874815" w:rsidRDefault="00317692">
      <w:pPr>
        <w:pStyle w:val="BodyText"/>
        <w:numPr>
          <w:ilvl w:val="0"/>
          <w:numId w:val="8"/>
        </w:numPr>
        <w:tabs>
          <w:tab w:val="left" w:pos="712"/>
        </w:tabs>
        <w:jc w:val="both"/>
      </w:pPr>
      <w:r>
        <w:rPr>
          <w:rStyle w:val="BodyTextChar"/>
        </w:rPr>
        <w:lastRenderedPageBreak/>
        <w:t>Les hôpitaux respectent toutes les exigences énoncées à l’article 5, paragraphe 5, du règlement (UE) 2017/745 du Parlement européen et du Conseil du 5 avril 2017.</w:t>
      </w:r>
    </w:p>
    <w:p w14:paraId="17F1DB26" w14:textId="77777777" w:rsidR="00874815" w:rsidRDefault="00317692">
      <w:pPr>
        <w:pStyle w:val="BodyText"/>
        <w:numPr>
          <w:ilvl w:val="0"/>
          <w:numId w:val="8"/>
        </w:numPr>
        <w:tabs>
          <w:tab w:val="left" w:pos="712"/>
        </w:tabs>
        <w:jc w:val="both"/>
      </w:pPr>
      <w:r>
        <w:rPr>
          <w:rStyle w:val="BodyTextChar"/>
        </w:rPr>
        <w:t>La classe </w:t>
      </w:r>
      <w:proofErr w:type="spellStart"/>
      <w:r>
        <w:rPr>
          <w:rStyle w:val="BodyTextChar"/>
        </w:rPr>
        <w:t>IIb</w:t>
      </w:r>
      <w:proofErr w:type="spellEnd"/>
      <w:r>
        <w:rPr>
          <w:rStyle w:val="BodyTextChar"/>
        </w:rPr>
        <w:t>, la classe III et les dispositifs implantables ne sont pas fabriqués par des hôpitaux exerçant l’activité prévue à l’article 5, paragraphe 5, du règlement (UE) 2017/745 du Parlement européen et du Conseil du 5 avril 2017.</w:t>
      </w:r>
    </w:p>
    <w:p w14:paraId="34710C42" w14:textId="77777777" w:rsidR="00874815" w:rsidRDefault="00317692" w:rsidP="00CA0EF2">
      <w:pPr>
        <w:pStyle w:val="BodyText"/>
        <w:numPr>
          <w:ilvl w:val="0"/>
          <w:numId w:val="8"/>
        </w:numPr>
        <w:tabs>
          <w:tab w:val="left" w:pos="720"/>
        </w:tabs>
        <w:jc w:val="both"/>
      </w:pPr>
      <w:r>
        <w:rPr>
          <w:rStyle w:val="BodyTextChar"/>
        </w:rPr>
        <w:t>Les hôpitaux ne peuvent sous-traiter aucune des activités de fabrication.</w:t>
      </w:r>
    </w:p>
    <w:p w14:paraId="6FF01671" w14:textId="77777777" w:rsidR="00874815" w:rsidRDefault="00317692">
      <w:pPr>
        <w:pStyle w:val="BodyText"/>
        <w:numPr>
          <w:ilvl w:val="0"/>
          <w:numId w:val="8"/>
        </w:numPr>
        <w:tabs>
          <w:tab w:val="left" w:pos="712"/>
        </w:tabs>
        <w:jc w:val="both"/>
      </w:pPr>
      <w:r>
        <w:rPr>
          <w:rStyle w:val="BodyTextChar"/>
        </w:rPr>
        <w:t>Les hôpitaux désignent une personne responsable des procédures résultant de l’application du présent article et communiquent leurs coordonnées à l’agence espagnole des médicaments et des dispositifs médicaux.</w:t>
      </w:r>
    </w:p>
    <w:p w14:paraId="6899DE6A" w14:textId="77777777" w:rsidR="00874815" w:rsidRDefault="00317692" w:rsidP="00CA0EF2">
      <w:pPr>
        <w:pStyle w:val="BodyText"/>
        <w:numPr>
          <w:ilvl w:val="0"/>
          <w:numId w:val="8"/>
        </w:numPr>
        <w:tabs>
          <w:tab w:val="left" w:pos="720"/>
        </w:tabs>
        <w:jc w:val="both"/>
      </w:pPr>
      <w:r>
        <w:rPr>
          <w:rStyle w:val="BodyTextChar"/>
        </w:rPr>
        <w:t>La vente publique de dispositifs fabriqués dans les hôpitaux n’est pas autorisée.</w:t>
      </w:r>
    </w:p>
    <w:p w14:paraId="71F681F7" w14:textId="77777777" w:rsidR="00874815" w:rsidRDefault="00317692">
      <w:pPr>
        <w:pStyle w:val="BodyText"/>
        <w:numPr>
          <w:ilvl w:val="0"/>
          <w:numId w:val="8"/>
        </w:numPr>
        <w:tabs>
          <w:tab w:val="left" w:pos="712"/>
        </w:tabs>
        <w:jc w:val="both"/>
      </w:pPr>
      <w:r>
        <w:rPr>
          <w:rStyle w:val="BodyTextChar"/>
        </w:rPr>
        <w:t>Les hôpitaux ne peuvent pas vendre ou livrer le dispositif fabriqué dans leur hôpital à des fins d’utilisation par des tiers.</w:t>
      </w:r>
    </w:p>
    <w:p w14:paraId="18E4CB6E" w14:textId="77777777" w:rsidR="00874815" w:rsidRDefault="00317692">
      <w:pPr>
        <w:pStyle w:val="BodyText"/>
        <w:numPr>
          <w:ilvl w:val="0"/>
          <w:numId w:val="8"/>
        </w:numPr>
        <w:tabs>
          <w:tab w:val="left" w:pos="712"/>
        </w:tabs>
        <w:spacing w:after="120"/>
        <w:jc w:val="both"/>
      </w:pPr>
      <w:r>
        <w:rPr>
          <w:rStyle w:val="BodyTextChar"/>
        </w:rPr>
        <w:t xml:space="preserve">Les hôpitaux, pour mener à bien cette activité de fabrication, doivent notifier au préalable le début de l’activité à l’agence espagnole des médicaments et des dispositifs médicaux, qui fournira les moyens nécessaires pour se conformer à cette obligation. Cette communication </w:t>
      </w:r>
      <w:proofErr w:type="gramStart"/>
      <w:r>
        <w:rPr>
          <w:rStyle w:val="BodyTextChar"/>
        </w:rPr>
        <w:t>contient:</w:t>
      </w:r>
      <w:proofErr w:type="gramEnd"/>
    </w:p>
    <w:p w14:paraId="1C5D079D" w14:textId="77777777" w:rsidR="00874815" w:rsidRDefault="00317692">
      <w:pPr>
        <w:pStyle w:val="BodyText"/>
        <w:numPr>
          <w:ilvl w:val="0"/>
          <w:numId w:val="9"/>
        </w:numPr>
        <w:tabs>
          <w:tab w:val="left" w:pos="744"/>
        </w:tabs>
        <w:jc w:val="both"/>
      </w:pPr>
      <w:r>
        <w:rPr>
          <w:rStyle w:val="BodyTextChar"/>
        </w:rPr>
        <w:t>La personne responsable de l’activité de fabrication à l’hôpital.</w:t>
      </w:r>
    </w:p>
    <w:p w14:paraId="37F9E4E8" w14:textId="77777777" w:rsidR="00874815" w:rsidRDefault="00317692">
      <w:pPr>
        <w:pStyle w:val="BodyText"/>
        <w:numPr>
          <w:ilvl w:val="0"/>
          <w:numId w:val="9"/>
        </w:numPr>
        <w:tabs>
          <w:tab w:val="left" w:pos="712"/>
        </w:tabs>
        <w:jc w:val="both"/>
      </w:pPr>
      <w:r>
        <w:rPr>
          <w:rStyle w:val="BodyTextChar"/>
        </w:rPr>
        <w:t>La déclaration prévue à l’article 5, paragraphe 5, point e), du règlement (UE) 2017/745 du Parlement européen et du Conseil du 5 avril 2017.</w:t>
      </w:r>
    </w:p>
    <w:p w14:paraId="08CF6E14" w14:textId="77777777" w:rsidR="00874815" w:rsidRDefault="00317692">
      <w:pPr>
        <w:pStyle w:val="BodyText"/>
        <w:numPr>
          <w:ilvl w:val="0"/>
          <w:numId w:val="9"/>
        </w:numPr>
        <w:tabs>
          <w:tab w:val="left" w:pos="712"/>
        </w:tabs>
        <w:spacing w:after="120"/>
        <w:jc w:val="both"/>
      </w:pPr>
      <w:r>
        <w:rPr>
          <w:rStyle w:val="BodyTextChar"/>
        </w:rPr>
        <w:t>La documentation prévue à l’article 5, paragraphe 5, points c), d) et f), du règlement (UE) 2017/745 du Parlement européen et du Conseil du 5 avril 2017.</w:t>
      </w:r>
    </w:p>
    <w:p w14:paraId="18BEA7EB" w14:textId="77777777" w:rsidR="00874815" w:rsidRDefault="00317692">
      <w:pPr>
        <w:pStyle w:val="BodyText"/>
        <w:jc w:val="both"/>
      </w:pPr>
      <w:r>
        <w:rPr>
          <w:rStyle w:val="BodyTextChar"/>
        </w:rPr>
        <w:t>Cette communication permettra le début des activités, sans préjudice de la vérification ultérieure par l’agence espagnole des médicaments et des dispositifs médicaux, au moyen d’une vérification documentaire et, le cas échéant, d’une inspection des éléments et des circonstances révélés par la partie intéressée dans la communication.</w:t>
      </w:r>
    </w:p>
    <w:p w14:paraId="653CB41E" w14:textId="77777777" w:rsidR="00874815" w:rsidRDefault="00317692">
      <w:pPr>
        <w:pStyle w:val="BodyText"/>
        <w:numPr>
          <w:ilvl w:val="0"/>
          <w:numId w:val="8"/>
        </w:numPr>
        <w:tabs>
          <w:tab w:val="left" w:pos="712"/>
        </w:tabs>
        <w:jc w:val="both"/>
      </w:pPr>
      <w:r>
        <w:rPr>
          <w:rStyle w:val="BodyTextChar"/>
        </w:rPr>
        <w:t>L’agence espagnole des médicaments et des dispositifs médicaux peut demander aux domaines fonctionnels de la santé et de la politique sociale des délégations gouvernementales où se trouve l’hôpital un rapport sur les conditions dans lesquelles les personnes physiques et morales exercent l’activité visée à l’article 5, paragraphe 5, du règlement (UE) 2017/745 du Parlement européen et du Conseil du 5 avril 2017, ordonnant à cet effet les inspections nécessaires des installations.</w:t>
      </w:r>
    </w:p>
    <w:p w14:paraId="64D6C341" w14:textId="77777777" w:rsidR="00874815" w:rsidRDefault="00317692">
      <w:pPr>
        <w:pStyle w:val="BodyText"/>
        <w:numPr>
          <w:ilvl w:val="0"/>
          <w:numId w:val="8"/>
        </w:numPr>
        <w:tabs>
          <w:tab w:val="left" w:pos="730"/>
        </w:tabs>
        <w:jc w:val="both"/>
      </w:pPr>
      <w:r>
        <w:rPr>
          <w:rStyle w:val="BodyTextChar"/>
        </w:rPr>
        <w:t>Toute modification des données visées au paragraphe 8 est communiquée à l’agence espagnole des médicaments et des dispositifs médicaux, ainsi que la cessation de l’activité.</w:t>
      </w:r>
    </w:p>
    <w:p w14:paraId="1E0D8515" w14:textId="77777777" w:rsidR="00874815" w:rsidRDefault="00317692">
      <w:pPr>
        <w:pStyle w:val="BodyText"/>
        <w:numPr>
          <w:ilvl w:val="0"/>
          <w:numId w:val="8"/>
        </w:numPr>
        <w:tabs>
          <w:tab w:val="left" w:pos="716"/>
        </w:tabs>
        <w:jc w:val="both"/>
      </w:pPr>
      <w:r>
        <w:rPr>
          <w:rStyle w:val="BodyTextChar"/>
        </w:rPr>
        <w:t>L’agence espagnole des médicaments et des dispositifs médicaux tient les autorités sanitaires des communautés autonomes informées des activités déclarées conformément au présent article, au moyen de l’application informatique.</w:t>
      </w:r>
    </w:p>
    <w:p w14:paraId="07B742C3" w14:textId="77777777" w:rsidR="00874815" w:rsidRDefault="00317692">
      <w:pPr>
        <w:pStyle w:val="BodyText"/>
        <w:numPr>
          <w:ilvl w:val="0"/>
          <w:numId w:val="8"/>
        </w:numPr>
        <w:tabs>
          <w:tab w:val="left" w:pos="735"/>
        </w:tabs>
        <w:spacing w:after="180"/>
        <w:jc w:val="both"/>
      </w:pPr>
      <w:r>
        <w:rPr>
          <w:noProof/>
        </w:rPr>
        <mc:AlternateContent>
          <mc:Choice Requires="wps">
            <w:drawing>
              <wp:anchor distT="0" distB="0" distL="114300" distR="114300" simplePos="0" relativeHeight="125829394" behindDoc="0" locked="0" layoutInCell="1" allowOverlap="1" wp14:anchorId="6B40C122" wp14:editId="2E3E29DE">
                <wp:simplePos x="0" y="0"/>
                <wp:positionH relativeFrom="page">
                  <wp:posOffset>7155180</wp:posOffset>
                </wp:positionH>
                <wp:positionV relativeFrom="paragraph">
                  <wp:posOffset>711200</wp:posOffset>
                </wp:positionV>
                <wp:extent cx="222250" cy="1337945"/>
                <wp:effectExtent l="0" t="0" r="0" b="0"/>
                <wp:wrapSquare wrapText="bothSides"/>
                <wp:docPr id="17" name="Shape 1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D0F58E3"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0D1E43E" w14:textId="77777777" w:rsidR="00874815" w:rsidRDefault="00317692">
                            <w:pPr>
                              <w:pStyle w:val="Bodytext20"/>
                            </w:pPr>
                            <w:r>
                              <w:rPr>
                                <w:rStyle w:val="Bodytext2"/>
                              </w:rPr>
                              <w:t xml:space="preserve">Consultable à l’adresse </w:t>
                            </w:r>
                            <w:hyperlink r:id="rId2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B40C122" id="Shape 17" o:spid="_x0000_s1034" type="#_x0000_t202" style="position:absolute;left:0;text-align:left;margin-left:563.4pt;margin-top:56pt;width:17.5pt;height:105.35pt;z-index:12582939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" filled="f" stroked="f">
                <v:textbox style="layout-flow:vertical;mso-layout-flow-alt:bottom-to-top" inset="0,0,0,0">
                  <w:txbxContent>
                    <w:p w14:paraId="3D0F58E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0D1E43E" w14:textId="77777777" w:rsidR="00874815" w:rsidRDefault="00000000">
                      <w:pPr>
                        <w:pStyle w:val="Bodytext20"/>
                      </w:pPr>
                      <w:r>
                        <w:rPr>
                          <w:rStyle w:val="Bodytext2"/>
                        </w:rPr>
                        <w:t xml:space="preserve">Consultable à l’adresse </w:t>
                      </w:r>
                      <w:hyperlink r:id="rId24" w:history="1">
                        <w:r>
                          <w:rPr>
                            <w:rStyle w:val="Bodytext2"/>
                          </w:rPr>
                          <w:t xml:space="preserve">https://www.boe.es</w:t>
                        </w:r>
                      </w:hyperlink>
                    </w:p>
                  </w:txbxContent>
                </v:textbox>
                <w10:wrap type="square" anchorx="page"/>
              </v:shape>
            </w:pict>
          </mc:Fallback>
        </mc:AlternateContent>
      </w:r>
      <w:r>
        <w:rPr>
          <w:rStyle w:val="BodyTextChar"/>
        </w:rPr>
        <w:t>Toutefois, l’agence espagnole des médicaments et des dispositifs médicaux, exceptionnellement en cas d’urgence sanitaire, peut autoriser la fabrication de tout dispositif dans les centres de santé ou les instituts de santé publique dans des conditions autres que celles prévues au présent article, lorsque leur utilisation est dans l’intérêt de la santé publique ou de la sécurité ou de la santé des patients.</w:t>
      </w:r>
    </w:p>
    <w:p w14:paraId="1C88D4EF" w14:textId="77777777" w:rsidR="00874815" w:rsidRDefault="00317692">
      <w:pPr>
        <w:pStyle w:val="BodyText"/>
        <w:spacing w:after="120"/>
        <w:ind w:firstLine="0"/>
        <w:jc w:val="both"/>
      </w:pPr>
      <w:r>
        <w:rPr>
          <w:rStyle w:val="BodyTextChar"/>
        </w:rPr>
        <w:t xml:space="preserve">Article 10. </w:t>
      </w:r>
      <w:r>
        <w:rPr>
          <w:rStyle w:val="BodyTextChar"/>
          <w:i/>
        </w:rPr>
        <w:t>Fabrication de dispositifs sur mesure.</w:t>
      </w:r>
    </w:p>
    <w:p w14:paraId="485DA11A" w14:textId="3BEE2E92" w:rsidR="005B587D" w:rsidRDefault="00317692">
      <w:pPr>
        <w:pStyle w:val="BodyText"/>
        <w:numPr>
          <w:ilvl w:val="0"/>
          <w:numId w:val="10"/>
        </w:numPr>
        <w:tabs>
          <w:tab w:val="left" w:pos="712"/>
        </w:tabs>
        <w:jc w:val="both"/>
        <w:rPr>
          <w:rStyle w:val="BodyTextChar"/>
        </w:rPr>
      </w:pPr>
      <w:r>
        <w:rPr>
          <w:rStyle w:val="BodyTextChar"/>
        </w:rPr>
        <w:t>Les personnes physiques et morales engagées dans la fabrication de dispositifs sur mesure, définis au premier paragraphe de l'article 2.3 du règlement (UE) 2017/745 du Parlement européen et du Conseil du 5 avril 2017, et les installations dans lesquelles cette activité est exercée nécessitent une licence d’exploitation préalable délivrée par les autorités sanitaires de la communauté autonome concernée, conformément au décret royal 437/2002 du 10 mai établissant les critères d’octroi des licences d’exploitation aux fabricants de dispositifs sur mesure.</w:t>
      </w:r>
    </w:p>
    <w:p w14:paraId="3B7D6B7C" w14:textId="77777777" w:rsidR="005B587D" w:rsidRDefault="005B587D">
      <w:pPr>
        <w:rPr>
          <w:rStyle w:val="BodyTextChar"/>
        </w:rPr>
      </w:pPr>
      <w:r>
        <w:br w:type="page"/>
      </w:r>
    </w:p>
    <w:p w14:paraId="4AFA38D6" w14:textId="77777777" w:rsidR="00874815" w:rsidRDefault="00317692">
      <w:pPr>
        <w:pStyle w:val="BodyText"/>
        <w:numPr>
          <w:ilvl w:val="0"/>
          <w:numId w:val="10"/>
        </w:numPr>
        <w:tabs>
          <w:tab w:val="left" w:pos="712"/>
        </w:tabs>
        <w:jc w:val="both"/>
      </w:pPr>
      <w:r>
        <w:rPr>
          <w:rStyle w:val="BodyTextChar"/>
        </w:rPr>
        <w:lastRenderedPageBreak/>
        <w:t>L’exécution des tâches du technicien chargé de superviser les activités de fabrication de dispositifs sur mesure dans les secteurs de l’orthopédie et des prothèses dentaires est conforme aux dispositions deuxième disposition finale du présent décret royal.</w:t>
      </w:r>
    </w:p>
    <w:p w14:paraId="7C635423" w14:textId="77777777" w:rsidR="00874815" w:rsidRDefault="00317692">
      <w:pPr>
        <w:pStyle w:val="BodyText"/>
        <w:numPr>
          <w:ilvl w:val="0"/>
          <w:numId w:val="10"/>
        </w:numPr>
        <w:tabs>
          <w:tab w:val="left" w:pos="712"/>
        </w:tabs>
        <w:spacing w:after="240"/>
        <w:jc w:val="both"/>
      </w:pPr>
      <w:r>
        <w:rPr>
          <w:rStyle w:val="BodyTextChar"/>
        </w:rPr>
        <w:t>Les fabricants établis en Espagne qui mettent sur le marché des dispositifs sur mesure doivent inscrire dans le registre des personnes chargées de la mise sur le marché des dispositifs sur mesure par l’intermédiaire du siège électronique de l’agence espagnole des médicaments et des dispositifs médicaux, conformément aux dispositions de l’article 21.</w:t>
      </w:r>
    </w:p>
    <w:p w14:paraId="099FC039" w14:textId="77777777" w:rsidR="00874815" w:rsidRDefault="00317692">
      <w:pPr>
        <w:pStyle w:val="Heading20"/>
        <w:keepNext/>
        <w:keepLines/>
      </w:pPr>
      <w:bookmarkStart w:id="4" w:name="bookmark10"/>
      <w:r>
        <w:rPr>
          <w:rStyle w:val="Heading2"/>
        </w:rPr>
        <w:t>CHAPITRE III</w:t>
      </w:r>
      <w:bookmarkEnd w:id="4"/>
    </w:p>
    <w:p w14:paraId="509E07C6" w14:textId="77777777" w:rsidR="00874815" w:rsidRDefault="00317692">
      <w:pPr>
        <w:pStyle w:val="BodyText"/>
        <w:spacing w:after="180"/>
        <w:ind w:firstLine="0"/>
        <w:jc w:val="center"/>
      </w:pPr>
      <w:r>
        <w:rPr>
          <w:rStyle w:val="BodyTextChar"/>
          <w:b/>
        </w:rPr>
        <w:t>Retraitement et réutilisation des dispositifs à usage unique</w:t>
      </w:r>
    </w:p>
    <w:p w14:paraId="599D1231" w14:textId="77777777" w:rsidR="00874815" w:rsidRDefault="00317692">
      <w:pPr>
        <w:pStyle w:val="BodyText"/>
        <w:spacing w:after="120"/>
        <w:ind w:firstLine="0"/>
        <w:jc w:val="both"/>
      </w:pPr>
      <w:r>
        <w:rPr>
          <w:rStyle w:val="BodyTextChar"/>
        </w:rPr>
        <w:t xml:space="preserve">Article 11. </w:t>
      </w:r>
      <w:r>
        <w:rPr>
          <w:rStyle w:val="BodyTextChar"/>
          <w:i/>
        </w:rPr>
        <w:t>Traitement de dispositif à usage unique.</w:t>
      </w:r>
    </w:p>
    <w:p w14:paraId="79CFC4C7" w14:textId="77777777" w:rsidR="00874815" w:rsidRDefault="00317692">
      <w:pPr>
        <w:pStyle w:val="BodyText"/>
        <w:numPr>
          <w:ilvl w:val="0"/>
          <w:numId w:val="11"/>
        </w:numPr>
        <w:tabs>
          <w:tab w:val="left" w:pos="712"/>
        </w:tabs>
        <w:jc w:val="both"/>
      </w:pPr>
      <w:r>
        <w:rPr>
          <w:rStyle w:val="BodyTextChar"/>
        </w:rPr>
        <w:t>Le retraitement et la réutilisation des dispositifs à usage unique visés à l’article 17 du règlement (UE) 2017/745 du Parlement européen et du Conseil du 5 avril 2017 peuvent être effectués pour autant que les exigences du présent décret royal soient respectées.</w:t>
      </w:r>
    </w:p>
    <w:p w14:paraId="32BD0479" w14:textId="77777777" w:rsidR="00874815" w:rsidRDefault="00317692">
      <w:pPr>
        <w:pStyle w:val="BodyText"/>
        <w:numPr>
          <w:ilvl w:val="0"/>
          <w:numId w:val="11"/>
        </w:numPr>
        <w:tabs>
          <w:tab w:val="left" w:pos="712"/>
        </w:tabs>
        <w:spacing w:after="120"/>
        <w:jc w:val="both"/>
      </w:pPr>
      <w:r>
        <w:rPr>
          <w:rStyle w:val="BodyTextChar"/>
        </w:rPr>
        <w:t xml:space="preserve">Les dispositifs à usage unique suivants ne peuvent pas être retraités ou utilisés lorsqu’ils sont </w:t>
      </w:r>
      <w:proofErr w:type="gramStart"/>
      <w:r>
        <w:rPr>
          <w:rStyle w:val="BodyTextChar"/>
        </w:rPr>
        <w:t>retraités:</w:t>
      </w:r>
      <w:proofErr w:type="gramEnd"/>
    </w:p>
    <w:p w14:paraId="18616B4E" w14:textId="77777777" w:rsidR="00874815" w:rsidRDefault="00317692">
      <w:pPr>
        <w:pStyle w:val="BodyText"/>
        <w:numPr>
          <w:ilvl w:val="0"/>
          <w:numId w:val="12"/>
        </w:numPr>
        <w:tabs>
          <w:tab w:val="left" w:pos="744"/>
        </w:tabs>
        <w:jc w:val="both"/>
      </w:pPr>
      <w:r>
        <w:rPr>
          <w:rStyle w:val="BodyTextChar"/>
        </w:rPr>
        <w:t>Classe I.</w:t>
      </w:r>
    </w:p>
    <w:p w14:paraId="6C5E3E8A" w14:textId="77777777" w:rsidR="00874815" w:rsidRDefault="00317692">
      <w:pPr>
        <w:pStyle w:val="BodyText"/>
        <w:numPr>
          <w:ilvl w:val="0"/>
          <w:numId w:val="12"/>
        </w:numPr>
        <w:tabs>
          <w:tab w:val="left" w:pos="744"/>
        </w:tabs>
        <w:jc w:val="both"/>
      </w:pPr>
      <w:r>
        <w:rPr>
          <w:rStyle w:val="BodyTextChar"/>
        </w:rPr>
        <w:t>Fait sur mesure.</w:t>
      </w:r>
    </w:p>
    <w:p w14:paraId="76921E9A" w14:textId="77777777" w:rsidR="00874815" w:rsidRDefault="00317692">
      <w:pPr>
        <w:pStyle w:val="BodyText"/>
        <w:numPr>
          <w:ilvl w:val="0"/>
          <w:numId w:val="12"/>
        </w:numPr>
        <w:tabs>
          <w:tab w:val="left" w:pos="712"/>
        </w:tabs>
        <w:jc w:val="both"/>
      </w:pPr>
      <w:r>
        <w:rPr>
          <w:rStyle w:val="BodyTextChar"/>
        </w:rPr>
        <w:t>Ceux fabriqués et utilisés exclusivement dans les hôpitaux conformément à l’article 5, paragraphe 5, du règlement (UE) 2017/745 du Parlement européen et du Conseil du 5 avril 2017.</w:t>
      </w:r>
    </w:p>
    <w:p w14:paraId="5EACFE7E" w14:textId="77777777" w:rsidR="00874815" w:rsidRDefault="00317692">
      <w:pPr>
        <w:pStyle w:val="BodyText"/>
        <w:numPr>
          <w:ilvl w:val="0"/>
          <w:numId w:val="12"/>
        </w:numPr>
        <w:tabs>
          <w:tab w:val="left" w:pos="744"/>
        </w:tabs>
        <w:jc w:val="both"/>
      </w:pPr>
      <w:r>
        <w:rPr>
          <w:rStyle w:val="BodyTextChar"/>
        </w:rPr>
        <w:t>Émettant des radiations.</w:t>
      </w:r>
    </w:p>
    <w:p w14:paraId="2DAC0E0D" w14:textId="77777777" w:rsidR="00874815" w:rsidRDefault="00317692">
      <w:pPr>
        <w:pStyle w:val="BodyText"/>
        <w:numPr>
          <w:ilvl w:val="0"/>
          <w:numId w:val="12"/>
        </w:numPr>
        <w:tabs>
          <w:tab w:val="left" w:pos="744"/>
        </w:tabs>
        <w:jc w:val="both"/>
      </w:pPr>
      <w:r>
        <w:rPr>
          <w:rStyle w:val="BodyTextChar"/>
        </w:rPr>
        <w:t>Ceux utilisés pour l’administration de médicaments cytostatiques ou radiopharmaceutiques.</w:t>
      </w:r>
    </w:p>
    <w:p w14:paraId="3CA3E03D" w14:textId="77777777" w:rsidR="00874815" w:rsidRDefault="00317692">
      <w:pPr>
        <w:pStyle w:val="BodyText"/>
        <w:numPr>
          <w:ilvl w:val="0"/>
          <w:numId w:val="12"/>
        </w:numPr>
        <w:tabs>
          <w:tab w:val="left" w:pos="744"/>
        </w:tabs>
        <w:jc w:val="both"/>
      </w:pPr>
      <w:r>
        <w:rPr>
          <w:rStyle w:val="BodyTextChar"/>
        </w:rPr>
        <w:t>Ceux qui incorporent des substances médicinales.</w:t>
      </w:r>
    </w:p>
    <w:p w14:paraId="75DE63FE" w14:textId="77777777" w:rsidR="00874815" w:rsidRDefault="00317692">
      <w:pPr>
        <w:pStyle w:val="BodyText"/>
        <w:numPr>
          <w:ilvl w:val="0"/>
          <w:numId w:val="12"/>
        </w:numPr>
        <w:tabs>
          <w:tab w:val="left" w:pos="744"/>
        </w:tabs>
        <w:jc w:val="both"/>
      </w:pPr>
      <w:r>
        <w:rPr>
          <w:rStyle w:val="BodyTextChar"/>
        </w:rPr>
        <w:t>Ceux utilisés dans les procédures invasives dans le système nerveux central.</w:t>
      </w:r>
    </w:p>
    <w:p w14:paraId="6FAEED53" w14:textId="77777777" w:rsidR="00874815" w:rsidRDefault="00317692">
      <w:pPr>
        <w:pStyle w:val="BodyText"/>
        <w:numPr>
          <w:ilvl w:val="0"/>
          <w:numId w:val="12"/>
        </w:numPr>
        <w:tabs>
          <w:tab w:val="left" w:pos="744"/>
        </w:tabs>
        <w:jc w:val="both"/>
      </w:pPr>
      <w:r>
        <w:rPr>
          <w:rStyle w:val="BodyTextChar"/>
        </w:rPr>
        <w:t>Ceux qui constituent un risque de transmission d’encéphalopathies spongiformes.</w:t>
      </w:r>
    </w:p>
    <w:p w14:paraId="24D37247" w14:textId="77777777" w:rsidR="00874815" w:rsidRDefault="00317692">
      <w:pPr>
        <w:pStyle w:val="BodyText"/>
        <w:numPr>
          <w:ilvl w:val="0"/>
          <w:numId w:val="12"/>
        </w:numPr>
        <w:tabs>
          <w:tab w:val="left" w:pos="744"/>
        </w:tabs>
        <w:jc w:val="both"/>
      </w:pPr>
      <w:r>
        <w:rPr>
          <w:rStyle w:val="BodyTextChar"/>
        </w:rPr>
        <w:t>Implantables.</w:t>
      </w:r>
    </w:p>
    <w:p w14:paraId="5ED3E1A3" w14:textId="77777777" w:rsidR="00874815" w:rsidRDefault="00317692">
      <w:pPr>
        <w:pStyle w:val="BodyText"/>
        <w:numPr>
          <w:ilvl w:val="0"/>
          <w:numId w:val="12"/>
        </w:numPr>
        <w:tabs>
          <w:tab w:val="left" w:pos="712"/>
        </w:tabs>
        <w:jc w:val="both"/>
      </w:pPr>
      <w:r>
        <w:rPr>
          <w:rStyle w:val="BodyTextChar"/>
        </w:rPr>
        <w:t>Liés à des incidents graves à la suite d’un retraitement, dont la cause est liée au retraitement, ou pour lesquels il ne peut être exclu que la cause soit liée au retraitement.</w:t>
      </w:r>
    </w:p>
    <w:p w14:paraId="01840DE0" w14:textId="77777777" w:rsidR="00874815" w:rsidRDefault="00317692">
      <w:pPr>
        <w:pStyle w:val="BodyText"/>
        <w:numPr>
          <w:ilvl w:val="0"/>
          <w:numId w:val="12"/>
        </w:numPr>
        <w:tabs>
          <w:tab w:val="left" w:pos="712"/>
        </w:tabs>
        <w:jc w:val="both"/>
      </w:pPr>
      <w:r>
        <w:rPr>
          <w:rStyle w:val="BodyTextChar"/>
        </w:rPr>
        <w:t>Ceux qui ont des piles qui ne peuvent pas être changées ou présentent un risque de dysfonctionnement après le retraitement.</w:t>
      </w:r>
    </w:p>
    <w:p w14:paraId="4214EDD1" w14:textId="77777777" w:rsidR="00874815" w:rsidRDefault="00317692">
      <w:pPr>
        <w:pStyle w:val="BodyText"/>
        <w:numPr>
          <w:ilvl w:val="0"/>
          <w:numId w:val="12"/>
        </w:numPr>
        <w:tabs>
          <w:tab w:val="left" w:pos="712"/>
        </w:tabs>
        <w:jc w:val="both"/>
      </w:pPr>
      <w:r>
        <w:rPr>
          <w:rStyle w:val="BodyTextChar"/>
        </w:rPr>
        <w:t>Ceux qui disposent d’un stockage interne des données nécessaires à l’utilisation de l’appareil et qui ne peuvent pas être modifiés ou constituent un risque de dysfonctionnement après le retraitement.</w:t>
      </w:r>
    </w:p>
    <w:p w14:paraId="37F4418B" w14:textId="77777777" w:rsidR="00874815" w:rsidRDefault="00317692">
      <w:pPr>
        <w:pStyle w:val="BodyText"/>
        <w:numPr>
          <w:ilvl w:val="0"/>
          <w:numId w:val="12"/>
        </w:numPr>
        <w:tabs>
          <w:tab w:val="left" w:pos="752"/>
        </w:tabs>
        <w:spacing w:after="120"/>
        <w:jc w:val="both"/>
      </w:pPr>
      <w:r>
        <w:rPr>
          <w:rStyle w:val="BodyTextChar"/>
        </w:rPr>
        <w:t>Ceux avec des lames de coupe ou de grattage, des perceuses ou des composants usés qui ne conviennent plus après la première utilisation et qui ne peuvent être changés ou affûtés avant la procédure médicale suivante.</w:t>
      </w:r>
    </w:p>
    <w:p w14:paraId="308355E7" w14:textId="77777777" w:rsidR="00874815" w:rsidRDefault="00317692" w:rsidP="000E70D0">
      <w:pPr>
        <w:pStyle w:val="BodyText"/>
        <w:numPr>
          <w:ilvl w:val="0"/>
          <w:numId w:val="11"/>
        </w:numPr>
        <w:tabs>
          <w:tab w:val="left" w:pos="630"/>
        </w:tabs>
        <w:spacing w:after="120"/>
        <w:jc w:val="both"/>
      </w:pPr>
      <w:r>
        <w:rPr>
          <w:rStyle w:val="BodyTextChar"/>
        </w:rPr>
        <w:t xml:space="preserve">Les activités de retraitement peuvent être réalisées </w:t>
      </w:r>
      <w:proofErr w:type="gramStart"/>
      <w:r>
        <w:rPr>
          <w:rStyle w:val="BodyTextChar"/>
        </w:rPr>
        <w:t>par:</w:t>
      </w:r>
      <w:proofErr w:type="gramEnd"/>
    </w:p>
    <w:p w14:paraId="398341AE" w14:textId="77777777" w:rsidR="00874815" w:rsidRDefault="00317692">
      <w:pPr>
        <w:pStyle w:val="BodyText"/>
        <w:numPr>
          <w:ilvl w:val="0"/>
          <w:numId w:val="13"/>
        </w:numPr>
        <w:tabs>
          <w:tab w:val="left" w:pos="712"/>
        </w:tabs>
        <w:jc w:val="both"/>
      </w:pPr>
      <w:r>
        <w:rPr>
          <w:noProof/>
        </w:rPr>
        <mc:AlternateContent>
          <mc:Choice Requires="wps">
            <w:drawing>
              <wp:anchor distT="0" distB="0" distL="114300" distR="114300" simplePos="0" relativeHeight="125829396" behindDoc="0" locked="0" layoutInCell="1" allowOverlap="1" wp14:anchorId="21D8EE82" wp14:editId="1A42C84C">
                <wp:simplePos x="0" y="0"/>
                <wp:positionH relativeFrom="page">
                  <wp:posOffset>7155180</wp:posOffset>
                </wp:positionH>
                <wp:positionV relativeFrom="paragraph">
                  <wp:posOffset>-88900</wp:posOffset>
                </wp:positionV>
                <wp:extent cx="222250" cy="1337945"/>
                <wp:effectExtent l="0" t="0" r="0" b="0"/>
                <wp:wrapSquare wrapText="bothSides"/>
                <wp:docPr id="19" name="Shape 1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F2855C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496FA0D7" w14:textId="77777777" w:rsidR="00874815" w:rsidRDefault="00317692">
                            <w:pPr>
                              <w:pStyle w:val="Bodytext20"/>
                            </w:pPr>
                            <w:r>
                              <w:rPr>
                                <w:rStyle w:val="Bodytext2"/>
                              </w:rPr>
                              <w:t xml:space="preserve">Consultable à l’adresse </w:t>
                            </w:r>
                            <w:hyperlink r:id="rId2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1D8EE82" id="Shape 19" o:spid="_x0000_s1035" type="#_x0000_t202" style="position:absolute;left:0;text-align:left;margin-left:563.4pt;margin-top:-7pt;width:17.5pt;height:105.35pt;z-index:1258293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" filled="f" stroked="f">
                <v:textbox style="layout-flow:vertical;mso-layout-flow-alt:bottom-to-top" inset="0,0,0,0">
                  <w:txbxContent>
                    <w:p w14:paraId="7F2855C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96FA0D7" w14:textId="77777777" w:rsidR="00874815" w:rsidRDefault="00000000">
                      <w:pPr>
                        <w:pStyle w:val="Bodytext20"/>
                      </w:pPr>
                      <w:r>
                        <w:rPr>
                          <w:rStyle w:val="Bodytext2"/>
                        </w:rPr>
                        <w:t xml:space="preserve">Consultable à l’adresse </w:t>
                      </w:r>
                      <w:hyperlink r:id="rId26" w:history="1">
                        <w:r>
                          <w:rPr>
                            <w:rStyle w:val="Bodytext2"/>
                          </w:rPr>
                          <w:t xml:space="preserve">https://www.boe.es</w:t>
                        </w:r>
                      </w:hyperlink>
                    </w:p>
                  </w:txbxContent>
                </v:textbox>
                <w10:wrap type="square" anchorx="page"/>
              </v:shape>
            </w:pict>
          </mc:Fallback>
        </mc:AlternateContent>
      </w:r>
      <w:r>
        <w:rPr>
          <w:rStyle w:val="BodyTextChar"/>
        </w:rPr>
        <w:t>Des personnes physiques et morales qui retraitent des dispositifs à usage unique pour les rendre aptes à être réutilisés au sein de l’Union. Ceux-ci sont considérés comme des fabricants du dispositif retraité et assument les obligations qui incombent aux fabricants en vertu du règlement (UE) 2017/745 du Parlement européen et du Conseil du 5 avril 2017 et du présent décret royal.</w:t>
      </w:r>
    </w:p>
    <w:p w14:paraId="7B7B83FA" w14:textId="40B98268" w:rsidR="00874815" w:rsidRDefault="00317692">
      <w:pPr>
        <w:pStyle w:val="BodyText"/>
        <w:numPr>
          <w:ilvl w:val="0"/>
          <w:numId w:val="13"/>
        </w:numPr>
        <w:tabs>
          <w:tab w:val="left" w:pos="712"/>
        </w:tabs>
        <w:jc w:val="both"/>
      </w:pPr>
      <w:r>
        <w:rPr>
          <w:rStyle w:val="BodyTextChar"/>
        </w:rPr>
        <w:t>Les hôpitaux, tels que définis dans le décret royal 1277/2003 du 10 octobre établissant la base générale de l’agrément des centres, services et établissements de santé. Ceux-ci sont considérés comme des entités de retraitement conformément au règlement d’exécution (UE) 2020/1207 de la Commission du 19 août 2020 portant modalités d’application du règlement (UE) 2017/745 du Parlement européen et du Conseil en ce qui concerne les spécifications communes pour le retraitement des dispositifs à usage unique.</w:t>
      </w:r>
    </w:p>
    <w:p w14:paraId="4C8310DF" w14:textId="77777777" w:rsidR="00874815" w:rsidRDefault="00317692">
      <w:pPr>
        <w:pStyle w:val="BodyText"/>
        <w:numPr>
          <w:ilvl w:val="0"/>
          <w:numId w:val="13"/>
        </w:numPr>
        <w:tabs>
          <w:tab w:val="left" w:pos="716"/>
        </w:tabs>
        <w:spacing w:after="120"/>
        <w:jc w:val="both"/>
      </w:pPr>
      <w:r>
        <w:rPr>
          <w:rStyle w:val="BodyTextChar"/>
        </w:rPr>
        <w:t xml:space="preserve">Les entités de retraitement externes qui retraitent des dispositifs à usage unique à la demande d’un hôpital, au sens du règlement d’exécution (UE) 2020/1207 de la Commission du </w:t>
      </w:r>
      <w:r>
        <w:rPr>
          <w:rStyle w:val="BodyTextChar"/>
        </w:rPr>
        <w:lastRenderedPageBreak/>
        <w:t>19 août 2020.</w:t>
      </w:r>
    </w:p>
    <w:p w14:paraId="5B2B0903" w14:textId="77777777" w:rsidR="00874815" w:rsidRDefault="00317692">
      <w:pPr>
        <w:pStyle w:val="BodyText"/>
        <w:numPr>
          <w:ilvl w:val="0"/>
          <w:numId w:val="11"/>
        </w:numPr>
        <w:tabs>
          <w:tab w:val="left" w:pos="716"/>
        </w:tabs>
        <w:spacing w:after="180"/>
        <w:jc w:val="both"/>
      </w:pPr>
      <w:r>
        <w:rPr>
          <w:rStyle w:val="BodyTextChar"/>
        </w:rPr>
        <w:t>Les fabricants du paragraphe 3, point a) et les entités de retraitement visées au paragraphe 3, point b) du présent article appliquent les dispositions de l’article 7 en ce qui concerne les licences d’exploitation antérieures.</w:t>
      </w:r>
    </w:p>
    <w:p w14:paraId="1D05954E" w14:textId="77777777" w:rsidR="00874815" w:rsidRDefault="00317692">
      <w:pPr>
        <w:pStyle w:val="BodyText"/>
        <w:spacing w:after="120"/>
        <w:ind w:firstLine="0"/>
        <w:jc w:val="both"/>
      </w:pPr>
      <w:r>
        <w:rPr>
          <w:rStyle w:val="BodyTextChar"/>
        </w:rPr>
        <w:t xml:space="preserve">Article 12. </w:t>
      </w:r>
      <w:r>
        <w:rPr>
          <w:rStyle w:val="BodyTextChar"/>
          <w:i/>
        </w:rPr>
        <w:t>Activités du fabricant d’appareils transformés.</w:t>
      </w:r>
    </w:p>
    <w:p w14:paraId="7A3D834F" w14:textId="77777777" w:rsidR="00874815" w:rsidRDefault="00317692">
      <w:pPr>
        <w:pStyle w:val="BodyText"/>
        <w:numPr>
          <w:ilvl w:val="0"/>
          <w:numId w:val="14"/>
        </w:numPr>
        <w:tabs>
          <w:tab w:val="left" w:pos="716"/>
        </w:tabs>
        <w:jc w:val="both"/>
      </w:pPr>
      <w:r>
        <w:rPr>
          <w:rStyle w:val="BodyTextChar"/>
        </w:rPr>
        <w:t>Les fabricants de dispositifs retraités ne peuvent les distribuer directement aux hôpitaux.</w:t>
      </w:r>
    </w:p>
    <w:p w14:paraId="24E373D3" w14:textId="77777777" w:rsidR="00874815" w:rsidRDefault="00317692">
      <w:pPr>
        <w:pStyle w:val="BodyText"/>
        <w:numPr>
          <w:ilvl w:val="0"/>
          <w:numId w:val="14"/>
        </w:numPr>
        <w:tabs>
          <w:tab w:val="left" w:pos="716"/>
        </w:tabs>
        <w:jc w:val="both"/>
      </w:pPr>
      <w:r>
        <w:rPr>
          <w:rStyle w:val="BodyTextChar"/>
        </w:rPr>
        <w:t>Les fabricants ne peuvent mettre sur le marché en Espagne que des dispositifs de retraitement dans lesquels tous les cycles de retraitement ont été effectués par eux.</w:t>
      </w:r>
    </w:p>
    <w:p w14:paraId="44DF1E86" w14:textId="77777777" w:rsidR="00874815" w:rsidRDefault="00317692">
      <w:pPr>
        <w:pStyle w:val="BodyText"/>
        <w:numPr>
          <w:ilvl w:val="0"/>
          <w:numId w:val="14"/>
        </w:numPr>
        <w:tabs>
          <w:tab w:val="left" w:pos="716"/>
        </w:tabs>
        <w:jc w:val="both"/>
      </w:pPr>
      <w:r>
        <w:rPr>
          <w:rStyle w:val="BodyTextChar"/>
        </w:rPr>
        <w:t>Ils établissent un contrat écrit avec l’hôpital détaillant les responsabilités des parties en ce qui concerne l’utilisation, le stockage des unités utilisées, les conditions de retour, de destruction, de surveillance et de traçabilité.</w:t>
      </w:r>
    </w:p>
    <w:p w14:paraId="3EA2CF59" w14:textId="77777777" w:rsidR="00874815" w:rsidRDefault="00317692">
      <w:pPr>
        <w:pStyle w:val="BodyText"/>
        <w:jc w:val="both"/>
      </w:pPr>
      <w:r>
        <w:rPr>
          <w:rStyle w:val="BodyTextChar"/>
        </w:rPr>
        <w:t>Le contrat prévoit également que les hôpitaux restituent le dispositif de retraitement utilisé au même fabricant du dispositif retraité.</w:t>
      </w:r>
    </w:p>
    <w:p w14:paraId="06F96CEA" w14:textId="77777777" w:rsidR="00874815" w:rsidRDefault="00317692">
      <w:pPr>
        <w:pStyle w:val="BodyText"/>
        <w:numPr>
          <w:ilvl w:val="0"/>
          <w:numId w:val="14"/>
        </w:numPr>
        <w:tabs>
          <w:tab w:val="left" w:pos="716"/>
        </w:tabs>
        <w:jc w:val="both"/>
      </w:pPr>
      <w:r>
        <w:rPr>
          <w:rStyle w:val="BodyTextChar"/>
        </w:rPr>
        <w:t>Le fabricant veille à ce que les dispositifs soient détruits à la fin du dernier cycle de retraitement, à la fin de leur durée de vie ou lorsqu’ils ne peuvent plus garantir que le fonctionnement et la sécurité du dispositif retraité sont équivalents au dispositif d’origine. Les hôpitaux peuvent procéder à cette destruction à condition qu’elles soient incluses dans le contrat avec le fabricant.</w:t>
      </w:r>
    </w:p>
    <w:p w14:paraId="29D40FD8" w14:textId="77777777" w:rsidR="00874815" w:rsidRDefault="00317692">
      <w:pPr>
        <w:pStyle w:val="BodyText"/>
        <w:numPr>
          <w:ilvl w:val="0"/>
          <w:numId w:val="14"/>
        </w:numPr>
        <w:tabs>
          <w:tab w:val="left" w:pos="716"/>
        </w:tabs>
        <w:spacing w:after="180"/>
        <w:jc w:val="both"/>
      </w:pPr>
      <w:r>
        <w:rPr>
          <w:rStyle w:val="BodyTextChar"/>
        </w:rPr>
        <w:t>Les fabricants de dispositifs retraités communiquent au registre de la mise sur le marché conformément à l’article 18.</w:t>
      </w:r>
    </w:p>
    <w:p w14:paraId="4770AC35" w14:textId="77777777" w:rsidR="00874815" w:rsidRDefault="00317692">
      <w:pPr>
        <w:pStyle w:val="BodyText"/>
        <w:spacing w:after="120"/>
        <w:ind w:firstLine="0"/>
        <w:jc w:val="both"/>
      </w:pPr>
      <w:r>
        <w:rPr>
          <w:rStyle w:val="BodyTextChar"/>
        </w:rPr>
        <w:t xml:space="preserve">Article 13. </w:t>
      </w:r>
      <w:r>
        <w:rPr>
          <w:rStyle w:val="BodyTextChar"/>
          <w:i/>
        </w:rPr>
        <w:t>Activités de retraitement dans les hôpitaux.</w:t>
      </w:r>
    </w:p>
    <w:p w14:paraId="488B45D2" w14:textId="77777777" w:rsidR="00874815" w:rsidRDefault="00317692">
      <w:pPr>
        <w:pStyle w:val="BodyText"/>
        <w:numPr>
          <w:ilvl w:val="0"/>
          <w:numId w:val="15"/>
        </w:numPr>
        <w:tabs>
          <w:tab w:val="left" w:pos="716"/>
        </w:tabs>
        <w:jc w:val="both"/>
      </w:pPr>
      <w:r>
        <w:rPr>
          <w:rStyle w:val="BodyTextChar"/>
        </w:rPr>
        <w:t>Les hôpitaux menant des activités de retraitement se conforment à l’article 17, paragraphe 3, du règlement (UE) 2017/745 du Parlement européen et du Conseil du 5 avril 2017, au règlement d’exécution (UE) 2020/1207 de la Commission du 19 août 2020 et au présent décret royal qui leur est applicable.</w:t>
      </w:r>
    </w:p>
    <w:p w14:paraId="22025797" w14:textId="77777777" w:rsidR="00874815" w:rsidRDefault="00317692">
      <w:pPr>
        <w:pStyle w:val="BodyText"/>
        <w:numPr>
          <w:ilvl w:val="0"/>
          <w:numId w:val="15"/>
        </w:numPr>
        <w:tabs>
          <w:tab w:val="left" w:pos="716"/>
        </w:tabs>
        <w:jc w:val="both"/>
      </w:pPr>
      <w:r>
        <w:rPr>
          <w:rStyle w:val="BodyTextChar"/>
        </w:rPr>
        <w:t>Les hôpitaux ne peuvent retraiter que les dispositifs qui ont été utilisés et retraités dans leur hôpital ou par une entité de retraitement externe incluse dans leur licence. Les hôpitaux ne peuvent pas vendre ou livrer le dispositif retraité à des tiers.</w:t>
      </w:r>
    </w:p>
    <w:p w14:paraId="4EE70E93" w14:textId="77777777" w:rsidR="00874815" w:rsidRDefault="00317692">
      <w:pPr>
        <w:pStyle w:val="BodyText"/>
        <w:jc w:val="both"/>
      </w:pPr>
      <w:r>
        <w:rPr>
          <w:rStyle w:val="BodyTextChar"/>
        </w:rPr>
        <w:t>Les hôpitaux ne peuvent pas retraiter les dispositifs à usage unique précédemment retraités par un autre fabricant conformément à l’article 11, paragraphe 3, point a), ou par une entité de retraitement externe ou entité de retraitement non incluse dans leur licence.</w:t>
      </w:r>
    </w:p>
    <w:p w14:paraId="11270BA0" w14:textId="77777777" w:rsidR="00874815" w:rsidRDefault="00317692">
      <w:pPr>
        <w:pStyle w:val="BodyText"/>
        <w:numPr>
          <w:ilvl w:val="0"/>
          <w:numId w:val="15"/>
        </w:numPr>
        <w:tabs>
          <w:tab w:val="left" w:pos="716"/>
        </w:tabs>
        <w:jc w:val="both"/>
      </w:pPr>
      <w:r>
        <w:rPr>
          <w:rStyle w:val="BodyTextChar"/>
        </w:rPr>
        <w:t>Les hôpitaux peuvent sous-traiter des activités de retraitement à une entité de retraitement externe conformément à l’article 14.</w:t>
      </w:r>
    </w:p>
    <w:p w14:paraId="21F5B405" w14:textId="77777777" w:rsidR="00874815" w:rsidRDefault="00317692">
      <w:pPr>
        <w:pStyle w:val="BodyText"/>
        <w:numPr>
          <w:ilvl w:val="0"/>
          <w:numId w:val="15"/>
        </w:numPr>
        <w:tabs>
          <w:tab w:val="left" w:pos="716"/>
        </w:tabs>
        <w:jc w:val="both"/>
      </w:pPr>
      <w:r>
        <w:rPr>
          <w:noProof/>
        </w:rPr>
        <mc:AlternateContent>
          <mc:Choice Requires="wps">
            <w:drawing>
              <wp:anchor distT="0" distB="0" distL="114300" distR="114300" simplePos="0" relativeHeight="125829398" behindDoc="0" locked="0" layoutInCell="1" allowOverlap="1" wp14:anchorId="0F0AC1A3" wp14:editId="2AB33C45">
                <wp:simplePos x="0" y="0"/>
                <wp:positionH relativeFrom="page">
                  <wp:posOffset>7155180</wp:posOffset>
                </wp:positionH>
                <wp:positionV relativeFrom="paragraph">
                  <wp:posOffset>165100</wp:posOffset>
                </wp:positionV>
                <wp:extent cx="222250" cy="1337945"/>
                <wp:effectExtent l="0" t="0" r="0" b="0"/>
                <wp:wrapSquare wrapText="bothSides"/>
                <wp:docPr id="21" name="Shape 2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A56FF8F"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696C660" w14:textId="77777777" w:rsidR="00874815" w:rsidRDefault="00317692">
                            <w:pPr>
                              <w:pStyle w:val="Bodytext20"/>
                            </w:pPr>
                            <w:r>
                              <w:rPr>
                                <w:rStyle w:val="Bodytext2"/>
                              </w:rPr>
                              <w:t xml:space="preserve">Consultable à l’adresse </w:t>
                            </w:r>
                            <w:hyperlink r:id="rId2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F0AC1A3" id="Shape 21" o:spid="_x0000_s1036" type="#_x0000_t202" style="position:absolute;left:0;text-align:left;margin-left:563.4pt;margin-top:13pt;width:17.5pt;height:105.35pt;z-index:12582939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yPfA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" filled="f" stroked="f">
                <v:textbox style="layout-flow:vertical;mso-layout-flow-alt:bottom-to-top" inset="0,0,0,0">
                  <w:txbxContent>
                    <w:p w14:paraId="1A56FF8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696C660" w14:textId="77777777" w:rsidR="00874815" w:rsidRDefault="00000000">
                      <w:pPr>
                        <w:pStyle w:val="Bodytext20"/>
                      </w:pPr>
                      <w:r>
                        <w:rPr>
                          <w:rStyle w:val="Bodytext2"/>
                        </w:rPr>
                        <w:t xml:space="preserve">Consultable à l’adresse </w:t>
                      </w:r>
                      <w:hyperlink r:id="rId28" w:history="1">
                        <w:r>
                          <w:rPr>
                            <w:rStyle w:val="Bodytext2"/>
                          </w:rPr>
                          <w:t xml:space="preserve">https://www.boe.es</w:t>
                        </w:r>
                      </w:hyperlink>
                    </w:p>
                  </w:txbxContent>
                </v:textbox>
                <w10:wrap type="square" anchorx="page"/>
              </v:shape>
            </w:pict>
          </mc:Fallback>
        </mc:AlternateContent>
      </w:r>
      <w:r>
        <w:rPr>
          <w:rStyle w:val="BodyTextChar"/>
        </w:rPr>
        <w:t>Un organisme notifié certifie le respect des spécifications communes du règlement d’exécution (UE) 2020/1207 de la Commission du 19 août 2020.</w:t>
      </w:r>
    </w:p>
    <w:p w14:paraId="6A07F4D0" w14:textId="77777777" w:rsidR="00874815" w:rsidRDefault="00317692">
      <w:pPr>
        <w:pStyle w:val="BodyText"/>
        <w:numPr>
          <w:ilvl w:val="0"/>
          <w:numId w:val="15"/>
        </w:numPr>
        <w:tabs>
          <w:tab w:val="left" w:pos="716"/>
        </w:tabs>
        <w:jc w:val="both"/>
      </w:pPr>
      <w:r>
        <w:rPr>
          <w:rStyle w:val="BodyTextChar"/>
        </w:rPr>
        <w:t>Les audits annuels indiqués dans les spécifications communes du règlement d’exécution (UE) 2020/1207 de la Commission du 19 août 2020 devraient être effectués par des organismes accrédités pour la certification des systèmes de qualité des dispositifs médicaux.</w:t>
      </w:r>
    </w:p>
    <w:p w14:paraId="4E47B6F7" w14:textId="718B6AD2" w:rsidR="00874815" w:rsidRDefault="00317692">
      <w:pPr>
        <w:pStyle w:val="BodyText"/>
        <w:numPr>
          <w:ilvl w:val="0"/>
          <w:numId w:val="15"/>
        </w:numPr>
        <w:tabs>
          <w:tab w:val="left" w:pos="716"/>
        </w:tabs>
        <w:spacing w:after="180"/>
        <w:jc w:val="both"/>
      </w:pPr>
      <w:r>
        <w:rPr>
          <w:rStyle w:val="BodyTextChar"/>
        </w:rPr>
        <w:t>Les hôpitaux respectent les exigences prévues à l’article 23 du règlement d’exécution (UE) 2020/1207 de la Commission du 19 août 2020 et à l’article 35 du présent décret royal en ce qui concerne la notification au système de surveillance.</w:t>
      </w:r>
    </w:p>
    <w:p w14:paraId="3042EEAF" w14:textId="77777777" w:rsidR="00874815" w:rsidRDefault="00317692">
      <w:pPr>
        <w:pStyle w:val="BodyText"/>
        <w:spacing w:after="120"/>
        <w:ind w:firstLine="0"/>
        <w:jc w:val="both"/>
      </w:pPr>
      <w:r>
        <w:rPr>
          <w:rStyle w:val="BodyTextChar"/>
        </w:rPr>
        <w:t xml:space="preserve">Article 14. </w:t>
      </w:r>
      <w:r>
        <w:rPr>
          <w:rStyle w:val="BodyTextChar"/>
          <w:i/>
        </w:rPr>
        <w:t>Entités de retraitement externes.</w:t>
      </w:r>
    </w:p>
    <w:p w14:paraId="12CB77F5" w14:textId="77777777" w:rsidR="00874815" w:rsidRDefault="00317692">
      <w:pPr>
        <w:pStyle w:val="BodyText"/>
        <w:numPr>
          <w:ilvl w:val="0"/>
          <w:numId w:val="16"/>
        </w:numPr>
        <w:tabs>
          <w:tab w:val="left" w:pos="715"/>
        </w:tabs>
        <w:jc w:val="both"/>
      </w:pPr>
      <w:r>
        <w:rPr>
          <w:rStyle w:val="BodyTextChar"/>
        </w:rPr>
        <w:t>Les entités de retraitement externes visés à l’article 11, paragraphe 3, point c), doivent avoir leur siège statutaire et leurs installations établies en Espagne.</w:t>
      </w:r>
    </w:p>
    <w:p w14:paraId="22C5B751" w14:textId="4E2CFC24" w:rsidR="005B587D" w:rsidRDefault="00317692">
      <w:pPr>
        <w:pStyle w:val="BodyText"/>
        <w:numPr>
          <w:ilvl w:val="0"/>
          <w:numId w:val="16"/>
        </w:numPr>
        <w:tabs>
          <w:tab w:val="left" w:pos="715"/>
        </w:tabs>
        <w:jc w:val="both"/>
        <w:rPr>
          <w:rStyle w:val="BodyTextChar"/>
        </w:rPr>
      </w:pPr>
      <w:r>
        <w:rPr>
          <w:rStyle w:val="BodyTextChar"/>
        </w:rPr>
        <w:t>Les entités de retraitement externes sont conformes à l’article 17, paragraphe 3, du règlement (UE) 2017/745 du Parlement européen et du Conseil du 5 avril 2017, au règlement d’exécution (UE) 2020/1207 de la Commission du 19 août 2020 et au présent décret royal, le cas échéant.</w:t>
      </w:r>
    </w:p>
    <w:p w14:paraId="2ED1CC44" w14:textId="77777777" w:rsidR="005B587D" w:rsidRDefault="005B587D">
      <w:pPr>
        <w:rPr>
          <w:rStyle w:val="BodyTextChar"/>
        </w:rPr>
      </w:pPr>
      <w:r>
        <w:br w:type="page"/>
      </w:r>
    </w:p>
    <w:p w14:paraId="16165294" w14:textId="77777777" w:rsidR="00874815" w:rsidRDefault="00317692">
      <w:pPr>
        <w:pStyle w:val="BodyText"/>
        <w:numPr>
          <w:ilvl w:val="0"/>
          <w:numId w:val="16"/>
        </w:numPr>
        <w:tabs>
          <w:tab w:val="left" w:pos="715"/>
        </w:tabs>
        <w:jc w:val="both"/>
      </w:pPr>
      <w:r>
        <w:rPr>
          <w:rStyle w:val="BodyTextChar"/>
        </w:rPr>
        <w:lastRenderedPageBreak/>
        <w:t>Les entités de retraitement externes ne sous-traitent pas les activités de retraitement.</w:t>
      </w:r>
    </w:p>
    <w:p w14:paraId="716ABB6C" w14:textId="77777777" w:rsidR="00874815" w:rsidRDefault="00317692">
      <w:pPr>
        <w:pStyle w:val="BodyText"/>
        <w:numPr>
          <w:ilvl w:val="0"/>
          <w:numId w:val="16"/>
        </w:numPr>
        <w:tabs>
          <w:tab w:val="left" w:pos="715"/>
        </w:tabs>
        <w:spacing w:after="180"/>
        <w:jc w:val="both"/>
      </w:pPr>
      <w:r>
        <w:rPr>
          <w:rStyle w:val="BodyTextChar"/>
        </w:rPr>
        <w:t>Les entités de retraitement externes veillent à ce que l’hôpital respecte les obligations énoncées à l’article 13 avant d’effectuer les activités de retraitement.</w:t>
      </w:r>
    </w:p>
    <w:p w14:paraId="26A51F43" w14:textId="77777777" w:rsidR="00874815" w:rsidRDefault="00317692">
      <w:pPr>
        <w:pStyle w:val="BodyText"/>
        <w:spacing w:after="120"/>
        <w:ind w:firstLine="0"/>
        <w:jc w:val="both"/>
      </w:pPr>
      <w:r>
        <w:rPr>
          <w:rStyle w:val="BodyTextChar"/>
        </w:rPr>
        <w:t xml:space="preserve">Article 15. </w:t>
      </w:r>
      <w:r>
        <w:rPr>
          <w:rStyle w:val="BodyTextChar"/>
          <w:i/>
        </w:rPr>
        <w:t>Utilisation de dispositifs à usage unique retraités.</w:t>
      </w:r>
    </w:p>
    <w:p w14:paraId="27AD1F17" w14:textId="77777777" w:rsidR="00874815" w:rsidRDefault="00317692">
      <w:pPr>
        <w:pStyle w:val="BodyText"/>
        <w:numPr>
          <w:ilvl w:val="0"/>
          <w:numId w:val="17"/>
        </w:numPr>
        <w:tabs>
          <w:tab w:val="left" w:pos="730"/>
        </w:tabs>
        <w:jc w:val="both"/>
      </w:pPr>
      <w:r>
        <w:rPr>
          <w:rStyle w:val="BodyTextChar"/>
        </w:rPr>
        <w:t>La vente au public de dispositifs retraités n’est pas autorisée.</w:t>
      </w:r>
    </w:p>
    <w:p w14:paraId="378E6F5A" w14:textId="77777777" w:rsidR="00874815" w:rsidRDefault="00317692">
      <w:pPr>
        <w:pStyle w:val="BodyText"/>
        <w:numPr>
          <w:ilvl w:val="0"/>
          <w:numId w:val="17"/>
        </w:numPr>
        <w:tabs>
          <w:tab w:val="left" w:pos="715"/>
        </w:tabs>
        <w:jc w:val="both"/>
      </w:pPr>
      <w:r>
        <w:rPr>
          <w:rStyle w:val="BodyTextChar"/>
        </w:rPr>
        <w:t>L’achat et l’utilisation en Espagne de dispositifs qui ont été transférés vers un pays tiers en vue du retraitement ne sont pas autorisés.</w:t>
      </w:r>
    </w:p>
    <w:p w14:paraId="6E5299CC" w14:textId="77777777" w:rsidR="00874815" w:rsidRDefault="00317692">
      <w:pPr>
        <w:pStyle w:val="BodyText"/>
        <w:numPr>
          <w:ilvl w:val="0"/>
          <w:numId w:val="17"/>
        </w:numPr>
        <w:tabs>
          <w:tab w:val="left" w:pos="715"/>
        </w:tabs>
        <w:jc w:val="both"/>
      </w:pPr>
      <w:r>
        <w:rPr>
          <w:rStyle w:val="BodyTextChar"/>
        </w:rPr>
        <w:t>Les hôpitaux doivent informer les patients de l’utilisation dans leur hôpital de dispositifs retraités par leur propre établissement.</w:t>
      </w:r>
    </w:p>
    <w:p w14:paraId="71E31999" w14:textId="77777777" w:rsidR="00874815" w:rsidRDefault="00317692">
      <w:pPr>
        <w:pStyle w:val="BodyText"/>
        <w:numPr>
          <w:ilvl w:val="0"/>
          <w:numId w:val="17"/>
        </w:numPr>
        <w:tabs>
          <w:tab w:val="left" w:pos="715"/>
        </w:tabs>
        <w:spacing w:after="240"/>
        <w:jc w:val="both"/>
      </w:pPr>
      <w:r>
        <w:rPr>
          <w:rStyle w:val="BodyTextChar"/>
        </w:rPr>
        <w:t>Les dispositifs retraités ne peuvent être utilisés dans les hôpitaux que chez un seul patient et au cours d’un seul processus.</w:t>
      </w:r>
    </w:p>
    <w:p w14:paraId="3059F167" w14:textId="77777777" w:rsidR="00874815" w:rsidRDefault="00317692">
      <w:pPr>
        <w:pStyle w:val="Heading20"/>
        <w:keepNext/>
        <w:keepLines/>
      </w:pPr>
      <w:bookmarkStart w:id="5" w:name="bookmark12"/>
      <w:r>
        <w:rPr>
          <w:rStyle w:val="Heading2"/>
        </w:rPr>
        <w:t>CHAPITRE IV</w:t>
      </w:r>
      <w:bookmarkEnd w:id="5"/>
    </w:p>
    <w:p w14:paraId="058EC8C6" w14:textId="77777777" w:rsidR="00874815" w:rsidRDefault="00317692">
      <w:pPr>
        <w:pStyle w:val="BodyText"/>
        <w:spacing w:after="180"/>
        <w:ind w:firstLine="0"/>
        <w:jc w:val="center"/>
      </w:pPr>
      <w:r>
        <w:rPr>
          <w:rStyle w:val="BodyTextChar"/>
          <w:b/>
        </w:rPr>
        <w:t>Organismes notifiés</w:t>
      </w:r>
    </w:p>
    <w:p w14:paraId="51B90AED" w14:textId="77777777" w:rsidR="00874815" w:rsidRDefault="00317692">
      <w:pPr>
        <w:pStyle w:val="BodyText"/>
        <w:spacing w:after="120"/>
        <w:ind w:firstLine="0"/>
        <w:jc w:val="both"/>
      </w:pPr>
      <w:r>
        <w:rPr>
          <w:rStyle w:val="BodyTextChar"/>
        </w:rPr>
        <w:t xml:space="preserve">Article 16. </w:t>
      </w:r>
      <w:r>
        <w:rPr>
          <w:rStyle w:val="BodyTextChar"/>
          <w:i/>
        </w:rPr>
        <w:t>Organismes notifiés.</w:t>
      </w:r>
    </w:p>
    <w:p w14:paraId="42E50C60" w14:textId="77777777" w:rsidR="00874815" w:rsidRDefault="00317692">
      <w:pPr>
        <w:pStyle w:val="BodyText"/>
        <w:numPr>
          <w:ilvl w:val="0"/>
          <w:numId w:val="18"/>
        </w:numPr>
        <w:tabs>
          <w:tab w:val="left" w:pos="715"/>
        </w:tabs>
        <w:jc w:val="both"/>
      </w:pPr>
      <w:r>
        <w:rPr>
          <w:rStyle w:val="BodyTextChar"/>
        </w:rPr>
        <w:t>Le ministère de la santé est l’autorité responsable des organismes notifiés aux fins du règlement (UE) 2017/745 du Parlement européen et du Conseil du 5 avril 2017.</w:t>
      </w:r>
    </w:p>
    <w:p w14:paraId="68189664" w14:textId="77777777" w:rsidR="00874815" w:rsidRDefault="00317692">
      <w:pPr>
        <w:pStyle w:val="BodyText"/>
        <w:numPr>
          <w:ilvl w:val="0"/>
          <w:numId w:val="18"/>
        </w:numPr>
        <w:tabs>
          <w:tab w:val="left" w:pos="715"/>
        </w:tabs>
        <w:jc w:val="both"/>
      </w:pPr>
      <w:r>
        <w:rPr>
          <w:rStyle w:val="BodyTextChar"/>
        </w:rPr>
        <w:t xml:space="preserve">Le ministère de la santé désigne les organismes chargés de mettre en œuvre les procédures prévues dans ledit règlement, conformément au champ d’application de la désignation dans le domaine des dispositifs médicaux, tel qu’il est défini dans le règlement d’exécution (UE) 2017/2185 de la Commission du 23 novembre 2017 concernant la liste des codes et des types correspondants de dispositifs établie à des fins de précision du champ couvert par la désignation en tant qu’organisme notifié dans le domaine des dispositifs médicaux au titre du règlement (UE) 2017/745 du Parlement européen et du Conseil et dans celui des dispositifs médicaux de diagnostic </w:t>
      </w:r>
      <w:r>
        <w:rPr>
          <w:rStyle w:val="BodyTextChar"/>
          <w:i/>
        </w:rPr>
        <w:t>in vitro</w:t>
      </w:r>
      <w:r>
        <w:rPr>
          <w:rStyle w:val="BodyTextChar"/>
        </w:rPr>
        <w:t xml:space="preserve"> au titre du règlement (UE) 2017/746 du Parlement européen et du Conseil, et en informe la Commission européenne et les autres États membres. Cette désignation est publiée au Journal officiel avec le numéro d’identification attribué par la Commission européenne.</w:t>
      </w:r>
    </w:p>
    <w:p w14:paraId="124E5A2A" w14:textId="77777777" w:rsidR="00874815" w:rsidRDefault="00317692">
      <w:pPr>
        <w:pStyle w:val="BodyText"/>
        <w:jc w:val="both"/>
      </w:pPr>
      <w:r>
        <w:rPr>
          <w:noProof/>
        </w:rPr>
        <mc:AlternateContent>
          <mc:Choice Requires="wps">
            <w:drawing>
              <wp:anchor distT="0" distB="0" distL="114300" distR="114300" simplePos="0" relativeHeight="125829400" behindDoc="0" locked="0" layoutInCell="1" allowOverlap="1" wp14:anchorId="391BE36E" wp14:editId="7DF0CDEC">
                <wp:simplePos x="0" y="0"/>
                <wp:positionH relativeFrom="page">
                  <wp:posOffset>7155180</wp:posOffset>
                </wp:positionH>
                <wp:positionV relativeFrom="paragraph">
                  <wp:posOffset>342900</wp:posOffset>
                </wp:positionV>
                <wp:extent cx="222250" cy="1337945"/>
                <wp:effectExtent l="0" t="0" r="0" b="0"/>
                <wp:wrapSquare wrapText="bothSides"/>
                <wp:docPr id="23" name="Shape 2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2B3009D"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682B5F00" w14:textId="77777777" w:rsidR="00874815" w:rsidRDefault="00317692">
                            <w:pPr>
                              <w:pStyle w:val="Bodytext20"/>
                            </w:pPr>
                            <w:r>
                              <w:rPr>
                                <w:rStyle w:val="Bodytext2"/>
                              </w:rPr>
                              <w:t xml:space="preserve">Consultable à l’adresse </w:t>
                            </w:r>
                            <w:hyperlink r:id="rId2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91BE36E" id="Shape 23" o:spid="_x0000_s1037" type="#_x0000_t202" style="position:absolute;left:0;text-align:left;margin-left:563.4pt;margin-top:27pt;width:17.5pt;height:105.35pt;z-index:1258294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05j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" filled="f" stroked="f">
                <v:textbox style="layout-flow:vertical;mso-layout-flow-alt:bottom-to-top" inset="0,0,0,0">
                  <w:txbxContent>
                    <w:p w14:paraId="42B3009D"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82B5F00" w14:textId="77777777" w:rsidR="00874815" w:rsidRDefault="00000000">
                      <w:pPr>
                        <w:pStyle w:val="Bodytext20"/>
                      </w:pPr>
                      <w:r>
                        <w:rPr>
                          <w:rStyle w:val="Bodytext2"/>
                        </w:rPr>
                        <w:t xml:space="preserve">Consultable à l’adresse </w:t>
                      </w:r>
                      <w:hyperlink r:id="rId30" w:history="1">
                        <w:r>
                          <w:rPr>
                            <w:rStyle w:val="Bodytext2"/>
                          </w:rPr>
                          <w:t xml:space="preserve">https://www.boe.es</w:t>
                        </w:r>
                      </w:hyperlink>
                    </w:p>
                  </w:txbxContent>
                </v:textbox>
                <w10:wrap type="square" anchorx="page"/>
              </v:shape>
            </w:pict>
          </mc:Fallback>
        </mc:AlternateContent>
      </w:r>
      <w:r>
        <w:rPr>
          <w:rStyle w:val="BodyTextChar"/>
        </w:rPr>
        <w:t>Tous les documents nécessaires à l’application et à l’évaluation de la désignation des organismes d’évaluation de la conformité sont rédigés au moins en espagnol pour que le ministère de la santé vérifie le respect des exigences de l’annexe VII du règlement (UE) 2017/745 du Parlement européen et du Conseil du 5 avril 2017.</w:t>
      </w:r>
    </w:p>
    <w:p w14:paraId="62E5BCF2" w14:textId="77777777" w:rsidR="00874815" w:rsidRDefault="00317692">
      <w:pPr>
        <w:pStyle w:val="BodyText"/>
        <w:jc w:val="both"/>
      </w:pPr>
      <w:r>
        <w:rPr>
          <w:rStyle w:val="BodyTextChar"/>
        </w:rPr>
        <w:t>Le ministère de la santé prend les mesures nécessaires pour vérifier l’aptitude des agences à leur nomination et pour vérifier que ces compétences sont maintenues dans les organismes désignés.</w:t>
      </w:r>
    </w:p>
    <w:p w14:paraId="228E78E4" w14:textId="38A4D06B" w:rsidR="00874815" w:rsidRDefault="00317692">
      <w:pPr>
        <w:pStyle w:val="BodyText"/>
        <w:numPr>
          <w:ilvl w:val="0"/>
          <w:numId w:val="18"/>
        </w:numPr>
        <w:tabs>
          <w:tab w:val="left" w:pos="715"/>
        </w:tabs>
        <w:jc w:val="both"/>
      </w:pPr>
      <w:r>
        <w:rPr>
          <w:rStyle w:val="BodyTextChar"/>
        </w:rPr>
        <w:t>Les organismes notifiés se conforment aux exigences énoncées à l’annexe VII du règlement (UE) 2017/745 du Parlement européen et du Conseil du 5 avril 2017. L’acte de désignation est indépendant et n’est lié par aucune certification ou accréditation nationale.</w:t>
      </w:r>
    </w:p>
    <w:p w14:paraId="4EC088A9" w14:textId="748418E0" w:rsidR="005B587D" w:rsidRDefault="00317692">
      <w:pPr>
        <w:pStyle w:val="BodyText"/>
        <w:numPr>
          <w:ilvl w:val="0"/>
          <w:numId w:val="18"/>
        </w:numPr>
        <w:tabs>
          <w:tab w:val="left" w:pos="709"/>
        </w:tabs>
        <w:spacing w:after="180"/>
        <w:jc w:val="both"/>
        <w:rPr>
          <w:rStyle w:val="BodyTextChar"/>
        </w:rPr>
      </w:pPr>
      <w:r>
        <w:rPr>
          <w:rStyle w:val="BodyTextChar"/>
        </w:rPr>
        <w:t>Lorsqu’il est constaté qu’un organisme pré-désigné ne satisfait plus aux exigences énoncées à l’annexe VII du règlement (UE) 2017/745 du Parlement européen et du Conseil du 5 avril 2017, le ministère de la santé retire la désignation, à l’issue de la procédure administrative pertinente, par une audition de la partie concernée, et en informe la Commission européenne et les autres États membres.</w:t>
      </w:r>
    </w:p>
    <w:p w14:paraId="0ABB4BFB" w14:textId="77777777" w:rsidR="005B587D" w:rsidRDefault="005B587D">
      <w:pPr>
        <w:rPr>
          <w:rStyle w:val="BodyTextChar"/>
        </w:rPr>
      </w:pPr>
      <w:r>
        <w:br w:type="page"/>
      </w:r>
    </w:p>
    <w:p w14:paraId="4B47A053" w14:textId="77777777" w:rsidR="00874815" w:rsidRDefault="00317692">
      <w:pPr>
        <w:pStyle w:val="BodyText"/>
        <w:spacing w:after="120"/>
        <w:ind w:firstLine="0"/>
        <w:jc w:val="both"/>
      </w:pPr>
      <w:r>
        <w:rPr>
          <w:rStyle w:val="BodyTextChar"/>
        </w:rPr>
        <w:lastRenderedPageBreak/>
        <w:t xml:space="preserve">Article 17. </w:t>
      </w:r>
      <w:r>
        <w:rPr>
          <w:rStyle w:val="BodyTextChar"/>
          <w:i/>
        </w:rPr>
        <w:t>Obligations des organismes notifiés établis en Espagne.</w:t>
      </w:r>
    </w:p>
    <w:p w14:paraId="15DE5D55" w14:textId="77777777" w:rsidR="00874815" w:rsidRDefault="00317692">
      <w:pPr>
        <w:pStyle w:val="BodyText"/>
        <w:numPr>
          <w:ilvl w:val="0"/>
          <w:numId w:val="19"/>
        </w:numPr>
        <w:tabs>
          <w:tab w:val="left" w:pos="709"/>
        </w:tabs>
        <w:spacing w:after="120"/>
        <w:jc w:val="both"/>
      </w:pPr>
      <w:r>
        <w:rPr>
          <w:rStyle w:val="BodyTextChar"/>
        </w:rPr>
        <w:t xml:space="preserve">Aux fins des exigences linguistiques prévues à l’article 41 du règlement (UE) 2017/745 du Parlement européen et du Conseil du 5 avril 2017, les termes suivants sont rédigés au moins en </w:t>
      </w:r>
      <w:proofErr w:type="gramStart"/>
      <w:r>
        <w:rPr>
          <w:rStyle w:val="BodyTextChar"/>
        </w:rPr>
        <w:t>espagnol:</w:t>
      </w:r>
      <w:proofErr w:type="gramEnd"/>
    </w:p>
    <w:p w14:paraId="0EAF3CCE" w14:textId="77777777" w:rsidR="00874815" w:rsidRDefault="00317692">
      <w:pPr>
        <w:pStyle w:val="BodyText"/>
        <w:numPr>
          <w:ilvl w:val="0"/>
          <w:numId w:val="20"/>
        </w:numPr>
        <w:tabs>
          <w:tab w:val="left" w:pos="709"/>
        </w:tabs>
        <w:jc w:val="both"/>
      </w:pPr>
      <w:r>
        <w:rPr>
          <w:rStyle w:val="BodyTextChar"/>
        </w:rPr>
        <w:t>La documentation produite par l’organisme notifié correspondant aux procédures d’évaluation de la conformité, y compris les rapports d’audit, d’évaluation ou d’inspection.</w:t>
      </w:r>
    </w:p>
    <w:p w14:paraId="73BC63C7" w14:textId="77777777" w:rsidR="00874815" w:rsidRDefault="00317692">
      <w:pPr>
        <w:pStyle w:val="BodyText"/>
        <w:numPr>
          <w:ilvl w:val="0"/>
          <w:numId w:val="20"/>
        </w:numPr>
        <w:tabs>
          <w:tab w:val="left" w:pos="1085"/>
        </w:tabs>
        <w:jc w:val="both"/>
      </w:pPr>
      <w:r>
        <w:rPr>
          <w:rStyle w:val="BodyTextChar"/>
        </w:rPr>
        <w:t>Certificats d’évaluation de la conformité.</w:t>
      </w:r>
    </w:p>
    <w:p w14:paraId="1D4CCB4C" w14:textId="77777777" w:rsidR="00874815" w:rsidRDefault="00317692">
      <w:pPr>
        <w:pStyle w:val="BodyText"/>
        <w:numPr>
          <w:ilvl w:val="0"/>
          <w:numId w:val="20"/>
        </w:numPr>
        <w:tabs>
          <w:tab w:val="left" w:pos="709"/>
        </w:tabs>
        <w:spacing w:after="120"/>
        <w:jc w:val="both"/>
      </w:pPr>
      <w:r>
        <w:rPr>
          <w:rStyle w:val="BodyTextChar"/>
        </w:rPr>
        <w:t>La documentation demandée, à la demande de l’autorité, pour les actions de suivi des organismes notifiés.</w:t>
      </w:r>
    </w:p>
    <w:p w14:paraId="261FDBC8" w14:textId="77777777" w:rsidR="00874815" w:rsidRDefault="00317692">
      <w:pPr>
        <w:pStyle w:val="BodyText"/>
        <w:numPr>
          <w:ilvl w:val="0"/>
          <w:numId w:val="19"/>
        </w:numPr>
        <w:tabs>
          <w:tab w:val="left" w:pos="709"/>
        </w:tabs>
        <w:spacing w:after="240"/>
        <w:jc w:val="both"/>
      </w:pPr>
      <w:r>
        <w:rPr>
          <w:rStyle w:val="BodyTextChar"/>
        </w:rPr>
        <w:t>Sur demande, l’organisme notifié fournit toutes les informations et tous les documents pertinents, y compris les documents budgétaires nécessaires au ministère de la santé pour vérifier le respect des exigences de l’annexe VII du règlement (UE) 2017/745 du Parlement européen et du Conseil du 5 avril 2017.</w:t>
      </w:r>
    </w:p>
    <w:p w14:paraId="2F3F51D6" w14:textId="77777777" w:rsidR="00874815" w:rsidRDefault="00317692">
      <w:pPr>
        <w:pStyle w:val="Heading20"/>
        <w:keepNext/>
        <w:keepLines/>
      </w:pPr>
      <w:bookmarkStart w:id="6" w:name="bookmark14"/>
      <w:r>
        <w:rPr>
          <w:rStyle w:val="Heading2"/>
        </w:rPr>
        <w:t>CHAPITRE V</w:t>
      </w:r>
      <w:bookmarkEnd w:id="6"/>
    </w:p>
    <w:p w14:paraId="2B3351D7" w14:textId="77777777" w:rsidR="00874815" w:rsidRDefault="00317692">
      <w:pPr>
        <w:pStyle w:val="BodyText"/>
        <w:spacing w:after="180"/>
        <w:ind w:firstLine="0"/>
        <w:jc w:val="center"/>
      </w:pPr>
      <w:r>
        <w:rPr>
          <w:rStyle w:val="BodyTextChar"/>
          <w:b/>
        </w:rPr>
        <w:t>Mise sur le marché et mise en service</w:t>
      </w:r>
    </w:p>
    <w:p w14:paraId="6AD76970" w14:textId="77777777" w:rsidR="00874815" w:rsidRDefault="00317692">
      <w:pPr>
        <w:pStyle w:val="BodyText"/>
        <w:spacing w:after="120"/>
        <w:ind w:firstLine="0"/>
        <w:jc w:val="both"/>
      </w:pPr>
      <w:r>
        <w:rPr>
          <w:rStyle w:val="BodyTextChar"/>
        </w:rPr>
        <w:t xml:space="preserve">Article 18. </w:t>
      </w:r>
      <w:r>
        <w:rPr>
          <w:rStyle w:val="BodyTextChar"/>
          <w:i/>
        </w:rPr>
        <w:t>Registre de commercialisation.</w:t>
      </w:r>
    </w:p>
    <w:p w14:paraId="64F4E0B3" w14:textId="77777777" w:rsidR="00874815" w:rsidRDefault="00317692">
      <w:pPr>
        <w:pStyle w:val="BodyText"/>
        <w:numPr>
          <w:ilvl w:val="0"/>
          <w:numId w:val="21"/>
        </w:numPr>
        <w:tabs>
          <w:tab w:val="left" w:pos="709"/>
        </w:tabs>
        <w:jc w:val="both"/>
      </w:pPr>
      <w:r>
        <w:rPr>
          <w:rStyle w:val="BodyTextChar"/>
        </w:rPr>
        <w:t>Tout opérateur économique commercialisant des dispositifs sur le territoire espagnol, à l’exception des dispositifs sur mesure, doit être inscrit dans le registre de commercialisation de l’agence espagnole des médicaments et des dispositifs médicaux. Cet enregistrement doit être effectué avant l’activité de commercialisation par les moyens autorisés au siège électronique de l’agence espagnole des médicaments et des dispositifs médicaux.</w:t>
      </w:r>
    </w:p>
    <w:p w14:paraId="215D2C57" w14:textId="77777777" w:rsidR="00874815" w:rsidRDefault="00317692">
      <w:pPr>
        <w:pStyle w:val="BodyText"/>
        <w:numPr>
          <w:ilvl w:val="0"/>
          <w:numId w:val="21"/>
        </w:numPr>
        <w:tabs>
          <w:tab w:val="left" w:pos="709"/>
        </w:tabs>
        <w:spacing w:after="120"/>
        <w:jc w:val="both"/>
      </w:pPr>
      <w:r>
        <w:rPr>
          <w:rStyle w:val="BodyTextChar"/>
        </w:rPr>
        <w:t xml:space="preserve">Les opérateurs notifient au registre de commercialisation les dispositifs à mettre sur le marché. Cette communication </w:t>
      </w:r>
      <w:proofErr w:type="gramStart"/>
      <w:r>
        <w:rPr>
          <w:rStyle w:val="BodyTextChar"/>
        </w:rPr>
        <w:t>comprend:</w:t>
      </w:r>
      <w:proofErr w:type="gramEnd"/>
    </w:p>
    <w:p w14:paraId="0E7ABC02" w14:textId="77777777" w:rsidR="00874815" w:rsidRDefault="00317692">
      <w:pPr>
        <w:pStyle w:val="BodyText"/>
        <w:numPr>
          <w:ilvl w:val="0"/>
          <w:numId w:val="22"/>
        </w:numPr>
        <w:tabs>
          <w:tab w:val="left" w:pos="744"/>
        </w:tabs>
        <w:jc w:val="both"/>
      </w:pPr>
      <w:r>
        <w:rPr>
          <w:rStyle w:val="BodyTextChar"/>
        </w:rPr>
        <w:t>Les données d'identification de l’opérateur économique qui effectue la communication.</w:t>
      </w:r>
    </w:p>
    <w:p w14:paraId="158B4743" w14:textId="77777777" w:rsidR="00874815" w:rsidRDefault="00317692">
      <w:pPr>
        <w:pStyle w:val="BodyText"/>
        <w:numPr>
          <w:ilvl w:val="0"/>
          <w:numId w:val="22"/>
        </w:numPr>
        <w:tabs>
          <w:tab w:val="left" w:pos="744"/>
        </w:tabs>
        <w:jc w:val="both"/>
      </w:pPr>
      <w:r>
        <w:rPr>
          <w:rStyle w:val="BodyTextChar"/>
        </w:rPr>
        <w:t>Le nom commercial de chacun des dispositifs qu’il commercialise en Espagne.</w:t>
      </w:r>
    </w:p>
    <w:p w14:paraId="1B39811A" w14:textId="77777777" w:rsidR="00874815" w:rsidRDefault="00317692">
      <w:pPr>
        <w:pStyle w:val="BodyText"/>
        <w:numPr>
          <w:ilvl w:val="0"/>
          <w:numId w:val="22"/>
        </w:numPr>
        <w:tabs>
          <w:tab w:val="left" w:pos="744"/>
        </w:tabs>
        <w:jc w:val="both"/>
      </w:pPr>
      <w:r>
        <w:rPr>
          <w:rStyle w:val="BodyTextChar"/>
        </w:rPr>
        <w:t>L’identifiant du dispositif (ci-après</w:t>
      </w:r>
      <w:proofErr w:type="gramStart"/>
      <w:r>
        <w:rPr>
          <w:rStyle w:val="BodyTextChar"/>
        </w:rPr>
        <w:t xml:space="preserve"> «IUD</w:t>
      </w:r>
      <w:proofErr w:type="gramEnd"/>
      <w:r>
        <w:rPr>
          <w:rStyle w:val="BodyTextChar"/>
        </w:rPr>
        <w:t>-ID»)</w:t>
      </w:r>
    </w:p>
    <w:p w14:paraId="081A78EC" w14:textId="77777777" w:rsidR="00874815" w:rsidRDefault="00317692">
      <w:pPr>
        <w:pStyle w:val="BodyText"/>
        <w:numPr>
          <w:ilvl w:val="0"/>
          <w:numId w:val="22"/>
        </w:numPr>
        <w:tabs>
          <w:tab w:val="left" w:pos="709"/>
        </w:tabs>
        <w:jc w:val="both"/>
      </w:pPr>
      <w:r>
        <w:rPr>
          <w:rStyle w:val="BodyTextChar"/>
        </w:rPr>
        <w:t>L’étiquetage et mode d’emploi sous lesquels le dispositif doit être mis sur le marché en Espagne.</w:t>
      </w:r>
    </w:p>
    <w:p w14:paraId="7A9DAB3B" w14:textId="77777777" w:rsidR="00874815" w:rsidRDefault="00317692">
      <w:pPr>
        <w:pStyle w:val="BodyText"/>
        <w:numPr>
          <w:ilvl w:val="0"/>
          <w:numId w:val="22"/>
        </w:numPr>
        <w:tabs>
          <w:tab w:val="left" w:pos="744"/>
        </w:tabs>
        <w:jc w:val="both"/>
      </w:pPr>
      <w:r>
        <w:rPr>
          <w:rStyle w:val="BodyTextChar"/>
        </w:rPr>
        <w:t>La date de début de la commercialisation en Espagne.</w:t>
      </w:r>
    </w:p>
    <w:p w14:paraId="0DBEEACD" w14:textId="77777777" w:rsidR="00874815" w:rsidRDefault="00317692">
      <w:pPr>
        <w:pStyle w:val="BodyText"/>
        <w:numPr>
          <w:ilvl w:val="0"/>
          <w:numId w:val="22"/>
        </w:numPr>
        <w:tabs>
          <w:tab w:val="left" w:pos="709"/>
        </w:tabs>
        <w:spacing w:after="120"/>
        <w:jc w:val="both"/>
      </w:pPr>
      <w:r>
        <w:rPr>
          <w:noProof/>
        </w:rPr>
        <mc:AlternateContent>
          <mc:Choice Requires="wps">
            <w:drawing>
              <wp:anchor distT="0" distB="0" distL="114300" distR="114300" simplePos="0" relativeHeight="125829402" behindDoc="0" locked="0" layoutInCell="1" allowOverlap="1" wp14:anchorId="1A18C435" wp14:editId="432BE744">
                <wp:simplePos x="0" y="0"/>
                <wp:positionH relativeFrom="page">
                  <wp:posOffset>7155180</wp:posOffset>
                </wp:positionH>
                <wp:positionV relativeFrom="paragraph">
                  <wp:posOffset>114300</wp:posOffset>
                </wp:positionV>
                <wp:extent cx="222250" cy="1337945"/>
                <wp:effectExtent l="0" t="0" r="0" b="0"/>
                <wp:wrapSquare wrapText="bothSides"/>
                <wp:docPr id="25" name="Shape 2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08A8A57C"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48E14AE8" w14:textId="77777777" w:rsidR="00874815" w:rsidRDefault="00317692">
                            <w:pPr>
                              <w:pStyle w:val="Bodytext20"/>
                            </w:pPr>
                            <w:r>
                              <w:rPr>
                                <w:rStyle w:val="Bodytext2"/>
                              </w:rPr>
                              <w:t xml:space="preserve">Consultable à l’adresse </w:t>
                            </w:r>
                            <w:hyperlink r:id="rId3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1A18C435" id="Shape 25" o:spid="_x0000_s1038" type="#_x0000_t202" style="position:absolute;left:0;text-align:left;margin-left:563.4pt;margin-top:9pt;width:17.5pt;height:105.35pt;z-index:12582940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CiNew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" filled="f" stroked="f">
                <v:textbox style="layout-flow:vertical;mso-layout-flow-alt:bottom-to-top" inset="0,0,0,0">
                  <w:txbxContent>
                    <w:p w14:paraId="08A8A57C"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8E14AE8" w14:textId="77777777" w:rsidR="00874815" w:rsidRDefault="00000000">
                      <w:pPr>
                        <w:pStyle w:val="Bodytext20"/>
                      </w:pPr>
                      <w:r>
                        <w:rPr>
                          <w:rStyle w:val="Bodytext2"/>
                        </w:rPr>
                        <w:t xml:space="preserve">Consultable à l’adresse </w:t>
                      </w:r>
                      <w:hyperlink r:id="rId32" w:history="1">
                        <w:r>
                          <w:rPr>
                            <w:rStyle w:val="Bodytext2"/>
                          </w:rPr>
                          <w:t xml:space="preserve">https://www.boe.es</w:t>
                        </w:r>
                      </w:hyperlink>
                    </w:p>
                  </w:txbxContent>
                </v:textbox>
                <w10:wrap type="square" anchorx="page"/>
              </v:shape>
            </w:pict>
          </mc:Fallback>
        </mc:AlternateContent>
      </w:r>
      <w:r>
        <w:rPr>
          <w:rStyle w:val="BodyTextChar"/>
        </w:rPr>
        <w:t>Pour les fabricants de dispositifs de retraitement à usage unique, une déclaration indiquant que l’activité de retraitement est effectuée au sein de l’Union européenne.</w:t>
      </w:r>
    </w:p>
    <w:p w14:paraId="70427164" w14:textId="77777777" w:rsidR="00874815" w:rsidRDefault="00317692">
      <w:pPr>
        <w:pStyle w:val="BodyText"/>
        <w:numPr>
          <w:ilvl w:val="0"/>
          <w:numId w:val="21"/>
        </w:numPr>
        <w:tabs>
          <w:tab w:val="left" w:pos="709"/>
        </w:tabs>
        <w:jc w:val="both"/>
      </w:pPr>
      <w:r>
        <w:rPr>
          <w:rStyle w:val="BodyTextChar"/>
        </w:rPr>
        <w:t>Toute modification des informations visées au paragraphe précédent du présent article est communiquée au registre et à la cessation de la commercialisation.</w:t>
      </w:r>
    </w:p>
    <w:p w14:paraId="40050F00" w14:textId="77777777" w:rsidR="00874815" w:rsidRDefault="00317692">
      <w:pPr>
        <w:pStyle w:val="BodyText"/>
        <w:numPr>
          <w:ilvl w:val="0"/>
          <w:numId w:val="21"/>
        </w:numPr>
        <w:tabs>
          <w:tab w:val="left" w:pos="709"/>
        </w:tabs>
        <w:jc w:val="both"/>
      </w:pPr>
      <w:r>
        <w:rPr>
          <w:rStyle w:val="BodyTextChar"/>
        </w:rPr>
        <w:t>Les pharmacies et tout autre point de vente destiné exclusivement au public sont exemptés de l’obligation de se conformer aux paragraphes 1 et 2.</w:t>
      </w:r>
    </w:p>
    <w:p w14:paraId="1D1D4EA4" w14:textId="77777777" w:rsidR="00874815" w:rsidRDefault="00317692">
      <w:pPr>
        <w:pStyle w:val="BodyText"/>
        <w:numPr>
          <w:ilvl w:val="0"/>
          <w:numId w:val="21"/>
        </w:numPr>
        <w:tabs>
          <w:tab w:val="left" w:pos="709"/>
        </w:tabs>
        <w:spacing w:after="120"/>
        <w:jc w:val="both"/>
      </w:pPr>
      <w:r>
        <w:rPr>
          <w:rStyle w:val="BodyTextChar"/>
        </w:rPr>
        <w:t>Les opérateurs économiques actualisent chaque année leur communication au registre de commercialisation en indiquant les dispositifs qu’ils continuent de commercialiser.</w:t>
      </w:r>
      <w:r>
        <w:br w:type="page"/>
      </w:r>
    </w:p>
    <w:p w14:paraId="085EA2AD" w14:textId="77777777" w:rsidR="00874815" w:rsidRDefault="00317692">
      <w:pPr>
        <w:pStyle w:val="BodyText"/>
        <w:jc w:val="both"/>
      </w:pPr>
      <w:r>
        <w:rPr>
          <w:rStyle w:val="BodyTextChar"/>
        </w:rPr>
        <w:lastRenderedPageBreak/>
        <w:t>L’absence de mise à jour de la communication entraînera le retrait des dispositifs et de l’opérateur économique du registre de commercialisation.</w:t>
      </w:r>
    </w:p>
    <w:p w14:paraId="31938A0F" w14:textId="77777777" w:rsidR="00874815" w:rsidRDefault="00317692">
      <w:pPr>
        <w:pStyle w:val="BodyText"/>
        <w:numPr>
          <w:ilvl w:val="0"/>
          <w:numId w:val="21"/>
        </w:numPr>
        <w:tabs>
          <w:tab w:val="left" w:pos="713"/>
        </w:tabs>
        <w:spacing w:after="180"/>
        <w:jc w:val="both"/>
      </w:pPr>
      <w:r>
        <w:rPr>
          <w:rStyle w:val="BodyTextChar"/>
        </w:rPr>
        <w:t>L’agence espagnole des médicaments et des dispositifs médicaux tient à jour un registre de toutes les communications visées au paragraphe précédent.</w:t>
      </w:r>
    </w:p>
    <w:p w14:paraId="042438AB" w14:textId="77777777" w:rsidR="00874815" w:rsidRDefault="00317692">
      <w:pPr>
        <w:pStyle w:val="BodyText"/>
        <w:spacing w:after="120"/>
        <w:ind w:firstLine="0"/>
        <w:jc w:val="both"/>
      </w:pPr>
      <w:r>
        <w:rPr>
          <w:rStyle w:val="BodyTextChar"/>
        </w:rPr>
        <w:t xml:space="preserve">Article 19. </w:t>
      </w:r>
      <w:r>
        <w:rPr>
          <w:rStyle w:val="BodyTextChar"/>
          <w:i/>
        </w:rPr>
        <w:t>Identification et traçabilité de l’appareil.</w:t>
      </w:r>
    </w:p>
    <w:p w14:paraId="7C9EBC14" w14:textId="77777777" w:rsidR="00874815" w:rsidRDefault="00317692">
      <w:pPr>
        <w:pStyle w:val="BodyText"/>
        <w:numPr>
          <w:ilvl w:val="0"/>
          <w:numId w:val="23"/>
        </w:numPr>
        <w:tabs>
          <w:tab w:val="left" w:pos="713"/>
        </w:tabs>
        <w:spacing w:after="120"/>
        <w:jc w:val="both"/>
      </w:pPr>
      <w:r>
        <w:rPr>
          <w:rStyle w:val="BodyTextChar"/>
        </w:rPr>
        <w:t xml:space="preserve">Tout opérateur économique mettant des dispositifs sur le marché tient un registre documenté des dispositifs mis à disposition sur le territoire espagnol contenant au moins les informations </w:t>
      </w:r>
      <w:proofErr w:type="gramStart"/>
      <w:r>
        <w:rPr>
          <w:rStyle w:val="BodyTextChar"/>
        </w:rPr>
        <w:t>suivantes:</w:t>
      </w:r>
      <w:proofErr w:type="gramEnd"/>
    </w:p>
    <w:p w14:paraId="70A241CD" w14:textId="77777777" w:rsidR="00874815" w:rsidRDefault="00317692">
      <w:pPr>
        <w:pStyle w:val="BodyText"/>
        <w:numPr>
          <w:ilvl w:val="0"/>
          <w:numId w:val="24"/>
        </w:numPr>
        <w:tabs>
          <w:tab w:val="left" w:pos="744"/>
        </w:tabs>
        <w:jc w:val="both"/>
      </w:pPr>
      <w:r>
        <w:rPr>
          <w:rStyle w:val="BodyTextChar"/>
        </w:rPr>
        <w:t>Le nom commercial de l’appareil.</w:t>
      </w:r>
    </w:p>
    <w:p w14:paraId="1BC33D1A" w14:textId="77777777" w:rsidR="00874815" w:rsidRDefault="00317692">
      <w:pPr>
        <w:pStyle w:val="BodyText"/>
        <w:numPr>
          <w:ilvl w:val="0"/>
          <w:numId w:val="24"/>
        </w:numPr>
        <w:tabs>
          <w:tab w:val="left" w:pos="744"/>
        </w:tabs>
        <w:jc w:val="both"/>
      </w:pPr>
      <w:r>
        <w:rPr>
          <w:rStyle w:val="BodyTextChar"/>
        </w:rPr>
        <w:t>Le modèle.</w:t>
      </w:r>
    </w:p>
    <w:p w14:paraId="2C0BCA04" w14:textId="77777777" w:rsidR="00874815" w:rsidRDefault="00317692">
      <w:pPr>
        <w:pStyle w:val="BodyText"/>
        <w:numPr>
          <w:ilvl w:val="0"/>
          <w:numId w:val="24"/>
        </w:numPr>
        <w:tabs>
          <w:tab w:val="left" w:pos="713"/>
        </w:tabs>
        <w:jc w:val="both"/>
      </w:pPr>
      <w:r>
        <w:rPr>
          <w:rStyle w:val="BodyTextChar"/>
        </w:rPr>
        <w:t>L’identifiant du dispositif (ci-après</w:t>
      </w:r>
      <w:proofErr w:type="gramStart"/>
      <w:r>
        <w:rPr>
          <w:rStyle w:val="BodyTextChar"/>
        </w:rPr>
        <w:t xml:space="preserve"> «IUD</w:t>
      </w:r>
      <w:proofErr w:type="gramEnd"/>
      <w:r>
        <w:rPr>
          <w:rStyle w:val="BodyTextChar"/>
        </w:rPr>
        <w:t>-ID»), à l’exception des dispositifs implantables de classe III, des catégories ou groupes de dispositifs tels que définis à l’article 27, paragraphe 8, du règlement (UE) 2017/745 du Parlement européen et du Conseil du 5 avril 2017 pour lesquels l’IUD doit être stocké et conservé.</w:t>
      </w:r>
    </w:p>
    <w:p w14:paraId="5B51BE70" w14:textId="77777777" w:rsidR="00874815" w:rsidRDefault="00317692">
      <w:pPr>
        <w:pStyle w:val="BodyText"/>
        <w:numPr>
          <w:ilvl w:val="0"/>
          <w:numId w:val="24"/>
        </w:numPr>
        <w:tabs>
          <w:tab w:val="left" w:pos="744"/>
        </w:tabs>
        <w:jc w:val="both"/>
      </w:pPr>
      <w:r>
        <w:rPr>
          <w:rStyle w:val="BodyTextChar"/>
        </w:rPr>
        <w:t>Le numéro de série ou numéro de lot.</w:t>
      </w:r>
    </w:p>
    <w:p w14:paraId="6A03B75C" w14:textId="77777777" w:rsidR="00874815" w:rsidRDefault="00317692">
      <w:pPr>
        <w:pStyle w:val="BodyText"/>
        <w:numPr>
          <w:ilvl w:val="0"/>
          <w:numId w:val="24"/>
        </w:numPr>
        <w:tabs>
          <w:tab w:val="left" w:pos="744"/>
        </w:tabs>
        <w:jc w:val="both"/>
      </w:pPr>
      <w:r>
        <w:rPr>
          <w:rStyle w:val="BodyTextChar"/>
        </w:rPr>
        <w:t>La date d’expédition ou de livraison.</w:t>
      </w:r>
    </w:p>
    <w:p w14:paraId="2B9E3B1C" w14:textId="77777777" w:rsidR="00874815" w:rsidRDefault="00317692">
      <w:pPr>
        <w:pStyle w:val="BodyText"/>
        <w:numPr>
          <w:ilvl w:val="0"/>
          <w:numId w:val="24"/>
        </w:numPr>
        <w:tabs>
          <w:tab w:val="left" w:pos="744"/>
        </w:tabs>
        <w:jc w:val="both"/>
      </w:pPr>
      <w:r>
        <w:rPr>
          <w:rStyle w:val="BodyTextChar"/>
        </w:rPr>
        <w:t>L’identification de l’opérateur économique qui l’a fourni.</w:t>
      </w:r>
    </w:p>
    <w:p w14:paraId="704E7038" w14:textId="77777777" w:rsidR="00874815" w:rsidRDefault="00317692">
      <w:pPr>
        <w:pStyle w:val="BodyText"/>
        <w:numPr>
          <w:ilvl w:val="0"/>
          <w:numId w:val="24"/>
        </w:numPr>
        <w:tabs>
          <w:tab w:val="left" w:pos="713"/>
        </w:tabs>
        <w:spacing w:after="120"/>
        <w:jc w:val="both"/>
      </w:pPr>
      <w:r>
        <w:rPr>
          <w:rStyle w:val="BodyTextChar"/>
        </w:rPr>
        <w:t>L’identification de l’opérateur économique, du centre de santé, du professionnel de santé ou du professionnel pour les dispositifs énumérés à l’annexe XVI du règlement (UE) 2017/745 du Parlement européen et du Conseil du 5 avril 2017 auquel le dispositif a été fourni.</w:t>
      </w:r>
    </w:p>
    <w:p w14:paraId="0C340663" w14:textId="77777777" w:rsidR="00874815" w:rsidRDefault="00317692">
      <w:pPr>
        <w:pStyle w:val="BodyText"/>
        <w:numPr>
          <w:ilvl w:val="0"/>
          <w:numId w:val="23"/>
        </w:numPr>
        <w:tabs>
          <w:tab w:val="left" w:pos="713"/>
        </w:tabs>
        <w:spacing w:after="180"/>
        <w:jc w:val="both"/>
      </w:pPr>
      <w:r>
        <w:rPr>
          <w:rStyle w:val="BodyTextChar"/>
        </w:rPr>
        <w:t>Les pharmacies et tout autre point de vente destiné exclusivement au public tiennent un registre documenté des dispositifs qu’ils mettent à disposition sur le territoire espagnol contenant au moins les données visées au paragraphe 1, points a), e) et f).</w:t>
      </w:r>
    </w:p>
    <w:p w14:paraId="42E5C920" w14:textId="77777777" w:rsidR="00874815" w:rsidRDefault="00317692">
      <w:pPr>
        <w:pStyle w:val="BodyText"/>
        <w:spacing w:after="120"/>
        <w:ind w:firstLine="0"/>
        <w:jc w:val="both"/>
      </w:pPr>
      <w:r>
        <w:rPr>
          <w:rStyle w:val="BodyTextChar"/>
        </w:rPr>
        <w:t xml:space="preserve">Article 20. </w:t>
      </w:r>
      <w:proofErr w:type="spellStart"/>
      <w:r>
        <w:rPr>
          <w:rStyle w:val="BodyTextChar"/>
          <w:i/>
        </w:rPr>
        <w:t>Réétiquetage</w:t>
      </w:r>
      <w:proofErr w:type="spellEnd"/>
      <w:r>
        <w:rPr>
          <w:rStyle w:val="BodyTextChar"/>
          <w:i/>
        </w:rPr>
        <w:t>, reconditionnement et traductions.</w:t>
      </w:r>
    </w:p>
    <w:p w14:paraId="04619D35" w14:textId="77777777" w:rsidR="00874815" w:rsidRDefault="00317692">
      <w:pPr>
        <w:pStyle w:val="BodyText"/>
        <w:spacing w:after="180"/>
        <w:jc w:val="both"/>
      </w:pPr>
      <w:r>
        <w:rPr>
          <w:rStyle w:val="BodyTextChar"/>
        </w:rPr>
        <w:t>L’agence espagnole des médicaments et des dispositifs médicaux fournit aux importateurs et aux distributeurs les moyens nécessaires pour se conformer aux obligations énoncées à l’article 16, paragraphe 4, du règlement (UE) 2017/745 du Parlement européen et du Conseil du 5 avril 2017 à l’égard de cette autorité compétente.</w:t>
      </w:r>
    </w:p>
    <w:p w14:paraId="2FD89FCB" w14:textId="77777777" w:rsidR="00874815" w:rsidRDefault="00317692">
      <w:pPr>
        <w:pStyle w:val="BodyText"/>
        <w:spacing w:after="120"/>
        <w:ind w:left="360" w:hanging="360"/>
        <w:jc w:val="both"/>
      </w:pPr>
      <w:r>
        <w:rPr>
          <w:rStyle w:val="BodyTextChar"/>
        </w:rPr>
        <w:t xml:space="preserve">Article 21. </w:t>
      </w:r>
      <w:r>
        <w:rPr>
          <w:rStyle w:val="BodyTextChar"/>
          <w:i/>
        </w:rPr>
        <w:t>Enregistrement des personnes responsables de la mise sur le marché de dispositifs sur mesure.</w:t>
      </w:r>
    </w:p>
    <w:p w14:paraId="247708A9" w14:textId="77777777" w:rsidR="00874815" w:rsidRDefault="00317692">
      <w:pPr>
        <w:pStyle w:val="BodyText"/>
        <w:numPr>
          <w:ilvl w:val="0"/>
          <w:numId w:val="25"/>
        </w:numPr>
        <w:tabs>
          <w:tab w:val="left" w:pos="713"/>
        </w:tabs>
        <w:jc w:val="both"/>
      </w:pPr>
      <w:r>
        <w:rPr>
          <w:noProof/>
        </w:rPr>
        <mc:AlternateContent>
          <mc:Choice Requires="wps">
            <w:drawing>
              <wp:anchor distT="0" distB="0" distL="114300" distR="114300" simplePos="0" relativeHeight="125829404" behindDoc="0" locked="0" layoutInCell="1" allowOverlap="1" wp14:anchorId="0653F685" wp14:editId="5E25057C">
                <wp:simplePos x="0" y="0"/>
                <wp:positionH relativeFrom="page">
                  <wp:posOffset>7155180</wp:posOffset>
                </wp:positionH>
                <wp:positionV relativeFrom="paragraph">
                  <wp:posOffset>863600</wp:posOffset>
                </wp:positionV>
                <wp:extent cx="222250" cy="1337945"/>
                <wp:effectExtent l="0" t="0" r="0" b="0"/>
                <wp:wrapSquare wrapText="bothSides"/>
                <wp:docPr id="27" name="Shape 2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EEC9BB8"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661EBA42" w14:textId="77777777" w:rsidR="00874815" w:rsidRDefault="00317692">
                            <w:pPr>
                              <w:pStyle w:val="Bodytext20"/>
                            </w:pPr>
                            <w:r>
                              <w:rPr>
                                <w:rStyle w:val="Bodytext2"/>
                              </w:rPr>
                              <w:t xml:space="preserve">Consultable à l’adresse </w:t>
                            </w:r>
                            <w:hyperlink r:id="rId3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653F685" id="Shape 27" o:spid="_x0000_s1039" type="#_x0000_t202" style="position:absolute;left:0;text-align:left;margin-left:563.4pt;margin-top:68pt;width:17.5pt;height:105.35pt;z-index:1258294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Nph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" filled="f" stroked="f">
                <v:textbox style="layout-flow:vertical;mso-layout-flow-alt:bottom-to-top" inset="0,0,0,0">
                  <w:txbxContent>
                    <w:p w14:paraId="4EEC9BB8"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61EBA42" w14:textId="77777777" w:rsidR="00874815" w:rsidRDefault="00000000">
                      <w:pPr>
                        <w:pStyle w:val="Bodytext20"/>
                      </w:pPr>
                      <w:r>
                        <w:rPr>
                          <w:rStyle w:val="Bodytext2"/>
                        </w:rPr>
                        <w:t xml:space="preserve">Consultable à l’adresse </w:t>
                      </w:r>
                      <w:hyperlink r:id="rId34" w:history="1">
                        <w:r>
                          <w:rPr>
                            <w:rStyle w:val="Bodytext2"/>
                          </w:rPr>
                          <w:t xml:space="preserve">https://www.boe.es</w:t>
                        </w:r>
                      </w:hyperlink>
                    </w:p>
                  </w:txbxContent>
                </v:textbox>
                <w10:wrap type="square" anchorx="page"/>
              </v:shape>
            </w:pict>
          </mc:Fallback>
        </mc:AlternateContent>
      </w:r>
      <w:r>
        <w:rPr>
          <w:rStyle w:val="BodyTextChar"/>
        </w:rPr>
        <w:t>Tout fabricant qui met sur le marché des dispositifs sur mesure communique au registre des personnes responsables de la mise sur le marché de l’agence espagnole des médicaments et des dispositifs médicaux, par les moyens autorisés, au siège électronique de l’agence espagnole des médicaments et des dispositifs médicaux. Cette obligation est étendue aux mandataires établis en Espagne.</w:t>
      </w:r>
    </w:p>
    <w:p w14:paraId="0594140A" w14:textId="77777777" w:rsidR="00874815" w:rsidRDefault="00317692">
      <w:pPr>
        <w:pStyle w:val="BodyText"/>
        <w:jc w:val="both"/>
      </w:pPr>
      <w:r>
        <w:rPr>
          <w:rStyle w:val="BodyTextChar"/>
        </w:rPr>
        <w:t>Ce registre contient l’adresse de son siège statutaire, la liste et la description des dispositifs qu’il fabrique et le certificat de conformité délivré par un organisme notifié pour les dispositifs implantables de classe III.</w:t>
      </w:r>
    </w:p>
    <w:p w14:paraId="1CD1728A" w14:textId="77777777" w:rsidR="00874815" w:rsidRDefault="00317692">
      <w:pPr>
        <w:pStyle w:val="BodyText"/>
        <w:numPr>
          <w:ilvl w:val="0"/>
          <w:numId w:val="25"/>
        </w:numPr>
        <w:tabs>
          <w:tab w:val="left" w:pos="713"/>
        </w:tabs>
        <w:spacing w:after="120"/>
        <w:jc w:val="both"/>
      </w:pPr>
      <w:r>
        <w:rPr>
          <w:rStyle w:val="BodyTextChar"/>
        </w:rPr>
        <w:t>Toute modification des données visées au paragraphe précédent est communiquée conformément à la procédure prévue au présent article. La cessation de la mise sur le marché des dispositifs est également signalée.</w:t>
      </w:r>
      <w:r>
        <w:br w:type="page"/>
      </w:r>
    </w:p>
    <w:p w14:paraId="2A23E6BC" w14:textId="77777777" w:rsidR="00874815" w:rsidRDefault="00317692">
      <w:pPr>
        <w:pStyle w:val="BodyText"/>
        <w:spacing w:after="120"/>
        <w:ind w:firstLine="0"/>
        <w:jc w:val="both"/>
      </w:pPr>
      <w:r>
        <w:rPr>
          <w:rStyle w:val="BodyTextChar"/>
        </w:rPr>
        <w:lastRenderedPageBreak/>
        <w:t xml:space="preserve">Article 22. </w:t>
      </w:r>
      <w:r>
        <w:rPr>
          <w:rStyle w:val="BodyTextChar"/>
          <w:i/>
        </w:rPr>
        <w:t>Information aux communautés autonomes.</w:t>
      </w:r>
    </w:p>
    <w:p w14:paraId="3E578287" w14:textId="77777777" w:rsidR="00874815" w:rsidRDefault="00317692">
      <w:pPr>
        <w:pStyle w:val="BodyText"/>
        <w:spacing w:after="180"/>
        <w:jc w:val="both"/>
      </w:pPr>
      <w:r>
        <w:rPr>
          <w:rStyle w:val="BodyTextChar"/>
        </w:rPr>
        <w:t>L’agence espagnole des médicaments et des dispositifs médicaux donne aux autorités sanitaires compétentes des communautés autonomes l’accès aux registres prévus aux articles 18 et 21.</w:t>
      </w:r>
    </w:p>
    <w:p w14:paraId="3E3752C7" w14:textId="77777777" w:rsidR="00874815" w:rsidRDefault="00317692">
      <w:pPr>
        <w:pStyle w:val="BodyText"/>
        <w:spacing w:after="120"/>
        <w:ind w:firstLine="0"/>
        <w:jc w:val="both"/>
      </w:pPr>
      <w:r>
        <w:rPr>
          <w:rStyle w:val="BodyTextChar"/>
        </w:rPr>
        <w:t xml:space="preserve">Article 23. </w:t>
      </w:r>
      <w:r>
        <w:rPr>
          <w:rStyle w:val="BodyTextChar"/>
          <w:i/>
        </w:rPr>
        <w:t>Obligations des agents économiques.</w:t>
      </w:r>
    </w:p>
    <w:p w14:paraId="6B6F7F0C" w14:textId="77777777" w:rsidR="00874815" w:rsidRDefault="00317692">
      <w:pPr>
        <w:pStyle w:val="BodyText"/>
        <w:numPr>
          <w:ilvl w:val="0"/>
          <w:numId w:val="26"/>
        </w:numPr>
        <w:tabs>
          <w:tab w:val="left" w:pos="730"/>
        </w:tabs>
        <w:spacing w:after="120"/>
        <w:jc w:val="both"/>
      </w:pPr>
      <w:r>
        <w:rPr>
          <w:rStyle w:val="BodyTextChar"/>
        </w:rPr>
        <w:t xml:space="preserve">Les opérateurs </w:t>
      </w:r>
      <w:proofErr w:type="gramStart"/>
      <w:r>
        <w:rPr>
          <w:rStyle w:val="BodyTextChar"/>
        </w:rPr>
        <w:t>économiques:</w:t>
      </w:r>
      <w:proofErr w:type="gramEnd"/>
    </w:p>
    <w:p w14:paraId="2F69D8A3" w14:textId="77777777" w:rsidR="00874815" w:rsidRDefault="00317692">
      <w:pPr>
        <w:pStyle w:val="BodyText"/>
        <w:numPr>
          <w:ilvl w:val="0"/>
          <w:numId w:val="27"/>
        </w:numPr>
        <w:tabs>
          <w:tab w:val="left" w:pos="721"/>
        </w:tabs>
        <w:jc w:val="both"/>
      </w:pPr>
      <w:r>
        <w:rPr>
          <w:rStyle w:val="BodyTextChar"/>
        </w:rPr>
        <w:t>Soumettent en espagnol, en réponse à une demande motivée des autorités sanitaires, la quantité d’informations jugées nécessaires pour juger de la conformité d’un dispositif. Toutefois, les autorités peuvent accepter la présentation de documents à l’appui de cette conformité dans d’autres langues. Le refus de fournir les documents visés au présent article peut être considéré comme une présomption de non-conformité.</w:t>
      </w:r>
    </w:p>
    <w:p w14:paraId="0AA8A0A3" w14:textId="77777777" w:rsidR="00874815" w:rsidRDefault="00317692">
      <w:pPr>
        <w:pStyle w:val="BodyText"/>
        <w:jc w:val="both"/>
      </w:pPr>
      <w:r>
        <w:rPr>
          <w:rStyle w:val="BodyTextChar"/>
        </w:rPr>
        <w:t>Dans le cas où l’importateur, le distributeur ou la personne visé à l’article 22, paragraphes 1 et 3, du règlement (UE) 2017/745 du Parlement européen et du Conseil du 5 avril 2017 ne dispose pas des documents visés au paragraphe précédent, il l’obtient auprès du fabricant ou du mandataire ou demande au fabricant ou au mandataire de les soumettre directement aux autorités sanitaires.</w:t>
      </w:r>
    </w:p>
    <w:p w14:paraId="02274245" w14:textId="77777777" w:rsidR="00874815" w:rsidRDefault="00317692">
      <w:pPr>
        <w:pStyle w:val="BodyText"/>
        <w:numPr>
          <w:ilvl w:val="0"/>
          <w:numId w:val="27"/>
        </w:numPr>
        <w:tabs>
          <w:tab w:val="left" w:pos="721"/>
        </w:tabs>
        <w:jc w:val="both"/>
      </w:pPr>
      <w:r>
        <w:rPr>
          <w:rStyle w:val="BodyTextChar"/>
        </w:rPr>
        <w:t>Mettent fin à la situation d’infraction dans les conditions fixées par les autorités sanitaires immédiatement, dans le cas d’un dispositif qui ne porte pas le marquage CE contraire aux dispositions de la réglementation des dispositifs médicaux, ou de leur apposition inappropriée, ou en cas de non-conformité.</w:t>
      </w:r>
    </w:p>
    <w:p w14:paraId="3725F542" w14:textId="77777777" w:rsidR="00874815" w:rsidRDefault="00317692">
      <w:pPr>
        <w:pStyle w:val="BodyText"/>
        <w:numPr>
          <w:ilvl w:val="0"/>
          <w:numId w:val="27"/>
        </w:numPr>
        <w:tabs>
          <w:tab w:val="left" w:pos="721"/>
        </w:tabs>
        <w:spacing w:after="120"/>
        <w:jc w:val="both"/>
      </w:pPr>
      <w:r>
        <w:rPr>
          <w:rStyle w:val="BodyTextChar"/>
        </w:rPr>
        <w:t>Prennent en charge les coûts de vérification de la non-conformité d’un dispositif par les autorités sanitaires, lorsque celles-ci nécessitent des évaluations ou des essais sur le dispositif ou sa documentation technique, à l’exception des pharmacies et de tout autre point de vente destiné exclusivement au public.</w:t>
      </w:r>
    </w:p>
    <w:p w14:paraId="463EB48D" w14:textId="77777777" w:rsidR="00874815" w:rsidRDefault="00317692">
      <w:pPr>
        <w:pStyle w:val="BodyText"/>
        <w:numPr>
          <w:ilvl w:val="0"/>
          <w:numId w:val="26"/>
        </w:numPr>
        <w:tabs>
          <w:tab w:val="left" w:pos="721"/>
        </w:tabs>
        <w:jc w:val="both"/>
      </w:pPr>
      <w:r>
        <w:rPr>
          <w:rStyle w:val="BodyTextChar"/>
        </w:rPr>
        <w:t>Les importateurs et les distributeurs veillent à ce qu’au moment de la mise en service, le dispositif soit accompagné des indications et des informations visées à l’article 5, paragraphe 2, tant sur l’étiquetage que dans le mode d’emploi, comme le prévoit cet article.</w:t>
      </w:r>
    </w:p>
    <w:p w14:paraId="6EA17251" w14:textId="77777777" w:rsidR="00874815" w:rsidRDefault="00317692">
      <w:pPr>
        <w:pStyle w:val="BodyText"/>
        <w:numPr>
          <w:ilvl w:val="0"/>
          <w:numId w:val="26"/>
        </w:numPr>
        <w:tabs>
          <w:tab w:val="left" w:pos="721"/>
        </w:tabs>
        <w:jc w:val="both"/>
      </w:pPr>
      <w:r>
        <w:rPr>
          <w:rStyle w:val="BodyTextChar"/>
        </w:rPr>
        <w:t>L’importateur et le distributeur veillent, à l’exception des pharmacies et de tout autre point de vente destiné exclusivement au public, à ce que les obligations de notification prévues à l’article 87 du règlement (UE) 2017/745 du Parlement européen et du Conseil du 5 avril 2017 soient respectées et, si nécessaire, en informent l’agence espagnole des médicaments et des dispositifs médicaux.</w:t>
      </w:r>
    </w:p>
    <w:p w14:paraId="42AB793F" w14:textId="77777777" w:rsidR="00874815" w:rsidRDefault="00317692">
      <w:pPr>
        <w:pStyle w:val="BodyText"/>
        <w:numPr>
          <w:ilvl w:val="0"/>
          <w:numId w:val="26"/>
        </w:numPr>
        <w:tabs>
          <w:tab w:val="left" w:pos="721"/>
        </w:tabs>
        <w:jc w:val="both"/>
      </w:pPr>
      <w:r>
        <w:rPr>
          <w:rStyle w:val="BodyTextChar"/>
        </w:rPr>
        <w:t>Lorsqu’un fabricant, y compris les fabricants de dispositifs sur mesure établis en Espagne, est en faillite ou cesse de fonctionner, il tient à la disposition des autorités compétentes concernées pendant une période d’au moins dix ans, ou de quinze ans dans le cas de dispositifs médicaux implantables, après la mise sur le marché du dernier dispositif, la documentation pertinente figurant aux annexes IX, X, XI et XIII du règlement (UE) 2017/745 du Parlement européen et du Conseil du 5 avril 2017.</w:t>
      </w:r>
    </w:p>
    <w:p w14:paraId="47574E69" w14:textId="77777777" w:rsidR="00874815" w:rsidRDefault="00317692">
      <w:pPr>
        <w:pStyle w:val="BodyText"/>
        <w:spacing w:after="120"/>
        <w:jc w:val="both"/>
      </w:pPr>
      <w:r>
        <w:rPr>
          <w:noProof/>
        </w:rPr>
        <mc:AlternateContent>
          <mc:Choice Requires="wps">
            <w:drawing>
              <wp:anchor distT="0" distB="0" distL="114300" distR="114300" simplePos="0" relativeHeight="125829406" behindDoc="0" locked="0" layoutInCell="1" allowOverlap="1" wp14:anchorId="4D505697" wp14:editId="1E16B1F4">
                <wp:simplePos x="0" y="0"/>
                <wp:positionH relativeFrom="page">
                  <wp:posOffset>7155180</wp:posOffset>
                </wp:positionH>
                <wp:positionV relativeFrom="paragraph">
                  <wp:posOffset>50800</wp:posOffset>
                </wp:positionV>
                <wp:extent cx="222250" cy="1337945"/>
                <wp:effectExtent l="0" t="0" r="0" b="0"/>
                <wp:wrapSquare wrapText="bothSides"/>
                <wp:docPr id="29" name="Shape 2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7DD405A"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DFAAA29" w14:textId="77777777" w:rsidR="00874815" w:rsidRDefault="00317692">
                            <w:pPr>
                              <w:pStyle w:val="Bodytext20"/>
                            </w:pPr>
                            <w:r>
                              <w:rPr>
                                <w:rStyle w:val="Bodytext2"/>
                              </w:rPr>
                              <w:t xml:space="preserve">Consultable à l’adresse </w:t>
                            </w:r>
                            <w:hyperlink r:id="rId3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D505697" id="Shape 29" o:spid="_x0000_s1040" type="#_x0000_t202" style="position:absolute;left:0;text-align:left;margin-left:563.4pt;margin-top:4pt;width:17.5pt;height:105.35pt;z-index:12582940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" filled="f" stroked="f">
                <v:textbox style="layout-flow:vertical;mso-layout-flow-alt:bottom-to-top" inset="0,0,0,0">
                  <w:txbxContent>
                    <w:p w14:paraId="77DD405A"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DFAAA29" w14:textId="77777777" w:rsidR="00874815" w:rsidRDefault="00000000">
                      <w:pPr>
                        <w:pStyle w:val="Bodytext20"/>
                      </w:pPr>
                      <w:r>
                        <w:rPr>
                          <w:rStyle w:val="Bodytext2"/>
                        </w:rPr>
                        <w:t xml:space="preserve">Consultable à l’adresse </w:t>
                      </w:r>
                      <w:hyperlink r:id="rId36" w:history="1">
                        <w:r>
                          <w:rPr>
                            <w:rStyle w:val="Bodytext2"/>
                          </w:rPr>
                          <w:t xml:space="preserve">https://www.boe.es</w:t>
                        </w:r>
                      </w:hyperlink>
                    </w:p>
                  </w:txbxContent>
                </v:textbox>
                <w10:wrap type="square" anchorx="page"/>
              </v:shape>
            </w:pict>
          </mc:Fallback>
        </mc:AlternateContent>
      </w:r>
      <w:r>
        <w:rPr>
          <w:rStyle w:val="BodyTextChar"/>
        </w:rPr>
        <w:t xml:space="preserve">Les fabricants doivent informer l’agence espagnole des médicaments et des dispositifs médicaux de cette situation afin d’établir des mesures appropriées pour la conservation de la documentation ou la présentation de celle-ci. Toutefois, dans le cas des fabricants de dispositifs sur mesure établis en Espagne, cette communication doit être faite à la communauté autonome concernée, afin d’établir les mesures appropriées pour la conservation de la documentation ou la présentation de celle-ci. </w:t>
      </w:r>
      <w:r>
        <w:br w:type="page"/>
      </w:r>
    </w:p>
    <w:p w14:paraId="7B67FAE4" w14:textId="77777777" w:rsidR="00874815" w:rsidRDefault="00317692">
      <w:pPr>
        <w:pStyle w:val="BodyText"/>
        <w:spacing w:after="180"/>
        <w:jc w:val="both"/>
      </w:pPr>
      <w:r>
        <w:rPr>
          <w:rStyle w:val="BodyTextChar"/>
        </w:rPr>
        <w:lastRenderedPageBreak/>
        <w:t>Cette obligation s’applique également aux mandataires établis en Espagne lorsque le fabricant n’a pas de siège statutaire dans un État membre.</w:t>
      </w:r>
    </w:p>
    <w:p w14:paraId="5F10FA7B" w14:textId="77777777" w:rsidR="00874815" w:rsidRDefault="00317692">
      <w:pPr>
        <w:pStyle w:val="BodyText"/>
        <w:spacing w:after="120"/>
        <w:ind w:firstLine="0"/>
        <w:jc w:val="both"/>
      </w:pPr>
      <w:r>
        <w:rPr>
          <w:rStyle w:val="BodyTextChar"/>
        </w:rPr>
        <w:t xml:space="preserve">Article 24. </w:t>
      </w:r>
      <w:r>
        <w:rPr>
          <w:rStyle w:val="BodyTextChar"/>
          <w:i/>
        </w:rPr>
        <w:t>Distribution et vente.</w:t>
      </w:r>
    </w:p>
    <w:p w14:paraId="2966320D" w14:textId="77777777" w:rsidR="00874815" w:rsidRDefault="00317692">
      <w:pPr>
        <w:pStyle w:val="BodyText"/>
        <w:numPr>
          <w:ilvl w:val="0"/>
          <w:numId w:val="28"/>
        </w:numPr>
        <w:tabs>
          <w:tab w:val="left" w:pos="717"/>
        </w:tabs>
        <w:jc w:val="both"/>
      </w:pPr>
      <w:r>
        <w:rPr>
          <w:rStyle w:val="BodyTextChar"/>
        </w:rPr>
        <w:t>Seuls les appareils conformes au règlement (UE) 2017/745 du Parlement européen et du Conseil du 5 avril 2017 et au présent décret royal, et non périmés, peuvent être distribués et vendus.</w:t>
      </w:r>
    </w:p>
    <w:p w14:paraId="509AEFBE" w14:textId="77777777" w:rsidR="00874815" w:rsidRDefault="00317692">
      <w:pPr>
        <w:pStyle w:val="BodyText"/>
        <w:numPr>
          <w:ilvl w:val="0"/>
          <w:numId w:val="28"/>
        </w:numPr>
        <w:tabs>
          <w:tab w:val="left" w:pos="717"/>
        </w:tabs>
        <w:jc w:val="both"/>
      </w:pPr>
      <w:r>
        <w:rPr>
          <w:rStyle w:val="BodyTextChar"/>
        </w:rPr>
        <w:t>La distribution et la vente des dispositifs sont effectuées de manière à assurer le stockage et la conservation appropriés des dispositifs.</w:t>
      </w:r>
    </w:p>
    <w:p w14:paraId="62EC2FC0" w14:textId="77777777" w:rsidR="00874815" w:rsidRDefault="00317692">
      <w:pPr>
        <w:pStyle w:val="BodyText"/>
        <w:jc w:val="both"/>
      </w:pPr>
      <w:r>
        <w:rPr>
          <w:rStyle w:val="BodyTextChar"/>
        </w:rPr>
        <w:t>Les activités de distribution et de vente font l’objet d’une surveillance et d’un contrôle par les autorités sanitaires de la communauté autonome concernée.</w:t>
      </w:r>
    </w:p>
    <w:p w14:paraId="19F0CFE3" w14:textId="77777777" w:rsidR="00874815" w:rsidRDefault="00317692">
      <w:pPr>
        <w:pStyle w:val="BodyText"/>
        <w:numPr>
          <w:ilvl w:val="0"/>
          <w:numId w:val="28"/>
        </w:numPr>
        <w:tabs>
          <w:tab w:val="left" w:pos="717"/>
        </w:tabs>
        <w:spacing w:after="120"/>
        <w:jc w:val="both"/>
      </w:pPr>
      <w:r>
        <w:rPr>
          <w:rStyle w:val="BodyTextChar"/>
        </w:rPr>
        <w:t xml:space="preserve">Les distributeurs et les personnes physiques ou morales exerçant l’activité de vente doivent envoyer une notification au préalable le démarrage de l’entreprise à l’autorité sanitaire de la communauté autonome où se trouve le siège social de la société, ainsi qu’à l’autorité sanitaire de la communauté où se trouvent l’entrepôt ou les entrepôts, dans le cas où ils ne se trouvent pas dans la même communauté, qui </w:t>
      </w:r>
      <w:proofErr w:type="gramStart"/>
      <w:r>
        <w:rPr>
          <w:rStyle w:val="BodyTextChar"/>
        </w:rPr>
        <w:t>contient:</w:t>
      </w:r>
      <w:proofErr w:type="gramEnd"/>
    </w:p>
    <w:p w14:paraId="466409F6" w14:textId="77777777" w:rsidR="00874815" w:rsidRDefault="00317692">
      <w:pPr>
        <w:pStyle w:val="BodyText"/>
        <w:numPr>
          <w:ilvl w:val="0"/>
          <w:numId w:val="29"/>
        </w:numPr>
        <w:tabs>
          <w:tab w:val="left" w:pos="746"/>
        </w:tabs>
        <w:jc w:val="both"/>
      </w:pPr>
      <w:r>
        <w:rPr>
          <w:rStyle w:val="BodyTextChar"/>
        </w:rPr>
        <w:t>L’identification de l’établissement de distribution ou de vente, le cas échéant.</w:t>
      </w:r>
    </w:p>
    <w:p w14:paraId="06DEFBAF" w14:textId="77777777" w:rsidR="00874815" w:rsidRDefault="00317692">
      <w:pPr>
        <w:pStyle w:val="BodyText"/>
        <w:numPr>
          <w:ilvl w:val="0"/>
          <w:numId w:val="29"/>
        </w:numPr>
        <w:tabs>
          <w:tab w:val="left" w:pos="746"/>
        </w:tabs>
        <w:jc w:val="both"/>
      </w:pPr>
      <w:r>
        <w:rPr>
          <w:rStyle w:val="BodyTextChar"/>
        </w:rPr>
        <w:t>Les types d’appareils qu’il distribue ou vend.</w:t>
      </w:r>
    </w:p>
    <w:p w14:paraId="336A2FD5" w14:textId="77777777" w:rsidR="00874815" w:rsidRDefault="00317692">
      <w:pPr>
        <w:pStyle w:val="BodyText"/>
        <w:numPr>
          <w:ilvl w:val="0"/>
          <w:numId w:val="29"/>
        </w:numPr>
        <w:tabs>
          <w:tab w:val="left" w:pos="717"/>
        </w:tabs>
        <w:spacing w:after="120"/>
        <w:jc w:val="both"/>
      </w:pPr>
      <w:r>
        <w:rPr>
          <w:rStyle w:val="BodyTextChar"/>
        </w:rPr>
        <w:t>L’identification et qualification du technicien responsable conformément à l’article 25, paragraphe 2, le cas échéant.</w:t>
      </w:r>
    </w:p>
    <w:p w14:paraId="0BB9CE42" w14:textId="77777777" w:rsidR="00874815" w:rsidRDefault="00317692">
      <w:pPr>
        <w:pStyle w:val="BodyText"/>
        <w:jc w:val="both"/>
      </w:pPr>
      <w:r>
        <w:rPr>
          <w:rStyle w:val="BodyTextChar"/>
        </w:rPr>
        <w:t>Les pharmacies sont dispensées de faire une telle déclaration de vente au public, à moins qu’elles n’exercent les activités visées à l’article 26, auquel cas elles se conformeront aux dispositions de cet article.</w:t>
      </w:r>
    </w:p>
    <w:p w14:paraId="722A5F37" w14:textId="77777777" w:rsidR="00874815" w:rsidRDefault="00317692">
      <w:pPr>
        <w:pStyle w:val="BodyText"/>
        <w:numPr>
          <w:ilvl w:val="0"/>
          <w:numId w:val="28"/>
        </w:numPr>
        <w:tabs>
          <w:tab w:val="left" w:pos="717"/>
        </w:tabs>
        <w:jc w:val="both"/>
      </w:pPr>
      <w:r>
        <w:rPr>
          <w:rStyle w:val="BodyTextChar"/>
        </w:rPr>
        <w:t>Les distributeurs communiquent au registre de commercialisation conformément à l’article 18, à l’exception des pharmacies et de tout autre point de vente destiné exclusivement au public.</w:t>
      </w:r>
    </w:p>
    <w:p w14:paraId="5E93A562" w14:textId="77777777" w:rsidR="00874815" w:rsidRDefault="00317692">
      <w:pPr>
        <w:pStyle w:val="BodyText"/>
        <w:numPr>
          <w:ilvl w:val="0"/>
          <w:numId w:val="28"/>
        </w:numPr>
        <w:tabs>
          <w:tab w:val="left" w:pos="717"/>
        </w:tabs>
        <w:jc w:val="both"/>
      </w:pPr>
      <w:r>
        <w:rPr>
          <w:rStyle w:val="BodyTextChar"/>
        </w:rPr>
        <w:t>Conformément à l’article 3, paragraphe 5, du texte révisé de la loi sur les garanties et l’utilisation rationnelle des médicaments et des dispositifs médicaux, la vente au public par correspondance et par voie télématique de dispositifs médicaux soumis à prescription est interdite.</w:t>
      </w:r>
    </w:p>
    <w:p w14:paraId="613C89B9" w14:textId="77777777" w:rsidR="00874815" w:rsidRDefault="00317692">
      <w:pPr>
        <w:pStyle w:val="BodyText"/>
        <w:spacing w:after="120"/>
        <w:jc w:val="both"/>
      </w:pPr>
      <w:r>
        <w:rPr>
          <w:rStyle w:val="BodyTextChar"/>
        </w:rPr>
        <w:t xml:space="preserve">Aux fins du présent décret royal, les dispositifs soumis à prescription </w:t>
      </w:r>
      <w:proofErr w:type="gramStart"/>
      <w:r>
        <w:rPr>
          <w:rStyle w:val="BodyTextChar"/>
        </w:rPr>
        <w:t>sont:</w:t>
      </w:r>
      <w:proofErr w:type="gramEnd"/>
    </w:p>
    <w:p w14:paraId="6A7C7856" w14:textId="77777777" w:rsidR="00874815" w:rsidRDefault="00317692">
      <w:pPr>
        <w:pStyle w:val="BodyText"/>
        <w:numPr>
          <w:ilvl w:val="0"/>
          <w:numId w:val="30"/>
        </w:numPr>
        <w:tabs>
          <w:tab w:val="left" w:pos="746"/>
        </w:tabs>
        <w:jc w:val="both"/>
      </w:pPr>
      <w:r>
        <w:rPr>
          <w:rStyle w:val="BodyTextChar"/>
        </w:rPr>
        <w:t>Les appareils sur mesure.</w:t>
      </w:r>
    </w:p>
    <w:p w14:paraId="44217E4B" w14:textId="77777777" w:rsidR="00874815" w:rsidRDefault="00317692">
      <w:pPr>
        <w:pStyle w:val="BodyText"/>
        <w:numPr>
          <w:ilvl w:val="0"/>
          <w:numId w:val="30"/>
        </w:numPr>
        <w:tabs>
          <w:tab w:val="left" w:pos="717"/>
        </w:tabs>
        <w:jc w:val="both"/>
      </w:pPr>
      <w:r>
        <w:rPr>
          <w:rStyle w:val="BodyTextChar"/>
        </w:rPr>
        <w:t>Les dispositifs fabriqués en masse par des procédés de fabrication industriels conformément aux exigences écrites de toute personne autorisée.</w:t>
      </w:r>
    </w:p>
    <w:p w14:paraId="53F6D12C" w14:textId="77777777" w:rsidR="00874815" w:rsidRDefault="00317692">
      <w:pPr>
        <w:pStyle w:val="BodyText"/>
        <w:numPr>
          <w:ilvl w:val="0"/>
          <w:numId w:val="30"/>
        </w:numPr>
        <w:tabs>
          <w:tab w:val="left" w:pos="746"/>
        </w:tabs>
        <w:jc w:val="both"/>
      </w:pPr>
      <w:r>
        <w:rPr>
          <w:rStyle w:val="BodyTextChar"/>
        </w:rPr>
        <w:t>Ceux financés par le système national de santé.</w:t>
      </w:r>
    </w:p>
    <w:p w14:paraId="3EC35B3A" w14:textId="77777777" w:rsidR="00874815" w:rsidRDefault="00317692">
      <w:pPr>
        <w:pStyle w:val="BodyText"/>
        <w:numPr>
          <w:ilvl w:val="0"/>
          <w:numId w:val="30"/>
        </w:numPr>
        <w:tabs>
          <w:tab w:val="left" w:pos="746"/>
        </w:tabs>
        <w:jc w:val="both"/>
      </w:pPr>
      <w:r>
        <w:rPr>
          <w:rStyle w:val="BodyTextChar"/>
        </w:rPr>
        <w:t>Ceux qui nécessitent une adaptation individuelle.</w:t>
      </w:r>
    </w:p>
    <w:p w14:paraId="678F9C88" w14:textId="77777777" w:rsidR="00874815" w:rsidRDefault="00317692">
      <w:pPr>
        <w:pStyle w:val="BodyText"/>
        <w:numPr>
          <w:ilvl w:val="0"/>
          <w:numId w:val="30"/>
        </w:numPr>
        <w:tabs>
          <w:tab w:val="left" w:pos="717"/>
        </w:tabs>
        <w:spacing w:after="120"/>
        <w:jc w:val="both"/>
      </w:pPr>
      <w:r>
        <w:rPr>
          <w:rStyle w:val="BodyTextChar"/>
        </w:rPr>
        <w:t>Ceux destinés à une utilisation, ou appliqués exclusivement par des professionnels de la santé. Les dispositifs non médicaux énumérés à l’annexe XVI du règlement (UE) 2017/745 du Parlement européen et du Conseil du 5 avril 2017 destinés à être utilisés ou appliqués exclusivement par d’autres professionnels sont également considérés comme des dispositifs soumis à prescription.</w:t>
      </w:r>
    </w:p>
    <w:p w14:paraId="0B74ECCB" w14:textId="77777777" w:rsidR="00874815" w:rsidRDefault="00317692">
      <w:pPr>
        <w:pStyle w:val="BodyText"/>
        <w:jc w:val="both"/>
      </w:pPr>
      <w:r>
        <w:rPr>
          <w:noProof/>
        </w:rPr>
        <mc:AlternateContent>
          <mc:Choice Requires="wps">
            <w:drawing>
              <wp:anchor distT="0" distB="0" distL="114300" distR="114300" simplePos="0" relativeHeight="125829408" behindDoc="0" locked="0" layoutInCell="1" allowOverlap="1" wp14:anchorId="67B5A1F9" wp14:editId="3E13C079">
                <wp:simplePos x="0" y="0"/>
                <wp:positionH relativeFrom="page">
                  <wp:posOffset>7155180</wp:posOffset>
                </wp:positionH>
                <wp:positionV relativeFrom="paragraph">
                  <wp:posOffset>88900</wp:posOffset>
                </wp:positionV>
                <wp:extent cx="222250" cy="1337945"/>
                <wp:effectExtent l="0" t="0" r="0" b="0"/>
                <wp:wrapSquare wrapText="bothSides"/>
                <wp:docPr id="31" name="Shape 3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A0222BE"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5EFB9329" w14:textId="77777777" w:rsidR="00874815" w:rsidRDefault="00317692">
                            <w:pPr>
                              <w:pStyle w:val="Bodytext20"/>
                            </w:pPr>
                            <w:r>
                              <w:rPr>
                                <w:rStyle w:val="Bodytext2"/>
                              </w:rPr>
                              <w:t xml:space="preserve">Consultable à l’adresse </w:t>
                            </w:r>
                            <w:hyperlink r:id="rId3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7B5A1F9" id="Shape 31" o:spid="_x0000_s1041" type="#_x0000_t202" style="position:absolute;left:0;text-align:left;margin-left:563.4pt;margin-top:7pt;width:17.5pt;height:105.35pt;z-index:12582940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dmew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" filled="f" stroked="f">
                <v:textbox style="layout-flow:vertical;mso-layout-flow-alt:bottom-to-top" inset="0,0,0,0">
                  <w:txbxContent>
                    <w:p w14:paraId="1A0222BE"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5EFB9329" w14:textId="77777777" w:rsidR="00874815" w:rsidRDefault="00000000">
                      <w:pPr>
                        <w:pStyle w:val="Bodytext20"/>
                      </w:pPr>
                      <w:r>
                        <w:rPr>
                          <w:rStyle w:val="Bodytext2"/>
                        </w:rPr>
                        <w:t xml:space="preserve">Consultable à l’adresse </w:t>
                      </w:r>
                      <w:hyperlink r:id="rId38" w:history="1">
                        <w:r>
                          <w:rPr>
                            <w:rStyle w:val="Bodytext2"/>
                          </w:rPr>
                          <w:t xml:space="preserve">https://www.boe.es</w:t>
                        </w:r>
                      </w:hyperlink>
                    </w:p>
                  </w:txbxContent>
                </v:textbox>
                <w10:wrap type="square" anchorx="page"/>
              </v:shape>
            </w:pict>
          </mc:Fallback>
        </mc:AlternateContent>
      </w:r>
      <w:r>
        <w:rPr>
          <w:rStyle w:val="BodyTextChar"/>
        </w:rPr>
        <w:t>Dans le cas des dispositifs qui nécessitent initialement une adaptation individuelle et qui sont susceptibles d’être livrés successivement, par exemple dans le cas de lentilles de contact, la vente au public par correspondance ou par voie télématique est autorisé, à condition qu’il soit vérifié qu’elle coïncide avec le dispositif initialement adapté et que les conseils demandés par l’utilisateur du dispositif sont fournis.</w:t>
      </w:r>
    </w:p>
    <w:p w14:paraId="1FACE3FE" w14:textId="77777777" w:rsidR="00874815" w:rsidRDefault="00317692">
      <w:pPr>
        <w:pStyle w:val="BodyText"/>
        <w:numPr>
          <w:ilvl w:val="0"/>
          <w:numId w:val="31"/>
        </w:numPr>
        <w:tabs>
          <w:tab w:val="left" w:pos="717"/>
        </w:tabs>
        <w:spacing w:after="120"/>
        <w:jc w:val="both"/>
      </w:pPr>
      <w:r>
        <w:rPr>
          <w:rStyle w:val="BodyTextChar"/>
        </w:rPr>
        <w:t>Les ventes peuvent être effectuées par l’intermédiaire de distributeurs automatiques conçus à cet effet, à condition que l’intégrité et la sécurité du dispositif ne soient pas compromises, sauf dans le cas des dispositifs soumis à prescription.</w:t>
      </w:r>
      <w:r>
        <w:br w:type="page"/>
      </w:r>
    </w:p>
    <w:p w14:paraId="46B33C3F" w14:textId="77777777" w:rsidR="00874815" w:rsidRDefault="00317692">
      <w:pPr>
        <w:pStyle w:val="BodyText"/>
        <w:numPr>
          <w:ilvl w:val="0"/>
          <w:numId w:val="31"/>
        </w:numPr>
        <w:tabs>
          <w:tab w:val="left" w:pos="715"/>
        </w:tabs>
        <w:jc w:val="both"/>
      </w:pPr>
      <w:r>
        <w:rPr>
          <w:rStyle w:val="BodyTextChar"/>
        </w:rPr>
        <w:lastRenderedPageBreak/>
        <w:t>La vente au public de dispositifs médicaux implantables ainsi que de tout autre dispositif destiné à être utilisé ou appliqué exclusivement par des professionnels de la santé ou des professionnels utilisant ou appliquant les dispositifs non médicaux énumérés à l’annexe XVI du règlement (UE) 2017/745 du Parlement européen et du Conseil du 5 avril 2017 est interdite.</w:t>
      </w:r>
    </w:p>
    <w:p w14:paraId="651B26D5" w14:textId="77777777" w:rsidR="00874815" w:rsidRDefault="00317692">
      <w:pPr>
        <w:pStyle w:val="BodyText"/>
        <w:jc w:val="both"/>
      </w:pPr>
      <w:r>
        <w:rPr>
          <w:rStyle w:val="BodyTextChar"/>
        </w:rPr>
        <w:t>Les établissements de santé, dans le cadre de leur compétence, peuvent vendre au public les dispositifs visés au paragraphe précédent, sous réserve de vérification de la prescription correspondante.</w:t>
      </w:r>
    </w:p>
    <w:p w14:paraId="5DADB370" w14:textId="77777777" w:rsidR="00874815" w:rsidRDefault="00317692">
      <w:pPr>
        <w:pStyle w:val="BodyText"/>
        <w:numPr>
          <w:ilvl w:val="0"/>
          <w:numId w:val="31"/>
        </w:numPr>
        <w:tabs>
          <w:tab w:val="left" w:pos="1075"/>
        </w:tabs>
        <w:spacing w:after="180"/>
        <w:jc w:val="both"/>
      </w:pPr>
      <w:r>
        <w:rPr>
          <w:rStyle w:val="BodyTextChar"/>
        </w:rPr>
        <w:t>Il est interdit de vendre des dispositifs médicaux dans la rue.</w:t>
      </w:r>
    </w:p>
    <w:p w14:paraId="6BC9A567" w14:textId="77777777" w:rsidR="00874815" w:rsidRDefault="00317692">
      <w:pPr>
        <w:pStyle w:val="BodyText"/>
        <w:spacing w:after="120"/>
        <w:ind w:firstLine="0"/>
        <w:jc w:val="both"/>
      </w:pPr>
      <w:r>
        <w:rPr>
          <w:rStyle w:val="BodyTextChar"/>
        </w:rPr>
        <w:t xml:space="preserve">Article 25. </w:t>
      </w:r>
      <w:r>
        <w:rPr>
          <w:rStyle w:val="BodyTextChar"/>
          <w:i/>
        </w:rPr>
        <w:t>Activité de distribution.</w:t>
      </w:r>
    </w:p>
    <w:p w14:paraId="31DB58D4" w14:textId="77777777" w:rsidR="00874815" w:rsidRDefault="00317692">
      <w:pPr>
        <w:pStyle w:val="BodyText"/>
        <w:numPr>
          <w:ilvl w:val="0"/>
          <w:numId w:val="32"/>
        </w:numPr>
        <w:tabs>
          <w:tab w:val="left" w:pos="715"/>
        </w:tabs>
        <w:jc w:val="both"/>
      </w:pPr>
      <w:r>
        <w:rPr>
          <w:rStyle w:val="BodyTextChar"/>
        </w:rPr>
        <w:t>Le développement de l’activité de distribution comprend l’organisation et les moyens de prendre toute mesure appropriée en cas de risques potentiels liés aux dispositifs et un enregistrement documenté des dispositifs qu’il distribue, conformément à l’article 19.</w:t>
      </w:r>
    </w:p>
    <w:p w14:paraId="46EB92F5" w14:textId="77777777" w:rsidR="00874815" w:rsidRDefault="00317692">
      <w:pPr>
        <w:pStyle w:val="BodyText"/>
        <w:numPr>
          <w:ilvl w:val="0"/>
          <w:numId w:val="32"/>
        </w:numPr>
        <w:tabs>
          <w:tab w:val="left" w:pos="715"/>
        </w:tabs>
        <w:jc w:val="both"/>
      </w:pPr>
      <w:r>
        <w:rPr>
          <w:rStyle w:val="BodyTextChar"/>
        </w:rPr>
        <w:t>Les activités de distribution sont menées sous la supervision d’un technicien responsable dont le diplôme universitaire ou la formation atteste d’une qualification appropriée sur la base des dispositifs dont il est responsable, qui est directement responsable de l’exécution des activités et obligations visées aux articles 18 et 19. De même, il sera responsable de la maintenance des informations techniques et sanitaires sur les dispositifs qu’il distribue ou met en service en Espagne.</w:t>
      </w:r>
    </w:p>
    <w:p w14:paraId="5671A7F4" w14:textId="77777777" w:rsidR="00874815" w:rsidRDefault="00317692">
      <w:pPr>
        <w:pStyle w:val="BodyText"/>
        <w:jc w:val="both"/>
      </w:pPr>
      <w:r>
        <w:rPr>
          <w:rStyle w:val="BodyTextChar"/>
        </w:rPr>
        <w:t>Si la qualification visée au paragraphe précédent ne démontre pas pleinement la qualification, elle peut être complétée sur la base d’une formation et/ou d’une expérience.</w:t>
      </w:r>
    </w:p>
    <w:p w14:paraId="61452B82" w14:textId="77777777" w:rsidR="00874815" w:rsidRDefault="00317692">
      <w:pPr>
        <w:pStyle w:val="BodyText"/>
        <w:spacing w:after="180"/>
        <w:jc w:val="both"/>
      </w:pPr>
      <w:r>
        <w:rPr>
          <w:rStyle w:val="BodyTextChar"/>
        </w:rPr>
        <w:t>Les points destinés à la vente exclusivement au public sont exemptés de l’obligation concernant le technicien responsable.</w:t>
      </w:r>
    </w:p>
    <w:p w14:paraId="35A2FB56" w14:textId="77777777" w:rsidR="00874815" w:rsidRDefault="00317692">
      <w:pPr>
        <w:pStyle w:val="BodyText"/>
        <w:spacing w:after="120"/>
        <w:ind w:left="360" w:hanging="360"/>
        <w:jc w:val="both"/>
      </w:pPr>
      <w:r>
        <w:rPr>
          <w:rStyle w:val="BodyTextChar"/>
        </w:rPr>
        <w:t xml:space="preserve">Article 26. </w:t>
      </w:r>
      <w:r>
        <w:rPr>
          <w:rStyle w:val="BodyTextChar"/>
          <w:i/>
        </w:rPr>
        <w:t>Points de vente publique nécessitant une adaptation individualisée.</w:t>
      </w:r>
    </w:p>
    <w:p w14:paraId="4890D54E" w14:textId="77777777" w:rsidR="00874815" w:rsidRDefault="00317692">
      <w:pPr>
        <w:pStyle w:val="BodyText"/>
        <w:numPr>
          <w:ilvl w:val="0"/>
          <w:numId w:val="33"/>
        </w:numPr>
        <w:tabs>
          <w:tab w:val="left" w:pos="715"/>
        </w:tabs>
        <w:jc w:val="both"/>
      </w:pPr>
      <w:r>
        <w:rPr>
          <w:rStyle w:val="BodyTextChar"/>
        </w:rPr>
        <w:t xml:space="preserve">Les établissements vendant des dispositifs nécessitant une adaptation individuelle au public doivent disposer de l’équipement nécessaire pour effectuer cette adaptation et doivent avoir un professionnel dont la qualification atteste d’une qualification appropriée pour ces fonctions. Dans le cas des dispositifs orthopédiques et </w:t>
      </w:r>
      <w:proofErr w:type="gramStart"/>
      <w:r>
        <w:rPr>
          <w:rStyle w:val="BodyTextChar"/>
        </w:rPr>
        <w:t>des prothèses audio</w:t>
      </w:r>
      <w:proofErr w:type="gramEnd"/>
      <w:r>
        <w:rPr>
          <w:rStyle w:val="BodyTextChar"/>
        </w:rPr>
        <w:t>, il est tenu compte des dispositions des paragraphes 1 et 2 de la deuxième disposition finale aux fins de la détermination de cette qualification.</w:t>
      </w:r>
    </w:p>
    <w:p w14:paraId="7753DA9D" w14:textId="77777777" w:rsidR="00874815" w:rsidRDefault="00317692">
      <w:pPr>
        <w:pStyle w:val="BodyText"/>
        <w:numPr>
          <w:ilvl w:val="0"/>
          <w:numId w:val="33"/>
        </w:numPr>
        <w:tabs>
          <w:tab w:val="left" w:pos="715"/>
        </w:tabs>
        <w:spacing w:after="180"/>
        <w:jc w:val="both"/>
      </w:pPr>
      <w:r>
        <w:rPr>
          <w:rStyle w:val="BodyTextChar"/>
        </w:rPr>
        <w:t>Avant de commencer l’activité, les établissements doivent demander et obtenir l’agrément de l’autorité sanitaire de la communauté autonome où ils sont établis, une fois que cette dernière a vérifié qu’ils satisfont aux exigences énoncées au paragraphe précédent. À cette fin, ils fournissent les informations nécessaires concernant l’établissement, le professionnel qualifié et l’équipement concerné.</w:t>
      </w:r>
    </w:p>
    <w:p w14:paraId="66F6AB99" w14:textId="77777777" w:rsidR="00874815" w:rsidRDefault="00317692">
      <w:pPr>
        <w:pStyle w:val="BodyText"/>
        <w:spacing w:after="120"/>
        <w:ind w:firstLine="0"/>
        <w:jc w:val="both"/>
      </w:pPr>
      <w:r>
        <w:rPr>
          <w:rStyle w:val="BodyTextChar"/>
        </w:rPr>
        <w:t xml:space="preserve">Article 27. </w:t>
      </w:r>
      <w:r>
        <w:rPr>
          <w:rStyle w:val="BodyTextChar"/>
          <w:i/>
        </w:rPr>
        <w:t>Expositions.</w:t>
      </w:r>
    </w:p>
    <w:p w14:paraId="20220272" w14:textId="77777777" w:rsidR="00874815" w:rsidRDefault="00317692">
      <w:pPr>
        <w:pStyle w:val="BodyText"/>
        <w:spacing w:after="160"/>
        <w:jc w:val="both"/>
      </w:pPr>
      <w:r>
        <w:rPr>
          <w:noProof/>
        </w:rPr>
        <mc:AlternateContent>
          <mc:Choice Requires="wps">
            <w:drawing>
              <wp:anchor distT="0" distB="0" distL="114300" distR="114300" simplePos="0" relativeHeight="125829410" behindDoc="0" locked="0" layoutInCell="1" allowOverlap="1" wp14:anchorId="16CBB4D5" wp14:editId="1FE4FED0">
                <wp:simplePos x="0" y="0"/>
                <wp:positionH relativeFrom="page">
                  <wp:posOffset>7155180</wp:posOffset>
                </wp:positionH>
                <wp:positionV relativeFrom="paragraph">
                  <wp:posOffset>469900</wp:posOffset>
                </wp:positionV>
                <wp:extent cx="222250" cy="1337945"/>
                <wp:effectExtent l="0" t="0" r="0" b="0"/>
                <wp:wrapSquare wrapText="bothSides"/>
                <wp:docPr id="33" name="Shape 3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1998EE5"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3B0BCE85" w14:textId="77777777" w:rsidR="00874815" w:rsidRDefault="00317692">
                            <w:pPr>
                              <w:pStyle w:val="Bodytext20"/>
                            </w:pPr>
                            <w:r>
                              <w:rPr>
                                <w:rStyle w:val="Bodytext2"/>
                              </w:rPr>
                              <w:t xml:space="preserve">Consultable à l’adresse </w:t>
                            </w:r>
                            <w:hyperlink r:id="rId3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16CBB4D5" id="Shape 33" o:spid="_x0000_s1042" type="#_x0000_t202" style="position:absolute;left:0;text-align:left;margin-left:563.4pt;margin-top:37pt;width:17.5pt;height:105.35pt;z-index:12582941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" filled="f" stroked="f">
                <v:textbox style="layout-flow:vertical;mso-layout-flow-alt:bottom-to-top" inset="0,0,0,0">
                  <w:txbxContent>
                    <w:p w14:paraId="41998EE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B0BCE85" w14:textId="77777777" w:rsidR="00874815" w:rsidRDefault="00000000">
                      <w:pPr>
                        <w:pStyle w:val="Bodytext20"/>
                      </w:pPr>
                      <w:r>
                        <w:rPr>
                          <w:rStyle w:val="Bodytext2"/>
                        </w:rPr>
                        <w:t xml:space="preserve">Consultable à l’adresse </w:t>
                      </w:r>
                      <w:hyperlink r:id="rId40" w:history="1">
                        <w:r>
                          <w:rPr>
                            <w:rStyle w:val="Bodytext2"/>
                          </w:rPr>
                          <w:t xml:space="preserve">https://www.boe.es</w:t>
                        </w:r>
                      </w:hyperlink>
                    </w:p>
                  </w:txbxContent>
                </v:textbox>
                <w10:wrap type="square" anchorx="page"/>
              </v:shape>
            </w:pict>
          </mc:Fallback>
        </mc:AlternateContent>
      </w:r>
      <w:r>
        <w:rPr>
          <w:rStyle w:val="BodyTextChar"/>
        </w:rPr>
        <w:t>Les dispositifs qui ne sont pas conformes aux dispositions du présent décret royal peuvent être présentés lors de foires, d’expositions et de démonstrations, à condition qu’un panneau suffisamment visible placé sur ou à proximité des dispositifs lui-même indique clairement que ces dispositifs ne peuvent être mis sur le marché ou mis en service tant qu’ils n’ont pas été déclarés conformes. Ces démonstrations n’impliquent pas l’utilisation de ces dispositifs sur les patients et les utilisateurs.</w:t>
      </w:r>
      <w:r>
        <w:br w:type="page"/>
      </w:r>
    </w:p>
    <w:p w14:paraId="53C49E8A" w14:textId="77777777" w:rsidR="00874815" w:rsidRDefault="00317692">
      <w:pPr>
        <w:pStyle w:val="Heading20"/>
        <w:keepNext/>
        <w:keepLines/>
      </w:pPr>
      <w:bookmarkStart w:id="7" w:name="bookmark16"/>
      <w:proofErr w:type="gramStart"/>
      <w:r>
        <w:rPr>
          <w:rStyle w:val="Heading2"/>
        </w:rPr>
        <w:lastRenderedPageBreak/>
        <w:t>CHAPITRE VI</w:t>
      </w:r>
      <w:bookmarkEnd w:id="7"/>
      <w:proofErr w:type="gramEnd"/>
    </w:p>
    <w:p w14:paraId="3902E6C8" w14:textId="77777777" w:rsidR="00874815" w:rsidRDefault="00317692">
      <w:pPr>
        <w:pStyle w:val="BodyText"/>
        <w:spacing w:after="180"/>
        <w:ind w:firstLine="0"/>
        <w:jc w:val="center"/>
      </w:pPr>
      <w:r>
        <w:rPr>
          <w:rStyle w:val="BodyTextChar"/>
          <w:b/>
        </w:rPr>
        <w:t>Commerce sur le marché de l’Union européenne et sur le marché extérieur</w:t>
      </w:r>
    </w:p>
    <w:p w14:paraId="3F5C478B" w14:textId="77777777" w:rsidR="00874815" w:rsidRDefault="00317692">
      <w:pPr>
        <w:pStyle w:val="BodyText"/>
        <w:spacing w:after="120"/>
        <w:ind w:firstLine="0"/>
        <w:jc w:val="both"/>
      </w:pPr>
      <w:r>
        <w:rPr>
          <w:rStyle w:val="BodyTextChar"/>
        </w:rPr>
        <w:t xml:space="preserve">Article 28. </w:t>
      </w:r>
      <w:r>
        <w:rPr>
          <w:rStyle w:val="BodyTextChar"/>
          <w:i/>
        </w:rPr>
        <w:t>Circulation sur le marché de l’Union européenne et importation.</w:t>
      </w:r>
    </w:p>
    <w:p w14:paraId="523184E0" w14:textId="77777777" w:rsidR="00874815" w:rsidRDefault="00317692">
      <w:pPr>
        <w:pStyle w:val="BodyText"/>
        <w:numPr>
          <w:ilvl w:val="0"/>
          <w:numId w:val="34"/>
        </w:numPr>
        <w:tabs>
          <w:tab w:val="left" w:pos="718"/>
        </w:tabs>
        <w:jc w:val="both"/>
      </w:pPr>
      <w:r>
        <w:rPr>
          <w:rStyle w:val="BodyTextChar"/>
        </w:rPr>
        <w:t>Les véhicules introduits en provenance des pays de l’Union européenne et importés de pays tiers ne peuvent être mis sur le marché et mis en service en Espagne que s’ils satisfont aux exigences énoncées dans le présent décret royal et dans le règlement (UE) 2017/745 du Parlement européen et du Conseil du 5 avril 2017.</w:t>
      </w:r>
    </w:p>
    <w:p w14:paraId="50C355FF" w14:textId="77777777" w:rsidR="00874815" w:rsidRDefault="00317692">
      <w:pPr>
        <w:pStyle w:val="BodyText"/>
        <w:numPr>
          <w:ilvl w:val="0"/>
          <w:numId w:val="34"/>
        </w:numPr>
        <w:tabs>
          <w:tab w:val="left" w:pos="718"/>
        </w:tabs>
        <w:spacing w:after="120"/>
        <w:jc w:val="both"/>
      </w:pPr>
      <w:r>
        <w:rPr>
          <w:rStyle w:val="BodyTextChar"/>
        </w:rPr>
        <w:t xml:space="preserve">L’agence espagnole des médicaments et des dispositifs médicaux, par l’intermédiaire des services d’inspection pharmaceutique des domaines fonctionnels de la santé et de la politique sociale des délégations gouvernementales, vérifiera que les importations des dispositifs couverts par le présent décret royal sont conformes aux exigences </w:t>
      </w:r>
      <w:proofErr w:type="gramStart"/>
      <w:r>
        <w:rPr>
          <w:rStyle w:val="BodyTextChar"/>
        </w:rPr>
        <w:t>suivantes:</w:t>
      </w:r>
      <w:proofErr w:type="gramEnd"/>
    </w:p>
    <w:p w14:paraId="70C7028F" w14:textId="77777777" w:rsidR="00874815" w:rsidRDefault="00317692">
      <w:pPr>
        <w:pStyle w:val="BodyText"/>
        <w:numPr>
          <w:ilvl w:val="0"/>
          <w:numId w:val="35"/>
        </w:numPr>
        <w:tabs>
          <w:tab w:val="left" w:pos="718"/>
        </w:tabs>
        <w:jc w:val="both"/>
      </w:pPr>
      <w:r>
        <w:rPr>
          <w:rStyle w:val="BodyTextChar"/>
        </w:rPr>
        <w:t>L’importateur établi en Espagne qui met un dispositif en provenance d’un pays tiers sur le marché de l’Union, ainsi que les personnes physiques et morales qui, sans être importateurs conformément au règlement (UE) 2017/745 du Parlement européen et du Conseil du 5 avril 2017, importent physiquement un dispositif en Espagne et détiennent la licence sanitaire d’exploitation prévue à l’article 7.</w:t>
      </w:r>
    </w:p>
    <w:p w14:paraId="1DBA0982" w14:textId="77777777" w:rsidR="00874815" w:rsidRDefault="00317692">
      <w:pPr>
        <w:pStyle w:val="BodyText"/>
        <w:numPr>
          <w:ilvl w:val="0"/>
          <w:numId w:val="35"/>
        </w:numPr>
        <w:tabs>
          <w:tab w:val="left" w:pos="718"/>
        </w:tabs>
        <w:jc w:val="both"/>
      </w:pPr>
      <w:r>
        <w:rPr>
          <w:rStyle w:val="BodyTextChar"/>
        </w:rPr>
        <w:t>L’appareil doit porter le marquage CE, à l’exception des dispositifs ou produits sur mesure destinés à la recherche clinique et des dispositifs et instruments utilisés pour le maquillage permanent ou semi-permanent ou le tatouage de la peau par des techniques invasives.</w:t>
      </w:r>
    </w:p>
    <w:p w14:paraId="050B86E3" w14:textId="77777777" w:rsidR="00874815" w:rsidRDefault="00317692">
      <w:pPr>
        <w:pStyle w:val="BodyText"/>
        <w:numPr>
          <w:ilvl w:val="0"/>
          <w:numId w:val="35"/>
        </w:numPr>
        <w:tabs>
          <w:tab w:val="left" w:pos="718"/>
        </w:tabs>
        <w:spacing w:after="120"/>
        <w:jc w:val="both"/>
      </w:pPr>
      <w:r>
        <w:rPr>
          <w:rStyle w:val="BodyTextChar"/>
        </w:rPr>
        <w:t>Le dispositif a été soumis aux procédures d’évaluation de la conformité prévues par le règlement (UE) 2017/745 du Parlement européen et du Conseil du 5 avril 2017.</w:t>
      </w:r>
    </w:p>
    <w:p w14:paraId="264270F5" w14:textId="77777777" w:rsidR="00874815" w:rsidRDefault="00317692">
      <w:pPr>
        <w:pStyle w:val="BodyText"/>
        <w:jc w:val="both"/>
      </w:pPr>
      <w:r>
        <w:rPr>
          <w:rStyle w:val="BodyTextChar"/>
        </w:rPr>
        <w:t>Dans le cas de l’importation de dispositifs semi-finis, il est vérifié que l’on dispose de la licence d’exploitation correspondante en tant que fabricant ou importateur, selon le cas, conformément à l’article 7.</w:t>
      </w:r>
    </w:p>
    <w:p w14:paraId="5DF42D36" w14:textId="77777777" w:rsidR="00874815" w:rsidRDefault="00317692">
      <w:pPr>
        <w:pStyle w:val="BodyText"/>
        <w:numPr>
          <w:ilvl w:val="0"/>
          <w:numId w:val="34"/>
        </w:numPr>
        <w:tabs>
          <w:tab w:val="left" w:pos="718"/>
        </w:tabs>
        <w:jc w:val="both"/>
      </w:pPr>
      <w:r>
        <w:rPr>
          <w:rStyle w:val="BodyTextChar"/>
        </w:rPr>
        <w:t>Lorsque les conditions visées au paragraphe précédent ne sont pas remplies, les marchandises sont rejetées.</w:t>
      </w:r>
    </w:p>
    <w:p w14:paraId="7B775205" w14:textId="77777777" w:rsidR="00874815" w:rsidRDefault="00317692">
      <w:pPr>
        <w:pStyle w:val="BodyText"/>
        <w:jc w:val="both"/>
      </w:pPr>
      <w:r>
        <w:rPr>
          <w:rStyle w:val="BodyTextChar"/>
        </w:rPr>
        <w:t>Les marchandises sont également rejetées si le dispositif porte un marquage CE indu ou faux, lorsque le dispositif a fait l’objet de mesures restrictives de la part des autorités sanitaires ou lorsqu’il présente un risque pour la santé.</w:t>
      </w:r>
    </w:p>
    <w:p w14:paraId="2B928F1E" w14:textId="77777777" w:rsidR="00874815" w:rsidRDefault="00317692">
      <w:pPr>
        <w:pStyle w:val="BodyText"/>
        <w:numPr>
          <w:ilvl w:val="0"/>
          <w:numId w:val="34"/>
        </w:numPr>
        <w:tabs>
          <w:tab w:val="left" w:pos="718"/>
        </w:tabs>
        <w:jc w:val="both"/>
      </w:pPr>
      <w:r>
        <w:rPr>
          <w:rStyle w:val="BodyTextChar"/>
        </w:rPr>
        <w:t>Les domaines fonctionnels de la politique sanitaire et sociale informent l’agence espagnole des médicaments et dispositifs médicaux des opérations d’importation rejetées.</w:t>
      </w:r>
    </w:p>
    <w:p w14:paraId="30892AC5" w14:textId="77777777" w:rsidR="00874815" w:rsidRDefault="00317692">
      <w:pPr>
        <w:pStyle w:val="BodyText"/>
        <w:numPr>
          <w:ilvl w:val="0"/>
          <w:numId w:val="34"/>
        </w:numPr>
        <w:tabs>
          <w:tab w:val="left" w:pos="718"/>
        </w:tabs>
        <w:spacing w:after="180"/>
        <w:jc w:val="both"/>
      </w:pPr>
      <w:r>
        <w:rPr>
          <w:rStyle w:val="BodyTextChar"/>
        </w:rPr>
        <w:t>L’agence espagnole des médicaments et dispositifs médicaux peut, pour des raisons justifiées, autoriser l’importation de dispositifs pour lesquels les conditions visées au paragraphe 2 du présent article ne sont pas remplies.</w:t>
      </w:r>
    </w:p>
    <w:p w14:paraId="193A9C3D" w14:textId="77777777" w:rsidR="00874815" w:rsidRDefault="00317692">
      <w:pPr>
        <w:pStyle w:val="BodyText"/>
        <w:spacing w:after="120"/>
        <w:ind w:firstLine="0"/>
        <w:jc w:val="both"/>
      </w:pPr>
      <w:r>
        <w:rPr>
          <w:rStyle w:val="BodyTextChar"/>
        </w:rPr>
        <w:t xml:space="preserve">Article 29. </w:t>
      </w:r>
      <w:r>
        <w:rPr>
          <w:rStyle w:val="BodyTextChar"/>
          <w:i/>
        </w:rPr>
        <w:t>Exportation.</w:t>
      </w:r>
    </w:p>
    <w:p w14:paraId="78888D60" w14:textId="77777777" w:rsidR="00874815" w:rsidRDefault="00317692">
      <w:pPr>
        <w:pStyle w:val="BodyText"/>
        <w:numPr>
          <w:ilvl w:val="0"/>
          <w:numId w:val="36"/>
        </w:numPr>
        <w:tabs>
          <w:tab w:val="left" w:pos="718"/>
        </w:tabs>
        <w:jc w:val="both"/>
      </w:pPr>
      <w:r>
        <w:rPr>
          <w:noProof/>
        </w:rPr>
        <mc:AlternateContent>
          <mc:Choice Requires="wps">
            <w:drawing>
              <wp:anchor distT="0" distB="0" distL="114300" distR="114300" simplePos="0" relativeHeight="125829412" behindDoc="0" locked="0" layoutInCell="1" allowOverlap="1" wp14:anchorId="2F102437" wp14:editId="194A23BB">
                <wp:simplePos x="0" y="0"/>
                <wp:positionH relativeFrom="page">
                  <wp:posOffset>7155180</wp:posOffset>
                </wp:positionH>
                <wp:positionV relativeFrom="paragraph">
                  <wp:posOffset>406400</wp:posOffset>
                </wp:positionV>
                <wp:extent cx="222250" cy="1337945"/>
                <wp:effectExtent l="0" t="0" r="0" b="0"/>
                <wp:wrapSquare wrapText="bothSides"/>
                <wp:docPr id="35" name="Shape 3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60C787A"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776A540" w14:textId="77777777" w:rsidR="00874815" w:rsidRDefault="00317692">
                            <w:pPr>
                              <w:pStyle w:val="Bodytext20"/>
                            </w:pPr>
                            <w:r>
                              <w:rPr>
                                <w:rStyle w:val="Bodytext2"/>
                              </w:rPr>
                              <w:t xml:space="preserve">Consultable à l’adresse </w:t>
                            </w:r>
                            <w:hyperlink r:id="rId4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F102437" id="Shape 35" o:spid="_x0000_s1043" type="#_x0000_t202" style="position:absolute;left:0;text-align:left;margin-left:563.4pt;margin-top:32pt;width:17.5pt;height:105.35pt;z-index:1258294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" filled="f" stroked="f">
                <v:textbox style="layout-flow:vertical;mso-layout-flow-alt:bottom-to-top" inset="0,0,0,0">
                  <w:txbxContent>
                    <w:p w14:paraId="160C787A"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776A540" w14:textId="77777777" w:rsidR="00874815" w:rsidRDefault="00000000">
                      <w:pPr>
                        <w:pStyle w:val="Bodytext20"/>
                      </w:pPr>
                      <w:r>
                        <w:rPr>
                          <w:rStyle w:val="Bodytext2"/>
                        </w:rPr>
                        <w:t xml:space="preserve">Consultable à l’adresse </w:t>
                      </w:r>
                      <w:hyperlink r:id="rId42" w:history="1">
                        <w:r>
                          <w:rPr>
                            <w:rStyle w:val="Bodytext2"/>
                          </w:rPr>
                          <w:t xml:space="preserve">https://www.boe.es</w:t>
                        </w:r>
                      </w:hyperlink>
                    </w:p>
                  </w:txbxContent>
                </v:textbox>
                <w10:wrap type="square" anchorx="page"/>
              </v:shape>
            </w:pict>
          </mc:Fallback>
        </mc:AlternateContent>
      </w:r>
      <w:r>
        <w:rPr>
          <w:rStyle w:val="BodyTextChar"/>
        </w:rPr>
        <w:t>Les dispositifs qui sont fabriqués exclusivement pour l’exportation vers des pays tiers et qui ne satisfont pas aux exigences énoncées dans le règlement (UE) 2017/745 du Parlement européen et du Conseil du 5 avril 2017 ou dans le présent décret royal sont étiquetés de manière à ce qu’ils soient identifiés comme tels sans ambiguïté, différents de ceux destinés au marché de l’Union européenne, afin d’éviter leur utilisation.</w:t>
      </w:r>
    </w:p>
    <w:p w14:paraId="29A48513" w14:textId="77777777" w:rsidR="00874815" w:rsidRDefault="00317692">
      <w:pPr>
        <w:pStyle w:val="BodyText"/>
        <w:numPr>
          <w:ilvl w:val="0"/>
          <w:numId w:val="36"/>
        </w:numPr>
        <w:tabs>
          <w:tab w:val="left" w:pos="718"/>
        </w:tabs>
        <w:spacing w:after="120"/>
        <w:jc w:val="both"/>
      </w:pPr>
      <w:r>
        <w:rPr>
          <w:rStyle w:val="BodyTextChar"/>
        </w:rPr>
        <w:t>Outre les certificats de vente libre prévus à l’article 60 du règlement (UE) 2017/745 du Parlement européen et du Conseil du 5 avril 2017, l’agence espagnole des médicaments et des dispositifs médicaux peut délivrer des licences d’exportation à la demande d’autres opérateurs ayant leur siège en Espagne.</w:t>
      </w:r>
      <w:r>
        <w:br w:type="page"/>
      </w:r>
    </w:p>
    <w:p w14:paraId="279204A4" w14:textId="77777777" w:rsidR="00874815" w:rsidRDefault="00317692">
      <w:pPr>
        <w:pStyle w:val="Heading20"/>
        <w:keepNext/>
        <w:keepLines/>
      </w:pPr>
      <w:bookmarkStart w:id="8" w:name="bookmark18"/>
      <w:proofErr w:type="gramStart"/>
      <w:r>
        <w:rPr>
          <w:rStyle w:val="Heading2"/>
        </w:rPr>
        <w:lastRenderedPageBreak/>
        <w:t>CHAPITRE VII</w:t>
      </w:r>
      <w:bookmarkEnd w:id="8"/>
      <w:proofErr w:type="gramEnd"/>
    </w:p>
    <w:p w14:paraId="27C8E025" w14:textId="77777777" w:rsidR="00874815" w:rsidRDefault="00317692">
      <w:pPr>
        <w:pStyle w:val="BodyText"/>
        <w:spacing w:after="180"/>
        <w:ind w:firstLine="0"/>
        <w:jc w:val="center"/>
      </w:pPr>
      <w:r>
        <w:rPr>
          <w:rStyle w:val="BodyTextChar"/>
          <w:b/>
        </w:rPr>
        <w:t>Évaluation clinique et investigations cliniques</w:t>
      </w:r>
    </w:p>
    <w:p w14:paraId="604BB9BD" w14:textId="77777777" w:rsidR="00874815" w:rsidRDefault="00317692">
      <w:pPr>
        <w:pStyle w:val="BodyText"/>
        <w:spacing w:after="120"/>
        <w:ind w:left="360" w:hanging="360"/>
        <w:jc w:val="both"/>
      </w:pPr>
      <w:r>
        <w:rPr>
          <w:rStyle w:val="BodyTextChar"/>
        </w:rPr>
        <w:t xml:space="preserve">Article 30. </w:t>
      </w:r>
      <w:r>
        <w:rPr>
          <w:rStyle w:val="BodyTextChar"/>
          <w:i/>
        </w:rPr>
        <w:t>Recherche clinique menée pour démontrer la conformité des dispositifs.</w:t>
      </w:r>
    </w:p>
    <w:p w14:paraId="542180BE" w14:textId="77777777" w:rsidR="00874815" w:rsidRDefault="00317692">
      <w:pPr>
        <w:pStyle w:val="BodyText"/>
        <w:numPr>
          <w:ilvl w:val="0"/>
          <w:numId w:val="37"/>
        </w:numPr>
        <w:tabs>
          <w:tab w:val="left" w:pos="715"/>
        </w:tabs>
        <w:jc w:val="both"/>
      </w:pPr>
      <w:r>
        <w:rPr>
          <w:rStyle w:val="BodyTextChar"/>
        </w:rPr>
        <w:t>Les principes éthiques, méthodologiques et de protection des sujets visés dans le décret royal 1090/2015 du 4 décembre réglementant les essais cliniques sur les dispositifs médicaux, les comités d’éthique de la recherche pharmaceutique et le registre espagnol des études cliniques, ainsi que les dispositions du chapitre VI et des annexes XIV et XV du règlement (UE) 2017/745 du Parlement européen et du Conseil du 5 avril 2017, s’appliquent à la conduite de recherches cliniques avec les dispositifs énumérés à l’article 3, paragraphe 1, point a).</w:t>
      </w:r>
    </w:p>
    <w:p w14:paraId="2454E73F" w14:textId="77777777" w:rsidR="00874815" w:rsidRDefault="00317692">
      <w:pPr>
        <w:pStyle w:val="BodyText"/>
        <w:numPr>
          <w:ilvl w:val="0"/>
          <w:numId w:val="37"/>
        </w:numPr>
        <w:tabs>
          <w:tab w:val="left" w:pos="715"/>
        </w:tabs>
        <w:jc w:val="both"/>
      </w:pPr>
      <w:r>
        <w:rPr>
          <w:rStyle w:val="BodyTextChar"/>
        </w:rPr>
        <w:t>Les dispositifs destinés à la recherche clinique ne peuvent être mis à la disposition des médecins que si l’enquête a l’avis favorable du comité d’éthique de la recherche pharmaceutique (ci-après, CERP), accrédités par l’organisme compétent de la communauté autonome concernée, conformément à l’article 60 du texte de refonte de la loi sur les garanties et l’utilisation rationnelle des médicaments et des dispositifs médicaux. La conformité de l’adresse du centre où elle doit être effectuée est également requise.</w:t>
      </w:r>
    </w:p>
    <w:p w14:paraId="683816C7" w14:textId="77777777" w:rsidR="00874815" w:rsidRDefault="00317692">
      <w:pPr>
        <w:pStyle w:val="BodyText"/>
        <w:numPr>
          <w:ilvl w:val="0"/>
          <w:numId w:val="37"/>
        </w:numPr>
        <w:tabs>
          <w:tab w:val="left" w:pos="715"/>
        </w:tabs>
        <w:jc w:val="both"/>
      </w:pPr>
      <w:r>
        <w:rPr>
          <w:rStyle w:val="BodyTextChar"/>
        </w:rPr>
        <w:t>Le CERP émet un avis sur la recherche clinique avec ces dispositifs. Cela portera en particulier sur les dispositions de l’article 16, paragraphe 4, point a), du décret royal 1090/2015 du 4 décembre. Lorsque de telles enquêtes sont menées dans plusieurs centres, l’avis est émis par un CERP sur le territoire national et est unique et contraignant.</w:t>
      </w:r>
    </w:p>
    <w:p w14:paraId="4ACEC7A7" w14:textId="77777777" w:rsidR="00874815" w:rsidRDefault="00317692">
      <w:pPr>
        <w:pStyle w:val="BodyText"/>
        <w:jc w:val="both"/>
      </w:pPr>
      <w:r>
        <w:rPr>
          <w:rStyle w:val="BodyTextChar"/>
        </w:rPr>
        <w:t>Cette disposition s’étend aux modifications substantielles de la recherche clinique.</w:t>
      </w:r>
    </w:p>
    <w:p w14:paraId="79CE3911" w14:textId="77777777" w:rsidR="00874815" w:rsidRDefault="00317692">
      <w:pPr>
        <w:pStyle w:val="BodyText"/>
        <w:numPr>
          <w:ilvl w:val="0"/>
          <w:numId w:val="37"/>
        </w:numPr>
        <w:tabs>
          <w:tab w:val="left" w:pos="715"/>
        </w:tabs>
        <w:jc w:val="both"/>
      </w:pPr>
      <w:r>
        <w:rPr>
          <w:rStyle w:val="BodyTextChar"/>
        </w:rPr>
        <w:t>L’agence espagnole des médicaments et des dispositifs médicaux informe les communautés autonomes concernées des décisions prises pour assurer la sécurité de la recherche clinique.</w:t>
      </w:r>
    </w:p>
    <w:p w14:paraId="7770347D" w14:textId="77777777" w:rsidR="00874815" w:rsidRDefault="00317692">
      <w:pPr>
        <w:pStyle w:val="BodyText"/>
        <w:numPr>
          <w:ilvl w:val="0"/>
          <w:numId w:val="37"/>
        </w:numPr>
        <w:tabs>
          <w:tab w:val="left" w:pos="715"/>
        </w:tabs>
        <w:jc w:val="both"/>
      </w:pPr>
      <w:r>
        <w:rPr>
          <w:rStyle w:val="BodyTextChar"/>
        </w:rPr>
        <w:t>Les dispositifs destinés à la recherche clinique sont fournis gratuitement par le promoteur. D’autres formes de fourniture peuvent être autorisées dans certaines situations.</w:t>
      </w:r>
    </w:p>
    <w:p w14:paraId="269A8E3B" w14:textId="77777777" w:rsidR="00874815" w:rsidRDefault="00317692">
      <w:pPr>
        <w:pStyle w:val="BodyText"/>
        <w:jc w:val="both"/>
      </w:pPr>
      <w:r>
        <w:rPr>
          <w:rStyle w:val="BodyTextChar"/>
        </w:rPr>
        <w:t>Tous les dispositifs excédentaires seront retournés au promoteur, une fois la recherche terminée.</w:t>
      </w:r>
    </w:p>
    <w:p w14:paraId="124F39CA" w14:textId="77777777" w:rsidR="00874815" w:rsidRDefault="00317692">
      <w:pPr>
        <w:pStyle w:val="BodyText"/>
        <w:jc w:val="both"/>
      </w:pPr>
      <w:r>
        <w:rPr>
          <w:rStyle w:val="BodyTextChar"/>
        </w:rPr>
        <w:t>Les étiquettes et les manuels d’instructions pour les dispositifs destinés à la recherche clinique doivent être écrits, au moins en espagnol, et permettre une identification parfaite des dispositifs à tout moment.</w:t>
      </w:r>
    </w:p>
    <w:p w14:paraId="0468B162" w14:textId="77777777" w:rsidR="00874815" w:rsidRDefault="00317692">
      <w:pPr>
        <w:pStyle w:val="BodyText"/>
        <w:jc w:val="both"/>
      </w:pPr>
      <w:r>
        <w:rPr>
          <w:rStyle w:val="BodyTextChar"/>
        </w:rPr>
        <w:t>Le promoteur doit conserver dans le dossier d’essai principal les protocoles de fabrication et de contrôle des lots de dispositifs fabriqués à des fins de recherche clinique.</w:t>
      </w:r>
    </w:p>
    <w:p w14:paraId="3F69BC84" w14:textId="77777777" w:rsidR="00874815" w:rsidRDefault="00317692">
      <w:pPr>
        <w:pStyle w:val="BodyText"/>
        <w:jc w:val="both"/>
      </w:pPr>
      <w:r>
        <w:rPr>
          <w:rStyle w:val="BodyTextChar"/>
        </w:rPr>
        <w:t>Dans le cas de la recherche clinique menée dans les hôpitaux, ce seront les départements de pharmacie qui superviseront la fourniture des dispositifs à utiliser pour la recherche clinique. Lorsque la recherche n’est pas effectuée dans un hôpital, une personne doit être désignée pour superviser cette fourniture.</w:t>
      </w:r>
    </w:p>
    <w:p w14:paraId="5671EB78" w14:textId="77777777" w:rsidR="00874815" w:rsidRDefault="00317692">
      <w:pPr>
        <w:pStyle w:val="BodyText"/>
        <w:numPr>
          <w:ilvl w:val="0"/>
          <w:numId w:val="37"/>
        </w:numPr>
        <w:tabs>
          <w:tab w:val="left" w:pos="715"/>
        </w:tabs>
        <w:jc w:val="both"/>
      </w:pPr>
      <w:r>
        <w:rPr>
          <w:noProof/>
        </w:rPr>
        <mc:AlternateContent>
          <mc:Choice Requires="wps">
            <w:drawing>
              <wp:anchor distT="0" distB="0" distL="114300" distR="114300" simplePos="0" relativeHeight="125829414" behindDoc="0" locked="0" layoutInCell="1" allowOverlap="1" wp14:anchorId="4C4976ED" wp14:editId="39645291">
                <wp:simplePos x="0" y="0"/>
                <wp:positionH relativeFrom="page">
                  <wp:posOffset>7155180</wp:posOffset>
                </wp:positionH>
                <wp:positionV relativeFrom="paragraph">
                  <wp:posOffset>419100</wp:posOffset>
                </wp:positionV>
                <wp:extent cx="222250" cy="1337945"/>
                <wp:effectExtent l="0" t="0" r="0" b="0"/>
                <wp:wrapSquare wrapText="bothSides"/>
                <wp:docPr id="37" name="Shape 3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C5694A5"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30915DB3" w14:textId="77777777" w:rsidR="00874815" w:rsidRDefault="00317692">
                            <w:pPr>
                              <w:pStyle w:val="Bodytext20"/>
                            </w:pPr>
                            <w:r>
                              <w:rPr>
                                <w:rStyle w:val="Bodytext2"/>
                              </w:rPr>
                              <w:t xml:space="preserve">Consultable à l’adresse </w:t>
                            </w:r>
                            <w:hyperlink r:id="rId4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C4976ED" id="Shape 37" o:spid="_x0000_s1044" type="#_x0000_t202" style="position:absolute;left:0;text-align:left;margin-left:563.4pt;margin-top:33pt;width:17.5pt;height:105.35pt;z-index:12582941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" filled="f" stroked="f">
                <v:textbox style="layout-flow:vertical;mso-layout-flow-alt:bottom-to-top" inset="0,0,0,0">
                  <w:txbxContent>
                    <w:p w14:paraId="4C5694A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0915DB3" w14:textId="77777777" w:rsidR="00874815" w:rsidRDefault="00000000">
                      <w:pPr>
                        <w:pStyle w:val="Bodytext20"/>
                      </w:pPr>
                      <w:r>
                        <w:rPr>
                          <w:rStyle w:val="Bodytext2"/>
                        </w:rPr>
                        <w:t xml:space="preserve">Consultable à l’adresse </w:t>
                      </w:r>
                      <w:hyperlink r:id="rId44" w:history="1">
                        <w:r>
                          <w:rPr>
                            <w:rStyle w:val="Bodytext2"/>
                          </w:rPr>
                          <w:t xml:space="preserve">https://www.boe.es</w:t>
                        </w:r>
                      </w:hyperlink>
                    </w:p>
                  </w:txbxContent>
                </v:textbox>
                <w10:wrap type="square" anchorx="page"/>
              </v:shape>
            </w:pict>
          </mc:Fallback>
        </mc:AlternateContent>
      </w:r>
      <w:r>
        <w:rPr>
          <w:rStyle w:val="BodyTextChar"/>
        </w:rPr>
        <w:t>Le promoteur ou le représentant légal établi en Espagne tient à la disposition des autorités compétentes les documents visés à l’annexe XV du règlement (UE) 2017/745 du Parlement européen et du Conseil du 5 avril 2017 dans les délais fixés au chapitre III, point 3, de la présente annexe.</w:t>
      </w:r>
    </w:p>
    <w:p w14:paraId="6B633A6D" w14:textId="77777777" w:rsidR="00874815" w:rsidRDefault="00317692">
      <w:pPr>
        <w:pStyle w:val="BodyText"/>
        <w:numPr>
          <w:ilvl w:val="0"/>
          <w:numId w:val="37"/>
        </w:numPr>
        <w:tabs>
          <w:tab w:val="left" w:pos="715"/>
        </w:tabs>
        <w:spacing w:after="160"/>
        <w:jc w:val="both"/>
      </w:pPr>
      <w:r>
        <w:rPr>
          <w:rStyle w:val="BodyTextChar"/>
        </w:rPr>
        <w:t>En cas de faillite ou de cessation d’activité, ils doivent informer l’agence espagnole des médicaments et des dispositifs médicaux d’établir les mesures appropriées pour la conservation de la documentation ou au référencement de celle-ci.</w:t>
      </w:r>
      <w:r>
        <w:br w:type="page"/>
      </w:r>
    </w:p>
    <w:p w14:paraId="58C54DA6" w14:textId="77777777" w:rsidR="00874815" w:rsidRDefault="00317692">
      <w:pPr>
        <w:pStyle w:val="BodyText"/>
        <w:spacing w:after="120"/>
        <w:ind w:left="360" w:hanging="360"/>
        <w:jc w:val="both"/>
      </w:pPr>
      <w:r>
        <w:rPr>
          <w:rStyle w:val="BodyTextChar"/>
        </w:rPr>
        <w:lastRenderedPageBreak/>
        <w:t xml:space="preserve">Article 31. </w:t>
      </w:r>
      <w:r>
        <w:rPr>
          <w:rStyle w:val="BodyTextChar"/>
          <w:i/>
        </w:rPr>
        <w:t>Procédure d’autorisation des recherches cliniques visant à démontrer la conformité des dispositifs.</w:t>
      </w:r>
    </w:p>
    <w:p w14:paraId="2440C26E" w14:textId="77777777" w:rsidR="00874815" w:rsidRDefault="00317692">
      <w:pPr>
        <w:pStyle w:val="BodyText"/>
        <w:numPr>
          <w:ilvl w:val="0"/>
          <w:numId w:val="38"/>
        </w:numPr>
        <w:tabs>
          <w:tab w:val="left" w:pos="716"/>
        </w:tabs>
        <w:jc w:val="both"/>
      </w:pPr>
      <w:r>
        <w:rPr>
          <w:rStyle w:val="BodyTextChar"/>
        </w:rPr>
        <w:t>Le promoteur demande l’autorisation de l’agence espagnole des médicaments et des dispositifs médicaux, ainsi que la documentation requise par le règlement (UE) 2017/745 du Parlement européen et du Conseil du 5 avril 2017, conformément aux procédures et aux délais fixés par le présent règlement. Cette demande est sans préjudice de toute communication requise par l’autorité sanitaire de la communauté autonome concernée.</w:t>
      </w:r>
    </w:p>
    <w:p w14:paraId="636FC9BB" w14:textId="77777777" w:rsidR="00874815" w:rsidRDefault="00317692">
      <w:pPr>
        <w:pStyle w:val="BodyText"/>
        <w:jc w:val="both"/>
      </w:pPr>
      <w:r>
        <w:rPr>
          <w:rStyle w:val="BodyTextChar"/>
        </w:rPr>
        <w:t>La demande, la brochure de l’investigateur, le plan de recherche clinique, le consentement éclairé et les instructions et l’étiquetage de l’instrument expérimental doivent être soumis au moins en espagnol.</w:t>
      </w:r>
    </w:p>
    <w:p w14:paraId="529AE79E" w14:textId="77777777" w:rsidR="00874815" w:rsidRDefault="00317692">
      <w:pPr>
        <w:pStyle w:val="BodyText"/>
        <w:numPr>
          <w:ilvl w:val="0"/>
          <w:numId w:val="38"/>
        </w:numPr>
        <w:tabs>
          <w:tab w:val="left" w:pos="716"/>
        </w:tabs>
        <w:jc w:val="both"/>
      </w:pPr>
      <w:r>
        <w:rPr>
          <w:rStyle w:val="BodyTextChar"/>
        </w:rPr>
        <w:t>L’agence espagnole des médicaments et des dispositifs médicaux évalue la documentation soumise et décide en autorisant la recherche ou en communiquant une contre-décision fondée sur des considérations de santé publique ou d’ordre public, sur la base des délais fixés à l’article 70 du règlement (UE) 2017/745 du Parlement européen et du Conseil du 5 avril 2017.</w:t>
      </w:r>
    </w:p>
    <w:p w14:paraId="1BB48CB1" w14:textId="77777777" w:rsidR="00874815" w:rsidRDefault="00317692">
      <w:pPr>
        <w:pStyle w:val="BodyText"/>
        <w:jc w:val="both"/>
      </w:pPr>
      <w:r>
        <w:rPr>
          <w:rStyle w:val="BodyTextChar"/>
        </w:rPr>
        <w:t>Dans le cas des dispositifs d’investigation de classe I ou des dispositifs non invasifs des classes </w:t>
      </w:r>
      <w:proofErr w:type="spellStart"/>
      <w:r>
        <w:rPr>
          <w:rStyle w:val="BodyTextChar"/>
        </w:rPr>
        <w:t>IIa</w:t>
      </w:r>
      <w:proofErr w:type="spellEnd"/>
      <w:r>
        <w:rPr>
          <w:rStyle w:val="BodyTextChar"/>
        </w:rPr>
        <w:t xml:space="preserve"> et </w:t>
      </w:r>
      <w:proofErr w:type="spellStart"/>
      <w:r>
        <w:rPr>
          <w:rStyle w:val="BodyTextChar"/>
        </w:rPr>
        <w:t>IIb</w:t>
      </w:r>
      <w:proofErr w:type="spellEnd"/>
      <w:r>
        <w:rPr>
          <w:rStyle w:val="BodyTextChar"/>
        </w:rPr>
        <w:t>, la même procédure s’applique avec les mêmes délais que pour les autres dispositifs.</w:t>
      </w:r>
    </w:p>
    <w:p w14:paraId="7886122D" w14:textId="77777777" w:rsidR="00874815" w:rsidRDefault="00317692">
      <w:pPr>
        <w:pStyle w:val="BodyText"/>
        <w:numPr>
          <w:ilvl w:val="0"/>
          <w:numId w:val="38"/>
        </w:numPr>
        <w:tabs>
          <w:tab w:val="left" w:pos="716"/>
        </w:tabs>
        <w:spacing w:after="180"/>
        <w:jc w:val="both"/>
      </w:pPr>
      <w:r>
        <w:rPr>
          <w:rStyle w:val="BodyTextChar"/>
        </w:rPr>
        <w:t>Toute modification substantielle d’une recherche clinique est communiquée à l’agence espagnole des médicaments et des dispositifs médicaux conformément à l’article 75 du règlement (UE) 2017/745 du Parlement européen et du Conseil du 5 avril 2017. L’agence espagnole des médicaments et des dispositifs médicaux évalue et résout toutes les modifications substantielles conformément aux délais fixés à l’article 75 du règlement (UE) 2017/745 du Parlement européen et du Conseil du 5 avril 2017.</w:t>
      </w:r>
    </w:p>
    <w:p w14:paraId="4A744B2C" w14:textId="77777777" w:rsidR="00874815" w:rsidRDefault="00317692">
      <w:pPr>
        <w:pStyle w:val="BodyText"/>
        <w:spacing w:after="120"/>
        <w:ind w:firstLine="0"/>
        <w:jc w:val="both"/>
      </w:pPr>
      <w:r>
        <w:rPr>
          <w:rStyle w:val="BodyTextChar"/>
        </w:rPr>
        <w:t xml:space="preserve">Article 32. </w:t>
      </w:r>
      <w:r>
        <w:rPr>
          <w:rStyle w:val="BodyTextChar"/>
          <w:i/>
        </w:rPr>
        <w:t>Indemnité pour les dommages.</w:t>
      </w:r>
    </w:p>
    <w:p w14:paraId="6A74B684" w14:textId="77777777" w:rsidR="00874815" w:rsidRDefault="00317692">
      <w:pPr>
        <w:pStyle w:val="BodyText"/>
        <w:numPr>
          <w:ilvl w:val="0"/>
          <w:numId w:val="39"/>
        </w:numPr>
        <w:tabs>
          <w:tab w:val="left" w:pos="716"/>
        </w:tabs>
        <w:jc w:val="both"/>
      </w:pPr>
      <w:r>
        <w:rPr>
          <w:rStyle w:val="BodyTextChar"/>
        </w:rPr>
        <w:t>Dans le cadre de la recherche clinique, le promoteur veille à ce que l’objet de l’enquête soit indemnisé pour tout préjudice subi en conséquence. Cette indemnité est indépendante de la capacité financière du promoteur, du chercheur et de l’établissement.</w:t>
      </w:r>
    </w:p>
    <w:p w14:paraId="1A8AD67F" w14:textId="77777777" w:rsidR="00874815" w:rsidRDefault="00317692">
      <w:pPr>
        <w:pStyle w:val="BodyText"/>
        <w:numPr>
          <w:ilvl w:val="0"/>
          <w:numId w:val="39"/>
        </w:numPr>
        <w:tabs>
          <w:tab w:val="left" w:pos="716"/>
        </w:tabs>
        <w:spacing w:after="180"/>
        <w:jc w:val="both"/>
      </w:pPr>
      <w:r>
        <w:rPr>
          <w:rStyle w:val="BodyTextChar"/>
        </w:rPr>
        <w:t>Le promoteur de la recherche clinique est responsable d’avoir souscrit une assurance ou une garantie financière couvrant les dommages visés au paragraphe 1, en même temps que les responsabilités qui peuvent être assumées par le promoteur, le chercheur principal et ses collaborateurs, y compris les chercheurs cliniques sous contrat, et l’hôpital ou le centre où la recherche est menée, qui doivent être documentés avant la réalisation de la recherche.</w:t>
      </w:r>
    </w:p>
    <w:p w14:paraId="5B53993B" w14:textId="77777777" w:rsidR="00874815" w:rsidRDefault="00317692">
      <w:pPr>
        <w:pStyle w:val="BodyText"/>
        <w:spacing w:after="120"/>
        <w:ind w:firstLine="0"/>
        <w:jc w:val="both"/>
      </w:pPr>
      <w:r>
        <w:rPr>
          <w:rStyle w:val="BodyTextChar"/>
        </w:rPr>
        <w:t xml:space="preserve">Article 33. </w:t>
      </w:r>
      <w:r>
        <w:rPr>
          <w:rStyle w:val="BodyTextChar"/>
          <w:i/>
        </w:rPr>
        <w:t>Régime de responsabilité.</w:t>
      </w:r>
    </w:p>
    <w:p w14:paraId="312A5722" w14:textId="77777777" w:rsidR="00874815" w:rsidRDefault="00317692">
      <w:pPr>
        <w:pStyle w:val="BodyText"/>
        <w:numPr>
          <w:ilvl w:val="0"/>
          <w:numId w:val="40"/>
        </w:numPr>
        <w:tabs>
          <w:tab w:val="left" w:pos="716"/>
        </w:tabs>
        <w:jc w:val="both"/>
      </w:pPr>
      <w:r>
        <w:rPr>
          <w:rStyle w:val="BodyTextChar"/>
        </w:rPr>
        <w:t>Il est présumé, sauf preuve contraire, que des dommages à la santé du sujet de la recherche clinique au cours de sa conduite et dans l’année suivant la fin du traitement sont survenus à la suite de la recherche. Cependant, après la fin de l’année, le sujet de la recherche clinique est tenu de prouver le lien entre l’enquête et les dommages causés.</w:t>
      </w:r>
    </w:p>
    <w:p w14:paraId="405D8001" w14:textId="18F70493" w:rsidR="00E8056D" w:rsidRDefault="00317692">
      <w:pPr>
        <w:pStyle w:val="BodyText"/>
        <w:numPr>
          <w:ilvl w:val="0"/>
          <w:numId w:val="40"/>
        </w:numPr>
        <w:tabs>
          <w:tab w:val="left" w:pos="716"/>
        </w:tabs>
        <w:jc w:val="both"/>
        <w:rPr>
          <w:rStyle w:val="BodyTextChar"/>
        </w:rPr>
      </w:pPr>
      <w:r>
        <w:rPr>
          <w:noProof/>
        </w:rPr>
        <mc:AlternateContent>
          <mc:Choice Requires="wps">
            <w:drawing>
              <wp:anchor distT="0" distB="0" distL="114300" distR="114300" simplePos="0" relativeHeight="125829416" behindDoc="0" locked="0" layoutInCell="1" allowOverlap="1" wp14:anchorId="58C050CD" wp14:editId="64E8B74A">
                <wp:simplePos x="0" y="0"/>
                <wp:positionH relativeFrom="page">
                  <wp:posOffset>7155180</wp:posOffset>
                </wp:positionH>
                <wp:positionV relativeFrom="paragraph">
                  <wp:posOffset>12700</wp:posOffset>
                </wp:positionV>
                <wp:extent cx="222250" cy="1337945"/>
                <wp:effectExtent l="0" t="0" r="0" b="0"/>
                <wp:wrapSquare wrapText="bothSides"/>
                <wp:docPr id="39" name="Shape 3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3B3CE45"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3FCF287" w14:textId="77777777" w:rsidR="00874815" w:rsidRDefault="00317692">
                            <w:pPr>
                              <w:pStyle w:val="Bodytext20"/>
                            </w:pPr>
                            <w:r>
                              <w:rPr>
                                <w:rStyle w:val="Bodytext2"/>
                              </w:rPr>
                              <w:t xml:space="preserve">Consultable à l’adresse </w:t>
                            </w:r>
                            <w:hyperlink r:id="rId4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58C050CD" id="Shape 39" o:spid="_x0000_s1045" type="#_x0000_t202" style="position:absolute;left:0;text-align:left;margin-left:563.4pt;margin-top:1pt;width:17.5pt;height:105.35pt;z-index:1258294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" filled="f" stroked="f">
                <v:textbox style="layout-flow:vertical;mso-layout-flow-alt:bottom-to-top" inset="0,0,0,0">
                  <w:txbxContent>
                    <w:p w14:paraId="33B3CE4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3FCF287" w14:textId="77777777" w:rsidR="00874815" w:rsidRDefault="00000000">
                      <w:pPr>
                        <w:pStyle w:val="Bodytext20"/>
                      </w:pPr>
                      <w:r>
                        <w:rPr>
                          <w:rStyle w:val="Bodytext2"/>
                        </w:rPr>
                        <w:t xml:space="preserve">Consultable à l’adresse </w:t>
                      </w:r>
                      <w:hyperlink r:id="rId46" w:history="1">
                        <w:r>
                          <w:rPr>
                            <w:rStyle w:val="Bodytext2"/>
                          </w:rPr>
                          <w:t xml:space="preserve">https://www.boe.es</w:t>
                        </w:r>
                      </w:hyperlink>
                    </w:p>
                  </w:txbxContent>
                </v:textbox>
                <w10:wrap type="square" anchorx="page"/>
              </v:shape>
            </w:pict>
          </mc:Fallback>
        </mc:AlternateContent>
      </w:r>
      <w:r>
        <w:rPr>
          <w:rStyle w:val="BodyTextChar"/>
        </w:rPr>
        <w:t>Aux fins du régime de responsabilité prévu au présent article, toutes les dépenses résultant de la détérioration de la santé ou de l’état physique de la personne faisant l’objet de la recherche clinique, ainsi que les dommages économiques découlant directement de cette déficience, sont indemnisés, à condition que cette déficience ne soit pas inhérente à la pathologie étudiée ou à l’évolution de sa maladie du fait de l’inefficacité du traitement.</w:t>
      </w:r>
    </w:p>
    <w:p w14:paraId="5777461B" w14:textId="77777777" w:rsidR="00E8056D" w:rsidRDefault="00E8056D">
      <w:pPr>
        <w:rPr>
          <w:rStyle w:val="BodyTextChar"/>
        </w:rPr>
      </w:pPr>
      <w:r>
        <w:br w:type="page"/>
      </w:r>
    </w:p>
    <w:p w14:paraId="5E04793C" w14:textId="19A7C704" w:rsidR="00874815" w:rsidRDefault="00317692">
      <w:pPr>
        <w:pStyle w:val="BodyText"/>
        <w:numPr>
          <w:ilvl w:val="0"/>
          <w:numId w:val="40"/>
        </w:numPr>
        <w:tabs>
          <w:tab w:val="left" w:pos="716"/>
        </w:tabs>
        <w:spacing w:after="180"/>
        <w:jc w:val="both"/>
      </w:pPr>
      <w:r>
        <w:rPr>
          <w:rStyle w:val="BodyTextChar"/>
        </w:rPr>
        <w:lastRenderedPageBreak/>
        <w:t>Le montant minimal à garantir au titre de la responsabilité est de 250 000 EUR par personne faisant l’objet de la recherche clinique, qui peut être perçue sous la forme d’une compensation forfaitaire ou d’un revenu équivalent au même capital. Un capital assuré maximal ou un montant maximal de la garantie financière pour la recherche clinique et la rente de 2 500 000 EUR peuvent être établis.</w:t>
      </w:r>
    </w:p>
    <w:p w14:paraId="6CABC896" w14:textId="77777777" w:rsidR="00874815" w:rsidRDefault="00317692">
      <w:pPr>
        <w:pStyle w:val="BodyText"/>
        <w:spacing w:after="120"/>
        <w:ind w:left="360" w:hanging="360"/>
        <w:jc w:val="both"/>
      </w:pPr>
      <w:r>
        <w:rPr>
          <w:rStyle w:val="BodyTextChar"/>
        </w:rPr>
        <w:t xml:space="preserve">Article 34. </w:t>
      </w:r>
      <w:r>
        <w:rPr>
          <w:rStyle w:val="BodyTextChar"/>
          <w:i/>
        </w:rPr>
        <w:t>Recherche clinique menée avec des dispositifs porteurs du marquage CE et autres recherches cliniques.</w:t>
      </w:r>
    </w:p>
    <w:p w14:paraId="153B21E0" w14:textId="77777777" w:rsidR="00874815" w:rsidRDefault="00317692">
      <w:pPr>
        <w:pStyle w:val="BodyText"/>
        <w:numPr>
          <w:ilvl w:val="0"/>
          <w:numId w:val="41"/>
        </w:numPr>
        <w:tabs>
          <w:tab w:val="left" w:pos="715"/>
        </w:tabs>
        <w:jc w:val="both"/>
      </w:pPr>
      <w:r>
        <w:rPr>
          <w:rStyle w:val="BodyTextChar"/>
        </w:rPr>
        <w:t>Les recherches cliniques menées avec des dispositifs porteurs du marquage CE en dehors de leur destination, outre les dispositions de l’article 74, paragraphe 2, du règlement (UE) 2017/745 du Parlement européen et du Conseil du 5 avril 2017, sont régies par les articles 30, 31, 32 et 33 du présent décret royal.</w:t>
      </w:r>
    </w:p>
    <w:p w14:paraId="188F39C3" w14:textId="77777777" w:rsidR="00874815" w:rsidRDefault="00317692">
      <w:pPr>
        <w:pStyle w:val="BodyText"/>
        <w:numPr>
          <w:ilvl w:val="0"/>
          <w:numId w:val="41"/>
        </w:numPr>
        <w:tabs>
          <w:tab w:val="left" w:pos="715"/>
        </w:tabs>
        <w:jc w:val="both"/>
      </w:pPr>
      <w:r>
        <w:rPr>
          <w:rStyle w:val="BodyTextChar"/>
        </w:rPr>
        <w:t>La recherche clinique au sens de l’article 74, paragraphe 1, du règlement (UE) 2017/745 du Parlement européen et du Conseil du 5 avril 2017 est communiquée à l’agence espagnole des médicaments et des dispositifs médicaux, conformément aux dispositions dudit article, et leurs modifications substantielles sont communiquées conformément à l’article 75, paragraphe 1, dudit règlement. Cette communication s’entend sans préjudice de toute communication requise par l’autorité sanitaire de la communauté autonome concernée.</w:t>
      </w:r>
    </w:p>
    <w:p w14:paraId="49A7A7D6" w14:textId="77777777" w:rsidR="00874815" w:rsidRDefault="00317692">
      <w:pPr>
        <w:pStyle w:val="BodyText"/>
        <w:jc w:val="both"/>
      </w:pPr>
      <w:r>
        <w:rPr>
          <w:rStyle w:val="BodyTextChar"/>
        </w:rPr>
        <w:t>La lettre de communication, la brochure de l’investigateur, le plan de recherche clinique, le consentement éclairé et les instructions et l’étiquetage de l’instrument doivent être présentés au moins en espagnol.</w:t>
      </w:r>
    </w:p>
    <w:p w14:paraId="3FDE86D9" w14:textId="77777777" w:rsidR="00874815" w:rsidRDefault="00317692">
      <w:pPr>
        <w:pStyle w:val="BodyText"/>
        <w:jc w:val="both"/>
      </w:pPr>
      <w:r>
        <w:rPr>
          <w:rStyle w:val="BodyTextChar"/>
        </w:rPr>
        <w:t>Outre les dispositions de l’article 74, paragraphe 1, du règlement (UE) 2017/745 du Parlement européen et du Conseil du 5 avril 2017, l’article 30, paragraphes 1, 2, 3 et 4, paragraphe </w:t>
      </w:r>
      <w:proofErr w:type="gramStart"/>
      <w:r>
        <w:rPr>
          <w:rStyle w:val="BodyTextChar"/>
        </w:rPr>
        <w:t>5,point</w:t>
      </w:r>
      <w:proofErr w:type="gramEnd"/>
      <w:r>
        <w:rPr>
          <w:rStyle w:val="BodyTextChar"/>
        </w:rPr>
        <w:t> 3), paragraphes 6 et 7, du présent décret royal s’applique à cette recherche clinique.</w:t>
      </w:r>
    </w:p>
    <w:p w14:paraId="56E7FEF5" w14:textId="77777777" w:rsidR="00874815" w:rsidRDefault="00317692">
      <w:pPr>
        <w:pStyle w:val="BodyText"/>
        <w:numPr>
          <w:ilvl w:val="0"/>
          <w:numId w:val="41"/>
        </w:numPr>
        <w:tabs>
          <w:tab w:val="left" w:pos="715"/>
        </w:tabs>
        <w:spacing w:after="240"/>
        <w:jc w:val="both"/>
      </w:pPr>
      <w:r>
        <w:rPr>
          <w:rStyle w:val="BodyTextChar"/>
        </w:rPr>
        <w:t>La recherche clinique décrite à l’article 82 du règlement (UE) 2017/745 du Parlement européen et du Conseil du 5 avril 2017 s’applique aux dispositions de l’article 30, à l’exception du paragraphe 5 du présent décret royal.</w:t>
      </w:r>
    </w:p>
    <w:p w14:paraId="1D2CEBD3" w14:textId="6E5E2A5E" w:rsidR="00874815" w:rsidRPr="00317692" w:rsidRDefault="00317692">
      <w:pPr>
        <w:pStyle w:val="Heading20"/>
        <w:keepNext/>
        <w:keepLines/>
      </w:pPr>
      <w:bookmarkStart w:id="9" w:name="bookmark20"/>
      <w:proofErr w:type="gramStart"/>
      <w:r>
        <w:rPr>
          <w:rStyle w:val="Heading2"/>
        </w:rPr>
        <w:t>CHAPITRE VII</w:t>
      </w:r>
      <w:bookmarkEnd w:id="9"/>
      <w:r>
        <w:rPr>
          <w:rStyle w:val="Heading2"/>
        </w:rPr>
        <w:t>I</w:t>
      </w:r>
      <w:proofErr w:type="gramEnd"/>
    </w:p>
    <w:p w14:paraId="5F5FC9EE" w14:textId="77777777" w:rsidR="00874815" w:rsidRPr="00317692" w:rsidRDefault="00317692">
      <w:pPr>
        <w:pStyle w:val="BodyText"/>
        <w:spacing w:after="180"/>
        <w:ind w:firstLine="0"/>
        <w:jc w:val="center"/>
      </w:pPr>
      <w:r>
        <w:rPr>
          <w:rStyle w:val="BodyTextChar"/>
          <w:b/>
        </w:rPr>
        <w:t>Système de surveillance</w:t>
      </w:r>
    </w:p>
    <w:p w14:paraId="78D285DA" w14:textId="77777777" w:rsidR="00874815" w:rsidRDefault="00317692">
      <w:pPr>
        <w:pStyle w:val="BodyText"/>
        <w:spacing w:after="120"/>
        <w:ind w:firstLine="0"/>
        <w:jc w:val="both"/>
      </w:pPr>
      <w:r>
        <w:rPr>
          <w:rStyle w:val="BodyTextChar"/>
        </w:rPr>
        <w:t xml:space="preserve">Article 35. </w:t>
      </w:r>
      <w:r>
        <w:rPr>
          <w:rStyle w:val="BodyTextChar"/>
          <w:i/>
        </w:rPr>
        <w:t>Système de surveillance.</w:t>
      </w:r>
    </w:p>
    <w:p w14:paraId="3F65E698" w14:textId="77777777" w:rsidR="00874815" w:rsidRDefault="00317692">
      <w:pPr>
        <w:pStyle w:val="BodyText"/>
        <w:numPr>
          <w:ilvl w:val="0"/>
          <w:numId w:val="42"/>
        </w:numPr>
        <w:tabs>
          <w:tab w:val="left" w:pos="715"/>
        </w:tabs>
        <w:jc w:val="both"/>
      </w:pPr>
      <w:r>
        <w:rPr>
          <w:rStyle w:val="BodyTextChar"/>
        </w:rPr>
        <w:t>Les fabricants effectuent les notifications d’incident prévues à l’article 2 du chapitre VII du règlement (UE) 2017/745 du Parlement européen et du Conseil du 5 avril 2017 selon les procédures prévues par ledit règlement.</w:t>
      </w:r>
    </w:p>
    <w:p w14:paraId="434C2C5C" w14:textId="77777777" w:rsidR="00874815" w:rsidRDefault="00317692">
      <w:pPr>
        <w:pStyle w:val="BodyText"/>
        <w:numPr>
          <w:ilvl w:val="0"/>
          <w:numId w:val="42"/>
        </w:numPr>
        <w:tabs>
          <w:tab w:val="left" w:pos="715"/>
        </w:tabs>
        <w:jc w:val="both"/>
      </w:pPr>
      <w:r>
        <w:rPr>
          <w:rStyle w:val="BodyTextChar"/>
        </w:rPr>
        <w:t>Les professionnels de la santé et les autorités qui, dans le cadre de leur activité, ont eu connaissance d’un incident grave doivent en informer l’agence espagnole des médicaments et des dispositifs médicaux, par l’intermédiaire de son site internet autorisé, qui le transférera au fabricant du dispositif concerné.</w:t>
      </w:r>
    </w:p>
    <w:p w14:paraId="5C4EA8C6" w14:textId="77777777" w:rsidR="00874815" w:rsidRDefault="00317692">
      <w:pPr>
        <w:pStyle w:val="BodyText"/>
        <w:jc w:val="both"/>
      </w:pPr>
      <w:r>
        <w:rPr>
          <w:noProof/>
        </w:rPr>
        <mc:AlternateContent>
          <mc:Choice Requires="wps">
            <w:drawing>
              <wp:anchor distT="0" distB="0" distL="114300" distR="114300" simplePos="0" relativeHeight="125829418" behindDoc="0" locked="0" layoutInCell="1" allowOverlap="1" wp14:anchorId="4ECC8486" wp14:editId="1704DF13">
                <wp:simplePos x="0" y="0"/>
                <wp:positionH relativeFrom="page">
                  <wp:posOffset>7155180</wp:posOffset>
                </wp:positionH>
                <wp:positionV relativeFrom="paragraph">
                  <wp:posOffset>596900</wp:posOffset>
                </wp:positionV>
                <wp:extent cx="222250" cy="1337945"/>
                <wp:effectExtent l="0" t="0" r="0" b="0"/>
                <wp:wrapSquare wrapText="bothSides"/>
                <wp:docPr id="41" name="Shape 4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59DFBEC5"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7A666FA" w14:textId="77777777" w:rsidR="00874815" w:rsidRDefault="00317692">
                            <w:pPr>
                              <w:pStyle w:val="Bodytext20"/>
                            </w:pPr>
                            <w:r>
                              <w:rPr>
                                <w:rStyle w:val="Bodytext2"/>
                              </w:rPr>
                              <w:t xml:space="preserve">Consultable à l’adresse </w:t>
                            </w:r>
                            <w:hyperlink r:id="rId4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ECC8486" id="Shape 41" o:spid="_x0000_s1046" type="#_x0000_t202" style="position:absolute;left:0;text-align:left;margin-left:563.4pt;margin-top:47pt;width:17.5pt;height:105.35pt;z-index:12582941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TnrfA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" filled="f" stroked="f">
                <v:textbox style="layout-flow:vertical;mso-layout-flow-alt:bottom-to-top" inset="0,0,0,0">
                  <w:txbxContent>
                    <w:p w14:paraId="59DFBEC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7A666FA" w14:textId="77777777" w:rsidR="00874815" w:rsidRDefault="00000000">
                      <w:pPr>
                        <w:pStyle w:val="Bodytext20"/>
                      </w:pPr>
                      <w:r>
                        <w:rPr>
                          <w:rStyle w:val="Bodytext2"/>
                        </w:rPr>
                        <w:t xml:space="preserve">Consultable à l’adresse </w:t>
                      </w:r>
                      <w:hyperlink r:id="rId48" w:history="1">
                        <w:r>
                          <w:rPr>
                            <w:rStyle w:val="Bodytext2"/>
                          </w:rPr>
                          <w:t xml:space="preserve">https://www.boe.es</w:t>
                        </w:r>
                      </w:hyperlink>
                    </w:p>
                  </w:txbxContent>
                </v:textbox>
                <w10:wrap type="square" anchorx="page"/>
              </v:shape>
            </w:pict>
          </mc:Fallback>
        </mc:AlternateContent>
      </w:r>
      <w:r>
        <w:rPr>
          <w:rStyle w:val="BodyTextChar"/>
        </w:rPr>
        <w:t>Les patients et les utilisateurs peuvent également signaler des incidents graves à l’agence espagnole des médicaments et des dispositifs médicaux en utilisant la procédure électronique autorisée, sans préjudice de toute notification qu’ils ont faite au fabricant, à un autre opérateur économique ou au professionnel de la santé.</w:t>
      </w:r>
    </w:p>
    <w:p w14:paraId="50ADAE96" w14:textId="77777777" w:rsidR="00874815" w:rsidRDefault="00317692">
      <w:pPr>
        <w:pStyle w:val="BodyText"/>
        <w:jc w:val="both"/>
      </w:pPr>
      <w:r>
        <w:rPr>
          <w:rStyle w:val="BodyTextChar"/>
        </w:rPr>
        <w:t>L’agence espagnole des médicaments et des dispositifs médicaux coordonne avec les communautés autonomes, par le biais de la procédure électronique susmentionnée, la réception des notifications reçues par les professionnels de la santé, les patients ou les utilisateurs.</w:t>
      </w:r>
    </w:p>
    <w:p w14:paraId="320F9798" w14:textId="6827B2A3" w:rsidR="00874815" w:rsidRDefault="00317692">
      <w:pPr>
        <w:pStyle w:val="BodyText"/>
        <w:numPr>
          <w:ilvl w:val="0"/>
          <w:numId w:val="42"/>
        </w:numPr>
        <w:tabs>
          <w:tab w:val="left" w:pos="715"/>
        </w:tabs>
        <w:jc w:val="both"/>
      </w:pPr>
      <w:r>
        <w:rPr>
          <w:rStyle w:val="BodyTextChar"/>
        </w:rPr>
        <w:t xml:space="preserve">Les centres de santé désignent un agent de surveillance pour les procédures résultant de l’application du présent article, qui veille également au respect des obligations prévues à l’article 36 en ce qui concerne les cartes d’implants et communique leurs coordonnées aux autorités sanitaires de la communauté autonome concernée et à l’agence espagnole des médicaments et des dispositifs médicaux. Les centres de santé appartenant au réseau de santé de la défense procèdent à cette communication par l’intermédiaire de l’inspection générale de la </w:t>
      </w:r>
      <w:r>
        <w:rPr>
          <w:rStyle w:val="BodyTextChar"/>
        </w:rPr>
        <w:lastRenderedPageBreak/>
        <w:t>santé de la défense, qui la transmet à l’agence espagnole des médicaments et des dispositifs médicaux et aux autorités sanitaires de la communauté autonome concernée.</w:t>
      </w:r>
    </w:p>
    <w:p w14:paraId="1B3779AA" w14:textId="77777777" w:rsidR="00874815" w:rsidRDefault="00317692">
      <w:pPr>
        <w:pStyle w:val="BodyText"/>
        <w:jc w:val="both"/>
      </w:pPr>
      <w:r>
        <w:rPr>
          <w:rStyle w:val="BodyTextChar"/>
        </w:rPr>
        <w:t>Dans le cas où l’agence espagnole des médicaments et des dispositifs médicaux a mis en place un registre électronique pour la communication de la désignation des responsables de la surveillance, les centres de santé ont l’obligation de communiquer les données requises pour ledit enregistrement. Les informations contenues dans ce registre sont mises à la disposition des communautés autonomes.</w:t>
      </w:r>
    </w:p>
    <w:p w14:paraId="3A432143" w14:textId="77777777" w:rsidR="00874815" w:rsidRDefault="00317692">
      <w:pPr>
        <w:pStyle w:val="BodyText"/>
        <w:numPr>
          <w:ilvl w:val="0"/>
          <w:numId w:val="42"/>
        </w:numPr>
        <w:tabs>
          <w:tab w:val="left" w:pos="709"/>
        </w:tabs>
        <w:jc w:val="both"/>
      </w:pPr>
      <w:r>
        <w:rPr>
          <w:rStyle w:val="BodyTextChar"/>
        </w:rPr>
        <w:t>L’agence espagnole des médicaments et des dispositifs médicaux évalue et enregistre les notifications de manière centralisée, en adoptant les mesures de protection de la santé nécessaires, conformément à l’article 39.</w:t>
      </w:r>
    </w:p>
    <w:p w14:paraId="3C5FCB27" w14:textId="77777777" w:rsidR="00874815" w:rsidRDefault="00317692">
      <w:pPr>
        <w:pStyle w:val="BodyText"/>
        <w:numPr>
          <w:ilvl w:val="0"/>
          <w:numId w:val="42"/>
        </w:numPr>
        <w:tabs>
          <w:tab w:val="left" w:pos="709"/>
        </w:tabs>
        <w:jc w:val="both"/>
      </w:pPr>
      <w:r>
        <w:rPr>
          <w:rStyle w:val="BodyTextChar"/>
        </w:rPr>
        <w:t>L’agence espagnole des médicaments et des dispositifs médicaux informe les autorités sanitaires des communautés autonomes et l’inspection générale de la santé de la défense des informations relatives aux mesures prises ou à prendre en ce qui concerne les notifications de surveillance. Il en informe également les autres acteurs concernés, le cas échéant.</w:t>
      </w:r>
    </w:p>
    <w:p w14:paraId="42015968" w14:textId="77777777" w:rsidR="00874815" w:rsidRDefault="00317692">
      <w:pPr>
        <w:pStyle w:val="BodyText"/>
        <w:numPr>
          <w:ilvl w:val="0"/>
          <w:numId w:val="42"/>
        </w:numPr>
        <w:tabs>
          <w:tab w:val="left" w:pos="709"/>
        </w:tabs>
        <w:jc w:val="both"/>
      </w:pPr>
      <w:r>
        <w:rPr>
          <w:rStyle w:val="BodyTextChar"/>
        </w:rPr>
        <w:t>Les fabricants informent l’agence espagnole des médicaments et dispositifs médicaux de toute mesure corrective de sécurité avant qu’une telle action ne soit menée, conformément à l’article 87, paragraphe 1, et à l’article 8 du règlement (UE) 2017/745 du Parlement européen et du Conseil du 5 avril 2017. Ils transmettent également la note de sécurité destinée à la communication aux utilisateurs ou aux clients avant sa diffusion. Cette note de sécurité doit être fournie en espagnol. L’agence espagnole des médicaments et des dispositifs médicaux peut déterminer s’il est approprié de mettre en œuvre les mesures proposées, de les prévenir ou de les modifier pour des raisons justifiées de santé publique.</w:t>
      </w:r>
    </w:p>
    <w:p w14:paraId="48CFB423" w14:textId="77777777" w:rsidR="00874815" w:rsidRDefault="00317692">
      <w:pPr>
        <w:pStyle w:val="BodyText"/>
        <w:spacing w:after="180"/>
        <w:jc w:val="both"/>
      </w:pPr>
      <w:r>
        <w:rPr>
          <w:rStyle w:val="BodyTextChar"/>
        </w:rPr>
        <w:t>Toute autre information émanant d’un fabricant, d’un mandataire, d’un importateur ou d’un distributeur destiné à communiquer aux utilisateurs ou aux clients d’autres avertissements, mesures préventives ou autres mesures correctives liées aux dispositifs mis sur le marché est également fournie en espagnol. L’agence espagnole des médicaments et des dispositifs médicaux peut exiger que ces informations vous soient envoyées.</w:t>
      </w:r>
    </w:p>
    <w:p w14:paraId="633E75E2" w14:textId="77777777" w:rsidR="00874815" w:rsidRDefault="00317692">
      <w:pPr>
        <w:pStyle w:val="BodyText"/>
        <w:spacing w:after="120"/>
        <w:ind w:left="360" w:hanging="360"/>
        <w:jc w:val="both"/>
      </w:pPr>
      <w:r>
        <w:rPr>
          <w:rStyle w:val="BodyTextChar"/>
        </w:rPr>
        <w:t xml:space="preserve">Article 36. </w:t>
      </w:r>
      <w:r>
        <w:rPr>
          <w:rStyle w:val="BodyTextChar"/>
          <w:i/>
        </w:rPr>
        <w:t>Dispositifs implantables, carte d’implant et registres nationaux des implants.</w:t>
      </w:r>
    </w:p>
    <w:p w14:paraId="6E3D50C4" w14:textId="77777777" w:rsidR="00874815" w:rsidRDefault="00317692">
      <w:pPr>
        <w:pStyle w:val="BodyText"/>
        <w:numPr>
          <w:ilvl w:val="0"/>
          <w:numId w:val="43"/>
        </w:numPr>
        <w:tabs>
          <w:tab w:val="left" w:pos="709"/>
        </w:tabs>
        <w:jc w:val="both"/>
      </w:pPr>
      <w:r>
        <w:rPr>
          <w:rStyle w:val="BodyTextChar"/>
        </w:rPr>
        <w:t>Tout fabricant mettant des dispositifs implantables à disposition sur le marché espagnol fournit, avec le dispositif et au moins en espagnol, toutes les informations visées à l’article 18, paragraphe 1, du règlement (UE) 2017/745 du Parlement européen et du Conseil du 5 avril 2017, y compris la carte d’implant.</w:t>
      </w:r>
    </w:p>
    <w:p w14:paraId="41505E19" w14:textId="77777777" w:rsidR="00874815" w:rsidRDefault="00317692">
      <w:pPr>
        <w:pStyle w:val="BodyText"/>
        <w:numPr>
          <w:ilvl w:val="0"/>
          <w:numId w:val="43"/>
        </w:numPr>
        <w:tabs>
          <w:tab w:val="left" w:pos="709"/>
        </w:tabs>
        <w:jc w:val="both"/>
      </w:pPr>
      <w:r>
        <w:rPr>
          <w:rStyle w:val="BodyTextChar"/>
        </w:rPr>
        <w:t>Les centres de santé doivent remplir la carte d’implant, y compris l’identification du patient et du centre de santé.</w:t>
      </w:r>
    </w:p>
    <w:p w14:paraId="4336B854" w14:textId="77777777" w:rsidR="00874815" w:rsidRDefault="00317692">
      <w:pPr>
        <w:pStyle w:val="BodyText"/>
        <w:numPr>
          <w:ilvl w:val="0"/>
          <w:numId w:val="43"/>
        </w:numPr>
        <w:tabs>
          <w:tab w:val="left" w:pos="709"/>
        </w:tabs>
        <w:jc w:val="both"/>
      </w:pPr>
      <w:r>
        <w:rPr>
          <w:rStyle w:val="BodyTextChar"/>
        </w:rPr>
        <w:t>Les établissements de santé fournissent au patient les informations visées au paragraphe 1, ainsi que la carte d’implant dûment remplie. Toutes ces informations doivent être fournies au moins en espagnol.</w:t>
      </w:r>
    </w:p>
    <w:p w14:paraId="254A40CA" w14:textId="77777777" w:rsidR="00874815" w:rsidRDefault="00317692">
      <w:pPr>
        <w:pStyle w:val="BodyText"/>
        <w:numPr>
          <w:ilvl w:val="0"/>
          <w:numId w:val="43"/>
        </w:numPr>
        <w:tabs>
          <w:tab w:val="left" w:pos="709"/>
        </w:tabs>
        <w:jc w:val="both"/>
      </w:pPr>
      <w:r>
        <w:rPr>
          <w:noProof/>
        </w:rPr>
        <mc:AlternateContent>
          <mc:Choice Requires="wps">
            <w:drawing>
              <wp:anchor distT="0" distB="0" distL="114300" distR="114300" simplePos="0" relativeHeight="125829420" behindDoc="0" locked="0" layoutInCell="1" allowOverlap="1" wp14:anchorId="30EE9FF0" wp14:editId="4D7A9154">
                <wp:simplePos x="0" y="0"/>
                <wp:positionH relativeFrom="page">
                  <wp:posOffset>7155180</wp:posOffset>
                </wp:positionH>
                <wp:positionV relativeFrom="paragraph">
                  <wp:posOffset>215900</wp:posOffset>
                </wp:positionV>
                <wp:extent cx="222250" cy="1337945"/>
                <wp:effectExtent l="0" t="0" r="0" b="0"/>
                <wp:wrapSquare wrapText="bothSides"/>
                <wp:docPr id="43" name="Shape 4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5CB6A34F"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65A3EAC2" w14:textId="77777777" w:rsidR="00874815" w:rsidRDefault="00317692">
                            <w:pPr>
                              <w:pStyle w:val="Bodytext20"/>
                            </w:pPr>
                            <w:r>
                              <w:rPr>
                                <w:rStyle w:val="Bodytext2"/>
                              </w:rPr>
                              <w:t xml:space="preserve">Consultable à l’adresse </w:t>
                            </w:r>
                            <w:hyperlink r:id="rId4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0EE9FF0" id="Shape 43" o:spid="_x0000_s1047" type="#_x0000_t202" style="position:absolute;left:0;text-align:left;margin-left:563.4pt;margin-top:17pt;width:17.5pt;height:105.35pt;z-index:12582942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csH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" filled="f" stroked="f">
                <v:textbox style="layout-flow:vertical;mso-layout-flow-alt:bottom-to-top" inset="0,0,0,0">
                  <w:txbxContent>
                    <w:p w14:paraId="5CB6A34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5A3EAC2" w14:textId="77777777" w:rsidR="00874815" w:rsidRDefault="00000000">
                      <w:pPr>
                        <w:pStyle w:val="Bodytext20"/>
                      </w:pPr>
                      <w:r>
                        <w:rPr>
                          <w:rStyle w:val="Bodytext2"/>
                        </w:rPr>
                        <w:t xml:space="preserve">Consultable à l’adresse </w:t>
                      </w:r>
                      <w:hyperlink r:id="rId50" w:history="1">
                        <w:r>
                          <w:rPr>
                            <w:rStyle w:val="Bodytext2"/>
                          </w:rPr>
                          <w:t xml:space="preserve">https://www.boe.es</w:t>
                        </w:r>
                      </w:hyperlink>
                    </w:p>
                  </w:txbxContent>
                </v:textbox>
                <w10:wrap type="square" anchorx="page"/>
              </v:shape>
            </w:pict>
          </mc:Fallback>
        </mc:AlternateContent>
      </w:r>
      <w:r>
        <w:rPr>
          <w:rStyle w:val="BodyTextChar"/>
        </w:rPr>
        <w:t>Les prévisions visées aux paragraphes précédents ne s’appliquent pas en ce qui concerne la mise en œuvre de l’article 18, paragraphe 3, du règlement (UE) 2017/745 du Parlement européen et du Conseil du 5 avril 2017.</w:t>
      </w:r>
    </w:p>
    <w:p w14:paraId="2CA449CB" w14:textId="77777777" w:rsidR="00874815" w:rsidRDefault="00317692">
      <w:pPr>
        <w:pStyle w:val="BodyText"/>
        <w:numPr>
          <w:ilvl w:val="0"/>
          <w:numId w:val="43"/>
        </w:numPr>
        <w:tabs>
          <w:tab w:val="left" w:pos="709"/>
        </w:tabs>
        <w:spacing w:after="160"/>
        <w:jc w:val="both"/>
      </w:pPr>
      <w:r>
        <w:rPr>
          <w:rStyle w:val="BodyTextChar"/>
        </w:rPr>
        <w:t>Dans le cas où un registre national des implants est disponible, les centres de santé et les professionnels de santé sont tenus de communiquer les données requises à ces registres. Cette communication s’entend sans préjudice de toute communication requise par les autorités sanitaires des communautés autonomes où se trouvent les centres de santé ou les professionnels qui les implantent.</w:t>
      </w:r>
      <w:r>
        <w:br w:type="page"/>
      </w:r>
    </w:p>
    <w:p w14:paraId="35AFC45E" w14:textId="77777777" w:rsidR="00874815" w:rsidRDefault="00317692">
      <w:pPr>
        <w:pStyle w:val="BodyText"/>
        <w:numPr>
          <w:ilvl w:val="0"/>
          <w:numId w:val="43"/>
        </w:numPr>
        <w:tabs>
          <w:tab w:val="left" w:pos="710"/>
        </w:tabs>
        <w:spacing w:after="240"/>
        <w:jc w:val="both"/>
      </w:pPr>
      <w:r>
        <w:rPr>
          <w:rStyle w:val="BodyTextChar"/>
        </w:rPr>
        <w:lastRenderedPageBreak/>
        <w:t>Outre les exigences de l’article 27, paragraphe 9, du règlement (UE) 2017/745 du Parlement européen et du Conseil du 5 avril 2017 pour les dispositifs implantables de classe III, les centres de santé et les professionnels stockent et conservent, de préférence par voie électronique, les IUD des dispositifs implantables des classes </w:t>
      </w:r>
      <w:proofErr w:type="spellStart"/>
      <w:r>
        <w:rPr>
          <w:rStyle w:val="BodyTextChar"/>
        </w:rPr>
        <w:t>IIa</w:t>
      </w:r>
      <w:proofErr w:type="spellEnd"/>
      <w:r>
        <w:rPr>
          <w:rStyle w:val="BodyTextChar"/>
        </w:rPr>
        <w:t xml:space="preserve"> et </w:t>
      </w:r>
      <w:proofErr w:type="spellStart"/>
      <w:r>
        <w:rPr>
          <w:rStyle w:val="BodyTextChar"/>
        </w:rPr>
        <w:t>IIb</w:t>
      </w:r>
      <w:proofErr w:type="spellEnd"/>
      <w:r>
        <w:rPr>
          <w:rStyle w:val="BodyTextChar"/>
        </w:rPr>
        <w:t xml:space="preserve"> qu’ils leur ont fournis.</w:t>
      </w:r>
    </w:p>
    <w:p w14:paraId="330D18E6" w14:textId="77777777" w:rsidR="00874815" w:rsidRDefault="00317692">
      <w:pPr>
        <w:pStyle w:val="Heading20"/>
        <w:keepNext/>
        <w:keepLines/>
      </w:pPr>
      <w:bookmarkStart w:id="10" w:name="bookmark22"/>
      <w:r>
        <w:rPr>
          <w:rStyle w:val="Heading2"/>
        </w:rPr>
        <w:t>CHAPITRE IX</w:t>
      </w:r>
      <w:bookmarkEnd w:id="10"/>
    </w:p>
    <w:p w14:paraId="188105BA" w14:textId="77777777" w:rsidR="00874815" w:rsidRDefault="00317692">
      <w:pPr>
        <w:pStyle w:val="BodyText"/>
        <w:spacing w:after="180"/>
        <w:ind w:firstLine="0"/>
        <w:jc w:val="center"/>
      </w:pPr>
      <w:r>
        <w:rPr>
          <w:rStyle w:val="BodyTextChar"/>
          <w:b/>
        </w:rPr>
        <w:t>Activités de contrôle du marché et mesures de protection de la santé</w:t>
      </w:r>
    </w:p>
    <w:p w14:paraId="28C55FB4" w14:textId="77777777" w:rsidR="00874815" w:rsidRDefault="00317692">
      <w:pPr>
        <w:pStyle w:val="BodyText"/>
        <w:spacing w:after="120"/>
        <w:ind w:firstLine="0"/>
        <w:jc w:val="both"/>
      </w:pPr>
      <w:r>
        <w:rPr>
          <w:rStyle w:val="BodyTextChar"/>
        </w:rPr>
        <w:t xml:space="preserve">Article 37. </w:t>
      </w:r>
      <w:r>
        <w:rPr>
          <w:rStyle w:val="BodyTextChar"/>
          <w:i/>
        </w:rPr>
        <w:t>Activités de contrôle du marché.</w:t>
      </w:r>
    </w:p>
    <w:p w14:paraId="36F53988" w14:textId="77777777" w:rsidR="00874815" w:rsidRDefault="00317692">
      <w:pPr>
        <w:pStyle w:val="BodyText"/>
        <w:jc w:val="both"/>
      </w:pPr>
      <w:r>
        <w:rPr>
          <w:rStyle w:val="BodyTextChar"/>
        </w:rPr>
        <w:t>L’agence espagnole des médicaments et des dispositifs médicaux coordonne les activités de contrôle du marché à mener en coopération avec les autorités sanitaires des communautés autonomes afin de se conformer à l’article 93 du règlement (UE) 2017/745 du Parlement européen et du Conseil du 5 avril 2017.</w:t>
      </w:r>
    </w:p>
    <w:p w14:paraId="78ACF8A2" w14:textId="77777777" w:rsidR="00874815" w:rsidRDefault="00317692">
      <w:pPr>
        <w:pStyle w:val="BodyText"/>
        <w:spacing w:after="180"/>
        <w:jc w:val="both"/>
      </w:pPr>
      <w:r>
        <w:rPr>
          <w:rStyle w:val="BodyTextChar"/>
        </w:rPr>
        <w:t>L’agence espagnole des médicaments et des dispositifs médicaux prend les mesures appropriées pour promouvoir la coopération et l’assistance mutuelle avec les autorités sanitaires des communautés autonomes, y compris l’inspection et l’organisation de programmes de contrôle spécifiques.</w:t>
      </w:r>
    </w:p>
    <w:p w14:paraId="1ECB6414" w14:textId="77777777" w:rsidR="00874815" w:rsidRDefault="00317692">
      <w:pPr>
        <w:pStyle w:val="BodyText"/>
        <w:spacing w:after="120"/>
        <w:ind w:firstLine="0"/>
        <w:jc w:val="both"/>
      </w:pPr>
      <w:r>
        <w:rPr>
          <w:rStyle w:val="BodyTextChar"/>
        </w:rPr>
        <w:t xml:space="preserve">Article 38. </w:t>
      </w:r>
      <w:r>
        <w:rPr>
          <w:rStyle w:val="BodyTextChar"/>
          <w:i/>
        </w:rPr>
        <w:t>Inspection.</w:t>
      </w:r>
    </w:p>
    <w:p w14:paraId="7BCB053D" w14:textId="77777777" w:rsidR="00874815" w:rsidRDefault="00317692">
      <w:pPr>
        <w:pStyle w:val="BodyText"/>
        <w:numPr>
          <w:ilvl w:val="0"/>
          <w:numId w:val="44"/>
        </w:numPr>
        <w:tabs>
          <w:tab w:val="left" w:pos="710"/>
        </w:tabs>
        <w:jc w:val="both"/>
      </w:pPr>
      <w:r>
        <w:rPr>
          <w:rStyle w:val="BodyTextChar"/>
        </w:rPr>
        <w:t>Il appartient aux administrations sanitaires, dans le cadre de leur compétence, d’effectuer des contrôles périodiques pour vérifier le respect du présent décret royal et du règlement (UE) 2017/745 du Parlement européen et du Conseil du 5 avril 2017.</w:t>
      </w:r>
    </w:p>
    <w:p w14:paraId="3694FB48" w14:textId="77777777" w:rsidR="00874815" w:rsidRDefault="00317692">
      <w:pPr>
        <w:pStyle w:val="BodyText"/>
        <w:numPr>
          <w:ilvl w:val="0"/>
          <w:numId w:val="44"/>
        </w:numPr>
        <w:tabs>
          <w:tab w:val="left" w:pos="710"/>
        </w:tabs>
        <w:jc w:val="both"/>
      </w:pPr>
      <w:r>
        <w:rPr>
          <w:rStyle w:val="BodyTextChar"/>
        </w:rPr>
        <w:t>Le non-respect des dispositions du présent décret royal et du règlement (UE) 2017/745 du Parlement européen et du Conseil du 5 avril 2017 entraînera l’adoption, par ces administrations sanitaires, des mesures correctives nécessaires, quelles que soient les sanctions imposées.</w:t>
      </w:r>
    </w:p>
    <w:p w14:paraId="0C78D865" w14:textId="77777777" w:rsidR="00874815" w:rsidRDefault="00317692">
      <w:pPr>
        <w:pStyle w:val="BodyText"/>
        <w:numPr>
          <w:ilvl w:val="0"/>
          <w:numId w:val="44"/>
        </w:numPr>
        <w:tabs>
          <w:tab w:val="left" w:pos="710"/>
        </w:tabs>
        <w:jc w:val="both"/>
      </w:pPr>
      <w:r>
        <w:rPr>
          <w:rStyle w:val="BodyTextChar"/>
        </w:rPr>
        <w:t>L’agence espagnole des médicaments et des dispositifs médicaux, par elle-même ou par l’intermédiaire des services d’inspection des domaines fonctionnels de la politique sanitaire et sociale des délégations gouvernementales, exerce des activités d’inspection et de contrôle concernant les dispositifs et installations du commerce extérieur où ils sont fabriqués, retraités, groupés, stérilisés, importés ou exportés, à condition qu’ils soient situés sur le territoire national, ainsi que dans les autres cas prévus à l’article 108, paragraphe 2, du texte consolidé de la loi sur les garanties et l’utilisation rationnelle des médicaments et des dispositifs médicaux.</w:t>
      </w:r>
    </w:p>
    <w:p w14:paraId="13124900" w14:textId="77777777" w:rsidR="00874815" w:rsidRDefault="00317692">
      <w:pPr>
        <w:pStyle w:val="BodyText"/>
        <w:numPr>
          <w:ilvl w:val="0"/>
          <w:numId w:val="44"/>
        </w:numPr>
        <w:tabs>
          <w:tab w:val="left" w:pos="710"/>
        </w:tabs>
        <w:jc w:val="both"/>
      </w:pPr>
      <w:r>
        <w:rPr>
          <w:rStyle w:val="BodyTextChar"/>
        </w:rPr>
        <w:t>Le personnel travaillant dans les administrations publiques effectuant des tâches d’inspection procède conformément à l’article 108, paragraphe 3, du texte consolidé de la loi sur les garanties et l’utilisation rationnelle des médicaments et des dispositifs médicaux, et peut demander toute information nécessaire pour vérifier le respect des dispositions du présent décret royal et du règlement (UE) 2017/745 du Parlement européen et du Conseil du 5 avril 2017 pour les dispositifs mis sur le marché en Espagne et ceux faisant l’objet de recherches cliniques.</w:t>
      </w:r>
    </w:p>
    <w:p w14:paraId="3F874237" w14:textId="77777777" w:rsidR="00874815" w:rsidRDefault="00317692">
      <w:pPr>
        <w:pStyle w:val="BodyText"/>
        <w:numPr>
          <w:ilvl w:val="0"/>
          <w:numId w:val="44"/>
        </w:numPr>
        <w:tabs>
          <w:tab w:val="left" w:pos="710"/>
        </w:tabs>
        <w:spacing w:after="180"/>
        <w:jc w:val="both"/>
      </w:pPr>
      <w:r>
        <w:rPr>
          <w:noProof/>
        </w:rPr>
        <mc:AlternateContent>
          <mc:Choice Requires="wps">
            <w:drawing>
              <wp:anchor distT="0" distB="0" distL="114300" distR="114300" simplePos="0" relativeHeight="125829422" behindDoc="0" locked="0" layoutInCell="1" allowOverlap="1" wp14:anchorId="722626DE" wp14:editId="3CAE0D4E">
                <wp:simplePos x="0" y="0"/>
                <wp:positionH relativeFrom="page">
                  <wp:posOffset>7155180</wp:posOffset>
                </wp:positionH>
                <wp:positionV relativeFrom="paragraph">
                  <wp:posOffset>139700</wp:posOffset>
                </wp:positionV>
                <wp:extent cx="222250" cy="1337945"/>
                <wp:effectExtent l="0" t="0" r="0" b="0"/>
                <wp:wrapSquare wrapText="bothSides"/>
                <wp:docPr id="45" name="Shape 4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D400387"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3BD40A04" w14:textId="77777777" w:rsidR="00874815" w:rsidRDefault="00317692">
                            <w:pPr>
                              <w:pStyle w:val="Bodytext20"/>
                            </w:pPr>
                            <w:r>
                              <w:rPr>
                                <w:rStyle w:val="Bodytext2"/>
                              </w:rPr>
                              <w:t xml:space="preserve">Consultable à l’adresse </w:t>
                            </w:r>
                            <w:hyperlink r:id="rId5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22626DE" id="Shape 45" o:spid="_x0000_s1048" type="#_x0000_t202" style="position:absolute;left:0;text-align:left;margin-left:563.4pt;margin-top:11pt;width:17.5pt;height:105.35pt;z-index:12582942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3p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" filled="f" stroked="f">
                <v:textbox style="layout-flow:vertical;mso-layout-flow-alt:bottom-to-top" inset="0,0,0,0">
                  <w:txbxContent>
                    <w:p w14:paraId="1D40038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BD40A04" w14:textId="77777777" w:rsidR="00874815" w:rsidRDefault="00000000">
                      <w:pPr>
                        <w:pStyle w:val="Bodytext20"/>
                      </w:pPr>
                      <w:r>
                        <w:rPr>
                          <w:rStyle w:val="Bodytext2"/>
                        </w:rPr>
                        <w:t xml:space="preserve">Consultable à l’adresse </w:t>
                      </w:r>
                      <w:hyperlink r:id="rId52" w:history="1">
                        <w:r>
                          <w:rPr>
                            <w:rStyle w:val="Bodytext2"/>
                          </w:rPr>
                          <w:t xml:space="preserve">https://www.boe.es</w:t>
                        </w:r>
                      </w:hyperlink>
                    </w:p>
                  </w:txbxContent>
                </v:textbox>
                <w10:wrap type="square" anchorx="page"/>
              </v:shape>
            </w:pict>
          </mc:Fallback>
        </mc:AlternateContent>
      </w:r>
      <w:r>
        <w:rPr>
          <w:rStyle w:val="BodyTextChar"/>
        </w:rPr>
        <w:t>Les autorités de l’administration générale de l’État et les communautés autonomes compétentes se prêtent mutuellement assistance à des fins d’inspection.</w:t>
      </w:r>
    </w:p>
    <w:p w14:paraId="4304212E" w14:textId="77777777" w:rsidR="00874815" w:rsidRDefault="00317692">
      <w:pPr>
        <w:pStyle w:val="BodyText"/>
        <w:spacing w:after="120"/>
        <w:ind w:firstLine="0"/>
        <w:jc w:val="both"/>
      </w:pPr>
      <w:r>
        <w:rPr>
          <w:rStyle w:val="BodyTextChar"/>
        </w:rPr>
        <w:t xml:space="preserve">Article 39. </w:t>
      </w:r>
      <w:r>
        <w:rPr>
          <w:rStyle w:val="BodyTextChar"/>
          <w:i/>
        </w:rPr>
        <w:t>Mesures de protection de la santé.</w:t>
      </w:r>
    </w:p>
    <w:p w14:paraId="1079BC74" w14:textId="2CA9DB07" w:rsidR="00E8056D" w:rsidRDefault="00317692">
      <w:pPr>
        <w:pStyle w:val="BodyText"/>
        <w:numPr>
          <w:ilvl w:val="0"/>
          <w:numId w:val="45"/>
        </w:numPr>
        <w:tabs>
          <w:tab w:val="left" w:pos="710"/>
        </w:tabs>
        <w:jc w:val="both"/>
        <w:rPr>
          <w:rStyle w:val="BodyTextChar"/>
        </w:rPr>
      </w:pPr>
      <w:r>
        <w:rPr>
          <w:rStyle w:val="BodyTextChar"/>
        </w:rPr>
        <w:t>Lorsqu’un dispositif, une catégorie ou un groupe spécifique de dispositifs constitue un risque inacceptable pour la santé et la sécurité visé à l’article 95 du règlement (UE) 2017/745 du Parlement européen et du Conseil du 5 avril 2017, l’agence espagnole des médicaments et des dispositifs médicaux et les autres autorités sanitaires compétentes prennent les mesures de précaution appropriées prévues à l’article 26 de la loi 14/1986 du 25 avril et à l’article 109 de la loi de refonte sur les garanties et l’utilisation rationnelle des médicaments et des dispositifs médicaux.</w:t>
      </w:r>
    </w:p>
    <w:p w14:paraId="0B445D42" w14:textId="77777777" w:rsidR="00E8056D" w:rsidRDefault="00E8056D">
      <w:pPr>
        <w:rPr>
          <w:rStyle w:val="BodyTextChar"/>
        </w:rPr>
      </w:pPr>
      <w:r>
        <w:br w:type="page"/>
      </w:r>
    </w:p>
    <w:p w14:paraId="293F6058" w14:textId="77777777" w:rsidR="00874815" w:rsidRDefault="00317692">
      <w:pPr>
        <w:pStyle w:val="BodyText"/>
        <w:numPr>
          <w:ilvl w:val="0"/>
          <w:numId w:val="45"/>
        </w:numPr>
        <w:tabs>
          <w:tab w:val="left" w:pos="710"/>
        </w:tabs>
        <w:jc w:val="both"/>
      </w:pPr>
      <w:r>
        <w:rPr>
          <w:rStyle w:val="BodyTextChar"/>
        </w:rPr>
        <w:lastRenderedPageBreak/>
        <w:t>Lorsqu’un dispositif, une catégorie ou un groupe spécifique de dispositifs ne respecte pas les règles visées à l’article 97 du règlement (UE) 2017/745 du Parlement européen et du Conseil du 5 avril 2017, l’agence espagnole des médicaments et des dispositifs médicaux et les autres autorités sanitaires compétentes prennent les mesures appropriées.</w:t>
      </w:r>
    </w:p>
    <w:p w14:paraId="7F5FDE44" w14:textId="77777777" w:rsidR="00874815" w:rsidRDefault="00317692">
      <w:pPr>
        <w:pStyle w:val="BodyText"/>
        <w:numPr>
          <w:ilvl w:val="0"/>
          <w:numId w:val="45"/>
        </w:numPr>
        <w:tabs>
          <w:tab w:val="left" w:pos="710"/>
        </w:tabs>
        <w:jc w:val="both"/>
      </w:pPr>
      <w:r>
        <w:rPr>
          <w:rStyle w:val="BodyTextChar"/>
        </w:rPr>
        <w:t>Lorsqu’une catégorie ou un groupe spécifique de dispositifs présente un risque potentiel conformément à l’article 98 du règlement (UE) 2017/745 du Parlement européen et du Conseil du 5 avril 2017, l’agence espagnole des médicaments et des dispositifs médicaux peut prendre les mesures appropriées.</w:t>
      </w:r>
    </w:p>
    <w:p w14:paraId="1BDECFCA" w14:textId="77777777" w:rsidR="00874815" w:rsidRDefault="00317692">
      <w:pPr>
        <w:pStyle w:val="BodyText"/>
        <w:numPr>
          <w:ilvl w:val="0"/>
          <w:numId w:val="45"/>
        </w:numPr>
        <w:tabs>
          <w:tab w:val="left" w:pos="710"/>
        </w:tabs>
        <w:jc w:val="both"/>
      </w:pPr>
      <w:r>
        <w:rPr>
          <w:rStyle w:val="BodyTextChar"/>
        </w:rPr>
        <w:t>Lorsqu’un dispositif, une catégorie ou un groupe spécifique de dispositifs enfreint les dispositions du présent décret royal, l’agence espagnole des médicaments et des dispositifs médicaux et les autres autorités sanitaires compétentes prennent les mesures appropriées.</w:t>
      </w:r>
    </w:p>
    <w:p w14:paraId="4DD6403D" w14:textId="77777777" w:rsidR="00874815" w:rsidRDefault="00317692">
      <w:pPr>
        <w:pStyle w:val="BodyText"/>
        <w:numPr>
          <w:ilvl w:val="0"/>
          <w:numId w:val="45"/>
        </w:numPr>
        <w:tabs>
          <w:tab w:val="left" w:pos="710"/>
        </w:tabs>
        <w:jc w:val="both"/>
      </w:pPr>
      <w:r>
        <w:rPr>
          <w:rStyle w:val="BodyTextChar"/>
        </w:rPr>
        <w:t>Lorsque les mesures visées aux paragraphes 1, 2 et 4 ont été adoptées par une autorité sanitaire autre que l’agence espagnole des médicaments et des dispositifs médicaux, l’agence informe immédiatement cet organisme des mesures prises et des raisons qui les motivent.</w:t>
      </w:r>
    </w:p>
    <w:p w14:paraId="2F6B456B" w14:textId="77777777" w:rsidR="00874815" w:rsidRDefault="00317692">
      <w:pPr>
        <w:pStyle w:val="BodyText"/>
        <w:numPr>
          <w:ilvl w:val="0"/>
          <w:numId w:val="45"/>
        </w:numPr>
        <w:tabs>
          <w:tab w:val="left" w:pos="710"/>
        </w:tabs>
        <w:jc w:val="both"/>
      </w:pPr>
      <w:r>
        <w:rPr>
          <w:rStyle w:val="BodyTextChar"/>
        </w:rPr>
        <w:t>L’agence espagnole des médicaments et dispositifs médicaux informe immédiatement la Commission européenne et les autres États membres des mesures adoptées conformément aux articles 95, 97 et 98 du règlement (UE) 2017/745 du Parlement européen et du Conseil du 5 avril 2017.</w:t>
      </w:r>
    </w:p>
    <w:p w14:paraId="4152EADE" w14:textId="77777777" w:rsidR="00874815" w:rsidRDefault="00317692">
      <w:pPr>
        <w:pStyle w:val="BodyText"/>
        <w:numPr>
          <w:ilvl w:val="0"/>
          <w:numId w:val="45"/>
        </w:numPr>
        <w:tabs>
          <w:tab w:val="left" w:pos="710"/>
        </w:tabs>
        <w:spacing w:after="180"/>
        <w:jc w:val="both"/>
      </w:pPr>
      <w:r>
        <w:rPr>
          <w:rStyle w:val="BodyTextChar"/>
        </w:rPr>
        <w:t>L’agence espagnole des médicaments et des dispositifs médicaux informe les autorités sanitaires, les entités responsables ou le grand public, le cas échéant, des mesures prises par les moyens appropriés, et dans les meilleurs délais dans chaque cas. Le coût de ces mesures est supporté par la personne physique ou morale qui a donné lieu à leur adoption.</w:t>
      </w:r>
    </w:p>
    <w:p w14:paraId="25092E0D" w14:textId="77777777" w:rsidR="00874815" w:rsidRDefault="00317692">
      <w:pPr>
        <w:pStyle w:val="BodyText"/>
        <w:spacing w:after="120"/>
        <w:ind w:firstLine="0"/>
        <w:jc w:val="both"/>
      </w:pPr>
      <w:r>
        <w:rPr>
          <w:rStyle w:val="BodyTextChar"/>
        </w:rPr>
        <w:t xml:space="preserve">Article 40. </w:t>
      </w:r>
      <w:r>
        <w:rPr>
          <w:rStyle w:val="BodyTextChar"/>
          <w:i/>
        </w:rPr>
        <w:t>Mesures individuelles de contrôle de la santé.</w:t>
      </w:r>
    </w:p>
    <w:p w14:paraId="6C3875AC" w14:textId="77777777" w:rsidR="00874815" w:rsidRDefault="00317692">
      <w:pPr>
        <w:pStyle w:val="BodyText"/>
        <w:jc w:val="both"/>
      </w:pPr>
      <w:r>
        <w:rPr>
          <w:rStyle w:val="BodyTextChar"/>
        </w:rPr>
        <w:t>L’agence espagnole des médicaments et des dispositifs médicaux, afin d’assurer la protection de la santé humaine, de la sécurité ou du respect des règles de santé publique, peut prendre toutes les mesures nécessaires et transitoires justifiées pour un dispositif, une catégorie ou un groupe spécifique de dispositifs, et peut fixer des dispositions relatives aux conditions d’utilisation de ces dispositifs ou à des mesures spéciales de surveillance, et peut inclure les avertissements nécessaires pour éviter les risques pour la santé lors de leur utilisation.</w:t>
      </w:r>
    </w:p>
    <w:p w14:paraId="4D07363A" w14:textId="77777777" w:rsidR="00874815" w:rsidRDefault="00317692">
      <w:pPr>
        <w:pStyle w:val="BodyText"/>
        <w:spacing w:after="180"/>
        <w:jc w:val="both"/>
      </w:pPr>
      <w:r>
        <w:rPr>
          <w:rStyle w:val="BodyTextChar"/>
        </w:rPr>
        <w:t>Les dispositions de l’article 39, paragraphe 7, s’appliquent aux mesures adoptées en vertu du présent article.</w:t>
      </w:r>
    </w:p>
    <w:p w14:paraId="28B83AE5" w14:textId="77777777" w:rsidR="00874815" w:rsidRDefault="00317692">
      <w:pPr>
        <w:pStyle w:val="BodyText"/>
        <w:spacing w:after="120"/>
        <w:ind w:firstLine="0"/>
        <w:jc w:val="both"/>
      </w:pPr>
      <w:r>
        <w:rPr>
          <w:rStyle w:val="BodyTextChar"/>
        </w:rPr>
        <w:t xml:space="preserve">Article 41. </w:t>
      </w:r>
      <w:r>
        <w:rPr>
          <w:rStyle w:val="BodyTextChar"/>
          <w:i/>
        </w:rPr>
        <w:t>Communication au sujet des données et aux ressources.</w:t>
      </w:r>
    </w:p>
    <w:p w14:paraId="3EB82547" w14:textId="77777777" w:rsidR="00874815" w:rsidRDefault="00317692">
      <w:pPr>
        <w:pStyle w:val="BodyText"/>
        <w:spacing w:after="180"/>
        <w:jc w:val="both"/>
      </w:pPr>
      <w:r>
        <w:rPr>
          <w:noProof/>
        </w:rPr>
        <mc:AlternateContent>
          <mc:Choice Requires="wps">
            <w:drawing>
              <wp:anchor distT="0" distB="0" distL="114300" distR="114300" simplePos="0" relativeHeight="125829424" behindDoc="0" locked="0" layoutInCell="1" allowOverlap="1" wp14:anchorId="7C415082" wp14:editId="70BA8FFF">
                <wp:simplePos x="0" y="0"/>
                <wp:positionH relativeFrom="page">
                  <wp:posOffset>7156450</wp:posOffset>
                </wp:positionH>
                <wp:positionV relativeFrom="paragraph">
                  <wp:posOffset>114300</wp:posOffset>
                </wp:positionV>
                <wp:extent cx="222250" cy="1337945"/>
                <wp:effectExtent l="0" t="0" r="0" b="0"/>
                <wp:wrapSquare wrapText="bothSides"/>
                <wp:docPr id="47" name="Shape 4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671BE4BD"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34230B5D" w14:textId="77777777" w:rsidR="00874815" w:rsidRDefault="00317692">
                            <w:pPr>
                              <w:pStyle w:val="Bodytext20"/>
                            </w:pPr>
                            <w:r>
                              <w:rPr>
                                <w:rStyle w:val="Bodytext2"/>
                              </w:rPr>
                              <w:t xml:space="preserve">Consultable à l’adresse </w:t>
                            </w:r>
                            <w:hyperlink r:id="rId5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C415082" id="Shape 47" o:spid="_x0000_s1049" type="#_x0000_t202" style="position:absolute;left:0;text-align:left;margin-left:563.5pt;margin-top:9pt;width:17.5pt;height:105.35pt;z-index:1258294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l8Few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" filled="f" stroked="f">
                <v:textbox style="layout-flow:vertical;mso-layout-flow-alt:bottom-to-top" inset="0,0,0,0">
                  <w:txbxContent>
                    <w:p w14:paraId="671BE4BD"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4230B5D" w14:textId="77777777" w:rsidR="00874815" w:rsidRDefault="00000000">
                      <w:pPr>
                        <w:pStyle w:val="Bodytext20"/>
                      </w:pPr>
                      <w:r>
                        <w:rPr>
                          <w:rStyle w:val="Bodytext2"/>
                        </w:rPr>
                        <w:t xml:space="preserve">Consultable à l’adresse </w:t>
                      </w:r>
                      <w:hyperlink r:id="rId54" w:history="1">
                        <w:r>
                          <w:rPr>
                            <w:rStyle w:val="Bodytext2"/>
                          </w:rPr>
                          <w:t xml:space="preserve">https://www.boe.es</w:t>
                        </w:r>
                      </w:hyperlink>
                    </w:p>
                  </w:txbxContent>
                </v:textbox>
                <w10:wrap type="square" anchorx="page"/>
              </v:shape>
            </w:pict>
          </mc:Fallback>
        </mc:AlternateContent>
      </w:r>
      <w:r>
        <w:rPr>
          <w:rStyle w:val="BodyTextChar"/>
        </w:rPr>
        <w:t>À moins qu’il n’y ait des raisons d’urgence pour son adoption, toute mesure adoptée conformément aux deux articles précédents doit être portée à l’avance à la connaissance de la personne concernée en indiquant les voies de recours appropriées conformément à la législation en vigueur.</w:t>
      </w:r>
    </w:p>
    <w:p w14:paraId="397AF693" w14:textId="77777777" w:rsidR="00874815" w:rsidRDefault="00317692">
      <w:pPr>
        <w:pStyle w:val="BodyText"/>
        <w:spacing w:after="120"/>
        <w:ind w:firstLine="0"/>
        <w:jc w:val="both"/>
      </w:pPr>
      <w:r>
        <w:rPr>
          <w:rStyle w:val="BodyTextChar"/>
        </w:rPr>
        <w:t xml:space="preserve">Première disposition additionnelle. </w:t>
      </w:r>
      <w:r>
        <w:rPr>
          <w:rStyle w:val="BodyTextChar"/>
          <w:i/>
        </w:rPr>
        <w:t>Application des frais.</w:t>
      </w:r>
    </w:p>
    <w:p w14:paraId="3D5240D1" w14:textId="02CAE008" w:rsidR="00874815" w:rsidRDefault="00317692">
      <w:pPr>
        <w:pStyle w:val="BodyText"/>
        <w:spacing w:after="180"/>
        <w:jc w:val="both"/>
      </w:pPr>
      <w:r>
        <w:rPr>
          <w:rStyle w:val="BodyTextChar"/>
        </w:rPr>
        <w:t>Les procédures prévues aux articles 7, 9, 11, 18, 29, 31 et à l’article 34, paragraphe 1, sont soumises aux redevances correspondantes prévues au groupe VIII de l’article 123, paragraphe 1, du texte consolidé de la loi sur les garanties et l’utilisation rationnelle des médicaments et des dispositifs médicaux, approuvée par le décret législatif royal 1/2015 du 24 juillet.</w:t>
      </w:r>
    </w:p>
    <w:p w14:paraId="178D5C7B" w14:textId="77777777" w:rsidR="00874815" w:rsidRDefault="00317692">
      <w:pPr>
        <w:pStyle w:val="BodyText"/>
        <w:spacing w:after="120"/>
        <w:ind w:left="360" w:hanging="360"/>
        <w:jc w:val="both"/>
      </w:pPr>
      <w:r>
        <w:rPr>
          <w:rStyle w:val="BodyTextChar"/>
        </w:rPr>
        <w:t xml:space="preserve">Deuxième disposition additionnelle. </w:t>
      </w:r>
      <w:r>
        <w:rPr>
          <w:rStyle w:val="BodyTextChar"/>
          <w:i/>
        </w:rPr>
        <w:t>Application de ce décret royal aux villes de Ceuta et Melilla.</w:t>
      </w:r>
    </w:p>
    <w:p w14:paraId="2521AA42" w14:textId="77777777" w:rsidR="00874815" w:rsidRDefault="00317692">
      <w:pPr>
        <w:pStyle w:val="BodyText"/>
        <w:spacing w:after="180"/>
        <w:jc w:val="both"/>
      </w:pPr>
      <w:r>
        <w:rPr>
          <w:rStyle w:val="BodyTextChar"/>
        </w:rPr>
        <w:t>Les références contenues dans le présent décret royal aux communautés autonomes s’entendent comme étant faites aux villes de Ceuta et Melilla, dans le cadre de leurs compétences.</w:t>
      </w:r>
    </w:p>
    <w:p w14:paraId="178D7C12" w14:textId="77777777" w:rsidR="00874815" w:rsidRDefault="00317692">
      <w:pPr>
        <w:pStyle w:val="BodyText"/>
        <w:spacing w:after="120"/>
        <w:ind w:firstLine="0"/>
        <w:jc w:val="both"/>
      </w:pPr>
      <w:r>
        <w:rPr>
          <w:rStyle w:val="BodyTextChar"/>
        </w:rPr>
        <w:t xml:space="preserve">Troisième disposition additionnelle. </w:t>
      </w:r>
      <w:r>
        <w:rPr>
          <w:rStyle w:val="BodyTextChar"/>
          <w:i/>
        </w:rPr>
        <w:t>Application au sein du Ministère de la défense.</w:t>
      </w:r>
    </w:p>
    <w:p w14:paraId="29DD8D11" w14:textId="77777777" w:rsidR="00874815" w:rsidRDefault="00317692">
      <w:pPr>
        <w:pStyle w:val="BodyText"/>
        <w:spacing w:after="180"/>
        <w:jc w:val="both"/>
      </w:pPr>
      <w:r>
        <w:rPr>
          <w:rStyle w:val="BodyTextChar"/>
        </w:rPr>
        <w:t xml:space="preserve">Lorsque les dispositions du présent décret royal concernent les unités, centres et organismes appartenant au ministère de la défense et à ses organismes publics, toute action </w:t>
      </w:r>
      <w:r>
        <w:rPr>
          <w:rStyle w:val="BodyTextChar"/>
        </w:rPr>
        <w:lastRenderedPageBreak/>
        <w:t>nécessaire sera mise en œuvre par l’Inspection générale de la santé de la défense, en coordination avec le Ministère de la santé ou l’Agence espagnole des médicaments et dispositifs médicaux, dans chaque cas.</w:t>
      </w:r>
    </w:p>
    <w:p w14:paraId="33798670" w14:textId="77777777" w:rsidR="00874815" w:rsidRDefault="00317692">
      <w:pPr>
        <w:pStyle w:val="BodyText"/>
        <w:spacing w:after="120"/>
        <w:ind w:left="360" w:hanging="360"/>
        <w:jc w:val="both"/>
      </w:pPr>
      <w:r>
        <w:rPr>
          <w:rStyle w:val="BodyTextChar"/>
        </w:rPr>
        <w:t xml:space="preserve">Première disposition transitoire. </w:t>
      </w:r>
      <w:r>
        <w:rPr>
          <w:rStyle w:val="BodyTextChar"/>
          <w:i/>
        </w:rPr>
        <w:t>Communication de la mise sur le marché et mise en service des dispositifs médicaux de classe </w:t>
      </w:r>
      <w:proofErr w:type="spellStart"/>
      <w:r>
        <w:rPr>
          <w:rStyle w:val="BodyTextChar"/>
          <w:i/>
        </w:rPr>
        <w:t>IIa</w:t>
      </w:r>
      <w:proofErr w:type="spellEnd"/>
      <w:r>
        <w:rPr>
          <w:rStyle w:val="BodyTextChar"/>
          <w:i/>
        </w:rPr>
        <w:t>.</w:t>
      </w:r>
    </w:p>
    <w:p w14:paraId="5827588B" w14:textId="77777777" w:rsidR="00874815" w:rsidRDefault="00317692">
      <w:pPr>
        <w:pStyle w:val="BodyText"/>
        <w:spacing w:after="180"/>
        <w:jc w:val="both"/>
      </w:pPr>
      <w:r>
        <w:rPr>
          <w:rStyle w:val="BodyTextChar"/>
        </w:rPr>
        <w:t>Toute personne physique ou morale qui a mis sur le marché espagnol avant le 21 mars 2010 des dispositifs médicaux de classe </w:t>
      </w:r>
      <w:proofErr w:type="spellStart"/>
      <w:r>
        <w:rPr>
          <w:rStyle w:val="BodyTextChar"/>
        </w:rPr>
        <w:t>IIa</w:t>
      </w:r>
      <w:proofErr w:type="spellEnd"/>
      <w:r>
        <w:rPr>
          <w:rStyle w:val="BodyTextChar"/>
        </w:rPr>
        <w:t xml:space="preserve"> dont la mise sur le marché et la mise en service n’a pas été notifiée doit effectuer cette communication au plus tard six mois après l’entrée en vigueur du présent décret royal. Cette communication est exemptée du paiement de la redevance correspondante.</w:t>
      </w:r>
    </w:p>
    <w:p w14:paraId="787CAEE0" w14:textId="77777777" w:rsidR="00874815" w:rsidRDefault="00317692">
      <w:pPr>
        <w:pStyle w:val="BodyText"/>
        <w:spacing w:after="120"/>
        <w:ind w:left="360" w:hanging="360"/>
        <w:jc w:val="both"/>
      </w:pPr>
      <w:r>
        <w:rPr>
          <w:rStyle w:val="BodyTextChar"/>
        </w:rPr>
        <w:t xml:space="preserve">Deuxième disposition transitoire. </w:t>
      </w:r>
      <w:r>
        <w:rPr>
          <w:rStyle w:val="BodyTextChar"/>
          <w:i/>
        </w:rPr>
        <w:t>Licence d’exploitation préalable pour la fabrication complète d’appareils tiers.</w:t>
      </w:r>
    </w:p>
    <w:p w14:paraId="624DB42B" w14:textId="77777777" w:rsidR="00874815" w:rsidRDefault="00317692">
      <w:pPr>
        <w:pStyle w:val="BodyText"/>
        <w:spacing w:after="180"/>
        <w:jc w:val="both"/>
      </w:pPr>
      <w:r>
        <w:rPr>
          <w:rStyle w:val="BodyTextChar"/>
        </w:rPr>
        <w:t>La licence d’exploitation préalable visée à l’article 7 n’est pas exigée des personnes qui, à l’entrée en vigueur du présent décret royal, effectuent la fabrication complète de dispositifs pour des tiers, exclusivement pour cette activité, jusqu’à un an après son entrée en vigueur, et sans préjudice des dispositions relatives à la fabrication de dispositifs médicaux à prendre dans leur réglementation spécifique.</w:t>
      </w:r>
    </w:p>
    <w:p w14:paraId="5A05CBEE" w14:textId="77777777" w:rsidR="00874815" w:rsidRDefault="00317692">
      <w:pPr>
        <w:pStyle w:val="BodyText"/>
        <w:spacing w:after="120"/>
        <w:ind w:firstLine="0"/>
        <w:jc w:val="both"/>
      </w:pPr>
      <w:r>
        <w:rPr>
          <w:rStyle w:val="BodyTextChar"/>
        </w:rPr>
        <w:t xml:space="preserve">Troisième disposition transitoire. </w:t>
      </w:r>
      <w:r>
        <w:rPr>
          <w:rStyle w:val="BodyTextChar"/>
          <w:i/>
        </w:rPr>
        <w:t>Renouvellement et modification des licences.</w:t>
      </w:r>
    </w:p>
    <w:p w14:paraId="2B6D6266" w14:textId="77777777" w:rsidR="00874815" w:rsidRDefault="00317692">
      <w:pPr>
        <w:pStyle w:val="BodyText"/>
        <w:spacing w:after="180"/>
        <w:jc w:val="both"/>
      </w:pPr>
      <w:r>
        <w:rPr>
          <w:rStyle w:val="BodyTextChar"/>
        </w:rPr>
        <w:t>Les licences d’exploitation préalables accordées avant l’entrée en vigueur du présent décret royal sont soumises, pour renouvellement ou modification, aux dispositions prévues au chapitre II, au moment requis conformément aux règlements.</w:t>
      </w:r>
    </w:p>
    <w:p w14:paraId="1E649CFA" w14:textId="77777777" w:rsidR="00874815" w:rsidRDefault="00317692">
      <w:pPr>
        <w:pStyle w:val="BodyText"/>
        <w:spacing w:after="120"/>
        <w:ind w:left="360" w:hanging="360"/>
        <w:jc w:val="both"/>
      </w:pPr>
      <w:r>
        <w:rPr>
          <w:rStyle w:val="BodyTextChar"/>
        </w:rPr>
        <w:t xml:space="preserve">Quatrième disposition transitoire. </w:t>
      </w:r>
      <w:r>
        <w:rPr>
          <w:rStyle w:val="BodyTextChar"/>
          <w:i/>
        </w:rPr>
        <w:t>Validité des procédures d’autorisation, de certification et de communication.</w:t>
      </w:r>
    </w:p>
    <w:p w14:paraId="14E6E5F6" w14:textId="77777777" w:rsidR="00874815" w:rsidRDefault="00317692">
      <w:pPr>
        <w:pStyle w:val="BodyText"/>
        <w:spacing w:after="180"/>
        <w:jc w:val="both"/>
      </w:pPr>
      <w:r>
        <w:rPr>
          <w:noProof/>
        </w:rPr>
        <mc:AlternateContent>
          <mc:Choice Requires="wps">
            <w:drawing>
              <wp:anchor distT="0" distB="0" distL="114300" distR="114300" simplePos="0" relativeHeight="125829426" behindDoc="0" locked="0" layoutInCell="1" allowOverlap="1" wp14:anchorId="403324BF" wp14:editId="051577A6">
                <wp:simplePos x="0" y="0"/>
                <wp:positionH relativeFrom="page">
                  <wp:posOffset>7155180</wp:posOffset>
                </wp:positionH>
                <wp:positionV relativeFrom="paragraph">
                  <wp:posOffset>635000</wp:posOffset>
                </wp:positionV>
                <wp:extent cx="222250" cy="1337945"/>
                <wp:effectExtent l="0" t="0" r="0" b="0"/>
                <wp:wrapSquare wrapText="bothSides"/>
                <wp:docPr id="49" name="Shape 4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2106B84"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AF9AB7F" w14:textId="77777777" w:rsidR="00874815" w:rsidRDefault="00317692">
                            <w:pPr>
                              <w:pStyle w:val="Bodytext20"/>
                            </w:pPr>
                            <w:r>
                              <w:rPr>
                                <w:rStyle w:val="Bodytext2"/>
                              </w:rPr>
                              <w:t xml:space="preserve">Consultable à l’adresse </w:t>
                            </w:r>
                            <w:hyperlink r:id="rId5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03324BF" id="Shape 49" o:spid="_x0000_s1050" type="#_x0000_t202" style="position:absolute;left:0;text-align:left;margin-left:563.4pt;margin-top:50pt;width:17.5pt;height:105.35pt;z-index:12582942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" filled="f" stroked="f">
                <v:textbox style="layout-flow:vertical;mso-layout-flow-alt:bottom-to-top" inset="0,0,0,0">
                  <w:txbxContent>
                    <w:p w14:paraId="72106B84"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AF9AB7F" w14:textId="77777777" w:rsidR="00874815" w:rsidRDefault="00000000">
                      <w:pPr>
                        <w:pStyle w:val="Bodytext20"/>
                      </w:pPr>
                      <w:r>
                        <w:rPr>
                          <w:rStyle w:val="Bodytext2"/>
                        </w:rPr>
                        <w:t xml:space="preserve">Consultable à l’adresse </w:t>
                      </w:r>
                      <w:hyperlink r:id="rId56" w:history="1">
                        <w:r>
                          <w:rPr>
                            <w:rStyle w:val="Bodytext2"/>
                          </w:rPr>
                          <w:t xml:space="preserve">https://www.boe.es</w:t>
                        </w:r>
                      </w:hyperlink>
                    </w:p>
                  </w:txbxContent>
                </v:textbox>
                <w10:wrap type="square" anchorx="page"/>
              </v:shape>
            </w:pict>
          </mc:Fallback>
        </mc:AlternateContent>
      </w:r>
      <w:r>
        <w:rPr>
          <w:rStyle w:val="BodyTextChar"/>
        </w:rPr>
        <w:t>Les procédures d’autorisation, de certification et de communication effectuées en application du décret royal 634/1993 du 3 mai relatif aux dispositifs médicaux implantables actifs, du décret royal 414/1996 du 1er mars réglementant les dispositifs médicaux, du décret royal 1591/2009 du 16 octobre réglementant les dispositifs médicaux implantables et du décret royal 1616/2009 du 26 octobre réglementant les dispositifs médicaux implantables actifs restent valables.</w:t>
      </w:r>
    </w:p>
    <w:p w14:paraId="7910B840" w14:textId="77777777" w:rsidR="00874815" w:rsidRDefault="00317692">
      <w:pPr>
        <w:pStyle w:val="BodyText"/>
        <w:spacing w:after="120"/>
        <w:ind w:firstLine="0"/>
        <w:jc w:val="both"/>
      </w:pPr>
      <w:r>
        <w:rPr>
          <w:rStyle w:val="BodyTextChar"/>
        </w:rPr>
        <w:t xml:space="preserve">Cinquième disposition transitoire. </w:t>
      </w:r>
      <w:r>
        <w:rPr>
          <w:rStyle w:val="BodyTextChar"/>
          <w:i/>
        </w:rPr>
        <w:t>Recherche clinique.</w:t>
      </w:r>
    </w:p>
    <w:p w14:paraId="11795DB3" w14:textId="51493AF5" w:rsidR="00874815" w:rsidRDefault="00317692">
      <w:pPr>
        <w:pStyle w:val="BodyText"/>
        <w:spacing w:after="180"/>
        <w:jc w:val="both"/>
      </w:pPr>
      <w:r>
        <w:rPr>
          <w:rStyle w:val="BodyTextChar"/>
        </w:rPr>
        <w:t>Les recherches cliniques initiées conformément au décret royal 1591/2009 du 16 octobre et au décret royal 1616/2009 du 26 octobre sont régies par ces règlements jusqu’à leur achèvement, à l’exception de la notification des événements indésirables graves et des déficiences des dispositifs, qui sont effectuées conformément au règlement (UE) 2017/745 du Parlement européen et du Conseil du 5 avril 2017 et au présent décret royal.</w:t>
      </w:r>
    </w:p>
    <w:p w14:paraId="780C459C" w14:textId="77777777" w:rsidR="00874815" w:rsidRDefault="00317692">
      <w:pPr>
        <w:pStyle w:val="BodyText"/>
        <w:spacing w:after="120"/>
        <w:ind w:firstLine="0"/>
        <w:jc w:val="both"/>
      </w:pPr>
      <w:r>
        <w:rPr>
          <w:rStyle w:val="BodyTextChar"/>
        </w:rPr>
        <w:t xml:space="preserve">Sixième disposition transitoire. </w:t>
      </w:r>
      <w:proofErr w:type="spellStart"/>
      <w:r>
        <w:rPr>
          <w:rStyle w:val="BodyTextChar"/>
          <w:i/>
        </w:rPr>
        <w:t>Eudamed</w:t>
      </w:r>
      <w:proofErr w:type="spellEnd"/>
      <w:r>
        <w:rPr>
          <w:rStyle w:val="BodyTextChar"/>
          <w:i/>
        </w:rPr>
        <w:t>.</w:t>
      </w:r>
    </w:p>
    <w:p w14:paraId="09D76A9C" w14:textId="77777777" w:rsidR="00874815" w:rsidRDefault="00317692">
      <w:pPr>
        <w:pStyle w:val="BodyText"/>
        <w:spacing w:after="180"/>
        <w:jc w:val="both"/>
      </w:pPr>
      <w:r>
        <w:rPr>
          <w:rStyle w:val="BodyTextChar"/>
        </w:rPr>
        <w:t xml:space="preserve">Conformément à l’article 123, paragraphe 3, point d), du règlement (UE) 2017/745 du Parlement européen et du Conseil du 5 avril 2017 jusqu’à ce que </w:t>
      </w:r>
      <w:proofErr w:type="spellStart"/>
      <w:r>
        <w:rPr>
          <w:rStyle w:val="BodyTextChar"/>
        </w:rPr>
        <w:t>Eudamed</w:t>
      </w:r>
      <w:proofErr w:type="spellEnd"/>
      <w:r>
        <w:rPr>
          <w:rStyle w:val="BodyTextChar"/>
        </w:rPr>
        <w:t xml:space="preserve"> devienne pleinement opérationnel conformément à l’article 34, paragraphe 3, les dispositions correspondantes au décret royal 1591/2009 du 16 octobre et au décret royal 1616/2009 du 26 octobre continuent de s’appliquer aux fins du respect des obligations établies et, en particulier, des informations relatives à la communication de la mise sur le marché et de la mise en service, au registre des personnes responsables de la mise sur le marché, à la recherche clinique, à la notification des certificats et aux notifications de surveillance.</w:t>
      </w:r>
    </w:p>
    <w:p w14:paraId="28219CBE" w14:textId="77777777" w:rsidR="00874815" w:rsidRDefault="00317692">
      <w:pPr>
        <w:pStyle w:val="BodyText"/>
        <w:spacing w:after="120"/>
        <w:ind w:firstLine="0"/>
        <w:jc w:val="both"/>
      </w:pPr>
      <w:r>
        <w:rPr>
          <w:rStyle w:val="BodyTextChar"/>
        </w:rPr>
        <w:t xml:space="preserve">Septième disposition transitoire. </w:t>
      </w:r>
      <w:r>
        <w:rPr>
          <w:rStyle w:val="BodyTextChar"/>
          <w:i/>
        </w:rPr>
        <w:t>Registre de commercialisation</w:t>
      </w:r>
    </w:p>
    <w:p w14:paraId="2C86F619" w14:textId="77777777" w:rsidR="00874815" w:rsidRDefault="00317692">
      <w:pPr>
        <w:pStyle w:val="BodyText"/>
        <w:jc w:val="both"/>
      </w:pPr>
      <w:r>
        <w:rPr>
          <w:rStyle w:val="BodyTextChar"/>
        </w:rPr>
        <w:t>L’obligation de communiquer au registre de commercialisation visé à l’article 18 ne s’applique pas tant que ce registre n’est pas pleinement opérationnel.</w:t>
      </w:r>
    </w:p>
    <w:p w14:paraId="509BE516" w14:textId="77777777" w:rsidR="00874815" w:rsidRDefault="00317692">
      <w:pPr>
        <w:pStyle w:val="BodyText"/>
        <w:jc w:val="both"/>
      </w:pPr>
      <w:r>
        <w:rPr>
          <w:rStyle w:val="BodyTextChar"/>
        </w:rPr>
        <w:lastRenderedPageBreak/>
        <w:t>Jusqu’à ce que le registre de commercialisation soit opérationnel, la notification de la commercialisation et de la mise en service est effectuée conformément aux articles 22, 23 et 24 du décret royal 1591/2009 du 16 octobre et aux articles 19 et 20 du décret royal 1616/2009 du 26 octobre.</w:t>
      </w:r>
    </w:p>
    <w:p w14:paraId="07B06C31" w14:textId="77777777" w:rsidR="00874815" w:rsidRDefault="00317692">
      <w:pPr>
        <w:pStyle w:val="BodyText"/>
        <w:spacing w:after="180"/>
        <w:jc w:val="both"/>
      </w:pPr>
      <w:r>
        <w:rPr>
          <w:rStyle w:val="BodyTextChar"/>
        </w:rPr>
        <w:t xml:space="preserve">Une fois le registre de commercialisation opérationnel, les opérateurs qui mettent des dispositifs sur le marché espagnol doivent le notifier dans un délai de six mois à compter de la notification du dispositif à </w:t>
      </w:r>
      <w:proofErr w:type="spellStart"/>
      <w:r>
        <w:rPr>
          <w:rStyle w:val="BodyTextChar"/>
        </w:rPr>
        <w:t>Eudamed</w:t>
      </w:r>
      <w:proofErr w:type="spellEnd"/>
      <w:r>
        <w:rPr>
          <w:rStyle w:val="BodyTextChar"/>
        </w:rPr>
        <w:t>. Le transfert des communications vers le nouveau registre de commercialisation est exonéré du paiement de la redevance correspondante.</w:t>
      </w:r>
    </w:p>
    <w:p w14:paraId="16333632" w14:textId="77777777" w:rsidR="00874815" w:rsidRDefault="00317692">
      <w:pPr>
        <w:pStyle w:val="BodyText"/>
        <w:spacing w:after="120"/>
        <w:ind w:left="360" w:hanging="360"/>
        <w:jc w:val="both"/>
      </w:pPr>
      <w:r>
        <w:rPr>
          <w:rStyle w:val="BodyTextChar"/>
        </w:rPr>
        <w:t xml:space="preserve">Huitième disposition transitoire. </w:t>
      </w:r>
      <w:r>
        <w:rPr>
          <w:rStyle w:val="BodyTextChar"/>
          <w:i/>
        </w:rPr>
        <w:t>Régime juridique transitoire pour les dispositifs couverts par l’article 120 du règlement (UE) 2017/745 du Parlement européen et du Conseil du 5 avril 2017.</w:t>
      </w:r>
    </w:p>
    <w:p w14:paraId="45B2DDF3" w14:textId="77777777" w:rsidR="00874815" w:rsidRDefault="00317692">
      <w:pPr>
        <w:pStyle w:val="BodyText"/>
        <w:spacing w:after="180"/>
        <w:jc w:val="both"/>
      </w:pPr>
      <w:r>
        <w:rPr>
          <w:rStyle w:val="BodyTextChar"/>
        </w:rPr>
        <w:t>Aux fins prévues à l’article 120, paragraphe 3, du règlement (UE) 2017/745 du Parlement européen et du Conseil du 5 avril 2017, les dispositifs visés par cette disposition sont réputés conformes à la directive 90/385/CEE du Conseil du 20 juin 1990 concernant le rapprochement des législations des États membres relatives aux dispositifs médicaux implantables actifs et à la directive 93/42/CEE du Conseil, du 14 juin 1993, relative aux dispositifs médicaux, chaque fois qu’ils sont conformes aux dispositions du décret royal 1616/2009 du 26 octobre réglementant les dispositifs médicaux implantables actifs et du décret royal 1591/2009 du 16 octobre réglementant les dispositifs médicaux, étant donné que ces règles transposent ces directives en droit espagnol.</w:t>
      </w:r>
    </w:p>
    <w:p w14:paraId="79F99F8C" w14:textId="77777777" w:rsidR="00874815" w:rsidRDefault="00317692">
      <w:pPr>
        <w:pStyle w:val="BodyText"/>
        <w:spacing w:after="120"/>
        <w:ind w:firstLine="0"/>
        <w:jc w:val="both"/>
      </w:pPr>
      <w:r>
        <w:rPr>
          <w:rStyle w:val="BodyTextChar"/>
        </w:rPr>
        <w:t xml:space="preserve">Neuvième disposition transitoire. </w:t>
      </w:r>
      <w:r>
        <w:rPr>
          <w:rStyle w:val="BodyTextChar"/>
          <w:i/>
        </w:rPr>
        <w:t>Dispositifs non médicaux.</w:t>
      </w:r>
    </w:p>
    <w:p w14:paraId="7F1B92EE" w14:textId="77777777" w:rsidR="00A004D1" w:rsidRDefault="00317692">
      <w:pPr>
        <w:pStyle w:val="BodyText"/>
        <w:spacing w:after="160"/>
        <w:jc w:val="both"/>
        <w:rPr>
          <w:rStyle w:val="BodyTextChar"/>
        </w:rPr>
      </w:pPr>
      <w:r>
        <w:rPr>
          <w:noProof/>
        </w:rPr>
        <mc:AlternateContent>
          <mc:Choice Requires="wps">
            <w:drawing>
              <wp:anchor distT="0" distB="0" distL="114300" distR="114300" simplePos="0" relativeHeight="125829428" behindDoc="0" locked="0" layoutInCell="1" allowOverlap="1" wp14:anchorId="239BE0FD" wp14:editId="2E1320E7">
                <wp:simplePos x="0" y="0"/>
                <wp:positionH relativeFrom="page">
                  <wp:posOffset>7155180</wp:posOffset>
                </wp:positionH>
                <wp:positionV relativeFrom="paragraph">
                  <wp:posOffset>228600</wp:posOffset>
                </wp:positionV>
                <wp:extent cx="222250" cy="1337945"/>
                <wp:effectExtent l="0" t="0" r="0" b="0"/>
                <wp:wrapSquare wrapText="bothSides"/>
                <wp:docPr id="51" name="Shape 5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2F1030E3"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1B3034E8" w14:textId="77777777" w:rsidR="00874815" w:rsidRDefault="00317692">
                            <w:pPr>
                              <w:pStyle w:val="Bodytext20"/>
                            </w:pPr>
                            <w:r>
                              <w:rPr>
                                <w:rStyle w:val="Bodytext2"/>
                              </w:rPr>
                              <w:t xml:space="preserve">Consultable à l’adresse </w:t>
                            </w:r>
                            <w:hyperlink r:id="rId5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39BE0FD" id="Shape 51" o:spid="_x0000_s1051" type="#_x0000_t202" style="position:absolute;left:0;text-align:left;margin-left:563.4pt;margin-top:18pt;width:17.5pt;height:105.35pt;z-index:1258294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uICew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" filled="f" stroked="f">
                <v:textbox style="layout-flow:vertical;mso-layout-flow-alt:bottom-to-top" inset="0,0,0,0">
                  <w:txbxContent>
                    <w:p w14:paraId="2F1030E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B3034E8" w14:textId="77777777" w:rsidR="00874815" w:rsidRDefault="00000000">
                      <w:pPr>
                        <w:pStyle w:val="Bodytext20"/>
                      </w:pPr>
                      <w:r>
                        <w:rPr>
                          <w:rStyle w:val="Bodytext2"/>
                        </w:rPr>
                        <w:t xml:space="preserve">Consultable à l’adresse </w:t>
                      </w:r>
                      <w:hyperlink r:id="rId58" w:history="1">
                        <w:r>
                          <w:rPr>
                            <w:rStyle w:val="Bodytext2"/>
                          </w:rPr>
                          <w:t xml:space="preserve">https://www.boe.es</w:t>
                        </w:r>
                      </w:hyperlink>
                    </w:p>
                  </w:txbxContent>
                </v:textbox>
                <w10:wrap type="square" anchorx="page"/>
              </v:shape>
            </w:pict>
          </mc:Fallback>
        </mc:AlternateContent>
      </w:r>
      <w:r>
        <w:rPr>
          <w:rStyle w:val="BodyTextChar"/>
        </w:rPr>
        <w:t>Le présent décret royal ne s’applique pas aux dispositifs sans finalité médicale prévue, visés à l’article 1er, paragraphe 2, du règlement (UE) 2017/745 du Parlement européen et du Conseil du 5 avril 2017 jusqu’à ce que les spécifications communes adoptées en vertu de l’article 9 de ce règlement leur deviennent applicables.</w:t>
      </w:r>
    </w:p>
    <w:p w14:paraId="786AA9C1" w14:textId="5FE0BFE7" w:rsidR="00874815" w:rsidRDefault="00874815">
      <w:pPr>
        <w:pStyle w:val="BodyText"/>
        <w:spacing w:after="160"/>
        <w:jc w:val="both"/>
      </w:pPr>
    </w:p>
    <w:p w14:paraId="2EFF4088" w14:textId="77777777" w:rsidR="00874815" w:rsidRDefault="00317692">
      <w:pPr>
        <w:pStyle w:val="BodyText"/>
        <w:spacing w:after="120"/>
        <w:ind w:firstLine="0"/>
        <w:jc w:val="both"/>
      </w:pPr>
      <w:r>
        <w:rPr>
          <w:rStyle w:val="BodyTextChar"/>
        </w:rPr>
        <w:t xml:space="preserve">Disposition abrogatoire unique. </w:t>
      </w:r>
      <w:r>
        <w:rPr>
          <w:rStyle w:val="BodyTextChar"/>
          <w:i/>
        </w:rPr>
        <w:t>Abrogation des règlements.</w:t>
      </w:r>
    </w:p>
    <w:p w14:paraId="115B7F25" w14:textId="77777777" w:rsidR="00874815" w:rsidRDefault="00317692">
      <w:pPr>
        <w:pStyle w:val="BodyText"/>
        <w:spacing w:after="120"/>
        <w:jc w:val="both"/>
      </w:pPr>
      <w:r>
        <w:rPr>
          <w:rStyle w:val="BodyTextChar"/>
        </w:rPr>
        <w:t xml:space="preserve">1. Nonobstant les dispositions de l’article 120, paragraphes 3 et 4, concernant le régime juridique transitoire applicable aux dispositifs et considérant l’abrogation des directives 90/385/CEE et 93/42/CEE prévues à l’article 122 du règlement (UE) 2017/745 du Parlement européen et du Conseil du 5 avril 2017, les dispositions suivantes sont </w:t>
      </w:r>
      <w:proofErr w:type="gramStart"/>
      <w:r>
        <w:rPr>
          <w:rStyle w:val="BodyTextChar"/>
        </w:rPr>
        <w:t>abrogées:</w:t>
      </w:r>
      <w:proofErr w:type="gramEnd"/>
    </w:p>
    <w:p w14:paraId="7E296AD5" w14:textId="77777777" w:rsidR="00874815" w:rsidRDefault="00317692">
      <w:pPr>
        <w:pStyle w:val="BodyText"/>
        <w:numPr>
          <w:ilvl w:val="0"/>
          <w:numId w:val="46"/>
        </w:numPr>
        <w:tabs>
          <w:tab w:val="left" w:pos="720"/>
        </w:tabs>
        <w:spacing w:after="120"/>
        <w:jc w:val="both"/>
      </w:pPr>
      <w:r>
        <w:rPr>
          <w:rStyle w:val="BodyTextChar"/>
        </w:rPr>
        <w:t xml:space="preserve">Le décret royal 1591/2009 du 16 octobre réglementant les dispositifs médicaux, à </w:t>
      </w:r>
      <w:proofErr w:type="gramStart"/>
      <w:r>
        <w:rPr>
          <w:rStyle w:val="BodyTextChar"/>
        </w:rPr>
        <w:t>l’exception:</w:t>
      </w:r>
      <w:proofErr w:type="gramEnd"/>
    </w:p>
    <w:p w14:paraId="15F456A8"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Des articles 30, 31 et 32 et les obligations en matière de surveillance et de recherche clinique prévues dans les annexes pertinentes, qui sont abrogées avec effet à la date ultérieure visée à l’article 123, paragraphe 3, point d), du règlement (UE) 2017/745 du Parlement européen et du Conseil du 5 avril 2017.</w:t>
      </w:r>
    </w:p>
    <w:p w14:paraId="59AD2673" w14:textId="77777777" w:rsidR="00874815" w:rsidRDefault="00317692">
      <w:pPr>
        <w:pStyle w:val="BodyText"/>
        <w:numPr>
          <w:ilvl w:val="0"/>
          <w:numId w:val="47"/>
        </w:numPr>
        <w:tabs>
          <w:tab w:val="left" w:pos="572"/>
        </w:tabs>
        <w:jc w:val="both"/>
      </w:pPr>
      <w:proofErr w:type="gramStart"/>
      <w:r>
        <w:rPr>
          <w:rStyle w:val="BodyTextChar"/>
        </w:rPr>
        <w:t>.°</w:t>
      </w:r>
      <w:proofErr w:type="gramEnd"/>
      <w:r>
        <w:rPr>
          <w:rStyle w:val="BodyTextChar"/>
        </w:rPr>
        <w:t xml:space="preserve"> Des article 19, paragraphes 5 et 6, articles 22, 23, 24 et 25 et de la notification des certificats prévus dans les annexes pertinentes, qui sont abrogés avec effet à partir de 18 mois à compter de la date ultérieure visée à l’article 123, paragraphe 3, point d), du règlement (UE) 2017/745 du Parlement européen et du Conseil du 5 avril 2017.</w:t>
      </w:r>
    </w:p>
    <w:p w14:paraId="62A8E530"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De l’article 33 concernant les cartes d’implants pendant que les dispositifs continuent d’être mis sur le marché et commercialisés conformément à l’article 120, paragraphes 3 et 4, du règlement (UE) 2017/745 du Parlement européen et du Conseil du 5 avril 2017.</w:t>
      </w:r>
    </w:p>
    <w:p w14:paraId="046D535C"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De l’article 21 concernant la procédure de l’organisme notifié et des articles 38, 39 et 40 relatifs à la publicité, à la promotion, aux incitations et au parrainage de réunions scientifiques qui resteront en vigueur jusqu’à l’élaboration de sa législation spécifique.</w:t>
      </w:r>
    </w:p>
    <w:p w14:paraId="712399A1" w14:textId="77777777" w:rsidR="00874815" w:rsidRDefault="00317692">
      <w:pPr>
        <w:pStyle w:val="BodyText"/>
        <w:numPr>
          <w:ilvl w:val="0"/>
          <w:numId w:val="47"/>
        </w:numPr>
        <w:tabs>
          <w:tab w:val="left" w:pos="572"/>
        </w:tabs>
        <w:spacing w:after="120"/>
        <w:jc w:val="both"/>
      </w:pPr>
      <w:proofErr w:type="gramStart"/>
      <w:r>
        <w:rPr>
          <w:rStyle w:val="BodyTextChar"/>
        </w:rPr>
        <w:t>.°</w:t>
      </w:r>
      <w:proofErr w:type="gramEnd"/>
      <w:r>
        <w:rPr>
          <w:rStyle w:val="BodyTextChar"/>
        </w:rPr>
        <w:t xml:space="preserve"> De la quatrième disposition additionnelle relative à l’application du chapitre VII du décret royal susmentionné aux dispositifs médicaux de diagnostic </w:t>
      </w:r>
      <w:r>
        <w:rPr>
          <w:rStyle w:val="BodyTextChar"/>
          <w:i/>
        </w:rPr>
        <w:t>in vitro</w:t>
      </w:r>
      <w:r>
        <w:rPr>
          <w:rStyle w:val="BodyTextChar"/>
        </w:rPr>
        <w:t>, qui reste en vigueur jusqu’à l’élaboration de sa législation spécifique.</w:t>
      </w:r>
    </w:p>
    <w:p w14:paraId="7DC9B1F1" w14:textId="77777777" w:rsidR="00874815" w:rsidRDefault="00317692">
      <w:pPr>
        <w:pStyle w:val="BodyText"/>
        <w:numPr>
          <w:ilvl w:val="0"/>
          <w:numId w:val="46"/>
        </w:numPr>
        <w:tabs>
          <w:tab w:val="left" w:pos="720"/>
        </w:tabs>
        <w:spacing w:after="120"/>
        <w:jc w:val="both"/>
      </w:pPr>
      <w:r>
        <w:rPr>
          <w:rStyle w:val="BodyTextChar"/>
        </w:rPr>
        <w:lastRenderedPageBreak/>
        <w:t xml:space="preserve">Du décret royal 1616/2009 du 26 octobre réglementant les dispositifs médicaux implantables actifs, à </w:t>
      </w:r>
      <w:proofErr w:type="gramStart"/>
      <w:r>
        <w:rPr>
          <w:rStyle w:val="BodyTextChar"/>
        </w:rPr>
        <w:t>l’exception:</w:t>
      </w:r>
      <w:proofErr w:type="gramEnd"/>
    </w:p>
    <w:p w14:paraId="3DBC5F84" w14:textId="77777777" w:rsidR="00874815" w:rsidRDefault="00317692">
      <w:pPr>
        <w:pStyle w:val="BodyText"/>
        <w:numPr>
          <w:ilvl w:val="0"/>
          <w:numId w:val="48"/>
        </w:numPr>
        <w:tabs>
          <w:tab w:val="left" w:pos="577"/>
        </w:tabs>
        <w:jc w:val="both"/>
      </w:pPr>
      <w:proofErr w:type="gramStart"/>
      <w:r>
        <w:rPr>
          <w:rStyle w:val="BodyTextChar"/>
        </w:rPr>
        <w:t>.°</w:t>
      </w:r>
      <w:proofErr w:type="gramEnd"/>
      <w:r>
        <w:rPr>
          <w:rStyle w:val="BodyTextChar"/>
        </w:rPr>
        <w:t xml:space="preserve"> Des articles 26, 27 et 28 et les obligations en matière de surveillance et de recherche clinique prévues dans les annexes pertinentes, qui sont abrogées avec effet à la date ultérieure visée à l’article 123, paragraphe 3, point d), du règlement (UE) 2017/745 du Parlement européen et du Conseil du 5 avril 2017.</w:t>
      </w:r>
    </w:p>
    <w:p w14:paraId="7EA91341" w14:textId="77777777" w:rsidR="00874815" w:rsidRDefault="00317692">
      <w:pPr>
        <w:pStyle w:val="BodyText"/>
        <w:numPr>
          <w:ilvl w:val="0"/>
          <w:numId w:val="48"/>
        </w:numPr>
        <w:tabs>
          <w:tab w:val="left" w:pos="572"/>
        </w:tabs>
        <w:jc w:val="both"/>
      </w:pPr>
      <w:proofErr w:type="gramStart"/>
      <w:r>
        <w:rPr>
          <w:rStyle w:val="BodyTextChar"/>
        </w:rPr>
        <w:t>.°</w:t>
      </w:r>
      <w:proofErr w:type="gramEnd"/>
      <w:r>
        <w:rPr>
          <w:rStyle w:val="BodyTextChar"/>
        </w:rPr>
        <w:t xml:space="preserve"> De l’article 17, paragraphes 5 et 6, de l’article 19 et de l’article 20 et de la notification des certificats prévus dans les annexes concernées, qui sont abrogés avec effet à partir de 18 mois à compter de la date ultérieure visée à l’article 123, paragraphe 3, point d), du règlement (UE) 2017/745 du Parlement européen et du Conseil du 5 avril 2017.</w:t>
      </w:r>
    </w:p>
    <w:p w14:paraId="3754AFAE" w14:textId="77777777" w:rsidR="00874815" w:rsidRDefault="00317692">
      <w:pPr>
        <w:pStyle w:val="BodyText"/>
        <w:numPr>
          <w:ilvl w:val="0"/>
          <w:numId w:val="48"/>
        </w:numPr>
        <w:tabs>
          <w:tab w:val="left" w:pos="577"/>
        </w:tabs>
        <w:jc w:val="both"/>
      </w:pPr>
      <w:r>
        <w:rPr>
          <w:noProof/>
        </w:rPr>
        <mc:AlternateContent>
          <mc:Choice Requires="wps">
            <w:drawing>
              <wp:anchor distT="0" distB="0" distL="114300" distR="114300" simplePos="0" relativeHeight="125829430" behindDoc="0" locked="0" layoutInCell="1" allowOverlap="1" wp14:anchorId="2EE21356" wp14:editId="320CA6C8">
                <wp:simplePos x="0" y="0"/>
                <wp:positionH relativeFrom="page">
                  <wp:posOffset>7153275</wp:posOffset>
                </wp:positionH>
                <wp:positionV relativeFrom="paragraph">
                  <wp:posOffset>393700</wp:posOffset>
                </wp:positionV>
                <wp:extent cx="222250" cy="1337945"/>
                <wp:effectExtent l="0" t="0" r="0" b="0"/>
                <wp:wrapSquare wrapText="bothSides"/>
                <wp:docPr id="53" name="Shape 5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385652E" w14:textId="77777777" w:rsidR="00874815" w:rsidRDefault="00317692">
                            <w:pPr>
                              <w:pStyle w:val="Bodytext20"/>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6F877E62" w14:textId="77777777" w:rsidR="00874815" w:rsidRDefault="00317692">
                            <w:pPr>
                              <w:pStyle w:val="Bodytext20"/>
                            </w:pPr>
                            <w:r>
                              <w:rPr>
                                <w:rStyle w:val="Bodytext2"/>
                              </w:rPr>
                              <w:t xml:space="preserve">Consultable à l’adresse </w:t>
                            </w:r>
                            <w:hyperlink r:id="rId5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EE21356" id="Shape 53" o:spid="_x0000_s1052" type="#_x0000_t202" style="position:absolute;left:0;text-align:left;margin-left:563.25pt;margin-top:31pt;width:17.5pt;height:105.35pt;z-index:12582943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" filled="f" stroked="f">
                <v:textbox style="layout-flow:vertical;mso-layout-flow-alt:bottom-to-top" inset="0,0,0,0">
                  <w:txbxContent>
                    <w:p w14:paraId="4385652E"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F877E62" w14:textId="77777777" w:rsidR="00874815" w:rsidRDefault="00000000">
                      <w:pPr>
                        <w:pStyle w:val="Bodytext20"/>
                      </w:pPr>
                      <w:r>
                        <w:rPr>
                          <w:rStyle w:val="Bodytext2"/>
                        </w:rPr>
                        <w:t xml:space="preserve">Consultable à l’adresse </w:t>
                      </w:r>
                      <w:hyperlink r:id="rId60" w:history="1">
                        <w:r>
                          <w:rPr>
                            <w:rStyle w:val="Bodytext2"/>
                          </w:rPr>
                          <w:t xml:space="preserve">https://www.boe.es</w:t>
                        </w:r>
                      </w:hyperlink>
                    </w:p>
                  </w:txbxContent>
                </v:textbox>
                <w10:wrap type="square" anchorx="page"/>
              </v:shape>
            </w:pict>
          </mc:Fallback>
        </mc:AlternateContent>
      </w:r>
      <w:proofErr w:type="gramStart"/>
      <w:r>
        <w:rPr>
          <w:rStyle w:val="BodyTextChar"/>
        </w:rPr>
        <w:t>.°</w:t>
      </w:r>
      <w:proofErr w:type="gramEnd"/>
      <w:r>
        <w:rPr>
          <w:rStyle w:val="BodyTextChar"/>
        </w:rPr>
        <w:t xml:space="preserve"> De l’article 29 concernant les cartes d’implants pendant que les dispositifs continuent d’être mis sur le marché et commercialisés conformément à l’article 120, paragraphes 3 et 4, du règlement (UE) 2017/745 du Parlement européen et du Conseil du 5 avril 2017.</w:t>
      </w:r>
    </w:p>
    <w:p w14:paraId="6C3A9FA3" w14:textId="77777777" w:rsidR="00A004D1" w:rsidRDefault="00317692">
      <w:pPr>
        <w:pStyle w:val="BodyText"/>
        <w:numPr>
          <w:ilvl w:val="0"/>
          <w:numId w:val="48"/>
        </w:numPr>
        <w:tabs>
          <w:tab w:val="left" w:pos="577"/>
        </w:tabs>
        <w:spacing w:after="120"/>
        <w:jc w:val="both"/>
        <w:rPr>
          <w:rStyle w:val="BodyTextChar"/>
        </w:rPr>
      </w:pPr>
      <w:proofErr w:type="gramStart"/>
      <w:r>
        <w:rPr>
          <w:rStyle w:val="BodyTextChar"/>
        </w:rPr>
        <w:t>.°</w:t>
      </w:r>
      <w:proofErr w:type="gramEnd"/>
      <w:r>
        <w:rPr>
          <w:rStyle w:val="BodyTextChar"/>
        </w:rPr>
        <w:t xml:space="preserve"> De l’article 18 relatif à la procédure de l’organisme notifié et des articles 34, 35 et 36 relatifs à la publicité, à la promotion, aux incitations et au parrainage de réunions scientifiques, qui restent en vigueur jusqu’à l’élaboration de sa législation spécifique.</w:t>
      </w:r>
    </w:p>
    <w:p w14:paraId="47C93C1E" w14:textId="77777777" w:rsidR="00874815" w:rsidRDefault="00317692">
      <w:pPr>
        <w:pStyle w:val="BodyText"/>
        <w:numPr>
          <w:ilvl w:val="0"/>
          <w:numId w:val="49"/>
        </w:numPr>
        <w:tabs>
          <w:tab w:val="left" w:pos="714"/>
        </w:tabs>
        <w:jc w:val="both"/>
      </w:pPr>
      <w:r>
        <w:rPr>
          <w:rStyle w:val="BodyTextChar"/>
        </w:rPr>
        <w:t>La troisième disposition additionnelle du décret royal 1090/2015 du 4 décembre réglementant les essais cliniques sur les dispositifs médicaux, les comités d’éthique de la recherche pharmaceutique et le registre espagnol des études cliniques est abrogée.</w:t>
      </w:r>
    </w:p>
    <w:p w14:paraId="0E142916" w14:textId="77777777" w:rsidR="00874815" w:rsidRDefault="00317692">
      <w:pPr>
        <w:pStyle w:val="BodyText"/>
        <w:numPr>
          <w:ilvl w:val="0"/>
          <w:numId w:val="49"/>
        </w:numPr>
        <w:tabs>
          <w:tab w:val="left" w:pos="714"/>
        </w:tabs>
        <w:spacing w:after="180"/>
        <w:jc w:val="both"/>
      </w:pPr>
      <w:r>
        <w:rPr>
          <w:rStyle w:val="BodyTextChar"/>
        </w:rPr>
        <w:t>En règle générale, toute autre disposition de rang égal ou inférieur dans la mesure où elle s’oppose ou contredit les dispositions de la présente règle est abrogée.</w:t>
      </w:r>
    </w:p>
    <w:p w14:paraId="3678F0D5" w14:textId="77777777" w:rsidR="00874815" w:rsidRDefault="00317692">
      <w:pPr>
        <w:pStyle w:val="BodyText"/>
        <w:spacing w:after="120"/>
        <w:ind w:firstLine="0"/>
        <w:jc w:val="both"/>
      </w:pPr>
      <w:r>
        <w:rPr>
          <w:rStyle w:val="BodyTextChar"/>
        </w:rPr>
        <w:t xml:space="preserve">Première disposition finale. </w:t>
      </w:r>
      <w:r>
        <w:rPr>
          <w:rStyle w:val="BodyTextChar"/>
          <w:i/>
        </w:rPr>
        <w:t>Attribution de compétence.</w:t>
      </w:r>
    </w:p>
    <w:p w14:paraId="58BBEBED" w14:textId="77777777" w:rsidR="00874815" w:rsidRDefault="00317692">
      <w:pPr>
        <w:pStyle w:val="BodyText"/>
        <w:spacing w:after="180"/>
        <w:jc w:val="both"/>
      </w:pPr>
      <w:r>
        <w:rPr>
          <w:rStyle w:val="BodyTextChar"/>
        </w:rPr>
        <w:t>Ce décret royal est adopté en vertu de l’article 149, paragraphe 1, point 16), de la Constitution espagnole, qui confère à l’État une compétence exclusive en matière de santé, de coordination générale et de législation sur les dispositifs pharmaceutiques, à l’exception du chapitre VI, qui relève de la compétence exclusive de l’État pour réglementer la santé extérieure.</w:t>
      </w:r>
    </w:p>
    <w:p w14:paraId="3C56C70D" w14:textId="77777777" w:rsidR="00874815" w:rsidRDefault="00317692">
      <w:pPr>
        <w:pStyle w:val="BodyText"/>
        <w:spacing w:after="120"/>
        <w:ind w:left="360" w:hanging="360"/>
        <w:jc w:val="both"/>
      </w:pPr>
      <w:r>
        <w:rPr>
          <w:rStyle w:val="BodyTextChar"/>
        </w:rPr>
        <w:t xml:space="preserve">Deuxième disposition finale. </w:t>
      </w:r>
      <w:r>
        <w:rPr>
          <w:rStyle w:val="BodyTextChar"/>
          <w:i/>
        </w:rPr>
        <w:t xml:space="preserve">Techniciens responsables de l’orthopédie, </w:t>
      </w:r>
      <w:proofErr w:type="gramStart"/>
      <w:r>
        <w:rPr>
          <w:rStyle w:val="BodyTextChar"/>
          <w:i/>
        </w:rPr>
        <w:t>des prothèses audio</w:t>
      </w:r>
      <w:proofErr w:type="gramEnd"/>
      <w:r>
        <w:rPr>
          <w:rStyle w:val="BodyTextChar"/>
          <w:i/>
        </w:rPr>
        <w:t xml:space="preserve"> et des prothèses dentaires.</w:t>
      </w:r>
    </w:p>
    <w:p w14:paraId="681F2366" w14:textId="77777777" w:rsidR="00874815" w:rsidRDefault="00317692">
      <w:pPr>
        <w:pStyle w:val="BodyText"/>
        <w:numPr>
          <w:ilvl w:val="0"/>
          <w:numId w:val="50"/>
        </w:numPr>
        <w:tabs>
          <w:tab w:val="left" w:pos="714"/>
        </w:tabs>
        <w:jc w:val="both"/>
      </w:pPr>
      <w:r>
        <w:rPr>
          <w:rStyle w:val="BodyTextChar"/>
        </w:rPr>
        <w:t>Sans préjudice des dispositions de la législation spécifique sur les professions des cycles supérieurs, la fabrication sur mesure de dispositifs orthopédiques doit être effectuée sous la supervision d’un technicien compétent qualifié dont la qualification atteste d’une qualification appropriée pour ces fonctions, conformément à l’article 3, paragraphe 3, du décret royal 437/2002 du 10 mai établissant les critères d’octroi des licences d’exploitation aux fabricants de dispositifs médicaux sur mesure.</w:t>
      </w:r>
    </w:p>
    <w:p w14:paraId="0D9DEC8E" w14:textId="77777777" w:rsidR="00874815" w:rsidRDefault="00317692">
      <w:pPr>
        <w:pStyle w:val="BodyText"/>
        <w:jc w:val="both"/>
      </w:pPr>
      <w:r>
        <w:rPr>
          <w:rStyle w:val="BodyTextChar"/>
        </w:rPr>
        <w:t>Ces activités peuvent également être exercées sous la supervision d’un professionnel ayant au moins trois ans d’expérience au 14 mai 1999, même s’il ne possède pas les qualifications visées au paragraphe précédent.</w:t>
      </w:r>
    </w:p>
    <w:p w14:paraId="7E88B7A8" w14:textId="77777777" w:rsidR="00874815" w:rsidRDefault="00317692">
      <w:pPr>
        <w:pStyle w:val="BodyText"/>
        <w:numPr>
          <w:ilvl w:val="0"/>
          <w:numId w:val="50"/>
        </w:numPr>
        <w:tabs>
          <w:tab w:val="left" w:pos="714"/>
        </w:tabs>
        <w:jc w:val="both"/>
      </w:pPr>
      <w:r>
        <w:rPr>
          <w:rStyle w:val="BodyTextChar"/>
        </w:rPr>
        <w:t xml:space="preserve">Ce qui est indiqué au deuxième point du paragraphe précédent en ce qui concerne l’expérience s’applique également aux activités de vente avec adaptation individuelle d’appareils </w:t>
      </w:r>
      <w:proofErr w:type="spellStart"/>
      <w:r>
        <w:rPr>
          <w:rStyle w:val="BodyTextChar"/>
        </w:rPr>
        <w:t>orthoprothétiques</w:t>
      </w:r>
      <w:proofErr w:type="spellEnd"/>
      <w:r>
        <w:rPr>
          <w:rStyle w:val="BodyTextChar"/>
        </w:rPr>
        <w:t xml:space="preserve"> et de protection audio, par rapport aux qualifications du professionnel visées à l’article 26, paragraphe 1.</w:t>
      </w:r>
    </w:p>
    <w:p w14:paraId="5DFAB173" w14:textId="77777777" w:rsidR="00874815" w:rsidRDefault="00317692">
      <w:pPr>
        <w:pStyle w:val="BodyText"/>
        <w:numPr>
          <w:ilvl w:val="0"/>
          <w:numId w:val="50"/>
        </w:numPr>
        <w:tabs>
          <w:tab w:val="left" w:pos="714"/>
        </w:tabs>
        <w:spacing w:after="180"/>
        <w:jc w:val="both"/>
      </w:pPr>
      <w:r>
        <w:rPr>
          <w:rStyle w:val="BodyTextChar"/>
        </w:rPr>
        <w:t>L’exécution des activités correspondant à la profession de technicien dentaire est conforme aux dispositions de la législation régissant cette profession, sans préjudice de l’exécution de ses obligations en tant que fabricant de dispositifs médicaux.</w:t>
      </w:r>
    </w:p>
    <w:p w14:paraId="757667B5" w14:textId="77777777" w:rsidR="00874815" w:rsidRDefault="00317692">
      <w:pPr>
        <w:pStyle w:val="BodyText"/>
        <w:spacing w:after="120"/>
        <w:ind w:firstLine="0"/>
        <w:jc w:val="both"/>
      </w:pPr>
      <w:r>
        <w:rPr>
          <w:rStyle w:val="BodyTextChar"/>
        </w:rPr>
        <w:t xml:space="preserve">Troisième disposition finale. </w:t>
      </w:r>
      <w:r>
        <w:rPr>
          <w:rStyle w:val="BodyTextChar"/>
          <w:i/>
        </w:rPr>
        <w:t>Autorisation d’application.</w:t>
      </w:r>
    </w:p>
    <w:p w14:paraId="5A759046" w14:textId="77777777" w:rsidR="00874815" w:rsidRDefault="00317692">
      <w:pPr>
        <w:pStyle w:val="BodyText"/>
        <w:numPr>
          <w:ilvl w:val="0"/>
          <w:numId w:val="51"/>
        </w:numPr>
        <w:tabs>
          <w:tab w:val="left" w:pos="714"/>
        </w:tabs>
        <w:jc w:val="both"/>
      </w:pPr>
      <w:r>
        <w:rPr>
          <w:rStyle w:val="BodyTextChar"/>
        </w:rPr>
        <w:t>Le chef du ministère de la santé est habilité à prendre toutes les dispositions nécessaires à l’application et à la mise en œuvre du présent décret royal et à adopter des dispositions qui, en ce qui concerne la classification ou le reclassement des dispositifs médicaux ou la modification ou l’adaptation, le cas échéant, des règles de classification de ces dispositifs, sont adoptées au niveau de l’Union européenne ou sont souhaitables pour des raisons techniques ou scientifiques.</w:t>
      </w:r>
    </w:p>
    <w:p w14:paraId="46A49502" w14:textId="61A5F9E2" w:rsidR="00874815" w:rsidRDefault="00317692">
      <w:pPr>
        <w:pStyle w:val="BodyText"/>
        <w:numPr>
          <w:ilvl w:val="0"/>
          <w:numId w:val="51"/>
        </w:numPr>
        <w:tabs>
          <w:tab w:val="left" w:pos="714"/>
        </w:tabs>
        <w:spacing w:after="160"/>
        <w:jc w:val="both"/>
        <w:rPr>
          <w:rStyle w:val="BodyTextChar"/>
        </w:rPr>
      </w:pPr>
      <w:r>
        <w:rPr>
          <w:rStyle w:val="BodyTextChar"/>
        </w:rPr>
        <w:lastRenderedPageBreak/>
        <w:t>Le retraitement des dispositifs à usage unique dans les hôpitaux visés au chapitre III (y compris la sous-traitance de ces activités à une entité de retraitement externe) obligera le ministère de la santé à élaborer les exigences techniques énoncées dans le présent décret royal.</w:t>
      </w:r>
    </w:p>
    <w:p w14:paraId="2F0DA638" w14:textId="0191AB7F" w:rsidR="00874815" w:rsidRDefault="00874815">
      <w:pPr>
        <w:spacing w:line="1" w:lineRule="exact"/>
      </w:pPr>
    </w:p>
    <w:p w14:paraId="39AE6CB7" w14:textId="77777777" w:rsidR="00874815" w:rsidRDefault="00317692">
      <w:pPr>
        <w:pStyle w:val="BodyText"/>
        <w:spacing w:after="120"/>
        <w:ind w:firstLine="0"/>
      </w:pPr>
      <w:r>
        <w:rPr>
          <w:rStyle w:val="BodyTextChar"/>
        </w:rPr>
        <w:t xml:space="preserve">Quatrième disposition finale. </w:t>
      </w:r>
      <w:r>
        <w:rPr>
          <w:rStyle w:val="BodyTextChar"/>
          <w:i/>
        </w:rPr>
        <w:t>Entrée en vigueur.</w:t>
      </w:r>
    </w:p>
    <w:p w14:paraId="738D6F0F" w14:textId="77777777" w:rsidR="00874815" w:rsidRDefault="00317692">
      <w:pPr>
        <w:pStyle w:val="BodyText"/>
        <w:spacing w:after="120"/>
      </w:pPr>
      <w:r>
        <w:rPr>
          <w:rStyle w:val="BodyTextChar"/>
        </w:rPr>
        <w:t>Le présent décret royal entre en vigueur le jour suivant celui de sa publication au Journal officiel.</w:t>
      </w:r>
    </w:p>
    <w:p w14:paraId="13EA96B3" w14:textId="77777777" w:rsidR="00874815" w:rsidRDefault="00317692">
      <w:pPr>
        <w:pStyle w:val="BodyText"/>
        <w:spacing w:after="120"/>
      </w:pPr>
      <w:r>
        <w:rPr>
          <w:rStyle w:val="BodyTextChar"/>
        </w:rPr>
        <w:t>Publié à Madrid, le 21 mars 2023.</w:t>
      </w:r>
    </w:p>
    <w:p w14:paraId="29A41B6F" w14:textId="77777777" w:rsidR="00874815" w:rsidRDefault="00317692">
      <w:pPr>
        <w:pStyle w:val="BodyText"/>
        <w:spacing w:after="240"/>
        <w:ind w:firstLine="0"/>
        <w:jc w:val="right"/>
      </w:pPr>
      <w:r>
        <w:rPr>
          <w:rStyle w:val="BodyTextChar"/>
        </w:rPr>
        <w:t>FELIPE R.</w:t>
      </w:r>
    </w:p>
    <w:p w14:paraId="17BD32F7" w14:textId="77777777" w:rsidR="00874815" w:rsidRDefault="00317692">
      <w:pPr>
        <w:pStyle w:val="Bodytext30"/>
        <w:spacing w:after="40" w:line="240" w:lineRule="auto"/>
        <w:jc w:val="center"/>
      </w:pPr>
      <w:r>
        <w:rPr>
          <w:rStyle w:val="Bodytext3"/>
        </w:rPr>
        <w:t>Ministère de la Santé</w:t>
      </w:r>
    </w:p>
    <w:p w14:paraId="5058E5B4" w14:textId="77777777" w:rsidR="00874815" w:rsidRDefault="00317692">
      <w:pPr>
        <w:pStyle w:val="Bodytext30"/>
        <w:spacing w:line="240" w:lineRule="auto"/>
        <w:jc w:val="center"/>
        <w:sectPr w:rsidR="00874815" w:rsidSect="00C07FAC">
          <w:headerReference w:type="default" r:id="rId61"/>
          <w:footerReference w:type="default" r:id="rId62"/>
          <w:pgSz w:w="11900" w:h="16840"/>
          <w:pgMar w:top="2185" w:right="1950" w:bottom="1220" w:left="1949" w:header="0" w:footer="3" w:gutter="0"/>
          <w:pgNumType w:start="42678"/>
          <w:cols w:space="720"/>
          <w:noEndnote/>
          <w:docGrid w:linePitch="360"/>
        </w:sectPr>
      </w:pPr>
      <w:r>
        <w:rPr>
          <w:rStyle w:val="Bodytext3"/>
        </w:rPr>
        <w:t>CAROLINA DARIAS SAN SEBASTIÁN</w:t>
      </w:r>
    </w:p>
    <w:p w14:paraId="7D70F82A" w14:textId="77777777" w:rsidR="00874815" w:rsidRDefault="00874815">
      <w:pPr>
        <w:spacing w:line="240" w:lineRule="exact"/>
        <w:rPr>
          <w:sz w:val="19"/>
          <w:szCs w:val="19"/>
        </w:rPr>
      </w:pPr>
    </w:p>
    <w:p w14:paraId="71ED51ED" w14:textId="77777777" w:rsidR="00874815" w:rsidRDefault="00874815">
      <w:pPr>
        <w:spacing w:line="240" w:lineRule="exact"/>
        <w:rPr>
          <w:sz w:val="19"/>
          <w:szCs w:val="19"/>
        </w:rPr>
      </w:pPr>
    </w:p>
    <w:p w14:paraId="386CD5E1" w14:textId="77777777" w:rsidR="00874815" w:rsidRDefault="00874815">
      <w:pPr>
        <w:spacing w:line="240" w:lineRule="exact"/>
        <w:rPr>
          <w:sz w:val="19"/>
          <w:szCs w:val="19"/>
        </w:rPr>
      </w:pPr>
    </w:p>
    <w:p w14:paraId="4255D80E" w14:textId="77777777" w:rsidR="00874815" w:rsidRDefault="00874815">
      <w:pPr>
        <w:spacing w:line="240" w:lineRule="exact"/>
        <w:rPr>
          <w:sz w:val="19"/>
          <w:szCs w:val="19"/>
        </w:rPr>
      </w:pPr>
    </w:p>
    <w:p w14:paraId="724E5737" w14:textId="77777777" w:rsidR="00874815" w:rsidRDefault="00874815">
      <w:pPr>
        <w:spacing w:line="240" w:lineRule="exact"/>
        <w:rPr>
          <w:sz w:val="19"/>
          <w:szCs w:val="19"/>
        </w:rPr>
      </w:pPr>
    </w:p>
    <w:p w14:paraId="0429B1FB" w14:textId="77777777" w:rsidR="00874815" w:rsidRDefault="00874815">
      <w:pPr>
        <w:spacing w:line="240" w:lineRule="exact"/>
        <w:rPr>
          <w:sz w:val="19"/>
          <w:szCs w:val="19"/>
        </w:rPr>
      </w:pPr>
    </w:p>
    <w:p w14:paraId="4E9DA6CD" w14:textId="77777777" w:rsidR="00874815" w:rsidRDefault="00874815">
      <w:pPr>
        <w:spacing w:line="240" w:lineRule="exact"/>
        <w:rPr>
          <w:sz w:val="19"/>
          <w:szCs w:val="19"/>
        </w:rPr>
      </w:pPr>
    </w:p>
    <w:p w14:paraId="674998A3" w14:textId="77777777" w:rsidR="00874815" w:rsidRDefault="00874815">
      <w:pPr>
        <w:spacing w:line="240" w:lineRule="exact"/>
        <w:rPr>
          <w:sz w:val="19"/>
          <w:szCs w:val="19"/>
        </w:rPr>
      </w:pPr>
    </w:p>
    <w:p w14:paraId="0D718846" w14:textId="77777777" w:rsidR="00874815" w:rsidRDefault="00874815">
      <w:pPr>
        <w:spacing w:line="240" w:lineRule="exact"/>
        <w:rPr>
          <w:sz w:val="19"/>
          <w:szCs w:val="19"/>
        </w:rPr>
      </w:pPr>
    </w:p>
    <w:p w14:paraId="57859DD9" w14:textId="77777777" w:rsidR="00874815" w:rsidRDefault="00874815">
      <w:pPr>
        <w:spacing w:line="240" w:lineRule="exact"/>
        <w:rPr>
          <w:sz w:val="19"/>
          <w:szCs w:val="19"/>
        </w:rPr>
      </w:pPr>
    </w:p>
    <w:p w14:paraId="3C05856B" w14:textId="77777777" w:rsidR="00874815" w:rsidRDefault="00874815">
      <w:pPr>
        <w:spacing w:line="240" w:lineRule="exact"/>
        <w:rPr>
          <w:sz w:val="19"/>
          <w:szCs w:val="19"/>
        </w:rPr>
      </w:pPr>
    </w:p>
    <w:p w14:paraId="3ADC2FD1" w14:textId="77777777" w:rsidR="00874815" w:rsidRDefault="00874815">
      <w:pPr>
        <w:spacing w:line="240" w:lineRule="exact"/>
        <w:rPr>
          <w:sz w:val="19"/>
          <w:szCs w:val="19"/>
        </w:rPr>
      </w:pPr>
    </w:p>
    <w:p w14:paraId="2C232584" w14:textId="77777777" w:rsidR="00874815" w:rsidRDefault="00874815">
      <w:pPr>
        <w:spacing w:line="240" w:lineRule="exact"/>
        <w:rPr>
          <w:sz w:val="19"/>
          <w:szCs w:val="19"/>
        </w:rPr>
      </w:pPr>
    </w:p>
    <w:p w14:paraId="5B630275" w14:textId="77777777" w:rsidR="00874815" w:rsidRDefault="00874815">
      <w:pPr>
        <w:spacing w:line="240" w:lineRule="exact"/>
        <w:rPr>
          <w:sz w:val="19"/>
          <w:szCs w:val="19"/>
        </w:rPr>
      </w:pPr>
    </w:p>
    <w:p w14:paraId="0062239D" w14:textId="77777777" w:rsidR="00874815" w:rsidRDefault="00874815">
      <w:pPr>
        <w:spacing w:line="240" w:lineRule="exact"/>
        <w:rPr>
          <w:sz w:val="19"/>
          <w:szCs w:val="19"/>
        </w:rPr>
      </w:pPr>
    </w:p>
    <w:p w14:paraId="4FFD0118" w14:textId="77777777" w:rsidR="00874815" w:rsidRDefault="00874815">
      <w:pPr>
        <w:spacing w:line="240" w:lineRule="exact"/>
        <w:rPr>
          <w:sz w:val="19"/>
          <w:szCs w:val="19"/>
        </w:rPr>
      </w:pPr>
    </w:p>
    <w:p w14:paraId="381FE55D" w14:textId="77777777" w:rsidR="00874815" w:rsidRDefault="00874815">
      <w:pPr>
        <w:spacing w:line="240" w:lineRule="exact"/>
        <w:rPr>
          <w:sz w:val="19"/>
          <w:szCs w:val="19"/>
        </w:rPr>
      </w:pPr>
    </w:p>
    <w:p w14:paraId="3AAEFB60" w14:textId="77777777" w:rsidR="00874815" w:rsidRDefault="00874815">
      <w:pPr>
        <w:spacing w:line="240" w:lineRule="exact"/>
        <w:rPr>
          <w:sz w:val="19"/>
          <w:szCs w:val="19"/>
        </w:rPr>
      </w:pPr>
    </w:p>
    <w:p w14:paraId="65EE5C80" w14:textId="77777777" w:rsidR="00874815" w:rsidRDefault="00874815">
      <w:pPr>
        <w:spacing w:line="240" w:lineRule="exact"/>
        <w:rPr>
          <w:sz w:val="19"/>
          <w:szCs w:val="19"/>
        </w:rPr>
      </w:pPr>
    </w:p>
    <w:p w14:paraId="045F9769" w14:textId="77777777" w:rsidR="00874815" w:rsidRDefault="00874815">
      <w:pPr>
        <w:spacing w:before="69" w:after="69" w:line="240" w:lineRule="exact"/>
        <w:rPr>
          <w:sz w:val="19"/>
          <w:szCs w:val="19"/>
        </w:rPr>
      </w:pPr>
    </w:p>
    <w:p w14:paraId="624042C0" w14:textId="77777777" w:rsidR="00874815" w:rsidRDefault="00874815">
      <w:pPr>
        <w:spacing w:line="1" w:lineRule="exact"/>
        <w:sectPr w:rsidR="00874815">
          <w:type w:val="continuous"/>
          <w:pgSz w:w="11900" w:h="16840"/>
          <w:pgMar w:top="1786" w:right="0" w:bottom="936" w:left="0" w:header="0" w:footer="3" w:gutter="0"/>
          <w:cols w:space="720"/>
          <w:noEndnote/>
          <w:docGrid w:linePitch="360"/>
        </w:sectPr>
      </w:pPr>
    </w:p>
    <w:p w14:paraId="564DB503" w14:textId="77777777" w:rsidR="00874815" w:rsidRDefault="00317692">
      <w:pPr>
        <w:pStyle w:val="Bodytext20"/>
        <w:framePr w:w="350" w:h="2107" w:hRule="exact" w:wrap="none" w:vAnchor="text" w:hAnchor="page" w:x="11269" w:y="21"/>
        <w:textDirection w:val="btLr"/>
      </w:pPr>
      <w:proofErr w:type="spellStart"/>
      <w:proofErr w:type="gramStart"/>
      <w:r>
        <w:rPr>
          <w:rStyle w:val="Bodytext2"/>
        </w:rPr>
        <w:t>cve</w:t>
      </w:r>
      <w:proofErr w:type="spellEnd"/>
      <w:r>
        <w:rPr>
          <w:rStyle w:val="Bodytext2"/>
        </w:rPr>
        <w:t>:</w:t>
      </w:r>
      <w:proofErr w:type="gramEnd"/>
      <w:r>
        <w:rPr>
          <w:rStyle w:val="Bodytext2"/>
        </w:rPr>
        <w:t xml:space="preserve"> BOE-A-2023-7416</w:t>
      </w:r>
    </w:p>
    <w:p w14:paraId="7E261831" w14:textId="77777777" w:rsidR="00874815" w:rsidRDefault="00317692">
      <w:pPr>
        <w:pStyle w:val="Bodytext20"/>
        <w:framePr w:w="350" w:h="2107" w:hRule="exact" w:wrap="none" w:vAnchor="text" w:hAnchor="page" w:x="11269" w:y="21"/>
        <w:textDirection w:val="btLr"/>
      </w:pPr>
      <w:r>
        <w:rPr>
          <w:rStyle w:val="Bodytext2"/>
        </w:rPr>
        <w:t xml:space="preserve">Consultable à l’adresse </w:t>
      </w:r>
      <w:hyperlink r:id="rId63" w:history="1">
        <w:r>
          <w:rPr>
            <w:rStyle w:val="Bodytext2"/>
          </w:rPr>
          <w:t>https://www.boe.es</w:t>
        </w:r>
      </w:hyperlink>
    </w:p>
    <w:p w14:paraId="167B036B" w14:textId="77777777" w:rsidR="00874815" w:rsidRDefault="00874815">
      <w:pPr>
        <w:spacing w:line="360" w:lineRule="exact"/>
      </w:pPr>
    </w:p>
    <w:p w14:paraId="083EDDD7" w14:textId="77777777" w:rsidR="00874815" w:rsidRDefault="00874815">
      <w:pPr>
        <w:spacing w:line="360" w:lineRule="exact"/>
      </w:pPr>
    </w:p>
    <w:p w14:paraId="6ED13CE5" w14:textId="77777777" w:rsidR="00874815" w:rsidRDefault="00874815">
      <w:pPr>
        <w:spacing w:line="360" w:lineRule="exact"/>
      </w:pPr>
    </w:p>
    <w:p w14:paraId="6C1A1B71" w14:textId="77777777" w:rsidR="00874815" w:rsidRDefault="00874815">
      <w:pPr>
        <w:spacing w:line="360" w:lineRule="exact"/>
      </w:pPr>
    </w:p>
    <w:p w14:paraId="409BC0CD" w14:textId="77777777" w:rsidR="00874815" w:rsidRDefault="00874815">
      <w:pPr>
        <w:spacing w:after="666" w:line="1" w:lineRule="exact"/>
      </w:pPr>
    </w:p>
    <w:p w14:paraId="324050F7" w14:textId="77777777" w:rsidR="00874815" w:rsidRDefault="00874815">
      <w:pPr>
        <w:spacing w:line="1" w:lineRule="exact"/>
      </w:pPr>
    </w:p>
    <w:sectPr w:rsidR="00874815">
      <w:type w:val="continuous"/>
      <w:pgSz w:w="11900" w:h="16840"/>
      <w:pgMar w:top="1786" w:right="282" w:bottom="936" w:left="51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5B060" w14:textId="77777777" w:rsidR="00AC41C3" w:rsidRDefault="00AC41C3">
      <w:r>
        <w:separator/>
      </w:r>
    </w:p>
  </w:endnote>
  <w:endnote w:type="continuationSeparator" w:id="0">
    <w:p w14:paraId="4367E525" w14:textId="77777777" w:rsidR="00AC41C3" w:rsidRDefault="00AC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A828" w14:textId="77777777" w:rsidR="00874815" w:rsidRDefault="00317692">
    <w:pPr>
      <w:spacing w:line="1" w:lineRule="exact"/>
    </w:pPr>
    <w:r>
      <w:rPr>
        <w:noProof/>
      </w:rPr>
      <mc:AlternateContent>
        <mc:Choice Requires="wps">
          <w:drawing>
            <wp:anchor distT="0" distB="0" distL="0" distR="0" simplePos="0" relativeHeight="62914700" behindDoc="1" locked="0" layoutInCell="1" allowOverlap="1" wp14:anchorId="639D8DD2" wp14:editId="2E56A74D">
              <wp:simplePos x="0" y="0"/>
              <wp:positionH relativeFrom="page">
                <wp:posOffset>534670</wp:posOffset>
              </wp:positionH>
              <wp:positionV relativeFrom="page">
                <wp:posOffset>10162540</wp:posOffset>
              </wp:positionV>
              <wp:extent cx="6477000" cy="133985"/>
              <wp:effectExtent l="0" t="0" r="0" b="0"/>
              <wp:wrapNone/>
              <wp:docPr id="78" name="Shape 78"/>
              <wp:cNvGraphicFramePr/>
              <a:graphic xmlns:a="http://schemas.openxmlformats.org/drawingml/2006/main">
                <a:graphicData uri="http://schemas.microsoft.com/office/word/2010/wordprocessingShape">
                  <wps:wsp>
                    <wps:cNvSpPr txBox="1"/>
                    <wps:spPr>
                      <a:xfrm>
                        <a:off x="0" y="0"/>
                        <a:ext cx="6477000" cy="133985"/>
                      </a:xfrm>
                      <a:prstGeom prst="rect">
                        <a:avLst/>
                      </a:prstGeom>
                      <a:noFill/>
                    </wps:spPr>
                    <wps:txbx>
                      <w:txbxContent>
                        <w:p w14:paraId="57AE4775" w14:textId="77777777" w:rsidR="00874815" w:rsidRDefault="00317692">
                          <w:pPr>
                            <w:pStyle w:val="Headerorfooter0"/>
                            <w:pBdr>
                              <w:top w:val="single" w:sz="0" w:space="0" w:color="014479"/>
                              <w:left w:val="single" w:sz="0" w:space="0" w:color="014479"/>
                              <w:bottom w:val="single" w:sz="0" w:space="0" w:color="014479"/>
                              <w:right w:val="single" w:sz="0" w:space="0" w:color="014479"/>
                            </w:pBdr>
                            <w:shd w:val="clear" w:color="auto" w:fill="014479"/>
                            <w:tabs>
                              <w:tab w:val="right" w:pos="6091"/>
                              <w:tab w:val="right" w:pos="10200"/>
                            </w:tabs>
                            <w:rPr>
                              <w:sz w:val="16"/>
                              <w:szCs w:val="16"/>
                            </w:rPr>
                          </w:pPr>
                          <w:r>
                            <w:rPr>
                              <w:rStyle w:val="Bodytext3"/>
                              <w:color w:val="FFFFFF"/>
                            </w:rPr>
                            <w:t>https://www.boe.es</w:t>
                          </w:r>
                          <w:r>
                            <w:rPr>
                              <w:rStyle w:val="Bodytext3"/>
                              <w:color w:val="FFFFFF"/>
                            </w:rPr>
                            <w:tab/>
                          </w:r>
                          <w:r>
                            <w:rPr>
                              <w:rStyle w:val="BodyTextChar"/>
                              <w:color w:val="FFFFFF"/>
                            </w:rPr>
                            <w:t>JOURNAL OFFICIEL DE L’ÉTAT</w:t>
                          </w:r>
                          <w:r>
                            <w:rPr>
                              <w:rStyle w:val="BodyTextChar"/>
                              <w:color w:val="FFFFFF"/>
                            </w:rPr>
                            <w:tab/>
                          </w:r>
                          <w:r>
                            <w:rPr>
                              <w:rStyle w:val="Bodytext3"/>
                              <w:color w:val="FFFFFF"/>
                            </w:rPr>
                            <w:t xml:space="preserve">D. </w:t>
                          </w:r>
                          <w:proofErr w:type="gramStart"/>
                          <w:r>
                            <w:rPr>
                              <w:rStyle w:val="Bodytext3"/>
                              <w:color w:val="FFFFFF"/>
                            </w:rPr>
                            <w:t>L.:</w:t>
                          </w:r>
                          <w:proofErr w:type="gramEnd"/>
                          <w:r>
                            <w:rPr>
                              <w:rStyle w:val="Bodytext3"/>
                              <w:color w:val="FFFFFF"/>
                            </w:rPr>
                            <w:t xml:space="preserve"> M-1/1958 – ISSN: 0212-033X</w:t>
                          </w:r>
                        </w:p>
                      </w:txbxContent>
                    </wps:txbx>
                    <wps:bodyPr lIns="0" tIns="0" rIns="0" bIns="0">
                      <a:spAutoFit/>
                    </wps:bodyPr>
                  </wps:wsp>
                </a:graphicData>
              </a:graphic>
            </wp:anchor>
          </w:drawing>
        </mc:Choice>
        <mc:Fallback xmlns:oel="http://schemas.microsoft.com/office/2019/extlst">
          <w:pict>
            <v:shapetype w14:anchorId="639D8DD2" id="_x0000_t202" coordsize="21600,21600" o:spt="202" path="m,l,21600r21600,l21600,xe">
              <v:stroke joinstyle="miter"/>
              <v:path gradientshapeok="t" o:connecttype="rect"/>
            </v:shapetype>
            <v:shape id="Shape 78" o:spid="_x0000_s1057" type="#_x0000_t202" style="position:absolute;margin-left:42.1pt;margin-top:800.2pt;width:510pt;height:10.55pt;z-index:-4404017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" filled="f" stroked="f">
              <v:textbox style="mso-fit-shape-to-text:t" inset="0,0,0,0">
                <w:txbxContent>
                  <w:p w14:paraId="57AE4775" w14:textId="77777777" w:rsidR="00874815" w:rsidRDefault="00000000">
                    <w:pPr>
                      <w:pStyle w:val="Headerorfooter0"/>
                      <w:pBdr>
                        <w:top w:val="single" w:sz="0" w:space="0" w:color="014479"/>
                        <w:left w:val="single" w:sz="0" w:space="0" w:color="014479"/>
                        <w:bottom w:val="single" w:sz="0" w:space="0" w:color="014479"/>
                        <w:right w:val="single" w:sz="0" w:space="0" w:color="014479"/>
                      </w:pBdr>
                      <w:shd w:val="clear" w:color="auto" w:fill="014479"/>
                      <w:tabs>
                        <w:tab w:val="right" w:pos="6091"/>
                        <w:tab w:val="right" w:pos="10200"/>
                      </w:tabs>
                      <w:rPr>
                        <w:sz w:val="16"/>
                        <w:szCs w:val="16"/>
                      </w:rPr>
                    </w:pPr>
                    <w:r>
                      <w:rPr>
                        <w:color w:val="FFFFFF"/>
                        <w:rStyle w:val="Bodytext3"/>
                      </w:rPr>
                      <w:t xml:space="preserve">https://www.boe.es</w:t>
                    </w:r>
                    <w:r>
                      <w:rPr>
                        <w:color w:val="FFFFFF"/>
                        <w:rStyle w:val="Bodytext3"/>
                      </w:rPr>
                      <w:tab/>
                    </w:r>
                    <w:r>
                      <w:rPr>
                        <w:color w:val="FFFFFF"/>
                        <w:rStyle w:val="BodyTextChar"/>
                      </w:rPr>
                      <w:t xml:space="preserve">JOURNAL OFFICIEL DE L’ÉTAT</w:t>
                    </w:r>
                    <w:r>
                      <w:rPr>
                        <w:color w:val="FFFFFF"/>
                        <w:rStyle w:val="BodyTextChar"/>
                      </w:rPr>
                      <w:tab/>
                    </w:r>
                    <w:r>
                      <w:rPr>
                        <w:color w:val="FFFFFF"/>
                        <w:rStyle w:val="Bodytext3"/>
                      </w:rPr>
                      <w:t xml:space="preserve">D. L.:</w:t>
                    </w:r>
                    <w:r>
                      <w:rPr>
                        <w:color w:val="FFFFFF"/>
                        <w:rStyle w:val="Bodytext3"/>
                      </w:rPr>
                      <w:t xml:space="preserve"> </w:t>
                    </w:r>
                    <w:r>
                      <w:rPr>
                        <w:color w:val="FFFFFF"/>
                        <w:rStyle w:val="Bodytext3"/>
                      </w:rPr>
                      <w:t xml:space="preserve">M-1/1958 – ISSN:</w:t>
                    </w:r>
                    <w:r>
                      <w:rPr>
                        <w:color w:val="FFFFFF"/>
                        <w:rStyle w:val="Bodytext3"/>
                      </w:rPr>
                      <w:t xml:space="preserve"> </w:t>
                    </w:r>
                    <w:r>
                      <w:rPr>
                        <w:color w:val="FFFFFF"/>
                        <w:rStyle w:val="Bodytext3"/>
                      </w:rPr>
                      <w:t xml:space="preserve">0212-033X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514F9" w14:textId="77777777" w:rsidR="00AC41C3" w:rsidRDefault="00AC41C3"/>
  </w:footnote>
  <w:footnote w:type="continuationSeparator" w:id="0">
    <w:p w14:paraId="622C75D4" w14:textId="77777777" w:rsidR="00AC41C3" w:rsidRDefault="00AC41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4F0A" w14:textId="77777777" w:rsidR="000B3813" w:rsidRPr="000B3813" w:rsidRDefault="000B3813" w:rsidP="000B3813">
    <w:pPr>
      <w:spacing w:line="1" w:lineRule="exact"/>
      <w:rPr>
        <w:rFonts w:ascii="Arial" w:hAnsi="Arial" w:cs="Arial"/>
      </w:rPr>
    </w:pPr>
    <w:r>
      <w:rPr>
        <w:rFonts w:ascii="Arial" w:hAnsi="Arial"/>
        <w:noProof/>
      </w:rPr>
      <mc:AlternateContent>
        <mc:Choice Requires="wps">
          <w:drawing>
            <wp:anchor distT="0" distB="0" distL="0" distR="0" simplePos="0" relativeHeight="251659264" behindDoc="1" locked="0" layoutInCell="1" allowOverlap="1" wp14:anchorId="2352DE05" wp14:editId="3D1C1FD0">
              <wp:simplePos x="0" y="0"/>
              <wp:positionH relativeFrom="page">
                <wp:posOffset>6816725</wp:posOffset>
              </wp:positionH>
              <wp:positionV relativeFrom="page">
                <wp:posOffset>384810</wp:posOffset>
              </wp:positionV>
              <wp:extent cx="384175" cy="408305"/>
              <wp:effectExtent l="0" t="0" r="0" b="0"/>
              <wp:wrapNone/>
              <wp:docPr id="57" name="Shape 57"/>
              <wp:cNvGraphicFramePr/>
              <a:graphic xmlns:a="http://schemas.openxmlformats.org/drawingml/2006/main">
                <a:graphicData uri="http://schemas.microsoft.com/office/word/2010/wordprocessingShape">
                  <wps:wsp>
                    <wps:cNvSpPr txBox="1"/>
                    <wps:spPr>
                      <a:xfrm>
                        <a:off x="0" y="0"/>
                        <a:ext cx="384175" cy="408305"/>
                      </a:xfrm>
                      <a:prstGeom prst="rect">
                        <a:avLst/>
                      </a:prstGeom>
                      <a:noFill/>
                    </wps:spPr>
                    <wps:txbx>
                      <w:txbxContent>
                        <w:p w14:paraId="46406EC5" w14:textId="77777777" w:rsidR="000B3813" w:rsidRDefault="000B3813" w:rsidP="000B3813">
                          <w:pPr>
                            <w:rPr>
                              <w:sz w:val="2"/>
                              <w:szCs w:val="2"/>
                            </w:rPr>
                          </w:pPr>
                          <w:r>
                            <w:rPr>
                              <w:noProof/>
                            </w:rPr>
                            <w:drawing>
                              <wp:inline distT="0" distB="0" distL="0" distR="0" wp14:anchorId="30E66837" wp14:editId="1238C7FF">
                                <wp:extent cx="384175" cy="408305"/>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
                                        <a:stretch/>
                                      </pic:blipFill>
                                      <pic:spPr>
                                        <a:xfrm>
                                          <a:off x="0" y="0"/>
                                          <a:ext cx="384175" cy="408305"/>
                                        </a:xfrm>
                                        <a:prstGeom prst="rect">
                                          <a:avLst/>
                                        </a:prstGeom>
                                      </pic:spPr>
                                    </pic:pic>
                                  </a:graphicData>
                                </a:graphic>
                              </wp:inline>
                            </w:drawing>
                          </w:r>
                        </w:p>
                      </w:txbxContent>
                    </wps:txbx>
                    <wps:bodyPr lIns="0" tIns="0" rIns="0" bIns="0"/>
                  </wps:wsp>
                </a:graphicData>
              </a:graphic>
            </wp:anchor>
          </w:drawing>
        </mc:Choice>
        <mc:Fallback xmlns:oel="http://schemas.microsoft.com/office/2019/extlst">
          <w:pict>
            <v:shapetype w14:anchorId="2352DE05" id="_x0000_t202" coordsize="21600,21600" o:spt="202" path="m,l,21600r21600,l21600,xe">
              <v:stroke joinstyle="miter"/>
              <v:path gradientshapeok="t" o:connecttype="rect"/>
            </v:shapetype>
            <v:shape id="Shape 57" o:spid="_x0000_s1053" type="#_x0000_t202" style="position:absolute;margin-left:536.75pt;margin-top:30.3pt;width:30.25pt;height:32.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" filled="f" stroked="f">
              <v:textbox inset="0,0,0,0">
                <w:txbxContent>
                  <w:p w14:paraId="46406EC5" w14:textId="77777777" w:rsidR="000B3813" w:rsidRDefault="000B3813" w:rsidP="000B3813">
                    <w:pPr>
                      <w:rPr>
                        <w:sz w:val="2"/>
                        <w:szCs w:val="2"/>
                      </w:rPr>
                    </w:pPr>
                    <w:r>
                      <w:drawing>
                        <wp:inline distT="0" distB="0" distL="0" distR="0" wp14:anchorId="30E66837" wp14:editId="1238C7FF">
                          <wp:extent cx="384175" cy="408305"/>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2"/>
                                  <a:stretch/>
                                </pic:blipFill>
                                <pic:spPr>
                                  <a:xfrm>
                                    <a:off x="0" y="0"/>
                                    <a:ext cx="384175" cy="408305"/>
                                  </a:xfrm>
                                  <a:prstGeom prst="rect">
                                    <a:avLst/>
                                  </a:prstGeom>
                                </pic:spPr>
                              </pic:pic>
                            </a:graphicData>
                          </a:graphic>
                        </wp:inline>
                      </w:drawing>
                    </w:r>
                  </w:p>
                </w:txbxContent>
              </v:textbox>
              <w10:wrap anchorx="page" anchory="page"/>
            </v:shape>
          </w:pict>
        </mc:Fallback>
      </mc:AlternateContent>
    </w:r>
    <w:r>
      <w:rPr>
        <w:rFonts w:ascii="Arial" w:hAnsi="Arial"/>
        <w:noProof/>
      </w:rPr>
      <mc:AlternateContent>
        <mc:Choice Requires="wps">
          <w:drawing>
            <wp:anchor distT="0" distB="0" distL="0" distR="0" simplePos="0" relativeHeight="251660288" behindDoc="1" locked="0" layoutInCell="1" allowOverlap="1" wp14:anchorId="7AFD38AA" wp14:editId="5F73C43F">
              <wp:simplePos x="0" y="0"/>
              <wp:positionH relativeFrom="page">
                <wp:posOffset>354965</wp:posOffset>
              </wp:positionH>
              <wp:positionV relativeFrom="page">
                <wp:posOffset>442595</wp:posOffset>
              </wp:positionV>
              <wp:extent cx="762000" cy="323215"/>
              <wp:effectExtent l="0" t="0" r="0" b="0"/>
              <wp:wrapNone/>
              <wp:docPr id="61" name="Shape 61"/>
              <wp:cNvGraphicFramePr/>
              <a:graphic xmlns:a="http://schemas.openxmlformats.org/drawingml/2006/main">
                <a:graphicData uri="http://schemas.microsoft.com/office/word/2010/wordprocessingShape">
                  <wps:wsp>
                    <wps:cNvSpPr txBox="1"/>
                    <wps:spPr>
                      <a:xfrm>
                        <a:off x="0" y="0"/>
                        <a:ext cx="762000" cy="323215"/>
                      </a:xfrm>
                      <a:prstGeom prst="rect">
                        <a:avLst/>
                      </a:prstGeom>
                      <a:noFill/>
                    </wps:spPr>
                    <wps:txbx>
                      <w:txbxContent>
                        <w:p w14:paraId="275D3617" w14:textId="77777777" w:rsidR="000B3813" w:rsidRDefault="000B3813" w:rsidP="000B3813">
                          <w:pPr>
                            <w:rPr>
                              <w:sz w:val="2"/>
                              <w:szCs w:val="2"/>
                            </w:rPr>
                          </w:pPr>
                          <w:r>
                            <w:rPr>
                              <w:noProof/>
                            </w:rPr>
                            <w:drawing>
                              <wp:inline distT="0" distB="0" distL="0" distR="0" wp14:anchorId="59700A39" wp14:editId="3A44FFCE">
                                <wp:extent cx="762000" cy="323215"/>
                                <wp:effectExtent l="0" t="0" r="0" b="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
                                        <a:stretch/>
                                      </pic:blipFill>
                                      <pic:spPr>
                                        <a:xfrm>
                                          <a:off x="0" y="0"/>
                                          <a:ext cx="762000" cy="323215"/>
                                        </a:xfrm>
                                        <a:prstGeom prst="rect">
                                          <a:avLst/>
                                        </a:prstGeom>
                                      </pic:spPr>
                                    </pic:pic>
                                  </a:graphicData>
                                </a:graphic>
                              </wp:inline>
                            </w:drawing>
                          </w:r>
                        </w:p>
                      </w:txbxContent>
                    </wps:txbx>
                    <wps:bodyPr lIns="0" tIns="0" rIns="0" bIns="0"/>
                  </wps:wsp>
                </a:graphicData>
              </a:graphic>
            </wp:anchor>
          </w:drawing>
        </mc:Choice>
        <mc:Fallback xmlns:oel="http://schemas.microsoft.com/office/2019/extlst">
          <w:pict>
            <v:shape w14:anchorId="7AFD38AA" id="Shape 61" o:spid="_x0000_s1054" type="#_x0000_t202" style="position:absolute;margin-left:27.95pt;margin-top:34.85pt;width:60pt;height:25.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" filled="f" stroked="f">
              <v:textbox inset="0,0,0,0">
                <w:txbxContent>
                  <w:p w14:paraId="275D3617" w14:textId="77777777" w:rsidR="000B3813" w:rsidRDefault="000B3813" w:rsidP="000B3813">
                    <w:pPr>
                      <w:rPr>
                        <w:sz w:val="2"/>
                        <w:szCs w:val="2"/>
                      </w:rPr>
                    </w:pPr>
                    <w:r>
                      <w:drawing>
                        <wp:inline distT="0" distB="0" distL="0" distR="0" wp14:anchorId="59700A39" wp14:editId="3A44FFCE">
                          <wp:extent cx="762000" cy="323215"/>
                          <wp:effectExtent l="0" t="0" r="0" b="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4"/>
                                  <a:stretch/>
                                </pic:blipFill>
                                <pic:spPr>
                                  <a:xfrm>
                                    <a:off x="0" y="0"/>
                                    <a:ext cx="762000" cy="323215"/>
                                  </a:xfrm>
                                  <a:prstGeom prst="rect">
                                    <a:avLst/>
                                  </a:prstGeom>
                                </pic:spPr>
                              </pic:pic>
                            </a:graphicData>
                          </a:graphic>
                        </wp:inline>
                      </w:drawing>
                    </w:r>
                  </w:p>
                </w:txbxContent>
              </v:textbox>
              <w10:wrap anchorx="page" anchory="page"/>
            </v:shape>
          </w:pict>
        </mc:Fallback>
      </mc:AlternateContent>
    </w:r>
    <w:r>
      <w:rPr>
        <w:rFonts w:ascii="Arial" w:hAnsi="Arial"/>
        <w:noProof/>
      </w:rPr>
      <mc:AlternateContent>
        <mc:Choice Requires="wps">
          <w:drawing>
            <wp:anchor distT="0" distB="0" distL="0" distR="0" simplePos="0" relativeHeight="251661312" behindDoc="1" locked="0" layoutInCell="1" allowOverlap="1" wp14:anchorId="773C93B4" wp14:editId="69FB5307">
              <wp:simplePos x="0" y="0"/>
              <wp:positionH relativeFrom="page">
                <wp:posOffset>1857375</wp:posOffset>
              </wp:positionH>
              <wp:positionV relativeFrom="page">
                <wp:posOffset>491490</wp:posOffset>
              </wp:positionV>
              <wp:extent cx="3862070" cy="228600"/>
              <wp:effectExtent l="0" t="0" r="0" b="0"/>
              <wp:wrapNone/>
              <wp:docPr id="65" name="Shape 65"/>
              <wp:cNvGraphicFramePr/>
              <a:graphic xmlns:a="http://schemas.openxmlformats.org/drawingml/2006/main">
                <a:graphicData uri="http://schemas.microsoft.com/office/word/2010/wordprocessingShape">
                  <wps:wsp>
                    <wps:cNvSpPr txBox="1"/>
                    <wps:spPr>
                      <a:xfrm>
                        <a:off x="0" y="0"/>
                        <a:ext cx="3862070" cy="228600"/>
                      </a:xfrm>
                      <a:prstGeom prst="rect">
                        <a:avLst/>
                      </a:prstGeom>
                      <a:noFill/>
                    </wps:spPr>
                    <wps:txbx>
                      <w:txbxContent>
                        <w:p w14:paraId="0416462D" w14:textId="77777777" w:rsidR="000B3813" w:rsidRPr="000B3813" w:rsidRDefault="000B3813" w:rsidP="00317692">
                          <w:pPr>
                            <w:pStyle w:val="Headerorfooter20"/>
                            <w:jc w:val="center"/>
                            <w:rPr>
                              <w:rFonts w:ascii="Arial" w:hAnsi="Arial" w:cs="Arial"/>
                              <w:b/>
                              <w:bCs/>
                              <w:sz w:val="38"/>
                              <w:szCs w:val="38"/>
                            </w:rPr>
                          </w:pPr>
                          <w:r>
                            <w:rPr>
                              <w:rStyle w:val="Headerorfooter2"/>
                              <w:rFonts w:ascii="Arial" w:hAnsi="Arial"/>
                              <w:b/>
                              <w:color w:val="00447A"/>
                              <w:sz w:val="38"/>
                            </w:rPr>
                            <w:t>JOURNAL OFFICIEL DE L’ÉTAT</w:t>
                          </w:r>
                        </w:p>
                      </w:txbxContent>
                    </wps:txbx>
                    <wps:bodyPr wrap="none" lIns="0" tIns="0" rIns="0" bIns="0">
                      <a:spAutoFit/>
                    </wps:bodyPr>
                  </wps:wsp>
                </a:graphicData>
              </a:graphic>
            </wp:anchor>
          </w:drawing>
        </mc:Choice>
        <mc:Fallback xmlns:oel="http://schemas.microsoft.com/office/2019/extlst">
          <w:pict>
            <v:shapetype w14:anchorId="773C93B4" id="_x0000_t202" coordsize="21600,21600" o:spt="202" path="m,l,21600r21600,l21600,xe">
              <v:stroke joinstyle="miter"/>
              <v:path gradientshapeok="t" o:connecttype="rect"/>
            </v:shapetype>
            <v:shape id="Shape 65" o:spid="_x0000_s1055" type="#_x0000_t202" style="position:absolute;margin-left:146.25pt;margin-top:38.7pt;width:304.1pt;height:18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" filled="f" stroked="f">
              <v:textbox style="mso-fit-shape-to-text:t" inset="0,0,0,0">
                <w:txbxContent>
                  <w:p w14:paraId="0416462D" w14:textId="77777777" w:rsidR="000B3813" w:rsidRPr="000B3813" w:rsidRDefault="000B3813" w:rsidP="00317692">
                    <w:pPr>
                      <w:pStyle w:val="Headerorfooter20"/>
                      <w:jc w:val="center"/>
                      <w:rPr>
                        <w:b/>
                        <w:bCs/>
                        <w:sz w:val="38"/>
                        <w:szCs w:val="38"/>
                        <w:rFonts w:ascii="Arial" w:hAnsi="Arial" w:cs="Arial"/>
                      </w:rPr>
                    </w:pPr>
                    <w:r>
                      <w:rPr>
                        <w:rStyle w:val="Headerorfooter2"/>
                        <w:b/>
                        <w:color w:val="00447A"/>
                        <w:sz w:val="38"/>
                        <w:rFonts w:ascii="Arial" w:hAnsi="Arial"/>
                      </w:rPr>
                      <w:t xml:space="preserve">JOURNAL OFFICIEL DE L’ÉTAT</w:t>
                    </w:r>
                  </w:p>
                </w:txbxContent>
              </v:textbox>
              <w10:wrap anchorx="page" anchory="page"/>
            </v:shape>
          </w:pict>
        </mc:Fallback>
      </mc:AlternateContent>
    </w:r>
    <w:r>
      <w:rPr>
        <w:rFonts w:ascii="Arial" w:hAnsi="Arial"/>
        <w:noProof/>
      </w:rPr>
      <mc:AlternateContent>
        <mc:Choice Requires="wps">
          <w:drawing>
            <wp:anchor distT="0" distB="0" distL="0" distR="0" simplePos="0" relativeHeight="251662336" behindDoc="1" locked="0" layoutInCell="1" allowOverlap="1" wp14:anchorId="69AD3072" wp14:editId="34287DC0">
              <wp:simplePos x="0" y="0"/>
              <wp:positionH relativeFrom="page">
                <wp:posOffset>367030</wp:posOffset>
              </wp:positionH>
              <wp:positionV relativeFrom="page">
                <wp:posOffset>951230</wp:posOffset>
              </wp:positionV>
              <wp:extent cx="6827520" cy="118745"/>
              <wp:effectExtent l="0" t="0" r="0" b="0"/>
              <wp:wrapNone/>
              <wp:docPr id="67" name="Shape 67"/>
              <wp:cNvGraphicFramePr/>
              <a:graphic xmlns:a="http://schemas.openxmlformats.org/drawingml/2006/main">
                <a:graphicData uri="http://schemas.microsoft.com/office/word/2010/wordprocessingShape">
                  <wps:wsp>
                    <wps:cNvSpPr txBox="1"/>
                    <wps:spPr>
                      <a:xfrm>
                        <a:off x="0" y="0"/>
                        <a:ext cx="6827520" cy="118745"/>
                      </a:xfrm>
                      <a:prstGeom prst="rect">
                        <a:avLst/>
                      </a:prstGeom>
                      <a:noFill/>
                    </wps:spPr>
                    <wps:txbx>
                      <w:txbxContent>
                        <w:p w14:paraId="33338A16" w14:textId="209D5678" w:rsidR="000B3813" w:rsidRPr="000B3813" w:rsidRDefault="000B3813" w:rsidP="000B3813">
                          <w:pPr>
                            <w:pStyle w:val="Headerorfooter20"/>
                            <w:tabs>
                              <w:tab w:val="right" w:pos="6826"/>
                              <w:tab w:val="right" w:pos="10752"/>
                            </w:tabs>
                            <w:rPr>
                              <w:rFonts w:ascii="Arial" w:hAnsi="Arial" w:cs="Arial"/>
                              <w:b/>
                              <w:bCs/>
                              <w:sz w:val="19"/>
                              <w:szCs w:val="19"/>
                            </w:rPr>
                          </w:pPr>
                          <w:r>
                            <w:rPr>
                              <w:rStyle w:val="Headerorfooter2"/>
                              <w:rFonts w:ascii="Arial" w:hAnsi="Arial"/>
                              <w:b/>
                              <w:color w:val="00447A"/>
                              <w:sz w:val="19"/>
                            </w:rPr>
                            <w:t>Nº 69</w:t>
                          </w:r>
                          <w:r>
                            <w:rPr>
                              <w:rStyle w:val="Headerorfooter2"/>
                              <w:rFonts w:ascii="Arial" w:hAnsi="Arial"/>
                              <w:b/>
                              <w:color w:val="00447A"/>
                              <w:sz w:val="19"/>
                            </w:rPr>
                            <w:tab/>
                            <w:t>Mercredi 22 mars 2023</w:t>
                          </w:r>
                          <w:r>
                            <w:rPr>
                              <w:rStyle w:val="Headerorfooter2"/>
                              <w:rFonts w:ascii="Arial" w:hAnsi="Arial"/>
                              <w:b/>
                              <w:color w:val="00447A"/>
                              <w:sz w:val="19"/>
                            </w:rPr>
                            <w:tab/>
                            <w:t xml:space="preserve">Sec. I. Page </w:t>
                          </w:r>
                          <w:r w:rsidR="00C07FAC" w:rsidRPr="00C07FAC">
                            <w:rPr>
                              <w:rStyle w:val="Headerorfooter2"/>
                              <w:rFonts w:ascii="Arial" w:eastAsia="Arial" w:hAnsi="Arial" w:cs="Arial"/>
                              <w:b/>
                              <w:color w:val="00447A"/>
                              <w:sz w:val="19"/>
                            </w:rPr>
                            <w:fldChar w:fldCharType="begin"/>
                          </w:r>
                          <w:r w:rsidR="00C07FAC" w:rsidRPr="00C07FAC">
                            <w:rPr>
                              <w:rStyle w:val="Headerorfooter2"/>
                              <w:rFonts w:ascii="Arial" w:eastAsia="Arial" w:hAnsi="Arial" w:cs="Arial"/>
                              <w:b/>
                              <w:color w:val="00447A"/>
                              <w:sz w:val="19"/>
                            </w:rPr>
                            <w:instrText xml:space="preserve"> PAGE   \* MERGEFORMAT </w:instrText>
                          </w:r>
                          <w:r w:rsidR="00C07FAC" w:rsidRPr="00C07FAC">
                            <w:rPr>
                              <w:rStyle w:val="Headerorfooter2"/>
                              <w:rFonts w:ascii="Arial" w:eastAsia="Arial" w:hAnsi="Arial" w:cs="Arial"/>
                              <w:b/>
                              <w:color w:val="00447A"/>
                              <w:sz w:val="19"/>
                            </w:rPr>
                            <w:fldChar w:fldCharType="separate"/>
                          </w:r>
                          <w:r w:rsidR="00C07FAC" w:rsidRPr="00C07FAC">
                            <w:rPr>
                              <w:rStyle w:val="Headerorfooter2"/>
                              <w:rFonts w:ascii="Arial" w:eastAsia="Arial" w:hAnsi="Arial" w:cs="Arial"/>
                              <w:b/>
                              <w:color w:val="00447A"/>
                              <w:sz w:val="19"/>
                            </w:rPr>
                            <w:t>1</w:t>
                          </w:r>
                          <w:r w:rsidR="00C07FAC" w:rsidRPr="00C07FAC">
                            <w:rPr>
                              <w:rStyle w:val="Headerorfooter2"/>
                              <w:rFonts w:ascii="Arial" w:eastAsia="Arial" w:hAnsi="Arial" w:cs="Arial"/>
                              <w:b/>
                              <w:color w:val="00447A"/>
                              <w:sz w:val="19"/>
                            </w:rPr>
                            <w:fldChar w:fldCharType="end"/>
                          </w:r>
                          <w:r>
                            <w:rPr>
                              <w:rStyle w:val="Headerorfooter2"/>
                              <w:rFonts w:ascii="Arial" w:hAnsi="Arial"/>
                              <w:b/>
                              <w:color w:val="00447A"/>
                              <w:sz w:val="19"/>
                            </w:rPr>
                            <w:t xml:space="preserve"> </w:t>
                          </w:r>
                        </w:p>
                      </w:txbxContent>
                    </wps:txbx>
                    <wps:bodyPr lIns="0" tIns="0" rIns="0" bIns="0">
                      <a:spAutoFit/>
                    </wps:bodyPr>
                  </wps:wsp>
                </a:graphicData>
              </a:graphic>
            </wp:anchor>
          </w:drawing>
        </mc:Choice>
        <mc:Fallback xmlns:oel="http://schemas.microsoft.com/office/2019/extlst">
          <w:pict>
            <v:shape w14:anchorId="69AD3072" id="Shape 67" o:spid="_x0000_s1056" type="#_x0000_t202" style="position:absolute;margin-left:28.9pt;margin-top:74.9pt;width:537.6pt;height:9.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" filled="f" stroked="f">
              <v:textbox style="mso-fit-shape-to-text:t" inset="0,0,0,0">
                <w:txbxContent>
                  <w:p w14:paraId="33338A16" w14:textId="209D5678" w:rsidR="000B3813" w:rsidRPr="000B3813" w:rsidRDefault="000B3813" w:rsidP="000B3813">
                    <w:pPr>
                      <w:pStyle w:val="Headerorfooter20"/>
                      <w:tabs>
                        <w:tab w:val="right" w:pos="6826"/>
                        <w:tab w:val="right" w:pos="10752"/>
                      </w:tabs>
                      <w:rPr>
                        <w:b/>
                        <w:bCs/>
                        <w:sz w:val="19"/>
                        <w:szCs w:val="19"/>
                        <w:rFonts w:ascii="Arial" w:hAnsi="Arial" w:cs="Arial"/>
                      </w:rPr>
                    </w:pPr>
                    <w:r>
                      <w:rPr>
                        <w:rStyle w:val="Headerorfooter2"/>
                        <w:b/>
                        <w:color w:val="00447A"/>
                        <w:sz w:val="19"/>
                        <w:rFonts w:ascii="Arial" w:hAnsi="Arial"/>
                      </w:rPr>
                      <w:t xml:space="preserve">Nº 69</w:t>
                    </w:r>
                    <w:r>
                      <w:rPr>
                        <w:rStyle w:val="Headerorfooter2"/>
                        <w:b/>
                        <w:color w:val="00447A"/>
                        <w:sz w:val="19"/>
                        <w:rFonts w:ascii="Arial" w:hAnsi="Arial"/>
                      </w:rPr>
                      <w:tab/>
                    </w:r>
                    <w:r>
                      <w:rPr>
                        <w:rStyle w:val="Headerorfooter2"/>
                        <w:b/>
                        <w:color w:val="00447A"/>
                        <w:sz w:val="19"/>
                        <w:rFonts w:ascii="Arial" w:hAnsi="Arial"/>
                      </w:rPr>
                      <w:t xml:space="preserve">Mercredi 22 mars 2023</w:t>
                    </w:r>
                    <w:r>
                      <w:rPr>
                        <w:rStyle w:val="Headerorfooter2"/>
                        <w:b/>
                        <w:color w:val="00447A"/>
                        <w:sz w:val="19"/>
                        <w:rFonts w:ascii="Arial" w:hAnsi="Arial"/>
                      </w:rPr>
                      <w:tab/>
                    </w:r>
                    <w:r>
                      <w:rPr>
                        <w:rStyle w:val="Headerorfooter2"/>
                        <w:b/>
                        <w:color w:val="00447A"/>
                        <w:sz w:val="19"/>
                        <w:rFonts w:ascii="Arial" w:hAnsi="Arial"/>
                      </w:rPr>
                      <w:t xml:space="preserve">Sec. I. Page</w:t>
                    </w:r>
                    <w:r>
                      <w:rPr>
                        <w:rStyle w:val="Headerorfooter2"/>
                        <w:b/>
                        <w:color w:val="00447A"/>
                        <w:sz w:val="19"/>
                        <w:rFonts w:ascii="Arial" w:hAnsi="Arial"/>
                      </w:rPr>
                      <w:t xml:space="preserve"> </w:t>
                    </w:r>
                    <w:r w:rsidR="00C07FAC" w:rsidRPr="00C07FAC">
                      <w:rPr>
                        <w:rStyle w:val="Headerorfooter2"/>
                        <w:b/>
                        <w:color w:val="00447A"/>
                        <w:sz w:val="19"/>
                        <w:rFonts w:ascii="Arial" w:eastAsia="Arial" w:hAnsi="Arial" w:cs="Arial"/>
                      </w:rPr>
                      <w:fldChar w:fldCharType="begin"/>
                    </w:r>
                    <w:r w:rsidR="00C07FAC" w:rsidRPr="00C07FAC">
                      <w:rPr>
                        <w:rStyle w:val="Headerorfooter2"/>
                        <w:b/>
                        <w:color w:val="00447A"/>
                        <w:sz w:val="19"/>
                        <w:rFonts w:ascii="Arial" w:eastAsia="Arial" w:hAnsi="Arial" w:cs="Arial"/>
                      </w:rPr>
                      <w:instrText xml:space="preserve"> PAGE   \* MERGEFORMAT </w:instrText>
                    </w:r>
                    <w:r w:rsidR="00C07FAC" w:rsidRPr="00C07FAC">
                      <w:rPr>
                        <w:rStyle w:val="Headerorfooter2"/>
                        <w:b/>
                        <w:color w:val="00447A"/>
                        <w:sz w:val="19"/>
                        <w:rFonts w:ascii="Arial" w:eastAsia="Arial" w:hAnsi="Arial" w:cs="Arial"/>
                      </w:rPr>
                      <w:fldChar w:fldCharType="separate"/>
                    </w:r>
                    <w:r w:rsidR="00C07FAC" w:rsidRPr="00C07FAC">
                      <w:rPr>
                        <w:rStyle w:val="Headerorfooter2"/>
                        <w:b/>
                        <w:color w:val="00447A"/>
                        <w:sz w:val="19"/>
                        <w:rFonts w:ascii="Arial" w:eastAsia="Arial" w:hAnsi="Arial" w:cs="Arial"/>
                      </w:rPr>
                      <w:t>1</w:t>
                    </w:r>
                    <w:r w:rsidR="00C07FAC" w:rsidRPr="00C07FAC">
                      <w:rPr>
                        <w:rStyle w:val="Headerorfooter2"/>
                        <w:b/>
                        <w:color w:val="00447A"/>
                        <w:sz w:val="19"/>
                        <w:rFonts w:ascii="Arial" w:eastAsia="Arial" w:hAnsi="Arial" w:cs="Arial"/>
                      </w:rPr>
                      <w:fldChar w:fldCharType="end"/>
                    </w:r>
                    <w:r>
                      <w:rPr>
                        <w:rStyle w:val="Headerorfooter2"/>
                        <w:b/>
                        <w:color w:val="00447A"/>
                        <w:sz w:val="19"/>
                        <w:rFonts w:ascii="Arial" w:hAnsi="Arial"/>
                      </w:rPr>
                      <w:t xml:space="preserve"> </w:t>
                    </w:r>
                  </w:p>
                </w:txbxContent>
              </v:textbox>
              <w10:wrap anchorx="page" anchory="page"/>
            </v:shape>
          </w:pict>
        </mc:Fallback>
      </mc:AlternateContent>
    </w:r>
  </w:p>
  <w:p w14:paraId="2937EA9E" w14:textId="6217CDD6" w:rsidR="00874815" w:rsidRPr="000B3813" w:rsidRDefault="00874815" w:rsidP="000B3813">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B4D"/>
    <w:multiLevelType w:val="multilevel"/>
    <w:tmpl w:val="282A336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231DE"/>
    <w:multiLevelType w:val="multilevel"/>
    <w:tmpl w:val="90F826E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D6F5F"/>
    <w:multiLevelType w:val="multilevel"/>
    <w:tmpl w:val="D548D56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94572"/>
    <w:multiLevelType w:val="multilevel"/>
    <w:tmpl w:val="AD68ED8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F0502"/>
    <w:multiLevelType w:val="multilevel"/>
    <w:tmpl w:val="B430430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7E482F"/>
    <w:multiLevelType w:val="multilevel"/>
    <w:tmpl w:val="CE46F7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874965"/>
    <w:multiLevelType w:val="multilevel"/>
    <w:tmpl w:val="D6760A4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3C2BBB"/>
    <w:multiLevelType w:val="multilevel"/>
    <w:tmpl w:val="C84CA6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2E2C9F"/>
    <w:multiLevelType w:val="multilevel"/>
    <w:tmpl w:val="20420AF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105E11"/>
    <w:multiLevelType w:val="multilevel"/>
    <w:tmpl w:val="FEA47A5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F44809"/>
    <w:multiLevelType w:val="multilevel"/>
    <w:tmpl w:val="7C72B43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060B9F"/>
    <w:multiLevelType w:val="multilevel"/>
    <w:tmpl w:val="062C2E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1D7689"/>
    <w:multiLevelType w:val="multilevel"/>
    <w:tmpl w:val="55AE63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064A8"/>
    <w:multiLevelType w:val="multilevel"/>
    <w:tmpl w:val="9050F81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134308"/>
    <w:multiLevelType w:val="multilevel"/>
    <w:tmpl w:val="AA4CB1F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BC223E"/>
    <w:multiLevelType w:val="multilevel"/>
    <w:tmpl w:val="D986982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BC00E4"/>
    <w:multiLevelType w:val="multilevel"/>
    <w:tmpl w:val="C7220AE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E347F5"/>
    <w:multiLevelType w:val="multilevel"/>
    <w:tmpl w:val="968273D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7B4E77"/>
    <w:multiLevelType w:val="multilevel"/>
    <w:tmpl w:val="CA1047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2C1291"/>
    <w:multiLevelType w:val="multilevel"/>
    <w:tmpl w:val="F754F97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4A17B3"/>
    <w:multiLevelType w:val="multilevel"/>
    <w:tmpl w:val="C1D46C5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C839DD"/>
    <w:multiLevelType w:val="multilevel"/>
    <w:tmpl w:val="42CE239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4C6A56"/>
    <w:multiLevelType w:val="multilevel"/>
    <w:tmpl w:val="42760EE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F2236C"/>
    <w:multiLevelType w:val="multilevel"/>
    <w:tmpl w:val="23FCBE6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FF6362"/>
    <w:multiLevelType w:val="multilevel"/>
    <w:tmpl w:val="DCA2F40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320B66"/>
    <w:multiLevelType w:val="multilevel"/>
    <w:tmpl w:val="FD78ABB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6711C9"/>
    <w:multiLevelType w:val="multilevel"/>
    <w:tmpl w:val="F334C9D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E13643"/>
    <w:multiLevelType w:val="multilevel"/>
    <w:tmpl w:val="E510176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0A0334"/>
    <w:multiLevelType w:val="multilevel"/>
    <w:tmpl w:val="072C69C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8411A65"/>
    <w:multiLevelType w:val="multilevel"/>
    <w:tmpl w:val="99DE696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4A402F"/>
    <w:multiLevelType w:val="multilevel"/>
    <w:tmpl w:val="2606FE4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F640857"/>
    <w:multiLevelType w:val="multilevel"/>
    <w:tmpl w:val="396C393C"/>
    <w:lvl w:ilvl="0">
      <w:start w:val="6"/>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21B1FFB"/>
    <w:multiLevelType w:val="multilevel"/>
    <w:tmpl w:val="321A7C6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2572C1A"/>
    <w:multiLevelType w:val="multilevel"/>
    <w:tmpl w:val="1B6665B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28E6A1E"/>
    <w:multiLevelType w:val="multilevel"/>
    <w:tmpl w:val="B27A8B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A605A24"/>
    <w:multiLevelType w:val="multilevel"/>
    <w:tmpl w:val="9FEA3F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3840FE"/>
    <w:multiLevelType w:val="multilevel"/>
    <w:tmpl w:val="1A40546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FC20BD"/>
    <w:multiLevelType w:val="multilevel"/>
    <w:tmpl w:val="6A7C8EA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D292E4F"/>
    <w:multiLevelType w:val="multilevel"/>
    <w:tmpl w:val="A9B0430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C17EEC"/>
    <w:multiLevelType w:val="multilevel"/>
    <w:tmpl w:val="F664EED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045000B"/>
    <w:multiLevelType w:val="multilevel"/>
    <w:tmpl w:val="B9441FB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20B7A32"/>
    <w:multiLevelType w:val="multilevel"/>
    <w:tmpl w:val="3C70E62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212178A"/>
    <w:multiLevelType w:val="multilevel"/>
    <w:tmpl w:val="7F52F23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5E422D1"/>
    <w:multiLevelType w:val="multilevel"/>
    <w:tmpl w:val="E86C09F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71D0901"/>
    <w:multiLevelType w:val="multilevel"/>
    <w:tmpl w:val="595ED5A2"/>
    <w:lvl w:ilvl="0">
      <w:start w:val="2"/>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78404F9"/>
    <w:multiLevelType w:val="multilevel"/>
    <w:tmpl w:val="CE84253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EA63186"/>
    <w:multiLevelType w:val="multilevel"/>
    <w:tmpl w:val="566021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1121760"/>
    <w:multiLevelType w:val="multilevel"/>
    <w:tmpl w:val="E7D2FDF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7570DBC"/>
    <w:multiLevelType w:val="multilevel"/>
    <w:tmpl w:val="1BE2291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9D479EA"/>
    <w:multiLevelType w:val="multilevel"/>
    <w:tmpl w:val="B66C047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F007A07"/>
    <w:multiLevelType w:val="multilevel"/>
    <w:tmpl w:val="7E086CF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9"/>
  </w:num>
  <w:num w:numId="2">
    <w:abstractNumId w:val="38"/>
  </w:num>
  <w:num w:numId="3">
    <w:abstractNumId w:val="12"/>
  </w:num>
  <w:num w:numId="4">
    <w:abstractNumId w:val="15"/>
  </w:num>
  <w:num w:numId="5">
    <w:abstractNumId w:val="25"/>
  </w:num>
  <w:num w:numId="6">
    <w:abstractNumId w:val="46"/>
  </w:num>
  <w:num w:numId="7">
    <w:abstractNumId w:val="13"/>
  </w:num>
  <w:num w:numId="8">
    <w:abstractNumId w:val="5"/>
  </w:num>
  <w:num w:numId="9">
    <w:abstractNumId w:val="10"/>
  </w:num>
  <w:num w:numId="10">
    <w:abstractNumId w:val="2"/>
  </w:num>
  <w:num w:numId="11">
    <w:abstractNumId w:val="23"/>
  </w:num>
  <w:num w:numId="12">
    <w:abstractNumId w:val="24"/>
  </w:num>
  <w:num w:numId="13">
    <w:abstractNumId w:val="16"/>
  </w:num>
  <w:num w:numId="14">
    <w:abstractNumId w:val="3"/>
  </w:num>
  <w:num w:numId="15">
    <w:abstractNumId w:val="17"/>
  </w:num>
  <w:num w:numId="16">
    <w:abstractNumId w:val="45"/>
  </w:num>
  <w:num w:numId="17">
    <w:abstractNumId w:val="1"/>
  </w:num>
  <w:num w:numId="18">
    <w:abstractNumId w:val="27"/>
  </w:num>
  <w:num w:numId="19">
    <w:abstractNumId w:val="41"/>
  </w:num>
  <w:num w:numId="20">
    <w:abstractNumId w:val="19"/>
  </w:num>
  <w:num w:numId="21">
    <w:abstractNumId w:val="9"/>
  </w:num>
  <w:num w:numId="22">
    <w:abstractNumId w:val="18"/>
  </w:num>
  <w:num w:numId="23">
    <w:abstractNumId w:val="14"/>
  </w:num>
  <w:num w:numId="24">
    <w:abstractNumId w:val="20"/>
  </w:num>
  <w:num w:numId="25">
    <w:abstractNumId w:val="40"/>
  </w:num>
  <w:num w:numId="26">
    <w:abstractNumId w:val="30"/>
  </w:num>
  <w:num w:numId="27">
    <w:abstractNumId w:val="22"/>
  </w:num>
  <w:num w:numId="28">
    <w:abstractNumId w:val="8"/>
  </w:num>
  <w:num w:numId="29">
    <w:abstractNumId w:val="21"/>
  </w:num>
  <w:num w:numId="30">
    <w:abstractNumId w:val="36"/>
  </w:num>
  <w:num w:numId="31">
    <w:abstractNumId w:val="31"/>
  </w:num>
  <w:num w:numId="32">
    <w:abstractNumId w:val="39"/>
  </w:num>
  <w:num w:numId="33">
    <w:abstractNumId w:val="32"/>
  </w:num>
  <w:num w:numId="34">
    <w:abstractNumId w:val="50"/>
  </w:num>
  <w:num w:numId="35">
    <w:abstractNumId w:val="48"/>
  </w:num>
  <w:num w:numId="36">
    <w:abstractNumId w:val="6"/>
  </w:num>
  <w:num w:numId="37">
    <w:abstractNumId w:val="42"/>
  </w:num>
  <w:num w:numId="38">
    <w:abstractNumId w:val="35"/>
  </w:num>
  <w:num w:numId="39">
    <w:abstractNumId w:val="7"/>
  </w:num>
  <w:num w:numId="40">
    <w:abstractNumId w:val="26"/>
  </w:num>
  <w:num w:numId="41">
    <w:abstractNumId w:val="11"/>
  </w:num>
  <w:num w:numId="42">
    <w:abstractNumId w:val="28"/>
  </w:num>
  <w:num w:numId="43">
    <w:abstractNumId w:val="37"/>
  </w:num>
  <w:num w:numId="44">
    <w:abstractNumId w:val="29"/>
  </w:num>
  <w:num w:numId="45">
    <w:abstractNumId w:val="43"/>
  </w:num>
  <w:num w:numId="46">
    <w:abstractNumId w:val="34"/>
  </w:num>
  <w:num w:numId="47">
    <w:abstractNumId w:val="47"/>
  </w:num>
  <w:num w:numId="48">
    <w:abstractNumId w:val="4"/>
  </w:num>
  <w:num w:numId="49">
    <w:abstractNumId w:val="44"/>
  </w:num>
  <w:num w:numId="50">
    <w:abstractNumId w:val="0"/>
  </w:num>
  <w:num w:numId="51">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815"/>
    <w:rsid w:val="000B3813"/>
    <w:rsid w:val="000E70D0"/>
    <w:rsid w:val="000F0813"/>
    <w:rsid w:val="002777D1"/>
    <w:rsid w:val="0031005A"/>
    <w:rsid w:val="00317692"/>
    <w:rsid w:val="003E0226"/>
    <w:rsid w:val="00514F60"/>
    <w:rsid w:val="005770E5"/>
    <w:rsid w:val="005B587D"/>
    <w:rsid w:val="006D1DB8"/>
    <w:rsid w:val="006E501A"/>
    <w:rsid w:val="00755903"/>
    <w:rsid w:val="007618DF"/>
    <w:rsid w:val="00874815"/>
    <w:rsid w:val="008B7A65"/>
    <w:rsid w:val="008D7A0F"/>
    <w:rsid w:val="00A004D1"/>
    <w:rsid w:val="00A34D22"/>
    <w:rsid w:val="00AC41C3"/>
    <w:rsid w:val="00C07FAC"/>
    <w:rsid w:val="00CA0EF2"/>
    <w:rsid w:val="00E8056D"/>
    <w:rsid w:val="00EE4402"/>
    <w:rsid w:val="00F40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3CFB"/>
  <w15:docId w15:val="{86D53C39-1412-44F7-A4B0-9D6268CF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fr-FR" w:eastAsia="es-ES" w:bidi="es-E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14"/>
      <w:szCs w:val="14"/>
      <w:u w:val="none"/>
    </w:rPr>
  </w:style>
  <w:style w:type="character" w:customStyle="1" w:styleId="Heading1">
    <w:name w:val="Heading #1_"/>
    <w:basedOn w:val="DefaultParagraphFont"/>
    <w:link w:val="Heading10"/>
    <w:rPr>
      <w:rFonts w:ascii="Arial" w:eastAsia="Arial" w:hAnsi="Arial" w:cs="Arial"/>
      <w:b w:val="0"/>
      <w:bCs w:val="0"/>
      <w:i w:val="0"/>
      <w:iCs w:val="0"/>
      <w:smallCaps w:val="0"/>
      <w:strike w:val="0"/>
      <w:sz w:val="38"/>
      <w:szCs w:val="38"/>
      <w:u w:val="none"/>
    </w:rPr>
  </w:style>
  <w:style w:type="character" w:customStyle="1" w:styleId="Bodytext4">
    <w:name w:val="Body text (4)_"/>
    <w:basedOn w:val="DefaultParagraphFont"/>
    <w:link w:val="Bodytext40"/>
    <w:rPr>
      <w:rFonts w:ascii="Arial" w:eastAsia="Arial" w:hAnsi="Arial" w:cs="Arial"/>
      <w:b/>
      <w:bCs/>
      <w:i w:val="0"/>
      <w:iCs w:val="0"/>
      <w:smallCaps w:val="0"/>
      <w:strike w:val="0"/>
      <w:sz w:val="30"/>
      <w:szCs w:val="3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sz w:val="19"/>
      <w:szCs w:val="19"/>
      <w:u w:val="none"/>
    </w:rPr>
  </w:style>
  <w:style w:type="character" w:customStyle="1" w:styleId="Heading2">
    <w:name w:val="Heading #2_"/>
    <w:basedOn w:val="DefaultParagraphFont"/>
    <w:link w:val="Heading20"/>
    <w:rPr>
      <w:rFonts w:ascii="Arial" w:eastAsia="Arial" w:hAnsi="Arial" w:cs="Arial"/>
      <w:b w:val="0"/>
      <w:bCs w:val="0"/>
      <w:i w:val="0"/>
      <w:iCs w:val="0"/>
      <w:smallCaps w:val="0"/>
      <w:strike w:val="0"/>
      <w:sz w:val="19"/>
      <w:szCs w:val="19"/>
      <w:u w:val="none"/>
    </w:rPr>
  </w:style>
  <w:style w:type="character" w:customStyle="1" w:styleId="Headerorfooter">
    <w:name w:val="Header or footer_"/>
    <w:basedOn w:val="DefaultParagraphFont"/>
    <w:link w:val="Headerorfooter0"/>
    <w:rPr>
      <w:rFonts w:ascii="Arial" w:eastAsia="Arial" w:hAnsi="Arial" w:cs="Arial"/>
      <w:b/>
      <w:bCs/>
      <w:i w:val="0"/>
      <w:iCs w:val="0"/>
      <w:smallCaps w:val="0"/>
      <w:strike w:val="0"/>
      <w:color w:val="00447A"/>
      <w:sz w:val="19"/>
      <w:szCs w:val="19"/>
      <w:u w:val="none"/>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16"/>
      <w:szCs w:val="16"/>
      <w:u w:val="none"/>
    </w:rPr>
  </w:style>
  <w:style w:type="paragraph" w:customStyle="1" w:styleId="Bodytext20">
    <w:name w:val="Body text (2)"/>
    <w:basedOn w:val="Normal"/>
    <w:link w:val="Bodytext2"/>
    <w:rPr>
      <w:rFonts w:ascii="Arial" w:eastAsia="Arial" w:hAnsi="Arial" w:cs="Arial"/>
      <w:sz w:val="14"/>
      <w:szCs w:val="14"/>
    </w:rPr>
  </w:style>
  <w:style w:type="paragraph" w:customStyle="1" w:styleId="Heading10">
    <w:name w:val="Heading #1"/>
    <w:basedOn w:val="Normal"/>
    <w:link w:val="Heading1"/>
    <w:pPr>
      <w:spacing w:after="260"/>
      <w:jc w:val="center"/>
      <w:outlineLvl w:val="0"/>
    </w:pPr>
    <w:rPr>
      <w:rFonts w:ascii="Arial" w:eastAsia="Arial" w:hAnsi="Arial" w:cs="Arial"/>
      <w:sz w:val="38"/>
      <w:szCs w:val="38"/>
    </w:rPr>
  </w:style>
  <w:style w:type="paragraph" w:customStyle="1" w:styleId="Bodytext40">
    <w:name w:val="Body text (4)"/>
    <w:basedOn w:val="Normal"/>
    <w:link w:val="Bodytext4"/>
    <w:pPr>
      <w:spacing w:after="260"/>
      <w:jc w:val="center"/>
    </w:pPr>
    <w:rPr>
      <w:rFonts w:ascii="Arial" w:eastAsia="Arial" w:hAnsi="Arial" w:cs="Arial"/>
      <w:b/>
      <w:bCs/>
      <w:sz w:val="30"/>
      <w:szCs w:val="30"/>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BodyText">
    <w:name w:val="Body Text"/>
    <w:basedOn w:val="Normal"/>
    <w:link w:val="BodyTextChar"/>
    <w:qFormat/>
    <w:pPr>
      <w:spacing w:line="264" w:lineRule="auto"/>
      <w:ind w:firstLine="360"/>
    </w:pPr>
    <w:rPr>
      <w:rFonts w:ascii="Arial" w:eastAsia="Arial" w:hAnsi="Arial" w:cs="Arial"/>
      <w:sz w:val="19"/>
      <w:szCs w:val="19"/>
    </w:rPr>
  </w:style>
  <w:style w:type="paragraph" w:customStyle="1" w:styleId="Heading20">
    <w:name w:val="Heading #2"/>
    <w:basedOn w:val="Normal"/>
    <w:link w:val="Heading2"/>
    <w:pPr>
      <w:spacing w:after="120" w:line="264" w:lineRule="auto"/>
      <w:jc w:val="center"/>
      <w:outlineLvl w:val="1"/>
    </w:pPr>
    <w:rPr>
      <w:rFonts w:ascii="Arial" w:eastAsia="Arial" w:hAnsi="Arial" w:cs="Arial"/>
      <w:sz w:val="19"/>
      <w:szCs w:val="19"/>
    </w:rPr>
  </w:style>
  <w:style w:type="paragraph" w:customStyle="1" w:styleId="Headerorfooter0">
    <w:name w:val="Header or footer"/>
    <w:basedOn w:val="Normal"/>
    <w:link w:val="Headerorfooter"/>
    <w:rPr>
      <w:rFonts w:ascii="Arial" w:eastAsia="Arial" w:hAnsi="Arial" w:cs="Arial"/>
      <w:b/>
      <w:bCs/>
      <w:color w:val="00447A"/>
      <w:sz w:val="19"/>
      <w:szCs w:val="19"/>
    </w:rPr>
  </w:style>
  <w:style w:type="paragraph" w:customStyle="1" w:styleId="Bodytext30">
    <w:name w:val="Body text (3)"/>
    <w:basedOn w:val="Normal"/>
    <w:link w:val="Bodytext3"/>
    <w:pPr>
      <w:spacing w:line="278" w:lineRule="auto"/>
    </w:pPr>
    <w:rPr>
      <w:rFonts w:ascii="Arial" w:eastAsia="Arial" w:hAnsi="Arial" w:cs="Arial"/>
      <w:sz w:val="16"/>
      <w:szCs w:val="16"/>
    </w:rPr>
  </w:style>
  <w:style w:type="paragraph" w:styleId="Header">
    <w:name w:val="header"/>
    <w:basedOn w:val="Normal"/>
    <w:link w:val="HeaderChar"/>
    <w:uiPriority w:val="99"/>
    <w:unhideWhenUsed/>
    <w:rsid w:val="002777D1"/>
    <w:pPr>
      <w:tabs>
        <w:tab w:val="center" w:pos="4680"/>
        <w:tab w:val="right" w:pos="9360"/>
      </w:tabs>
    </w:pPr>
  </w:style>
  <w:style w:type="character" w:customStyle="1" w:styleId="HeaderChar">
    <w:name w:val="Header Char"/>
    <w:basedOn w:val="DefaultParagraphFont"/>
    <w:link w:val="Header"/>
    <w:uiPriority w:val="99"/>
    <w:rsid w:val="002777D1"/>
    <w:rPr>
      <w:color w:val="000000"/>
    </w:rPr>
  </w:style>
  <w:style w:type="paragraph" w:styleId="Footer">
    <w:name w:val="footer"/>
    <w:basedOn w:val="Normal"/>
    <w:link w:val="FooterChar"/>
    <w:uiPriority w:val="99"/>
    <w:unhideWhenUsed/>
    <w:rsid w:val="002777D1"/>
    <w:pPr>
      <w:tabs>
        <w:tab w:val="center" w:pos="4680"/>
        <w:tab w:val="right" w:pos="9360"/>
      </w:tabs>
    </w:pPr>
  </w:style>
  <w:style w:type="character" w:customStyle="1" w:styleId="FooterChar">
    <w:name w:val="Footer Char"/>
    <w:basedOn w:val="DefaultParagraphFont"/>
    <w:link w:val="Footer"/>
    <w:uiPriority w:val="99"/>
    <w:rsid w:val="002777D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oe.es" TargetMode="External"/><Relationship Id="rId21" Type="http://schemas.openxmlformats.org/officeDocument/2006/relationships/hyperlink" Target="https://www.boe.es" TargetMode="External"/><Relationship Id="rId34" Type="http://schemas.openxmlformats.org/officeDocument/2006/relationships/hyperlink" Target="https://www.boe.es" TargetMode="External"/><Relationship Id="rId42" Type="http://schemas.openxmlformats.org/officeDocument/2006/relationships/hyperlink" Target="https://www.boe.es" TargetMode="External"/><Relationship Id="rId47" Type="http://schemas.openxmlformats.org/officeDocument/2006/relationships/hyperlink" Target="https://www.boe.es" TargetMode="External"/><Relationship Id="rId50" Type="http://schemas.openxmlformats.org/officeDocument/2006/relationships/hyperlink" Target="https://www.boe.es" TargetMode="External"/><Relationship Id="rId55" Type="http://schemas.openxmlformats.org/officeDocument/2006/relationships/hyperlink" Target="https://www.boe.es" TargetMode="External"/><Relationship Id="rId63" Type="http://schemas.openxmlformats.org/officeDocument/2006/relationships/hyperlink" Target="https://www.boe.es" TargetMode="External"/><Relationship Id="rId7" Type="http://schemas.openxmlformats.org/officeDocument/2006/relationships/hyperlink" Target="https://www.boe.es" TargetMode="External"/><Relationship Id="rId2" Type="http://schemas.openxmlformats.org/officeDocument/2006/relationships/styles" Target="styles.xml"/><Relationship Id="rId16" Type="http://schemas.openxmlformats.org/officeDocument/2006/relationships/hyperlink" Target="https://www.boe.es" TargetMode="External"/><Relationship Id="rId29" Type="http://schemas.openxmlformats.org/officeDocument/2006/relationships/hyperlink" Target="https://www.boe.es" TargetMode="External"/><Relationship Id="rId11" Type="http://schemas.openxmlformats.org/officeDocument/2006/relationships/hyperlink" Target="https://www.boe.es" TargetMode="External"/><Relationship Id="rId24" Type="http://schemas.openxmlformats.org/officeDocument/2006/relationships/hyperlink" Target="https://www.boe.es" TargetMode="External"/><Relationship Id="rId32" Type="http://schemas.openxmlformats.org/officeDocument/2006/relationships/hyperlink" Target="https://www.boe.es" TargetMode="External"/><Relationship Id="rId37" Type="http://schemas.openxmlformats.org/officeDocument/2006/relationships/hyperlink" Target="https://www.boe.es" TargetMode="External"/><Relationship Id="rId40" Type="http://schemas.openxmlformats.org/officeDocument/2006/relationships/hyperlink" Target="https://www.boe.es" TargetMode="External"/><Relationship Id="rId45" Type="http://schemas.openxmlformats.org/officeDocument/2006/relationships/hyperlink" Target="https://www.boe.es" TargetMode="External"/><Relationship Id="rId53" Type="http://schemas.openxmlformats.org/officeDocument/2006/relationships/hyperlink" Target="https://www.boe.es" TargetMode="External"/><Relationship Id="rId58" Type="http://schemas.openxmlformats.org/officeDocument/2006/relationships/hyperlink" Target="https://www.boe.es"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boe.es" TargetMode="External"/><Relationship Id="rId14" Type="http://schemas.openxmlformats.org/officeDocument/2006/relationships/hyperlink" Target="https://www.boe.es" TargetMode="External"/><Relationship Id="rId22" Type="http://schemas.openxmlformats.org/officeDocument/2006/relationships/hyperlink" Target="https://www.boe.es" TargetMode="External"/><Relationship Id="rId27" Type="http://schemas.openxmlformats.org/officeDocument/2006/relationships/hyperlink" Target="https://www.boe.es" TargetMode="External"/><Relationship Id="rId30" Type="http://schemas.openxmlformats.org/officeDocument/2006/relationships/hyperlink" Target="https://www.boe.es" TargetMode="External"/><Relationship Id="rId35" Type="http://schemas.openxmlformats.org/officeDocument/2006/relationships/hyperlink" Target="https://www.boe.es" TargetMode="External"/><Relationship Id="rId43" Type="http://schemas.openxmlformats.org/officeDocument/2006/relationships/hyperlink" Target="https://www.boe.es" TargetMode="External"/><Relationship Id="rId48" Type="http://schemas.openxmlformats.org/officeDocument/2006/relationships/hyperlink" Target="https://www.boe.es" TargetMode="External"/><Relationship Id="rId56" Type="http://schemas.openxmlformats.org/officeDocument/2006/relationships/hyperlink" Target="https://www.boe.es" TargetMode="External"/><Relationship Id="rId64" Type="http://schemas.openxmlformats.org/officeDocument/2006/relationships/fontTable" Target="fontTable.xml"/><Relationship Id="rId8" Type="http://schemas.openxmlformats.org/officeDocument/2006/relationships/hyperlink" Target="https://www.boe.es" TargetMode="External"/><Relationship Id="rId51" Type="http://schemas.openxmlformats.org/officeDocument/2006/relationships/hyperlink" Target="https://www.boe.es" TargetMode="External"/><Relationship Id="rId3" Type="http://schemas.openxmlformats.org/officeDocument/2006/relationships/settings" Target="settings.xml"/><Relationship Id="rId12" Type="http://schemas.openxmlformats.org/officeDocument/2006/relationships/hyperlink" Target="https://www.boe.es" TargetMode="External"/><Relationship Id="rId17" Type="http://schemas.openxmlformats.org/officeDocument/2006/relationships/hyperlink" Target="https://www.boe.es" TargetMode="External"/><Relationship Id="rId25" Type="http://schemas.openxmlformats.org/officeDocument/2006/relationships/hyperlink" Target="https://www.boe.es" TargetMode="External"/><Relationship Id="rId33" Type="http://schemas.openxmlformats.org/officeDocument/2006/relationships/hyperlink" Target="https://www.boe.es" TargetMode="External"/><Relationship Id="rId38" Type="http://schemas.openxmlformats.org/officeDocument/2006/relationships/hyperlink" Target="https://www.boe.es" TargetMode="External"/><Relationship Id="rId46" Type="http://schemas.openxmlformats.org/officeDocument/2006/relationships/hyperlink" Target="https://www.boe.es" TargetMode="External"/><Relationship Id="rId59" Type="http://schemas.openxmlformats.org/officeDocument/2006/relationships/hyperlink" Target="https://www.boe.es" TargetMode="External"/><Relationship Id="rId20" Type="http://schemas.openxmlformats.org/officeDocument/2006/relationships/hyperlink" Target="https://www.boe.es" TargetMode="External"/><Relationship Id="rId41" Type="http://schemas.openxmlformats.org/officeDocument/2006/relationships/hyperlink" Target="https://www.boe.es" TargetMode="External"/><Relationship Id="rId54" Type="http://schemas.openxmlformats.org/officeDocument/2006/relationships/hyperlink" Target="https://www.boe.es"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e.es" TargetMode="External"/><Relationship Id="rId23" Type="http://schemas.openxmlformats.org/officeDocument/2006/relationships/hyperlink" Target="https://www.boe.es" TargetMode="External"/><Relationship Id="rId28" Type="http://schemas.openxmlformats.org/officeDocument/2006/relationships/hyperlink" Target="https://www.boe.es" TargetMode="External"/><Relationship Id="rId36" Type="http://schemas.openxmlformats.org/officeDocument/2006/relationships/hyperlink" Target="https://www.boe.es" TargetMode="External"/><Relationship Id="rId49" Type="http://schemas.openxmlformats.org/officeDocument/2006/relationships/hyperlink" Target="https://www.boe.es" TargetMode="External"/><Relationship Id="rId57" Type="http://schemas.openxmlformats.org/officeDocument/2006/relationships/hyperlink" Target="https://www.boe.es" TargetMode="External"/><Relationship Id="rId10" Type="http://schemas.openxmlformats.org/officeDocument/2006/relationships/hyperlink" Target="https://www.boe.es" TargetMode="External"/><Relationship Id="rId31" Type="http://schemas.openxmlformats.org/officeDocument/2006/relationships/hyperlink" Target="https://www.boe.es" TargetMode="External"/><Relationship Id="rId44" Type="http://schemas.openxmlformats.org/officeDocument/2006/relationships/hyperlink" Target="https://www.boe.es" TargetMode="External"/><Relationship Id="rId52" Type="http://schemas.openxmlformats.org/officeDocument/2006/relationships/hyperlink" Target="https://www.boe.es" TargetMode="External"/><Relationship Id="rId60" Type="http://schemas.openxmlformats.org/officeDocument/2006/relationships/hyperlink" Target="https://www.boe.es"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oe.es" TargetMode="External"/><Relationship Id="rId13" Type="http://schemas.openxmlformats.org/officeDocument/2006/relationships/hyperlink" Target="https://www.boe.es" TargetMode="External"/><Relationship Id="rId18" Type="http://schemas.openxmlformats.org/officeDocument/2006/relationships/hyperlink" Target="https://www.boe.es" TargetMode="External"/><Relationship Id="rId39" Type="http://schemas.openxmlformats.org/officeDocument/2006/relationships/hyperlink" Target="https://www.bo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 Id="rId4"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14483</Words>
  <Characters>81975</Characters>
  <Application>Microsoft Office Word</Application>
  <DocSecurity>0</DocSecurity>
  <Lines>1301</Lines>
  <Paragraphs>477</Paragraphs>
  <ScaleCrop>false</ScaleCrop>
  <HeadingPairs>
    <vt:vector size="2" baseType="variant">
      <vt:variant>
        <vt:lpstr>Title</vt:lpstr>
      </vt:variant>
      <vt:variant>
        <vt:i4>1</vt:i4>
      </vt:variant>
    </vt:vector>
  </HeadingPairs>
  <TitlesOfParts>
    <vt:vector size="1" baseType="lpstr">
      <vt:lpstr>Disposición 7416 del BOE núm. 69 de 2023</vt:lpstr>
    </vt:vector>
  </TitlesOfParts>
  <Company/>
  <LinksUpToDate>false</LinksUpToDate>
  <CharactersWithSpaces>95981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7416 del BOE núm. 69 de 2023</dc:title>
  <dc:subject>BOE-A-2023-7416</dc:subject>
  <dc:creator>MINISTERIO DE SANIDAD</dc:creator>
  <cp:keywords>DECRETO 192/2023 de 21/03/2023;MINISTERIO DE SANIDAD;BOE-A-2023-7416;BOE 69 de 2023;7416;22/03/2023;Class='Internal'</cp:keywords>
  <cp:lastModifiedBy>Ragnhild Efraimsson</cp:lastModifiedBy>
  <cp:revision>2</cp:revision>
  <dcterms:created xsi:type="dcterms:W3CDTF">2023-04-18T07:07:00Z</dcterms:created>
  <dcterms:modified xsi:type="dcterms:W3CDTF">2023-04-18T07:07:00Z</dcterms:modified>
</cp:coreProperties>
</file>