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EC67" w14:textId="23ADCAB1" w:rsidR="00B83B97" w:rsidRDefault="00142095" w:rsidP="00F566F1">
      <w:pPr>
        <w:pStyle w:val="HSLF-FS-Rubrik-1"/>
      </w:pPr>
      <w:r>
        <w:t>Propisi Agencije za medicinske proizvode o paralelno uvezenim lijekovima za humanu primjenu;</w:t>
      </w:r>
    </w:p>
    <w:p w14:paraId="246EEEEE" w14:textId="6CA454AB" w:rsidR="00BB03EE" w:rsidRDefault="0086714A" w:rsidP="0086714A">
      <w:pPr>
        <w:pStyle w:val="HSLF-FS-Beslutsinfo"/>
      </w:pPr>
      <w:r>
        <w:t>doneseno XX xx 2021.</w:t>
      </w:r>
    </w:p>
    <w:p w14:paraId="4E241320" w14:textId="54548C3E" w:rsidR="004F4CCF" w:rsidRDefault="00433373" w:rsidP="0086714A">
      <w:pPr>
        <w:pStyle w:val="HSLF-FS-Brdtext"/>
      </w:pPr>
      <w:r>
        <w:t>Na temelju poglavlja 9. članka 11. Pravilnika o lijekovima (2015:458), Agencija za medicinske proizvode ovime utvrđuje</w:t>
      </w:r>
      <w:r w:rsidR="00943E19">
        <w:rPr>
          <w:rStyle w:val="FootnoteReference"/>
        </w:rPr>
        <w:footnoteReference w:id="1"/>
      </w:r>
      <w:r>
        <w:t xml:space="preserve"> sljedeće.</w:t>
      </w:r>
    </w:p>
    <w:p w14:paraId="40282447" w14:textId="1A63E6DC" w:rsidR="004315EF" w:rsidRPr="003C3708" w:rsidRDefault="004315EF" w:rsidP="003C3708">
      <w:pPr>
        <w:pStyle w:val="HSLF-FS-Rubrik-2"/>
      </w:pPr>
      <w:r>
        <w:t>Područje primjene</w:t>
      </w:r>
    </w:p>
    <w:p w14:paraId="43B4D568" w14:textId="33FF8A54" w:rsidR="003C3708" w:rsidRPr="003C3708" w:rsidRDefault="00ED6DD8" w:rsidP="003C3708">
      <w:pPr>
        <w:pStyle w:val="HSLF-FS-Brdtext"/>
        <w:rPr>
          <w:sz w:val="24"/>
          <w:szCs w:val="24"/>
        </w:rPr>
      </w:pPr>
      <w:r>
        <w:rPr>
          <w:b/>
        </w:rPr>
        <w:t>Članak 1.</w:t>
      </w:r>
      <w:r>
        <w:t xml:space="preserve"> Ovi Propisi primjenjuju se na unos paralelno uvezenih lijekova za humanu primjenu. </w:t>
      </w:r>
    </w:p>
    <w:p w14:paraId="0F413F36" w14:textId="73CF5F55" w:rsidR="003C3708" w:rsidRPr="00BE016C" w:rsidRDefault="003C3708" w:rsidP="00BE016C">
      <w:pPr>
        <w:pStyle w:val="HSLF-FS-Brdtextindragfrstaraden"/>
      </w:pPr>
      <w:r>
        <w:t>Ovi se Propisi ne primjenjuju na lijekove za humanu primjenu za koje je zahtjev za odobrenje preispitan u skladu s Uredbom (EZ) br. 726/2004 Europskog parlamenta i Vijeća od 31. ožujka 2004. o utvrđivanju postupaka odobravanja primjene i postupaka nadzora nad primjenom lijekova koji se rabe u humanoj i veterinarskoj medicini, te uspostavi Europske agencije za lijekove.</w:t>
      </w:r>
    </w:p>
    <w:p w14:paraId="4A80A3E8" w14:textId="02D1B0F7" w:rsidR="003C3708" w:rsidRPr="003C3708" w:rsidRDefault="003C3708" w:rsidP="00C96192">
      <w:pPr>
        <w:pStyle w:val="HSLF-FS-Rubrik-2"/>
        <w:rPr>
          <w:bCs/>
        </w:rPr>
      </w:pPr>
      <w:r>
        <w:t>Definicije</w:t>
      </w:r>
    </w:p>
    <w:p w14:paraId="0A72EFEB" w14:textId="5E3C0889" w:rsidR="00940C6F" w:rsidRDefault="00940C6F" w:rsidP="003C3708">
      <w:pPr>
        <w:pStyle w:val="HSLF-FS-Brdtextindragfrstaraden"/>
        <w:ind w:firstLine="0"/>
      </w:pPr>
      <w:r>
        <w:rPr>
          <w:b/>
        </w:rPr>
        <w:t>Članak 2.</w:t>
      </w:r>
      <w:r>
        <w:t xml:space="preserve"> Pojmovi i koncepti koji se koriste u Zakonu o lijekovima</w:t>
      </w:r>
    </w:p>
    <w:p w14:paraId="04DC6BA2" w14:textId="77777777" w:rsidR="00940C6F" w:rsidRDefault="00940C6F" w:rsidP="003C3708">
      <w:pPr>
        <w:pStyle w:val="HSLF-FS-Brdtextindragfrstaraden"/>
        <w:ind w:firstLine="0"/>
      </w:pPr>
      <w:r>
        <w:t xml:space="preserve">(2015:315) imaju ista značenja u ovim propisima. </w:t>
      </w:r>
    </w:p>
    <w:p w14:paraId="1D091889" w14:textId="083F2529" w:rsidR="003C3708" w:rsidRPr="00BE016C" w:rsidRDefault="00940C6F" w:rsidP="00BE016C">
      <w:pPr>
        <w:pStyle w:val="HSLF-FS-Brdtextindragfrstaraden"/>
      </w:pPr>
      <w:r>
        <w:t>Za potrebe ovih propisa primjenjuju se sljedeće definicije</w:t>
      </w:r>
    </w:p>
    <w:p w14:paraId="4386FD47" w14:textId="64D64BCA" w:rsidR="00940C6F" w:rsidRPr="00BE016C" w:rsidRDefault="00940C6F" w:rsidP="007C2C81">
      <w:pPr>
        <w:pStyle w:val="HSLF-FS-Brdtextindragfrstaraden"/>
      </w:pPr>
      <w:r>
        <w:rPr>
          <w:i/>
        </w:rPr>
        <w:t>paralelni uvoz</w:t>
      </w:r>
      <w:r>
        <w:t xml:space="preserve"> znači ulazak u Švedsku iz zemlje unutar Europskog gospodarskog prostora (EGP) lijeka za humanu primjenu odobrenog za prodaju u Švedskoj i u zemlji izlaska, ali ulaskom u Švedsku </w:t>
      </w:r>
      <w:r>
        <w:lastRenderedPageBreak/>
        <w:t>upravlja subjekt koji nije proizvođač ili nositelj odobrenja za stavljanje u promet,</w:t>
      </w:r>
    </w:p>
    <w:p w14:paraId="19F16786" w14:textId="6540C502" w:rsidR="00940C6F" w:rsidRPr="00BE016C" w:rsidRDefault="00940C6F" w:rsidP="007C2C81">
      <w:pPr>
        <w:pStyle w:val="HSLF-FS-Brdtextindragfrstaraden"/>
      </w:pPr>
      <w:r>
        <w:rPr>
          <w:i/>
        </w:rPr>
        <w:t>paralelni uvoznik</w:t>
      </w:r>
      <w:r>
        <w:t xml:space="preserve"> znači nositelj odobrenja za stavljanje u promet paralelno uvezenih lijekova za humanu primjenu, </w:t>
      </w:r>
    </w:p>
    <w:p w14:paraId="4A759F7F" w14:textId="2F131841" w:rsidR="00F34CB6" w:rsidRPr="00BE016C" w:rsidRDefault="00940C6F" w:rsidP="007C2C81">
      <w:pPr>
        <w:pStyle w:val="HSLF-FS-Brdtextindragfrstaraden"/>
      </w:pPr>
      <w:r>
        <w:rPr>
          <w:i/>
        </w:rPr>
        <w:t>izravno uvezeni lijek za humanu primjenu</w:t>
      </w:r>
      <w:r>
        <w:t xml:space="preserve"> znači lijek na koji u zahtjevu upućuje paralelno uvezeni lijek za humanu primjenu. </w:t>
      </w:r>
    </w:p>
    <w:p w14:paraId="5F711D83" w14:textId="64AA579B" w:rsidR="00FA0F3C" w:rsidRDefault="00646823" w:rsidP="00FA0F3C">
      <w:pPr>
        <w:pStyle w:val="HSLF-FS-Rubrik-2"/>
      </w:pPr>
      <w:r>
        <w:t>Ovlaštenje</w:t>
      </w:r>
    </w:p>
    <w:p w14:paraId="3C655A84" w14:textId="3F878C50" w:rsidR="007732D0" w:rsidRPr="007732D0" w:rsidRDefault="00C445C5" w:rsidP="007732D0">
      <w:pPr>
        <w:pStyle w:val="HSLF-FS-Brdtext"/>
      </w:pPr>
      <w:r>
        <w:rPr>
          <w:b/>
        </w:rPr>
        <w:t>Članak 3.</w:t>
      </w:r>
      <w:r>
        <w:t xml:space="preserve"> Paralelno uvezeni lijek za humanu primjenu ne smije se stavljati u promet dok se ne izda odobrenje. </w:t>
      </w:r>
    </w:p>
    <w:p w14:paraId="51E8069F" w14:textId="6EC36889" w:rsidR="00646823" w:rsidRDefault="00C445C5" w:rsidP="00BE016C">
      <w:pPr>
        <w:pStyle w:val="HSLF-FS-Brdtextindragfrstaraden"/>
      </w:pPr>
      <w:r>
        <w:t xml:space="preserve">Odobrenje za stavljanje u promet paralelno uvezenih lijekova za humanu primjenu vrijedi pet godina. Nakon podnošenja zahtjeva odobrenje se može produljiti na neodređeno vrijeme. Ono što je navedeno na zahtjevu za produljenje odobrenja u poglavlju 4. članku 17. Zakona o lijekovima (2015:315) primjenjuje se na takav zahtjev.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Pr>
          <w:b/>
        </w:rPr>
        <w:t>Članak 4.</w:t>
      </w:r>
      <w:r>
        <w:t xml:space="preserve"> Kako bi se izdalo odobrenje za stavljanje u promet paralelno uvezenih lijekova za humanu primjenu, mora biti ispunjeno sljedeće: </w:t>
      </w:r>
    </w:p>
    <w:p w14:paraId="78F2E1FC" w14:textId="11663A88" w:rsidR="00D8693F" w:rsidRDefault="007C2C81" w:rsidP="007C2C81">
      <w:pPr>
        <w:pStyle w:val="HSLF-FS-Brdtextindragfrstaraden"/>
      </w:pPr>
      <w:r>
        <w:t>1. izravno uvezeni lijek za humanu primjenu već je odobren za stavljanje u promet u Švedskoj kad Agencija za medicinske proizvode zaprimi zahtjev;</w:t>
      </w:r>
    </w:p>
    <w:p w14:paraId="6F54A6D9" w14:textId="772D8B99" w:rsidR="00D8693F" w:rsidRDefault="007C2C81" w:rsidP="007C2C81">
      <w:pPr>
        <w:pStyle w:val="HSLF-FS-Brdtextindragfrstaraden"/>
      </w:pPr>
      <w:r>
        <w:t xml:space="preserve">2. paralelno uvezeni lijek za humanu primjenu ima odobrenje za stavljanje u promet u zemlji izlaska; </w:t>
      </w:r>
    </w:p>
    <w:p w14:paraId="7CAAA569" w14:textId="069A8D5A" w:rsidR="00D8693F" w:rsidRDefault="007C2C81" w:rsidP="007C2C81">
      <w:pPr>
        <w:pStyle w:val="HSLF-FS-Brdtextindragfrstaraden"/>
      </w:pPr>
      <w:r>
        <w:t xml:space="preserve">3. zemlja izlaska je država članica EGP-a i </w:t>
      </w:r>
    </w:p>
    <w:p w14:paraId="1E03DBE1" w14:textId="558CD31C" w:rsidR="00D57B04" w:rsidRDefault="007C2C81" w:rsidP="007C2C81">
      <w:pPr>
        <w:pStyle w:val="HSLF-FS-Brdtextindragfrstaraden"/>
      </w:pPr>
      <w:r>
        <w:t>4. paralelno uvezeni lijek za humanu primjenu dovoljno je sličan izravno uvezenim lijekovima za humanu primjenu.</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Pr>
          <w:b/>
        </w:rPr>
        <w:t>Članak 5.</w:t>
      </w:r>
      <w:r>
        <w:t xml:space="preserve"> Zahtjev za odobrenje za stavljanje u promet paralelno uvezenih lijekova za humanu primjenu uključuje: </w:t>
      </w:r>
    </w:p>
    <w:p w14:paraId="44DA9400" w14:textId="1FC51AA4" w:rsidR="00993A39" w:rsidRDefault="007C2C81" w:rsidP="007C2C81">
      <w:pPr>
        <w:pStyle w:val="HSLF-FS-Brdtextindragfrstaraden"/>
      </w:pPr>
      <w:r>
        <w:t xml:space="preserve">1. informacije i dokumentaciju kako su navedene u Prilogu Propisima; </w:t>
      </w:r>
    </w:p>
    <w:p w14:paraId="419C2964" w14:textId="77A3603F" w:rsidR="00D8693F" w:rsidRPr="00993A39" w:rsidRDefault="007C2C81" w:rsidP="007C2C81">
      <w:pPr>
        <w:pStyle w:val="HSLF-FS-Brdtextindragfrstaraden"/>
      </w:pPr>
      <w:r>
        <w:t xml:space="preserve">2. predloženo označivanje unutarnjeg pakiranja; </w:t>
      </w:r>
    </w:p>
    <w:p w14:paraId="7C0BA453" w14:textId="560BF230" w:rsidR="00D8693F" w:rsidRPr="00993A39" w:rsidRDefault="007C2C81" w:rsidP="007C2C81">
      <w:pPr>
        <w:pStyle w:val="HSLF-FS-Brdtextindragfrstaraden"/>
      </w:pPr>
      <w:r>
        <w:t xml:space="preserve">3. predloženu uputu o lijeku i </w:t>
      </w:r>
    </w:p>
    <w:p w14:paraId="0CFEA5D0" w14:textId="209D1807" w:rsidR="00BE016C" w:rsidRDefault="007C2C81" w:rsidP="007C2C81">
      <w:pPr>
        <w:pStyle w:val="HSLF-FS-Brdtextindragfrstaraden"/>
      </w:pPr>
      <w:r>
        <w:t xml:space="preserve">4. jedan primjerak svih pakiranja i veličine pakiranja, iz zemlje izlaska, namijenjenih za ulazak u Švedsku. </w:t>
      </w:r>
    </w:p>
    <w:p w14:paraId="096B4409" w14:textId="6ECA526F" w:rsidR="00993A39" w:rsidRDefault="00D8693F" w:rsidP="00BE016C">
      <w:pPr>
        <w:pStyle w:val="HSLF-FS-Brdtextindragfrstaraden"/>
      </w:pPr>
      <w:r>
        <w:t xml:space="preserve">Za svaku zemlju izlaska potrebni su zasebni zahtjevi. </w:t>
      </w:r>
    </w:p>
    <w:p w14:paraId="26E87D79" w14:textId="76BBD1B2" w:rsidR="00D8693F" w:rsidRPr="00993A39" w:rsidRDefault="00D8693F" w:rsidP="00BE016C">
      <w:pPr>
        <w:pStyle w:val="HSLF-FS-Brdtextindragfrstaraden"/>
      </w:pPr>
      <w:r>
        <w:t xml:space="preserve">Agencija za medicinske proizvode preispituje zahtjeve za odobrenje za stavljanje u promet paralelno uvezenih lijekova za humanu primjenu nakon plaćanja naknade za podnošenje zahtjeva. </w:t>
      </w:r>
    </w:p>
    <w:p w14:paraId="18053560" w14:textId="5EF14C14" w:rsidR="00993A39" w:rsidRPr="00993A39" w:rsidRDefault="00993A39" w:rsidP="00993A39">
      <w:pPr>
        <w:pStyle w:val="HSLF-FS-Rubrik-2"/>
      </w:pPr>
      <w:r>
        <w:lastRenderedPageBreak/>
        <w:t>Primjena ljudskih bioloških tvari</w:t>
      </w:r>
    </w:p>
    <w:p w14:paraId="7D23B598" w14:textId="2162C899" w:rsidR="00D8693F" w:rsidRDefault="00993A39" w:rsidP="00993A39">
      <w:pPr>
        <w:pStyle w:val="HSLF-FS-Brdtext"/>
      </w:pPr>
      <w:r>
        <w:rPr>
          <w:b/>
        </w:rPr>
        <w:t>Članak 6.</w:t>
      </w:r>
      <w:r>
        <w:t xml:space="preserve"> Osim odobrenja za stavljanje u promet paralelno uvezenih lijekova za humanu primjenu proizvedenih od krvi ili plazme ljudi, osim onog navedenog u članku 5., potrebno je dokumentirati ishodišne materijale, sljedivost i sustave za prijavljivanje ozbiljnih događaja povezanih s potencijalnim rizicima od zaraze. Takva se dokumentacija može zatražiti i ako se zahtjev odnosi na druge ljudske biološke tvari.</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Pr>
          <w:b/>
        </w:rPr>
        <w:t>Članak 7.</w:t>
      </w:r>
      <w:r>
        <w:t xml:space="preserve"> Dokumenti zahtjeva u skladu s člancima 5. i 6. moraju biti sastavljeni na švedskom ili engleskom jeziku.</w:t>
      </w:r>
    </w:p>
    <w:p w14:paraId="1CBA2373" w14:textId="2BEEACD9" w:rsidR="00C96192" w:rsidRPr="00C96192" w:rsidRDefault="00C96192" w:rsidP="00C96192">
      <w:pPr>
        <w:pStyle w:val="HSLF-FS-Rubrik-2"/>
      </w:pPr>
      <w:r>
        <w:t xml:space="preserve">Obavijest </w:t>
      </w:r>
    </w:p>
    <w:p w14:paraId="4CA2F203" w14:textId="6C843A2C" w:rsidR="00C96192" w:rsidRDefault="00C96192" w:rsidP="003E763F">
      <w:pPr>
        <w:pStyle w:val="HSLF-FS-Brdtextindragfrstaraden"/>
        <w:spacing w:line="240" w:lineRule="auto"/>
        <w:ind w:firstLine="0"/>
        <w:rPr>
          <w:b/>
          <w:sz w:val="23"/>
          <w:szCs w:val="23"/>
        </w:rPr>
      </w:pPr>
      <w:r>
        <w:rPr>
          <w:b/>
        </w:rPr>
        <w:t>Članak 8.</w:t>
      </w:r>
      <w:r>
        <w:t xml:space="preserve"> Oni koji namjeravaju paralelno uvesti lijek za humanu primjenu obavješćuju nositelja odobrenja za stavljanje u promet izravno uvezenog lijeka za humanu primjenu. Obavijest se šalje prije stavljanja u promet paralelno uvezenih lijekova za humanu primjenu u Švedskoj.</w:t>
      </w:r>
    </w:p>
    <w:p w14:paraId="3BBDD876" w14:textId="1E41FBDB" w:rsidR="00C96192" w:rsidRDefault="00C96192" w:rsidP="00C96192">
      <w:pPr>
        <w:pStyle w:val="HSLF-FS-Rubrik-2"/>
      </w:pPr>
      <w:r>
        <w:t>Posebna obavijest o paralelnom uvozu iz određenih zemalja</w:t>
      </w:r>
    </w:p>
    <w:p w14:paraId="271E0127" w14:textId="0744D18F" w:rsidR="00C96192" w:rsidRDefault="00C96192" w:rsidP="003E763F">
      <w:pPr>
        <w:pStyle w:val="HSLF-FS-Brdtextindragfrstaraden"/>
        <w:spacing w:line="240" w:lineRule="auto"/>
        <w:ind w:firstLine="0"/>
        <w:rPr>
          <w:b/>
          <w:sz w:val="23"/>
          <w:szCs w:val="23"/>
        </w:rPr>
      </w:pPr>
      <w:r>
        <w:rPr>
          <w:b/>
        </w:rPr>
        <w:t>Članak 9.</w:t>
      </w:r>
      <w:r>
        <w:t xml:space="preserve"> Ako paralelni uvoznik namjerava uvoziti lijekove za humanu primjenu iz Bugarske, Estonije, Hrvatske, Latvije, Litve, Poljske, Rumunjske, Slovačke, Slovenije, Češke ili Mađarske, a izravno uvezeni lijek za humanu primjenu zaštićen je patentima ili svjedodžbom o dodatnoj zaštiti (SDZ), nositelj patenta ili korisnik patenta ili SDZ-a obavješćuje se najkasnije 30 dana prije podnošenja zahtjeva Agenciji za medicinske proizvode. Obavijest se dostavlja osim ako je predviđena ista mogućnost patentne zaštite ili SDZ-a za lijek za humanu primjenu u zemlji izlaska kao i za izravno uvezeni lijek za humanu primjenu u trenutku podnošenja zahtjeva za odobrenje. </w:t>
      </w:r>
    </w:p>
    <w:p w14:paraId="4EBBEDAE" w14:textId="77777777" w:rsidR="00C96192" w:rsidRPr="00C96192" w:rsidRDefault="00C96192" w:rsidP="00C96192">
      <w:pPr>
        <w:pStyle w:val="HSLF-FS-Rubrik-2"/>
      </w:pPr>
      <w:r>
        <w:t xml:space="preserve">Naknade </w:t>
      </w:r>
    </w:p>
    <w:p w14:paraId="5F02B637" w14:textId="6289BF54" w:rsidR="00C96192" w:rsidRDefault="00C96192" w:rsidP="003E763F">
      <w:pPr>
        <w:pStyle w:val="HSLF-FS-Brdtextindragfrstaraden"/>
        <w:spacing w:line="240" w:lineRule="auto"/>
        <w:ind w:firstLine="0"/>
        <w:rPr>
          <w:b/>
          <w:sz w:val="23"/>
          <w:szCs w:val="23"/>
        </w:rPr>
      </w:pPr>
      <w:r>
        <w:rPr>
          <w:b/>
        </w:rPr>
        <w:t>Članak 10.</w:t>
      </w:r>
      <w:r>
        <w:t xml:space="preserve"> Odredbe o naknadama dostupne su u Uredbi (2010:1167) o naknadama za državni nadzor nad lijekovima.</w:t>
      </w:r>
    </w:p>
    <w:p w14:paraId="5E4625DC" w14:textId="77777777" w:rsidR="008E0BB7" w:rsidRDefault="008E0BB7" w:rsidP="008E0BB7">
      <w:pPr>
        <w:pStyle w:val="HSLF-FS-Rubrik-2"/>
      </w:pPr>
      <w:r>
        <w:t xml:space="preserve">Sažeci opisa svojstava lijeka </w:t>
      </w:r>
    </w:p>
    <w:p w14:paraId="4879FB44" w14:textId="69BB98B3" w:rsidR="008E0BB7" w:rsidRDefault="008E0BB7" w:rsidP="003E763F">
      <w:pPr>
        <w:pStyle w:val="HSLF-FS-Brdtextindragfrstaraden"/>
        <w:spacing w:line="240" w:lineRule="auto"/>
        <w:ind w:firstLine="0"/>
      </w:pPr>
      <w:r>
        <w:rPr>
          <w:b/>
        </w:rPr>
        <w:t>Članak 11.</w:t>
      </w:r>
      <w:r>
        <w:t xml:space="preserve"> Sažetak opisa svojstava lijeka za izravno uvezeni lijek za humanu primjenu vrijedi </w:t>
      </w:r>
      <w:r>
        <w:rPr>
          <w:i/>
          <w:iCs/>
        </w:rPr>
        <w:t>mutatis mutandis</w:t>
      </w:r>
      <w:r>
        <w:t xml:space="preserve"> i za paralelno uvezeni lijek za humanu primjenu. </w:t>
      </w:r>
    </w:p>
    <w:p w14:paraId="0262828E" w14:textId="6DA76E30" w:rsidR="008E0BB7" w:rsidRDefault="008E0BB7" w:rsidP="006828FD">
      <w:pPr>
        <w:pStyle w:val="HSLF-FS-Brdtextindragfrstaraden"/>
      </w:pPr>
      <w:r>
        <w:t xml:space="preserve">Ako izravno uvezeni lijek za humanu primjenu više nije odobren za stavljanje u promet u Švedskoj i nema sažetak opisa svojstava lijeka, </w:t>
      </w:r>
      <w:r>
        <w:lastRenderedPageBreak/>
        <w:t xml:space="preserve">paralelni uvoznik podnosi zahtjev za prelazak na drugi odgovarajući sažetak opisa svojstava lijeka. </w:t>
      </w:r>
    </w:p>
    <w:p w14:paraId="64CC7F95" w14:textId="4B4B24CF" w:rsidR="00013C90" w:rsidRDefault="008E0BB7" w:rsidP="009C696F">
      <w:pPr>
        <w:pStyle w:val="HSLF-FS-Brdtextindragfrstaraden"/>
      </w:pPr>
      <w:r>
        <w:t>Ako ne postoji odgovarajući sažetak opisa svojstava lijeka u skladu s drugim stavkom, paralelni uvoznik dostavlja sažetak opisa svojstava lijeka na švedskom jeziku za paralelno uvezeni lijek za humanu primjenu. Pri sastavljanju sažetka opisa svojstava lijeka, potonji se sastavlja u skladu s [Propisima (HSLF-FS 2021:xx) Agencije za medicinske proizvode o odobrenju za stavljanje u promet lijekova za humanu primjenu].</w:t>
      </w:r>
      <w:r>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t>Označivanje i uputa o lijeku</w:t>
      </w:r>
    </w:p>
    <w:p w14:paraId="0C51A248" w14:textId="3B7E3855" w:rsidR="008E0BB7" w:rsidRPr="00FB7D99" w:rsidRDefault="008E0BB7" w:rsidP="003E763F">
      <w:pPr>
        <w:pStyle w:val="HSLF-FS-Brdtextindragfrstaraden"/>
        <w:spacing w:line="240" w:lineRule="auto"/>
        <w:ind w:firstLine="0"/>
        <w:rPr>
          <w:b/>
          <w:sz w:val="23"/>
          <w:szCs w:val="23"/>
        </w:rPr>
      </w:pPr>
      <w:r>
        <w:rPr>
          <w:b/>
        </w:rPr>
        <w:t>Članak 12.</w:t>
      </w:r>
      <w:r>
        <w:t xml:space="preserve"> Označivanje i naziv moraju biti oblikovani u skladu s [Propisima (HSLF-FS 2021:xx) Agencije za medicinske proizvode o označivanju i uputi o lijeku za lijekove za humanu primjenu]. Osim toga, mora se poštovati sljedeće.</w:t>
      </w:r>
    </w:p>
    <w:p w14:paraId="4B08A15A" w14:textId="77777777" w:rsidR="003F4B7D" w:rsidRDefault="003F4B7D" w:rsidP="003F4B7D">
      <w:pPr>
        <w:pStyle w:val="HSLF-FS-Brdtextindragfrstaraden"/>
      </w:pPr>
      <w:r>
        <w:t xml:space="preserve">1. Na unutarnjem i vanjskom pakiranju moraju biti navedeni nazivi i adrese proizvođača, paralelnog uvoznika i prepakiratelja. Umjesto imena i adrese proizvođača može se navesti odgovarajući naziv. </w:t>
      </w:r>
    </w:p>
    <w:p w14:paraId="40E0DA30" w14:textId="0F35B829" w:rsidR="00FB7D99" w:rsidRDefault="003F4B7D" w:rsidP="003F4B7D">
      <w:pPr>
        <w:pStyle w:val="HSLF-FS-Brdtextindragfrstaraden"/>
      </w:pPr>
      <w:r>
        <w:t xml:space="preserve">2. Ako paralelno uvezeni lijek za humanu primjenu u bilo kojem pogledu odstupa od izravno uvezenog lijeka za humanu primjenu, vanjsko pakiranje mora na odgovarajući način biti označeno tekstom. </w:t>
      </w:r>
    </w:p>
    <w:p w14:paraId="476EACF4" w14:textId="7E57E8A4" w:rsidR="00FB7D99" w:rsidRDefault="008E0BB7" w:rsidP="006828FD">
      <w:pPr>
        <w:pStyle w:val="HSLF-FS-Brdtextindragfrstaraden"/>
      </w:pPr>
      <w:r>
        <w:t xml:space="preserve">Iznimno od točke 1. prvog stavka, na unutarnjem pakiranju u obliku blistera i drugom malom unutarnjem pakiranju mogu se nalaziti samo podaci navedeni u člancima od 3. do 4. [HSLF-FS 2021:xx] i naziv paralelnog uvoznika. </w:t>
      </w:r>
    </w:p>
    <w:p w14:paraId="48B7FB75" w14:textId="6CEE253F" w:rsidR="008E0BB7" w:rsidRPr="00FB7D99" w:rsidRDefault="008E0BB7" w:rsidP="006828FD">
      <w:pPr>
        <w:pStyle w:val="HSLF-FS-Brdtextindragfrstaraden"/>
      </w:pPr>
      <w:r>
        <w:t>Na pakiranju se može nalaziti strani tekst ako sadržaj teksta nije u suprotnosti s onim koji je naveden na naljepnici na švedskom jeziku.</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Pr>
          <w:b/>
        </w:rPr>
        <w:t>Članak 13.</w:t>
      </w:r>
      <w:r>
        <w:t xml:space="preserve"> Upute o lijeku sastavljaju se u skladu s [Propisima (HSLF-FS 2021:xx) Agencije za medicinske proizvode o označivanju i uputi o lijeku za lijekove za humanu primjenu]. Sadržaj upute o lijeku slijedi uputu o lijeku za izravno uvezeni lijek za humanu primjenu, ali se prilagođava za paralelno uvezeni lijek za humanu primjenu. </w:t>
      </w:r>
    </w:p>
    <w:p w14:paraId="320F43CC" w14:textId="18B3DC58" w:rsidR="008E0BB7" w:rsidRDefault="00FB7D99" w:rsidP="00290C54">
      <w:pPr>
        <w:pStyle w:val="HSLF-FS-Brdtextindragfrstaraden"/>
        <w:rPr>
          <w:b/>
          <w:sz w:val="23"/>
          <w:szCs w:val="23"/>
        </w:rPr>
      </w:pPr>
      <w:r>
        <w:t>Uz naziv i adresu proizvođača, nazivi i adrese paralelnog uvoznika i prepakiratelja također se navode u uputi o lijeku. Umjesto imena i adrese proizvođača može se navesti odgovarajući naziv.</w:t>
      </w:r>
    </w:p>
    <w:p w14:paraId="2AAFFEDA" w14:textId="7B80763D" w:rsidR="00FB7D99" w:rsidRPr="00FB7D99" w:rsidRDefault="00290C54" w:rsidP="000A25FC">
      <w:pPr>
        <w:pStyle w:val="HSLF-FS-Rubrik-2"/>
      </w:pPr>
      <w:r>
        <w:t xml:space="preserve">Naziv lijeka za humanu primjenu </w:t>
      </w:r>
    </w:p>
    <w:p w14:paraId="7D3512EF" w14:textId="6DC83553" w:rsidR="008E0BB7" w:rsidRDefault="00FB7D99" w:rsidP="003E763F">
      <w:pPr>
        <w:pStyle w:val="HSLF-FS-Brdtextindragfrstaraden"/>
        <w:spacing w:line="240" w:lineRule="auto"/>
        <w:ind w:firstLine="0"/>
        <w:rPr>
          <w:b/>
          <w:sz w:val="23"/>
          <w:szCs w:val="23"/>
        </w:rPr>
      </w:pPr>
      <w:r>
        <w:rPr>
          <w:b/>
        </w:rPr>
        <w:t>Članak 14.</w:t>
      </w:r>
      <w:r>
        <w:t xml:space="preserve"> Uz ono što je navedeno o nazivu lijeka za humanu primjenu u članku 1. [Propisa (HSLF-FS 2021:xx) Agencije za medicinske proizvode o označivanju i uputi o lijeku za lijekove za humanu primjenu], paralelno uvezeni lijek za humanu primjenu može imati isti naziv kao i izravno uvezeni lijek za humanu primjenu. </w:t>
      </w:r>
    </w:p>
    <w:p w14:paraId="794E867C" w14:textId="77777777" w:rsidR="000A25FC" w:rsidRPr="000A25FC" w:rsidRDefault="000A25FC" w:rsidP="000A25FC">
      <w:pPr>
        <w:pStyle w:val="HSLF-FS-Rubrik-2"/>
      </w:pPr>
      <w:r>
        <w:lastRenderedPageBreak/>
        <w:t xml:space="preserve">Rok valjanosti i skladištenje </w:t>
      </w:r>
    </w:p>
    <w:p w14:paraId="0710B930" w14:textId="7F9BD9E7" w:rsidR="000A25FC" w:rsidRDefault="000A25FC" w:rsidP="003E763F">
      <w:pPr>
        <w:pStyle w:val="HSLF-FS-Brdtextindragfrstaraden"/>
        <w:spacing w:line="240" w:lineRule="auto"/>
        <w:ind w:firstLine="0"/>
      </w:pPr>
      <w:r>
        <w:rPr>
          <w:b/>
        </w:rPr>
        <w:t>Članak 15.</w:t>
      </w:r>
      <w:r>
        <w:t xml:space="preserve"> Paralelno uvezeni lijek za humanu primjenu mora imati isti rok valjanosti kao i lijek za humanu primjenu u zemlji izlaska, osim ako uvjeti u pojedinačnom slučaju ne nalažu drukčije. Rok valjanosti navodi se za neotvorenu ambalažu i, ako je primjenjivo, za otvoreno pakiranje. Ako lijek za humanu primjenu treba dopuniti ljekarna, uvijek se navodi rok valjanosti otvorenog pakiranja. </w:t>
      </w:r>
    </w:p>
    <w:p w14:paraId="44C7A83A" w14:textId="67503CB7" w:rsidR="000A25FC" w:rsidRPr="00290C54" w:rsidRDefault="000A25FC" w:rsidP="00290C54">
      <w:pPr>
        <w:pStyle w:val="HSLF-FS-Brdtextindragfrstaraden"/>
      </w:pPr>
      <w:r>
        <w:t xml:space="preserve">U slučajevima kad se tijekom prepakiranja otvara sekundarno pakiranje i to utječe na stabilnost lijeka za humanu primjenu, rok valjanosti na novom pakiranju mora se dokumentirati i navesti. </w:t>
      </w:r>
    </w:p>
    <w:p w14:paraId="249CDA8A" w14:textId="377748F5" w:rsidR="008E0BB7" w:rsidRPr="00290C54" w:rsidRDefault="000A25FC" w:rsidP="00290C54">
      <w:pPr>
        <w:pStyle w:val="HSLF-FS-Brdtextindragfrstaraden"/>
      </w:pPr>
      <w:r>
        <w:t>Paralelno uvezeni lijek za humanu primjenu mora imati iste upute za čuvanje kao i izravno uvezeni lijek za humanu primjenu, osim ako uvjeti u pojedinačnom slučaju ne nalažu drukčije.</w:t>
      </w:r>
    </w:p>
    <w:p w14:paraId="7DE657BA" w14:textId="77777777" w:rsidR="000A25FC" w:rsidRDefault="000A25FC" w:rsidP="000A25FC">
      <w:pPr>
        <w:pStyle w:val="HSLF-FS-Rubrik-2"/>
      </w:pPr>
      <w:r>
        <w:t xml:space="preserve">Izvješćivanje o nuspojavama </w:t>
      </w:r>
    </w:p>
    <w:p w14:paraId="104B7DFF" w14:textId="024946B8" w:rsidR="000A25FC" w:rsidRDefault="000A25FC" w:rsidP="003E763F">
      <w:pPr>
        <w:pStyle w:val="HSLF-FS-Brdtextindragfrstaraden"/>
        <w:spacing w:line="240" w:lineRule="auto"/>
        <w:ind w:firstLine="0"/>
      </w:pPr>
      <w:r>
        <w:rPr>
          <w:b/>
        </w:rPr>
        <w:t>Članak 16.</w:t>
      </w:r>
      <w:r>
        <w:t xml:space="preserve"> Paralelni uvoznik prijavljuje sve sumnje na nuspojave povezane s paralelno uvezenim lijekom za humanu primjenu subjektu s odobrenjem za stavljanje u promet izravno uvezenog lijeka za humanu primjenu u Švedskoj. </w:t>
      </w:r>
    </w:p>
    <w:p w14:paraId="24B618C9" w14:textId="4D8E993E" w:rsidR="008F3292" w:rsidRPr="00290C54" w:rsidRDefault="000A25FC" w:rsidP="00290C54">
      <w:pPr>
        <w:pStyle w:val="HSLF-FS-Brdtextindragfrstaraden"/>
      </w:pPr>
      <w:r>
        <w:t xml:space="preserve">Umjesto toga, izvješće o nuspojavama šalje se subjektu s odobrenjem za stavljanje u promet lijeka za humanu primjenu u državi izlaska ako </w:t>
      </w:r>
    </w:p>
    <w:p w14:paraId="4371C89C" w14:textId="0C7F327B" w:rsidR="000A25FC" w:rsidRDefault="003F4B7D" w:rsidP="003F4B7D">
      <w:pPr>
        <w:pStyle w:val="HSLF-FS-Brdtextindragfrstaraden"/>
      </w:pPr>
      <w:r>
        <w:t xml:space="preserve">— subjekt s odobrenjem za stavljanje u promet izravno uvezenog lijeka za humanu primjenu nema odobrenje za stavljanje u promet lijeka za humanu primjenu i u zemlji izlaska, ili </w:t>
      </w:r>
    </w:p>
    <w:p w14:paraId="06143F8F" w14:textId="06C05CA6" w:rsidR="000A25FC" w:rsidRDefault="003F4B7D" w:rsidP="003F4B7D">
      <w:pPr>
        <w:pStyle w:val="HSLF-FS-Brdtextindragfrstaraden"/>
      </w:pPr>
      <w:r>
        <w:t xml:space="preserve">— izravno uvezeni lijek za humanu primjenu više nije odobren za stavljanje u promet u Švedskoj. </w:t>
      </w:r>
    </w:p>
    <w:p w14:paraId="24DE6638" w14:textId="24E9A8A4" w:rsidR="000A25FC" w:rsidRDefault="000A25FC" w:rsidP="00290C54">
      <w:pPr>
        <w:pStyle w:val="HSLF-FS-Brdtextindragfrstaraden"/>
      </w:pPr>
      <w:r>
        <w:t xml:space="preserve">Sumnje na nuspojave prijavljuju se što je prije moguće nakon što je paralelni uvoznik obaviješten o takvim informacijama. Izvješće o nuspojavama šalje se primatelju u Švedskoj u roku od sedam dana. Izvješće o nuspojavama za primatelja u drugoj zemlji prevodi se na engleski ili na drugi jezik koji primatelj razumije, a šalje se u roku od deset dana. Ako primatelj izvješća o nuspojavama zatraži dodatne informacije, paralelni uvoznik uvijek ih je dužan dostaviti. </w:t>
      </w:r>
    </w:p>
    <w:p w14:paraId="5C8B5B90" w14:textId="26F662AA" w:rsidR="008F3292" w:rsidRDefault="008F3292" w:rsidP="008F3292">
      <w:pPr>
        <w:pStyle w:val="HSLF-FS-Rubrik-2"/>
      </w:pPr>
      <w:r>
        <w:t xml:space="preserve">Odobrenje za proizvodnju i dobra proizvođačka praksa </w:t>
      </w:r>
    </w:p>
    <w:p w14:paraId="0F97AC9B" w14:textId="11B01259" w:rsidR="006E4323" w:rsidRPr="007C0355" w:rsidRDefault="008F3292" w:rsidP="003E763F">
      <w:pPr>
        <w:pStyle w:val="HSLF-FS-Brdtextindragfrstaraden"/>
        <w:spacing w:line="240" w:lineRule="auto"/>
        <w:ind w:firstLine="0"/>
      </w:pPr>
      <w:r>
        <w:rPr>
          <w:b/>
        </w:rPr>
        <w:t>Članak 17.</w:t>
      </w:r>
      <w:r>
        <w:t xml:space="preserve"> Prepakiranje ili ponovno označivanje zahtijeva posebno odobrenje za proizvodnju izdano u državi unutar Europskog gospodarskog prostora. Odredbe o tome nalaze se u [Propisima (HSLF-FS 2021:xx) Agencije za medicinske proizvode o odobrenju za proizvodnju i uvoz lijekova]. </w:t>
      </w:r>
    </w:p>
    <w:p w14:paraId="02B2FF9E" w14:textId="55E1DF14" w:rsidR="008F3292" w:rsidRDefault="008F3292" w:rsidP="006E4323">
      <w:pPr>
        <w:pStyle w:val="HSLF-FS-Brdtextindragfrstaraden"/>
      </w:pPr>
      <w:r>
        <w:t xml:space="preserve">Prepakiranje i ponovno označivanje obavlja se u skladu s Propisima (LVFS 2004:6) Agencije za medicinske proizvode o dobroj </w:t>
      </w:r>
      <w:r>
        <w:lastRenderedPageBreak/>
        <w:t xml:space="preserve">proizvođačkoj praksi i tako da to ne utječe na izvornu prirodu lijeka za humanu primjenu. </w:t>
      </w:r>
    </w:p>
    <w:p w14:paraId="0A73CF5B" w14:textId="77777777" w:rsidR="008F3292" w:rsidRDefault="008F3292" w:rsidP="008F3292">
      <w:pPr>
        <w:pStyle w:val="HSLF-FS-Rubrik-2"/>
      </w:pPr>
      <w:r>
        <w:t xml:space="preserve">Veleprodaja </w:t>
      </w:r>
    </w:p>
    <w:p w14:paraId="0F4425C6" w14:textId="2B113FB5" w:rsidR="008F3292" w:rsidRPr="007123B4" w:rsidRDefault="008F3292" w:rsidP="007123B4">
      <w:pPr>
        <w:pStyle w:val="HSLF-FS-Brdtextindragfrstaraden"/>
        <w:spacing w:line="240" w:lineRule="auto"/>
        <w:ind w:firstLine="0"/>
        <w:rPr>
          <w:b/>
          <w:sz w:val="23"/>
          <w:szCs w:val="23"/>
        </w:rPr>
      </w:pPr>
      <w:r>
        <w:rPr>
          <w:b/>
        </w:rPr>
        <w:t>Članak 18.</w:t>
      </w:r>
      <w:r>
        <w:t xml:space="preserve"> U skladu s poglavljem 3. člankom 1. Zakona (2009:366) o trgovini lijekovima, trgovina na veliko lijekovima dopuštena je samo onima koji su za to ovlašteni. Dodatne odredbe mogu se pronaći u [Popisima (HSLF-FS 2021:xx) Agencije za medicinske proizvode o trgovini na veliko lijekovima]. </w:t>
      </w:r>
    </w:p>
    <w:p w14:paraId="360AECBE" w14:textId="0C72E25D" w:rsidR="007123B4" w:rsidRPr="007123B4" w:rsidRDefault="009316D3" w:rsidP="007123B4">
      <w:pPr>
        <w:pStyle w:val="HSLF-FS-Rubrik-2"/>
      </w:pPr>
      <w:r>
        <w:t xml:space="preserve">Opojni lijekovi za humanu primjenu </w:t>
      </w:r>
    </w:p>
    <w:p w14:paraId="4031F41B" w14:textId="10107744" w:rsidR="007123B4" w:rsidRDefault="007123B4" w:rsidP="007123B4">
      <w:pPr>
        <w:pStyle w:val="HSLF-FS-Brdtext"/>
      </w:pPr>
      <w:r>
        <w:rPr>
          <w:b/>
        </w:rPr>
        <w:t>Članak 19.</w:t>
      </w:r>
      <w:r>
        <w:t xml:space="preserve"> Propisi (LVFS 2011:9) Agencije za medicinske proizvode o kontroli opojnih droga sadrže odredbe o postupanju s opojnim lijekovima.</w:t>
      </w:r>
    </w:p>
    <w:p w14:paraId="17F65349" w14:textId="2066661A" w:rsidR="007123B4" w:rsidRDefault="007123B4" w:rsidP="007123B4">
      <w:pPr>
        <w:pStyle w:val="HSLF-FS-Rubrik-2"/>
      </w:pPr>
      <w:r>
        <w:t xml:space="preserve">Prodaja paralelno uvezenih cjepiva i krvnih pripravaka za humanu primjenu </w:t>
      </w:r>
    </w:p>
    <w:p w14:paraId="2AFF90DC" w14:textId="54B5CB77" w:rsidR="008F3292" w:rsidRPr="007123B4" w:rsidRDefault="007123B4" w:rsidP="007123B4">
      <w:pPr>
        <w:pStyle w:val="HSLF-FS-Brdtextindragfrstaraden"/>
        <w:ind w:firstLine="0"/>
      </w:pPr>
      <w:r>
        <w:rPr>
          <w:b/>
        </w:rPr>
        <w:t>Članak 20.</w:t>
      </w:r>
      <w:r>
        <w:t xml:space="preserve"> Propisi (HSLF-FS 2015:14) Agencije za medicinske proizvode o stavljanju na tržište proizvodnih serija cjepiva i krvnih pripravaka za humanu primjenu sadrže odredbe o proizvodnim serijama cjepiva i krvnih pripravaka za humanu primjenu koji će se prodavati na švedskom tržištu. </w:t>
      </w:r>
    </w:p>
    <w:p w14:paraId="2CA1CC04" w14:textId="7FD4BDCA" w:rsidR="007123B4" w:rsidRDefault="007123B4" w:rsidP="007123B4">
      <w:pPr>
        <w:pStyle w:val="HSLF-FS-Rubrik-2"/>
      </w:pPr>
      <w:r>
        <w:t>Promjene i opozivi</w:t>
      </w:r>
    </w:p>
    <w:p w14:paraId="5663B19E" w14:textId="659FBF44" w:rsidR="000A25FC" w:rsidRDefault="007123B4" w:rsidP="003E763F">
      <w:pPr>
        <w:pStyle w:val="HSLF-FS-Brdtextindragfrstaraden"/>
        <w:spacing w:line="240" w:lineRule="auto"/>
        <w:ind w:firstLine="0"/>
        <w:rPr>
          <w:b/>
          <w:sz w:val="23"/>
          <w:szCs w:val="23"/>
        </w:rPr>
      </w:pPr>
      <w:r>
        <w:rPr>
          <w:b/>
        </w:rPr>
        <w:t>Članak 21.</w:t>
      </w:r>
      <w:r>
        <w:t xml:space="preserve"> Paralelni uvoznik obavješćuje se o svim promjenama lijeka za humanu primjenu odobrenog u zemlji izlaska ili izravno uvezenog lijeka za humanu primjenu koje mogu biti značajne za odobrenje za stavljanje u promet paralelno uvezenog lijeka za humanu primjenu. Paralelni uvoznik obavješćuje Agenciju za medicinske proizvode o takvim promjenama.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Pr>
          <w:b/>
        </w:rPr>
        <w:t>Članak 22.</w:t>
      </w:r>
      <w:r>
        <w:t xml:space="preserve"> Paralelni uvoznik podnosi zahtjev za potrebne izmjene odobrenja za stavljanje u promet paralelno uvezenih lijekova za humanu primjenu. </w:t>
      </w:r>
    </w:p>
    <w:p w14:paraId="4910B7CC" w14:textId="6F5BCDE4" w:rsidR="007123B4" w:rsidRDefault="007123B4" w:rsidP="007123B4">
      <w:pPr>
        <w:pStyle w:val="HSLF-FS-Brdtextindragfrstaraden"/>
      </w:pPr>
      <w:r>
        <w:t xml:space="preserve">U slučaju značajnih promjena odobrenja u zemlji izlaska, izmijenjeni paralelno uvezeni lijek za humanu primjenu ne smije se prodavati sve dok Agencija za medicinske proizvode ne odobri odgovarajuće izmjene.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Pr>
          <w:b/>
        </w:rPr>
        <w:t>Članak 23.</w:t>
      </w:r>
      <w:r>
        <w:t xml:space="preserve"> Ako se odobrenje za stavljanje u promet paralelno uvezenog lijeka za humanu primjenu u zemlji izlaska ili izravno uvezenog lijeka za humanu primjenu u Švedskoj opozove iz razloga koji se odnose na kakvoću, učinak ili sigurnost, odobrenje za </w:t>
      </w:r>
      <w:r>
        <w:lastRenderedPageBreak/>
        <w:t xml:space="preserve">stavljanje u promet paralelno uvezenog lijeka za humanu primjenu također se ukida. </w:t>
      </w:r>
    </w:p>
    <w:p w14:paraId="1F883E64" w14:textId="518B5776" w:rsidR="007123B4" w:rsidRDefault="0091535B" w:rsidP="007C0355">
      <w:pPr>
        <w:pStyle w:val="HSLF-FS-Brdtextindragfrstaraden"/>
      </w:pPr>
      <w:r>
        <w:t xml:space="preserve">Odobrenje za stavljanje u promet paralelno uvezenih lijekova za humanu primjenu može se opozvati u skladu s poglavljem 11. člankom 2. Zakona o lijekovima (2015:315) čak i u slučajevima koji nisu navedeni u prvom stavku. </w:t>
      </w:r>
    </w:p>
    <w:p w14:paraId="55C307F2" w14:textId="77777777" w:rsidR="007E61A7" w:rsidRDefault="007E61A7" w:rsidP="007E61A7">
      <w:pPr>
        <w:pStyle w:val="HSLF-FS-Rubrik-2"/>
      </w:pPr>
      <w:r>
        <w:t xml:space="preserve">Izuzeće </w:t>
      </w:r>
    </w:p>
    <w:p w14:paraId="089664DD" w14:textId="02B58EA2" w:rsidR="00153F3E" w:rsidRDefault="007E61A7" w:rsidP="003E763F">
      <w:pPr>
        <w:pStyle w:val="HSLF-FS-Brdtextindragfrstaraden"/>
        <w:spacing w:line="240" w:lineRule="auto"/>
        <w:ind w:firstLine="0"/>
      </w:pPr>
      <w:r>
        <w:rPr>
          <w:b/>
        </w:rPr>
        <w:t>Članak 24.</w:t>
      </w:r>
      <w:r>
        <w:t xml:space="preserve"> Agencija za medicinske proizvode može, ako postoje posebni razlozi, izdati izuzeće (oslobođenje) od odredaba ovih Propisa. Međutim, izuzeća se ne mogu odobriti ako bi to dovelo do nepoštovanja obveza Švedske na temelju prava EU-a.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pPr>
      <w:r>
        <w:t>1. Ovi Propisi stupaju na snagu 28. siječnja 2022.</w:t>
      </w:r>
    </w:p>
    <w:p w14:paraId="33DB6D78" w14:textId="77777777" w:rsidR="00735042" w:rsidRDefault="00735042" w:rsidP="00735042">
      <w:pPr>
        <w:pStyle w:val="HSLF-FS-Brdtextindragfrstaraden"/>
      </w:pPr>
      <w:r>
        <w:t>2. Propisima se stavljaju izvan snage Propisi Agencije za medicinske proizvode (LVFS 2012:19) o paralelno uvezenim lijekovima.</w:t>
      </w:r>
    </w:p>
    <w:p w14:paraId="0EAC64C7" w14:textId="4D1C2588" w:rsidR="00420658" w:rsidRPr="00420658" w:rsidRDefault="00735042" w:rsidP="00735042">
      <w:pPr>
        <w:pStyle w:val="HSLF-FS-Brdtextindragfrstaraden"/>
      </w:pPr>
      <w:r>
        <w:t>3. Odobrenja izdana na temelju Propisa (LVFS 2012:19) Agencije za medicinske proizvode o paralelno uvezenim lijekovima vrijede kao odobrenja u skladu s novim propisima.</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Agencija za medicinske proizvode</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pPr>
      <w:r>
        <w:t>Joakim Brandberg</w:t>
      </w:r>
    </w:p>
    <w:p w14:paraId="7366BBE6" w14:textId="47434929" w:rsidR="007E61A7" w:rsidRPr="00704454" w:rsidRDefault="00704454" w:rsidP="00704454">
      <w:pPr>
        <w:spacing w:after="0" w:line="240" w:lineRule="auto"/>
        <w:rPr>
          <w:color w:val="000000" w:themeColor="text1"/>
          <w:sz w:val="21"/>
        </w:rPr>
      </w:pPr>
      <w:r>
        <w:br w:type="page"/>
      </w:r>
    </w:p>
    <w:p w14:paraId="22C3C0F2" w14:textId="2C3FF8C5" w:rsidR="007E61A7" w:rsidRPr="00642B0F" w:rsidRDefault="00642B0F" w:rsidP="00642B0F">
      <w:pPr>
        <w:pStyle w:val="HSLF-FS-Rubrik-3"/>
        <w:rPr>
          <w:b w:val="0"/>
          <w:bCs/>
        </w:rPr>
      </w:pPr>
      <w:r>
        <w:rPr>
          <w:b w:val="0"/>
        </w:rPr>
        <w:lastRenderedPageBreak/>
        <w:t>Prilog</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Uz zahtjeve za odobrenje za stavljanje u promet paralelno uvezenih lijekova za humanu primjenu prilažu se sljedeće informacije i dokumentacija: </w:t>
      </w:r>
    </w:p>
    <w:p w14:paraId="514029D8" w14:textId="09560852" w:rsidR="007E61A7" w:rsidRDefault="00F11B34" w:rsidP="00F11B34">
      <w:pPr>
        <w:pStyle w:val="HSLF-FS-Brdtextindragfrstaraden"/>
      </w:pPr>
      <w:r>
        <w:t xml:space="preserve">1. Ime ili trgovačko ime podnositelja zahtjeva i poštanska adresa te podaci za kontakt osobe određene za kontakt za zahtjev. </w:t>
      </w:r>
    </w:p>
    <w:p w14:paraId="78C7D29E" w14:textId="45857F42" w:rsidR="007E61A7" w:rsidRDefault="00F11B34" w:rsidP="00F11B34">
      <w:pPr>
        <w:pStyle w:val="HSLF-FS-Brdtextindragfrstaraden"/>
      </w:pPr>
      <w:r>
        <w:t xml:space="preserve">2. Ime i poštanska adresa lokalnih predstavnika. </w:t>
      </w:r>
    </w:p>
    <w:p w14:paraId="6E6F4A97" w14:textId="6CCF807F" w:rsidR="007E61A7" w:rsidRDefault="00F11B34" w:rsidP="00F11B34">
      <w:pPr>
        <w:pStyle w:val="HSLF-FS-Brdtextindragfrstaraden"/>
      </w:pPr>
      <w:r>
        <w:t xml:space="preserve">3. Naziv lijeka za humanu primjenu, farmaceutski oblik, jačina i putovi primjene. </w:t>
      </w:r>
    </w:p>
    <w:p w14:paraId="55C449F3" w14:textId="57258547" w:rsidR="007E61A7" w:rsidRDefault="00F11B34" w:rsidP="00F11B34">
      <w:pPr>
        <w:pStyle w:val="HSLF-FS-Brdtextindragfrstaraden"/>
      </w:pPr>
      <w:r>
        <w:t xml:space="preserve">4. Zemlja EGP-a iz koje izlazi lijek za humanu primjenu. </w:t>
      </w:r>
    </w:p>
    <w:p w14:paraId="085E440B" w14:textId="39BE4E98" w:rsidR="007E61A7" w:rsidRDefault="00F11B34" w:rsidP="00F11B34">
      <w:pPr>
        <w:pStyle w:val="HSLF-FS-Brdtextindragfrstaraden"/>
      </w:pPr>
      <w:r>
        <w:t xml:space="preserve">5. Informacije da je obavijest u skladu s člankom 8. Uredbe dostavljena ili će biti dostavljena. </w:t>
      </w:r>
    </w:p>
    <w:p w14:paraId="75DF96D8" w14:textId="03425D6C" w:rsidR="007E61A7" w:rsidRDefault="00F11B34" w:rsidP="00F11B34">
      <w:pPr>
        <w:pStyle w:val="HSLF-FS-Brdtextindragfrstaraden"/>
      </w:pPr>
      <w:r>
        <w:t xml:space="preserve">6. Informacije o tome da se provodi obavijest u skladu s člankom 9. Uredbe i o tome je li takva obavijest već izvršena. </w:t>
      </w:r>
    </w:p>
    <w:p w14:paraId="3BDB4718" w14:textId="71F61822" w:rsidR="007E61A7" w:rsidRDefault="00F11B34" w:rsidP="00F11B34">
      <w:pPr>
        <w:pStyle w:val="HSLF-FS-Brdtextindragfrstaraden"/>
      </w:pPr>
      <w:r>
        <w:t xml:space="preserve">7. Naziv, farmaceutski oblik i jačina lijeka za humanu primjenu u zemlji izlaska i broj odobrenja za stavljanje u promet u državi izlaska. </w:t>
      </w:r>
    </w:p>
    <w:p w14:paraId="3E0A7832" w14:textId="2EC413BE" w:rsidR="007E61A7" w:rsidRDefault="00F11B34" w:rsidP="00F11B34">
      <w:pPr>
        <w:pStyle w:val="HSLF-FS-Brdtextindragfrstaraden"/>
      </w:pPr>
      <w:r>
        <w:t xml:space="preserve">8. Naziv i adresa nositelja odobrenja za stavljanje lijeka u promet u zemlji izlaska i odgovarajuće informacije za proizvođača. </w:t>
      </w:r>
    </w:p>
    <w:p w14:paraId="714DF124" w14:textId="5C59A4CB" w:rsidR="007E61A7" w:rsidRDefault="00F11B34" w:rsidP="00F11B34">
      <w:pPr>
        <w:pStyle w:val="HSLF-FS-Brdtextindragfrstaraden"/>
      </w:pPr>
      <w:r>
        <w:t xml:space="preserve">9. Naziv, farmaceutski oblik, jačina i broj odobrenja za stavljanje u promet izravno uvezenog lijeka za humanu primjenu. </w:t>
      </w:r>
    </w:p>
    <w:p w14:paraId="7BBE27A8" w14:textId="53BFAAF9" w:rsidR="007E61A7" w:rsidRDefault="00F11B34" w:rsidP="00F11B34">
      <w:pPr>
        <w:pStyle w:val="HSLF-FS-Brdtextindragfrstaraden"/>
      </w:pPr>
      <w:r>
        <w:t xml:space="preserve">10. Naziv i adresa nositelja odobrenja za stavljanje u promet izravno uvezenog lijeka za humanu primjenu. </w:t>
      </w:r>
    </w:p>
    <w:p w14:paraId="4546F84D" w14:textId="1045E18F" w:rsidR="007E61A7" w:rsidRDefault="00F11B34" w:rsidP="00F11B34">
      <w:pPr>
        <w:pStyle w:val="HSLF-FS-Brdtextindragfrstaraden"/>
      </w:pPr>
      <w:r>
        <w:t xml:space="preserve">11. Opis razlika između izravno uvezenog lijeka za humanu primjenu i paralelno uvezenog lijeka za humanu primjenu. </w:t>
      </w:r>
    </w:p>
    <w:p w14:paraId="64BE3E65" w14:textId="77DB415E" w:rsidR="007E61A7" w:rsidRDefault="00F11B34" w:rsidP="00F11B34">
      <w:pPr>
        <w:pStyle w:val="HSLF-FS-Brdtextindragfrstaraden"/>
      </w:pPr>
      <w:r>
        <w:t xml:space="preserve">12. Detaljan opis načina ponovnog označivanja ili ponovnog pakiranja lijeka za humanu primjenu. </w:t>
      </w:r>
    </w:p>
    <w:p w14:paraId="6DAFAC5B" w14:textId="6A68B83B" w:rsidR="007E61A7" w:rsidRDefault="00F11B34" w:rsidP="00F11B34">
      <w:pPr>
        <w:pStyle w:val="HSLF-FS-Brdtextindragfrstaraden"/>
      </w:pPr>
      <w:r>
        <w:t xml:space="preserve">13. Informacije o uputama i kontrolama kvalitete za prihvat, skladištenje, prepakiranje, puštanje u promet i prijevoz paralelno uvezenih lijekova za humanu primjenu te sustava za povlačenje. </w:t>
      </w:r>
    </w:p>
    <w:p w14:paraId="5F99D126" w14:textId="472C485B" w:rsidR="00642B0F" w:rsidRDefault="00F11B34" w:rsidP="00F11B34">
      <w:pPr>
        <w:pStyle w:val="HSLF-FS-Brdtextindragfrstaraden"/>
      </w:pPr>
      <w:r>
        <w:t xml:space="preserve">14. Naziv, adresa i odobrenje za proizvodnju i, ako je primjenjivo, pisani sporazum za trgovačko društvo ili trgovačka društva koja obavljaju prepakiranje/ponovno označivanje. </w:t>
      </w:r>
    </w:p>
    <w:p w14:paraId="42B81F88" w14:textId="6A3D8C3C" w:rsidR="00642B0F" w:rsidRDefault="00F11B34" w:rsidP="00F11B34">
      <w:pPr>
        <w:pStyle w:val="HSLF-FS-Brdtextindragfrstaraden"/>
      </w:pPr>
      <w:r>
        <w:t xml:space="preserve">15. Informacije o pakiranju paralelno uvezenih lijekova za humanu primjenu u obliku veličina pakiranja i pakiranja/farmaceutskih spremnika. </w:t>
      </w:r>
    </w:p>
    <w:p w14:paraId="0E3D4B52" w14:textId="2275E4B1" w:rsidR="007E61A7" w:rsidRPr="007E61A7" w:rsidRDefault="00F11B34" w:rsidP="00F11B34">
      <w:pPr>
        <w:pStyle w:val="HSLF-FS-Brdtextindragfrstaraden"/>
      </w:pPr>
      <w:r>
        <w:t>16. Rok valjanosti (za neotvoreno i otvoreno pakiranje) i, ako je primjenjivo, rok valjanosti nakon dovršetka paralelno uvezenog lijeka za humanu primjenu i odgovarajuće upute za skladištenje paralelno uvezenih lijekova za humanu primjenu.</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t>HSLF-FS može se preuzeti ili naručiti putem</w:t>
      </w:r>
    </w:p>
    <w:p w14:paraId="2228B341" w14:textId="77777777" w:rsidR="00577C10" w:rsidRPr="00054DAD" w:rsidRDefault="00577C10" w:rsidP="00B9475C">
      <w:pPr>
        <w:pStyle w:val="HSLF-FS-Bestllningsinformation"/>
      </w:pPr>
      <w:r>
        <w:t>internetska stranica: www.xxxxxxxxxxxxx.xx</w:t>
      </w:r>
    </w:p>
    <w:p w14:paraId="0E71970A" w14:textId="77777777" w:rsidR="00577C10" w:rsidRPr="00054DAD" w:rsidRDefault="00577C10" w:rsidP="00B9475C">
      <w:pPr>
        <w:pStyle w:val="HSLF-FS-Bestllningsinformation"/>
      </w:pPr>
      <w:r>
        <w:t>e-pošta: xxxxxxxx@xxxxxxx.xx</w:t>
      </w:r>
    </w:p>
    <w:p w14:paraId="36BC069E" w14:textId="77777777" w:rsidR="00673671" w:rsidRPr="00964D75" w:rsidRDefault="00673671" w:rsidP="00B9475C">
      <w:pPr>
        <w:pStyle w:val="HSLF-FS-Bestllningsinformation"/>
      </w:pPr>
    </w:p>
    <w:p w14:paraId="6656A6C6" w14:textId="77777777" w:rsidR="00673671" w:rsidRPr="00054DAD" w:rsidRDefault="00673671" w:rsidP="00B9475C">
      <w:pPr>
        <w:pStyle w:val="HSLF-FS-Kontaktinformation"/>
      </w:pPr>
      <w:r>
        <w:t>Kontakt</w:t>
      </w:r>
      <w:r>
        <w:br/>
        <w:t>Xxxxxxxxxxx</w:t>
      </w:r>
      <w:r>
        <w:br/>
        <w:t>Adresa</w:t>
      </w:r>
      <w:r>
        <w:br/>
        <w:t>Telefon: xx-xxxxxxxxx Faks: xx-xxxxxxxxx</w:t>
      </w:r>
    </w:p>
    <w:p w14:paraId="2548EFCB" w14:textId="77777777" w:rsidR="00673671" w:rsidRPr="00964D75" w:rsidRDefault="00673671" w:rsidP="00B9475C">
      <w:pPr>
        <w:pStyle w:val="HSLF-FS-Kontaktinformation"/>
      </w:pPr>
      <w:r>
        <w:t>e-pošta: xxxxxxxx@xxxxxxx.xx</w:t>
      </w:r>
    </w:p>
    <w:p w14:paraId="7A240DDE" w14:textId="77777777" w:rsidR="00E44C93" w:rsidRPr="00964D75" w:rsidRDefault="00673671" w:rsidP="00B9475C">
      <w:pPr>
        <w:pStyle w:val="HSLF-FS-Kontaktinformation"/>
      </w:pPr>
      <w:r>
        <w:t>internetska stranica: www.xxxxxxxxxxxxx.xx</w:t>
      </w:r>
    </w:p>
    <w:p w14:paraId="5434F6A8" w14:textId="77777777" w:rsidR="00673671" w:rsidRPr="00964D75" w:rsidRDefault="00673671" w:rsidP="00673671">
      <w:pPr>
        <w:pStyle w:val="HSLF-FS-Brdtextindragfrstaraden"/>
        <w:rPr>
          <w:lang w:val="pt-PT"/>
        </w:rPr>
      </w:pPr>
    </w:p>
    <w:p w14:paraId="05DED749" w14:textId="60FC851A" w:rsidR="00876360" w:rsidRPr="00E44C93" w:rsidRDefault="00B8133C" w:rsidP="00615514">
      <w:pPr>
        <w:pStyle w:val="HSLF-FS-Tryckort"/>
      </w:pPr>
      <w:r>
        <w:t>Stranica za tiskanje: Tiskara i godina izdavanja</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432FD" w14:textId="77777777" w:rsidR="009B21F9" w:rsidRDefault="009B21F9" w:rsidP="00290019">
      <w:r>
        <w:separator/>
      </w:r>
    </w:p>
  </w:endnote>
  <w:endnote w:type="continuationSeparator" w:id="0">
    <w:p w14:paraId="62FC0D89" w14:textId="77777777" w:rsidR="009B21F9" w:rsidRDefault="009B21F9"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279"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C3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975E" w14:textId="77777777" w:rsidR="009B21F9" w:rsidRDefault="009B21F9" w:rsidP="00290019">
      <w:r>
        <w:separator/>
      </w:r>
    </w:p>
  </w:footnote>
  <w:footnote w:type="continuationSeparator" w:id="0">
    <w:p w14:paraId="5E3309C1" w14:textId="77777777" w:rsidR="009B21F9" w:rsidRDefault="009B21F9" w:rsidP="00290019">
      <w:r>
        <w:continuationSeparator/>
      </w:r>
    </w:p>
  </w:footnote>
  <w:footnote w:id="1">
    <w:p w14:paraId="46E18692" w14:textId="77777777" w:rsidR="00A97DE9" w:rsidRDefault="00943E19" w:rsidP="00A97DE9">
      <w:pPr>
        <w:pStyle w:val="FootnoteText"/>
      </w:pPr>
      <w:r>
        <w:rPr>
          <w:rStyle w:val="FootnoteReference"/>
        </w:rPr>
        <w:footnoteRef/>
      </w:r>
      <w:r>
        <w:t xml:space="preserve"> Obavijest je podnesena u skladu s Direktivom (EU) </w:t>
      </w:r>
    </w:p>
    <w:p w14:paraId="4A95157E" w14:textId="33EDBEC1" w:rsidR="00943E19" w:rsidRDefault="00A97DE9" w:rsidP="00A97DE9">
      <w:pPr>
        <w:pStyle w:val="FootnoteText"/>
      </w:pPr>
      <w:r>
        <w:t xml:space="preserve">2015/1535 Europskog parlamenta i Vijeća od 9. rujna 2015. o utvrđivanju postupka pružanja informacija u području tehničkih propisa i pravila o uslugama informacijskog društva.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FC" w14:textId="69475A3D" w:rsidR="003E2932" w:rsidRDefault="009B21F9">
    <w:pPr>
      <w:pStyle w:val="Header"/>
    </w:pPr>
    <w: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NACRT"/>
          <w10:wrap anchorx="margin" anchory="margin"/>
        </v:shape>
      </w:pict>
    </w:r>
    <w:r w:rsidR="00964D75">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HSLF-FS</w:t>
                    </w:r>
                    <w:r>
                      <w:br/>
                      <w:t>2021:xx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D1A" w14:textId="03631371" w:rsidR="00DF0750" w:rsidRPr="006261DC" w:rsidRDefault="009B21F9" w:rsidP="00A61D90">
    <w:pPr>
      <w:pStyle w:val="Header"/>
    </w:pPr>
    <w: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NACRT"/>
          <w10:wrap anchorx="margin" anchory="margin"/>
        </v:shape>
      </w:pict>
    </w:r>
    <w:r w:rsidR="00964D75">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HSLF-FS</w:t>
                    </w:r>
                    <w:r>
                      <w:br/>
                      <w:t>2021:xx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ABE" w14:textId="6B07C217" w:rsidR="00DB331A" w:rsidRDefault="009B21F9" w:rsidP="00E5276B">
    <w:pPr>
      <w:pStyle w:val="HSLF-FS-Huvudrubrik"/>
    </w:pPr>
    <w: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NACRT"/>
          <w10:wrap anchorx="margin" anchory="margin"/>
        </v:shape>
      </w:pict>
    </w:r>
    <w:r w:rsidR="00964D75">
      <w:t xml:space="preserve">Zajednički </w:t>
    </w:r>
    <w:r w:rsidR="00964D75">
      <w:t>Zbornik propisa o zdravstvenoj skrbi, medicinskoj skrbi, socijalnim službama, lijekovima, javnom zdravlju itd.</w:t>
    </w:r>
  </w:p>
  <w:p w14:paraId="1EDBB6C7" w14:textId="4C702CCA" w:rsidR="00DB331A" w:rsidRPr="00964D75" w:rsidRDefault="00EB0682" w:rsidP="004641D8">
    <w:pPr>
      <w:pStyle w:val="HSLF-FS-Dokmentinformation"/>
      <w:rPr>
        <w:sz w:val="16"/>
        <w:szCs w:val="16"/>
      </w:rPr>
    </w:pPr>
    <w:r>
      <w:rPr>
        <w:noProof/>
      </w:rPr>
      <mc:AlternateContent>
        <mc:Choice Requires="wps">
          <w:drawing>
            <wp:anchor distT="0" distB="0" distL="114300" distR="114300" simplePos="0" relativeHeight="251665408" behindDoc="0" locked="0" layoutInCell="1" allowOverlap="1" wp14:anchorId="1563615C" wp14:editId="20251CF9">
              <wp:simplePos x="0" y="0"/>
              <wp:positionH relativeFrom="column">
                <wp:posOffset>3810</wp:posOffset>
              </wp:positionH>
              <wp:positionV relativeFrom="paragraph">
                <wp:posOffset>596549</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41FB1B"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6.95pt" to="374.1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" strokecolor="black [3213]"/>
          </w:pict>
        </mc:Fallback>
      </mc:AlternateContent>
    </w:r>
    <w:r w:rsidR="004D7ACB">
      <w:rPr>
        <w:noProof/>
      </w:rPr>
      <mc:AlternateContent>
        <mc:Choice Requires="wps">
          <w:drawing>
            <wp:anchor distT="0" distB="0" distL="114300" distR="114300" simplePos="0" relativeHeight="251666432" behindDoc="0" locked="0" layoutInCell="1" allowOverlap="1" wp14:anchorId="40A7A495" wp14:editId="0491543D">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Objavljeno na dan xx. srpnja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Objavljeno na dan xx. srpnja 20xx.</w:t>
                    </w:r>
                  </w:p>
                </w:txbxContent>
              </v:textbox>
            </v:shape>
          </w:pict>
        </mc:Fallback>
      </mc:AlternateContent>
    </w:r>
    <w:r w:rsidR="004D7ACB">
      <w:t xml:space="preserve">ISSN </w:t>
    </w:r>
    <w:r w:rsidR="004D7ACB">
      <w:rPr>
        <w:sz w:val="16"/>
      </w:rPr>
      <w:t>xxx-xxxx, broj članka xxxxxxxx</w:t>
    </w:r>
    <w:r w:rsidR="004D7ACB">
      <w:rPr>
        <w:sz w:val="16"/>
      </w:rPr>
      <w:br/>
      <w:t>Objavio: voditelj pravne službe – Pär Ödman, Nacionalni odbor za zdravstvo i socijalnu skrb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54DAD"/>
    <w:rsid w:val="000617E2"/>
    <w:rsid w:val="0006211F"/>
    <w:rsid w:val="0006630C"/>
    <w:rsid w:val="00087376"/>
    <w:rsid w:val="00094FF3"/>
    <w:rsid w:val="000A25FC"/>
    <w:rsid w:val="000A4B18"/>
    <w:rsid w:val="000A53DB"/>
    <w:rsid w:val="000C03D3"/>
    <w:rsid w:val="000C1FE0"/>
    <w:rsid w:val="000C2D5D"/>
    <w:rsid w:val="000C7CD4"/>
    <w:rsid w:val="000D5F43"/>
    <w:rsid w:val="000D6765"/>
    <w:rsid w:val="000E02DE"/>
    <w:rsid w:val="000F159D"/>
    <w:rsid w:val="000F6292"/>
    <w:rsid w:val="000F687B"/>
    <w:rsid w:val="000F6D8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92E63"/>
    <w:rsid w:val="001A3ABA"/>
    <w:rsid w:val="001A477A"/>
    <w:rsid w:val="001B67D3"/>
    <w:rsid w:val="001B68EB"/>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90019"/>
    <w:rsid w:val="00290C54"/>
    <w:rsid w:val="00297A97"/>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953"/>
    <w:rsid w:val="004315EF"/>
    <w:rsid w:val="00431E6E"/>
    <w:rsid w:val="00433373"/>
    <w:rsid w:val="0043385E"/>
    <w:rsid w:val="004340AD"/>
    <w:rsid w:val="0043652F"/>
    <w:rsid w:val="00460BBD"/>
    <w:rsid w:val="00461C13"/>
    <w:rsid w:val="004641D8"/>
    <w:rsid w:val="0046468A"/>
    <w:rsid w:val="00475A3F"/>
    <w:rsid w:val="004765A2"/>
    <w:rsid w:val="00476674"/>
    <w:rsid w:val="004767E3"/>
    <w:rsid w:val="0048760C"/>
    <w:rsid w:val="004A4064"/>
    <w:rsid w:val="004A715F"/>
    <w:rsid w:val="004A72C4"/>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925B3"/>
    <w:rsid w:val="0059304E"/>
    <w:rsid w:val="005A37C1"/>
    <w:rsid w:val="005A51C0"/>
    <w:rsid w:val="005B0CC3"/>
    <w:rsid w:val="005B1C48"/>
    <w:rsid w:val="005B20E3"/>
    <w:rsid w:val="005B304E"/>
    <w:rsid w:val="005B45B4"/>
    <w:rsid w:val="005B49B0"/>
    <w:rsid w:val="005B631A"/>
    <w:rsid w:val="005C3281"/>
    <w:rsid w:val="005C4A10"/>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E138E"/>
    <w:rsid w:val="006E31C0"/>
    <w:rsid w:val="006E4323"/>
    <w:rsid w:val="006E5047"/>
    <w:rsid w:val="00704454"/>
    <w:rsid w:val="0070524A"/>
    <w:rsid w:val="007104FD"/>
    <w:rsid w:val="007123B4"/>
    <w:rsid w:val="00712FD2"/>
    <w:rsid w:val="00724AFE"/>
    <w:rsid w:val="00733113"/>
    <w:rsid w:val="00735042"/>
    <w:rsid w:val="007370F1"/>
    <w:rsid w:val="007509B1"/>
    <w:rsid w:val="0075279A"/>
    <w:rsid w:val="00753F87"/>
    <w:rsid w:val="007564B2"/>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45D8"/>
    <w:rsid w:val="00807EED"/>
    <w:rsid w:val="0082427B"/>
    <w:rsid w:val="0082470E"/>
    <w:rsid w:val="00830AC2"/>
    <w:rsid w:val="0083759A"/>
    <w:rsid w:val="00846234"/>
    <w:rsid w:val="00852CB6"/>
    <w:rsid w:val="0086714A"/>
    <w:rsid w:val="00876360"/>
    <w:rsid w:val="00880837"/>
    <w:rsid w:val="00882EB0"/>
    <w:rsid w:val="0088362A"/>
    <w:rsid w:val="00883A6C"/>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4D75"/>
    <w:rsid w:val="009667CA"/>
    <w:rsid w:val="00967451"/>
    <w:rsid w:val="00977B01"/>
    <w:rsid w:val="00980F92"/>
    <w:rsid w:val="0099066D"/>
    <w:rsid w:val="009911D2"/>
    <w:rsid w:val="00993A39"/>
    <w:rsid w:val="009A1FE8"/>
    <w:rsid w:val="009B21F9"/>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6A43"/>
    <w:rsid w:val="00D10310"/>
    <w:rsid w:val="00D255FF"/>
    <w:rsid w:val="00D25E58"/>
    <w:rsid w:val="00D30902"/>
    <w:rsid w:val="00D3124C"/>
    <w:rsid w:val="00D31840"/>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C4D"/>
    <w:rsid w:val="00E73B6B"/>
    <w:rsid w:val="00E83160"/>
    <w:rsid w:val="00E92962"/>
    <w:rsid w:val="00EA1712"/>
    <w:rsid w:val="00EA1C39"/>
    <w:rsid w:val="00EA443D"/>
    <w:rsid w:val="00EB0682"/>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semiHidden/>
    <w:qFormat/>
    <w:rsid w:val="00563AAA"/>
    <w:pPr>
      <w:keepNext/>
      <w:suppressAutoHyphens/>
      <w:spacing w:after="0"/>
      <w:outlineLvl w:val="2"/>
    </w:pPr>
    <w:rPr>
      <w:i/>
    </w:rPr>
  </w:style>
  <w:style w:type="paragraph" w:styleId="Heading4">
    <w:name w:val="heading 4"/>
    <w:basedOn w:val="Normal"/>
    <w:next w:val="Normal"/>
    <w:semiHidden/>
    <w:rsid w:val="007933D1"/>
    <w:pPr>
      <w:keepNext/>
      <w:spacing w:before="240" w:after="60"/>
      <w:outlineLvl w:val="3"/>
    </w:pPr>
    <w:rPr>
      <w:b/>
      <w:i/>
    </w:rPr>
  </w:style>
  <w:style w:type="paragraph" w:styleId="Heading9">
    <w:name w:val="heading 9"/>
    <w:basedOn w:val="Normal"/>
    <w:next w:val="Normal"/>
    <w:link w:val="Heading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Quote">
    <w:name w:val="Quote"/>
    <w:basedOn w:val="Normal"/>
    <w:next w:val="Normal"/>
    <w:link w:val="Quote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QuoteChar">
    <w:name w:val="Quote Char"/>
    <w:basedOn w:val="DefaultParagraphFont"/>
    <w:link w:val="Quote"/>
    <w:uiPriority w:val="29"/>
    <w:rsid w:val="003E763F"/>
    <w:rPr>
      <w:rFonts w:asciiTheme="minorHAnsi" w:eastAsiaTheme="minorHAnsi" w:hAnsiTheme="minorHAnsi"/>
      <w:i/>
      <w:szCs w:val="24"/>
      <w:lang w:eastAsia="en-US" w:bidi="en-US"/>
    </w:rPr>
  </w:style>
  <w:style w:type="character" w:styleId="CommentReference">
    <w:name w:val="annotation reference"/>
    <w:basedOn w:val="DefaultParagraphFont"/>
    <w:uiPriority w:val="99"/>
    <w:semiHidden/>
    <w:unhideWhenUsed/>
    <w:rsid w:val="00C1255A"/>
    <w:rPr>
      <w:sz w:val="16"/>
      <w:szCs w:val="16"/>
    </w:rPr>
  </w:style>
  <w:style w:type="paragraph" w:styleId="CommentText">
    <w:name w:val="annotation text"/>
    <w:basedOn w:val="Normal"/>
    <w:link w:val="CommentTextChar"/>
    <w:uiPriority w:val="99"/>
    <w:semiHidden/>
    <w:unhideWhenUsed/>
    <w:rsid w:val="00C1255A"/>
    <w:pPr>
      <w:spacing w:line="240" w:lineRule="auto"/>
    </w:pPr>
    <w:rPr>
      <w:sz w:val="20"/>
    </w:rPr>
  </w:style>
  <w:style w:type="character" w:customStyle="1" w:styleId="CommentTextChar">
    <w:name w:val="Comment Text Char"/>
    <w:basedOn w:val="DefaultParagraphFont"/>
    <w:link w:val="CommentText"/>
    <w:uiPriority w:val="99"/>
    <w:semiHidden/>
    <w:rsid w:val="00C1255A"/>
  </w:style>
  <w:style w:type="paragraph" w:styleId="CommentSubject">
    <w:name w:val="annotation subject"/>
    <w:basedOn w:val="CommentText"/>
    <w:next w:val="CommentText"/>
    <w:link w:val="CommentSubjectChar"/>
    <w:uiPriority w:val="99"/>
    <w:semiHidden/>
    <w:unhideWhenUsed/>
    <w:rsid w:val="00C1255A"/>
    <w:rPr>
      <w:b/>
      <w:bCs/>
    </w:rPr>
  </w:style>
  <w:style w:type="character" w:customStyle="1" w:styleId="CommentSubjectChar">
    <w:name w:val="Comment Subject Char"/>
    <w:basedOn w:val="CommentTextChar"/>
    <w:link w:val="CommentSubject"/>
    <w:uiPriority w:val="99"/>
    <w:semiHidden/>
    <w:rsid w:val="00C1255A"/>
    <w:rPr>
      <w:b/>
      <w:bCs/>
    </w:rPr>
  </w:style>
  <w:style w:type="character" w:customStyle="1" w:styleId="Heading9Char">
    <w:name w:val="Heading 9 Char"/>
    <w:basedOn w:val="DefaultParagraphFont"/>
    <w:link w:val="Heading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HSLF-FS-mall-20161101.dotx</Template>
  <TotalTime>6</TotalTime>
  <Pages>1</Pages>
  <Words>2276</Words>
  <Characters>12978</Characters>
  <Application>Microsoft Office Word</Application>
  <DocSecurity>0</DocSecurity>
  <Lines>108</Lines>
  <Paragraphs>30</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Dimitris Dimitriadis</cp:lastModifiedBy>
  <cp:revision>7</cp:revision>
  <cp:lastPrinted>2013-04-29T08:38:00Z</cp:lastPrinted>
  <dcterms:created xsi:type="dcterms:W3CDTF">2021-06-28T07:31:00Z</dcterms:created>
  <dcterms:modified xsi:type="dcterms:W3CDTF">2021-07-05T15:20:00Z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