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Vaistų agentūros taisyklės dėl lygiagrečiai importuojamų žmonėms skirtų vaistų</w:t>
      </w:r>
    </w:p>
    <w:p w14:paraId="246EEEEE" w14:textId="6CA454AB" w:rsidR="00BB03EE" w:rsidRDefault="0086714A" w:rsidP="0086714A">
      <w:pPr>
        <w:pStyle w:val="HSLF-FS-Beslutsinfo"/>
      </w:pPr>
      <w:r>
        <w:t>priimta 2021 m. XX xx d.</w:t>
      </w:r>
    </w:p>
    <w:p w14:paraId="4E241320" w14:textId="54548C3E" w:rsidR="004F4CCF" w:rsidRDefault="00433373" w:rsidP="0086714A">
      <w:pPr>
        <w:pStyle w:val="HSLF-FS-Brdtext"/>
      </w:pPr>
      <w:r>
        <w:t>Pagal Vaistų potvarkio (2015:458) 9 skyriaus 11 straipsnį Vaistų agentūra nustato</w:t>
      </w:r>
      <w:r w:rsidR="00943E19">
        <w:rPr>
          <w:rStyle w:val="FootnoteReference"/>
        </w:rPr>
        <w:footnoteReference w:id="1"/>
      </w:r>
      <w:r>
        <w:t>:</w:t>
      </w:r>
    </w:p>
    <w:p w14:paraId="40282447" w14:textId="1A63E6DC" w:rsidR="004315EF" w:rsidRPr="003C3708" w:rsidRDefault="004315EF" w:rsidP="003C3708">
      <w:pPr>
        <w:pStyle w:val="HSLF-FS-Rubrik-2"/>
      </w:pPr>
      <w:r>
        <w:t>Taikymo sritis</w:t>
      </w:r>
    </w:p>
    <w:p w14:paraId="43B4D568" w14:textId="33FF8A54" w:rsidR="003C3708" w:rsidRPr="003C3708" w:rsidRDefault="00ED6DD8" w:rsidP="003C3708">
      <w:pPr>
        <w:pStyle w:val="HSLF-FS-Brdtext"/>
        <w:rPr>
          <w:sz w:val="24"/>
          <w:szCs w:val="24"/>
        </w:rPr>
      </w:pPr>
      <w:r>
        <w:rPr>
          <w:b/>
        </w:rPr>
        <w:t>1 straipsnis.</w:t>
      </w:r>
      <w:r>
        <w:t xml:space="preserve"> Šios taisyklės taikomos lygiagrečiai importuojamų žmonėms skirtų vaistų įvežimui. </w:t>
      </w:r>
    </w:p>
    <w:p w14:paraId="0F413F36" w14:textId="73CF5F55" w:rsidR="003C3708" w:rsidRPr="00BE016C" w:rsidRDefault="003C3708" w:rsidP="00BE016C">
      <w:pPr>
        <w:pStyle w:val="HSLF-FS-Brdtextindragfrstaraden"/>
      </w:pPr>
      <w:r>
        <w:t>Šios taisyklės netaikomos žmonėms skirtiems vaistams, kuriems leidimo paraiška buvo peržiūrėta pagal 2004 m. kovo 31 d. Europos Parlamento ir Tarybos reglamentą (EB) Nr. 726/2004, nustatantį Bendrijos leidimų dėl žmonėms skirtų ir veterinarinių vaistų išdavimo ir priežiūros tvarką ir įsteigiantį Europos vaistų agentūrą.</w:t>
      </w:r>
    </w:p>
    <w:p w14:paraId="4A80A3E8" w14:textId="02D1B0F7" w:rsidR="003C3708" w:rsidRPr="003C3708" w:rsidRDefault="003C3708" w:rsidP="00C96192">
      <w:pPr>
        <w:pStyle w:val="HSLF-FS-Rubrik-2"/>
        <w:rPr>
          <w:bCs/>
        </w:rPr>
      </w:pPr>
      <w:r>
        <w:t>Apibrėžtys</w:t>
      </w:r>
    </w:p>
    <w:p w14:paraId="0A72EFEB" w14:textId="5E3C0889" w:rsidR="00940C6F" w:rsidRDefault="00940C6F" w:rsidP="003C3708">
      <w:pPr>
        <w:pStyle w:val="HSLF-FS-Brdtextindragfrstaraden"/>
        <w:ind w:firstLine="0"/>
      </w:pPr>
      <w:r>
        <w:rPr>
          <w:b/>
        </w:rPr>
        <w:t>2 straipsnis.</w:t>
      </w:r>
      <w:r>
        <w:t xml:space="preserve"> Vaistų įstatyme</w:t>
      </w:r>
    </w:p>
    <w:p w14:paraId="04DC6BA2" w14:textId="77777777" w:rsidR="00940C6F" w:rsidRDefault="00940C6F" w:rsidP="003C3708">
      <w:pPr>
        <w:pStyle w:val="HSLF-FS-Brdtextindragfrstaraden"/>
        <w:ind w:firstLine="0"/>
      </w:pPr>
      <w:r>
        <w:t xml:space="preserve">(2015:315) vartojami terminai ir sąvokos šiose taisyklėse turi tas pačias reikšmes. </w:t>
      </w:r>
    </w:p>
    <w:p w14:paraId="1D091889" w14:textId="083F2529" w:rsidR="003C3708" w:rsidRPr="00BE016C" w:rsidRDefault="00940C6F" w:rsidP="00BE016C">
      <w:pPr>
        <w:pStyle w:val="HSLF-FS-Brdtextindragfrstaraden"/>
      </w:pPr>
      <w:r>
        <w:t>Šiose taisyklėse vartojamos toliau pateiktos apibrėžtys.</w:t>
      </w:r>
    </w:p>
    <w:p w14:paraId="4386FD47" w14:textId="64D64BCA" w:rsidR="00940C6F" w:rsidRPr="00BE016C" w:rsidRDefault="00940C6F" w:rsidP="007C2C81">
      <w:pPr>
        <w:pStyle w:val="HSLF-FS-Brdtextindragfrstaraden"/>
      </w:pPr>
      <w:r>
        <w:rPr>
          <w:i/>
        </w:rPr>
        <w:t>Lygiagretus importas</w:t>
      </w:r>
      <w:r>
        <w:t xml:space="preserve"> – įvežimas į Švediją iš šalies, esančios Europos ekonominėje erdvėje (EEE), žmonėms skirto vaisto, kuriuo leidžiama prekiauti Švedijoje ir eksporto šalyje, tačiau įvežimą tvarko subjektas, kuris nėra gamintojas ar leidimo prekiauti turėtojas.</w:t>
      </w:r>
    </w:p>
    <w:p w14:paraId="19F16786" w14:textId="6540C502" w:rsidR="00940C6F" w:rsidRPr="00BE016C" w:rsidRDefault="00940C6F" w:rsidP="007C2C81">
      <w:pPr>
        <w:pStyle w:val="HSLF-FS-Brdtextindragfrstaraden"/>
      </w:pPr>
      <w:r>
        <w:rPr>
          <w:i/>
        </w:rPr>
        <w:lastRenderedPageBreak/>
        <w:t>Lygiagretų importą vykdantis subjektas</w:t>
      </w:r>
      <w:r>
        <w:t xml:space="preserve"> – leidimo prekiauti lygiagrečiai importuotu žmonėms skirtu vaistu turėtojas. </w:t>
      </w:r>
    </w:p>
    <w:p w14:paraId="4A759F7F" w14:textId="2F131841" w:rsidR="00F34CB6" w:rsidRPr="00BE016C" w:rsidRDefault="00940C6F" w:rsidP="007C2C81">
      <w:pPr>
        <w:pStyle w:val="HSLF-FS-Brdtextindragfrstaraden"/>
      </w:pPr>
      <w:r>
        <w:rPr>
          <w:i/>
        </w:rPr>
        <w:t>Tiesiogiai importuojamas žmonėms skirtas vaistas</w:t>
      </w:r>
      <w:r>
        <w:t xml:space="preserve"> – vaistas, su kuriuo paraiškoje nurodytas lygiagrečiai importuojamas žmonėms skirtas vaistas. </w:t>
      </w:r>
    </w:p>
    <w:p w14:paraId="5F711D83" w14:textId="64AA579B" w:rsidR="00FA0F3C" w:rsidRDefault="00646823" w:rsidP="00FA0F3C">
      <w:pPr>
        <w:pStyle w:val="HSLF-FS-Rubrik-2"/>
      </w:pPr>
      <w:r>
        <w:t>Leidimas</w:t>
      </w:r>
    </w:p>
    <w:p w14:paraId="3C655A84" w14:textId="3F878C50" w:rsidR="007732D0" w:rsidRPr="007732D0" w:rsidRDefault="00C445C5" w:rsidP="007732D0">
      <w:pPr>
        <w:pStyle w:val="HSLF-FS-Brdtext"/>
      </w:pPr>
      <w:r>
        <w:rPr>
          <w:b/>
        </w:rPr>
        <w:t>3 straipsnis.</w:t>
      </w:r>
      <w:r>
        <w:t xml:space="preserve"> Lygiagrečiai importuojamu žmonėms skirtu vaistu negalima prekiauti tol, kol neišduotas leidimas. </w:t>
      </w:r>
    </w:p>
    <w:p w14:paraId="51E8069F" w14:textId="6EC36889" w:rsidR="00646823" w:rsidRDefault="00C445C5" w:rsidP="00BE016C">
      <w:pPr>
        <w:pStyle w:val="HSLF-FS-Brdtextindragfrstaraden"/>
      </w:pPr>
      <w:r>
        <w:t xml:space="preserve">Lygiagrečiai importuojamo žmonėms skirto vaisto leidimas prekiauti galioja penkerius metus. Pateikus prašymą leidimas gali būti pratęstas neribotam laikui. Tai, kas nurodyta paraiškoje dėl atnaujinimo, nurodytoje Vaistų įstatymo (2015:315) 4 skyriaus 17 straipsnyje, taikoma tokiai paraiškai.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4 straipsnis.</w:t>
      </w:r>
      <w:r>
        <w:t xml:space="preserve"> Kad būtų išduotas leidimas prekiauti lygiagrečiai importuojamais žmonėms skirtais vaistais, turi būti laikomasi šių sąlygų: </w:t>
      </w:r>
    </w:p>
    <w:p w14:paraId="78F2E1FC" w14:textId="11663A88" w:rsidR="00D8693F" w:rsidRDefault="007C2C81" w:rsidP="007C2C81">
      <w:pPr>
        <w:pStyle w:val="HSLF-FS-Brdtextindragfrstaraden"/>
      </w:pPr>
      <w:r>
        <w:t>1) tiesiogiai importuojamu žmonėms skirtu vaistu jau leista prekiauti Švedijoje, kai Vaistų agentūra gauna paraišką,</w:t>
      </w:r>
    </w:p>
    <w:p w14:paraId="6F54A6D9" w14:textId="772D8B99" w:rsidR="00D8693F" w:rsidRDefault="007C2C81" w:rsidP="007C2C81">
      <w:pPr>
        <w:pStyle w:val="HSLF-FS-Brdtextindragfrstaraden"/>
      </w:pPr>
      <w:r>
        <w:t xml:space="preserve">2) lygiagrečiai importuojamas žmonėms skirtas vaistas turi leidimą prekiauti išvežimo šalyje, </w:t>
      </w:r>
    </w:p>
    <w:p w14:paraId="7CAAA569" w14:textId="069A8D5A" w:rsidR="00D8693F" w:rsidRDefault="007C2C81" w:rsidP="007C2C81">
      <w:pPr>
        <w:pStyle w:val="HSLF-FS-Brdtextindragfrstaraden"/>
      </w:pPr>
      <w:r>
        <w:t xml:space="preserve">3) išvežimo šalis yra EEE valstybė narė ir </w:t>
      </w:r>
    </w:p>
    <w:p w14:paraId="1E03DBE1" w14:textId="558CD31C" w:rsidR="00D57B04" w:rsidRDefault="007C2C81" w:rsidP="007C2C81">
      <w:pPr>
        <w:pStyle w:val="HSLF-FS-Brdtextindragfrstaraden"/>
      </w:pPr>
      <w:r>
        <w:t>4) lygiagrečiai importuojamas žmonėms skirtas vaistas yra pakankamai panašus į tiesiogiai importuojamą žmonėms skirtą vaistą.</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5 straipsnis.</w:t>
      </w:r>
      <w:r>
        <w:t xml:space="preserve"> Paraiškoje dėl lygiagrečiai importuojamų žmonėms skirtų vaistų leidimo prekiauti nurodoma: </w:t>
      </w:r>
    </w:p>
    <w:p w14:paraId="44DA9400" w14:textId="1FC51AA4" w:rsidR="00993A39" w:rsidRDefault="007C2C81" w:rsidP="007C2C81">
      <w:pPr>
        <w:pStyle w:val="HSLF-FS-Brdtextindragfrstaraden"/>
      </w:pPr>
      <w:r>
        <w:t xml:space="preserve">1) informacija ir dokumentai, kaip nurodyta taisyklių priede, </w:t>
      </w:r>
    </w:p>
    <w:p w14:paraId="419C2964" w14:textId="77A3603F" w:rsidR="00D8693F" w:rsidRPr="00993A39" w:rsidRDefault="007C2C81" w:rsidP="007C2C81">
      <w:pPr>
        <w:pStyle w:val="HSLF-FS-Brdtextindragfrstaraden"/>
      </w:pPr>
      <w:r>
        <w:t xml:space="preserve">2) siūlomas pirminės pakuotės ženklinimas, </w:t>
      </w:r>
    </w:p>
    <w:p w14:paraId="7C0BA453" w14:textId="560BF230" w:rsidR="00D8693F" w:rsidRPr="00993A39" w:rsidRDefault="007C2C81" w:rsidP="007C2C81">
      <w:pPr>
        <w:pStyle w:val="HSLF-FS-Brdtextindragfrstaraden"/>
      </w:pPr>
      <w:r>
        <w:t xml:space="preserve">3) siūlomas pakuotės lapelis ir </w:t>
      </w:r>
    </w:p>
    <w:p w14:paraId="0CFEA5D0" w14:textId="209D1807" w:rsidR="00BE016C" w:rsidRDefault="007C2C81" w:rsidP="007C2C81">
      <w:pPr>
        <w:pStyle w:val="HSLF-FS-Brdtextindragfrstaraden"/>
      </w:pPr>
      <w:r>
        <w:t xml:space="preserve">4) viena visų pakuočių ir pakuočių dydžių kopija iš išvežimo šalies, skirta įvežti į Švediją. </w:t>
      </w:r>
    </w:p>
    <w:p w14:paraId="096B4409" w14:textId="6ECA526F" w:rsidR="00993A39" w:rsidRDefault="00D8693F" w:rsidP="00BE016C">
      <w:pPr>
        <w:pStyle w:val="HSLF-FS-Brdtextindragfrstaraden"/>
      </w:pPr>
      <w:r>
        <w:t xml:space="preserve">Kiekviena išvežimo šalis turi pateikti atskiras paraiškas. </w:t>
      </w:r>
    </w:p>
    <w:p w14:paraId="26E87D79" w14:textId="76BBD1B2" w:rsidR="00D8693F" w:rsidRPr="00993A39" w:rsidRDefault="00D8693F" w:rsidP="00BE016C">
      <w:pPr>
        <w:pStyle w:val="HSLF-FS-Brdtextindragfrstaraden"/>
      </w:pPr>
      <w:r>
        <w:t xml:space="preserve">Sumokėjus paraiškos mokestį, Vaistų agentūra peržiūri paraiškas dėl lygiagrečiai importuojamų žmonėms skirtų vaistų leidimo prekiauti. </w:t>
      </w:r>
    </w:p>
    <w:p w14:paraId="18053560" w14:textId="5EF14C14" w:rsidR="00993A39" w:rsidRPr="00993A39" w:rsidRDefault="00993A39" w:rsidP="00993A39">
      <w:pPr>
        <w:pStyle w:val="HSLF-FS-Rubrik-2"/>
      </w:pPr>
      <w:r>
        <w:t>Žmonėms skiriami biologiniai gaminiai</w:t>
      </w:r>
    </w:p>
    <w:p w14:paraId="7D23B598" w14:textId="2162C899" w:rsidR="00D8693F" w:rsidRDefault="00993A39" w:rsidP="00993A39">
      <w:pPr>
        <w:pStyle w:val="HSLF-FS-Brdtext"/>
      </w:pPr>
      <w:r>
        <w:rPr>
          <w:b/>
        </w:rPr>
        <w:t xml:space="preserve">6 straipsnis. </w:t>
      </w:r>
      <w:r>
        <w:t xml:space="preserve">Be to, kas nurodyta 5 dalyje, norint gauti leidimą prekiauti lygiagrečiai importuojamais žmonėms skirtais vaistais, pagamintais iš žmogaus kraujo ar plazmos, reikia dokumentų apie pradines medžiagas, atsekamumą ir pranešimų apie sunkius reiškinius, susijusius su galima užkrato rizika, sistemas. Tokių dokumentų taip </w:t>
      </w:r>
      <w:r>
        <w:lastRenderedPageBreak/>
        <w:t>pat gali būti prašoma, kai paraiška susijusi su kitais žmonėms skiriamais biologiniais gaminiais.</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7 straipsnis. </w:t>
      </w:r>
      <w:r>
        <w:t>Prašymo dokumentai pagal 5 ir 6 straipsnius turi būti rašomi švedų arba anglų kalba.</w:t>
      </w:r>
    </w:p>
    <w:p w14:paraId="1CBA2373" w14:textId="2BEEACD9" w:rsidR="00C96192" w:rsidRPr="00C96192" w:rsidRDefault="00C96192" w:rsidP="00C96192">
      <w:pPr>
        <w:pStyle w:val="HSLF-FS-Rubrik-2"/>
      </w:pPr>
      <w:r>
        <w:t xml:space="preserve">Pranešimas </w:t>
      </w:r>
    </w:p>
    <w:p w14:paraId="4CA2F203" w14:textId="6C843A2C" w:rsidR="00C96192" w:rsidRDefault="00C96192" w:rsidP="003E763F">
      <w:pPr>
        <w:pStyle w:val="HSLF-FS-Brdtextindragfrstaraden"/>
        <w:spacing w:line="240" w:lineRule="auto"/>
        <w:ind w:firstLine="0"/>
        <w:rPr>
          <w:b/>
          <w:sz w:val="23"/>
          <w:szCs w:val="23"/>
        </w:rPr>
      </w:pPr>
      <w:r>
        <w:rPr>
          <w:b/>
        </w:rPr>
        <w:t>8 straipsnis.</w:t>
      </w:r>
      <w:r>
        <w:t xml:space="preserve"> Tie, kurie ketina lygiagrečiai importuoti žmonėms skirtą vaistą, apie savo ketinimą praneša leidimo prekiauti tiesiogiai importuojamu žmonėms skirtu vaistu turėtojui. Pranešimas pateikiamas prieš lygiagrečiai importuojamą žmonėms skirtą vaistą parduodant Švedijoje.</w:t>
      </w:r>
    </w:p>
    <w:p w14:paraId="3BBDD876" w14:textId="1E41FBDB" w:rsidR="00C96192" w:rsidRDefault="00C96192" w:rsidP="00C96192">
      <w:pPr>
        <w:pStyle w:val="HSLF-FS-Rubrik-2"/>
      </w:pPr>
      <w:r>
        <w:t>Specialus pranešimas apie lygiagretų importą iš tam tikrų šalių</w:t>
      </w:r>
    </w:p>
    <w:p w14:paraId="271E0127" w14:textId="0744D18F" w:rsidR="00C96192" w:rsidRDefault="00C96192" w:rsidP="003E763F">
      <w:pPr>
        <w:pStyle w:val="HSLF-FS-Brdtextindragfrstaraden"/>
        <w:spacing w:line="240" w:lineRule="auto"/>
        <w:ind w:firstLine="0"/>
        <w:rPr>
          <w:b/>
          <w:sz w:val="23"/>
          <w:szCs w:val="23"/>
        </w:rPr>
      </w:pPr>
      <w:r>
        <w:rPr>
          <w:b/>
          <w:bCs/>
        </w:rPr>
        <w:t>9 straipsnis.</w:t>
      </w:r>
      <w:r>
        <w:t xml:space="preserve"> Jei lygiagretų importą vykdantis subjektas ketina importuoti žmonėms skirtus vaistus iš Bulgarijos, Estijos, Kroatijos, Latvijos, Lietuvos, Lenkijos, Rumunijos, Slovakijos, Slovėnijos, Čekijos Respublikos arba Vengrijos ir tiesiogiai importuojamas žmonėms skirtas vaistas yra apsaugotas patentais arba papildomos apsaugos liudijimu, apie patentą arba papildomos apsaugos liudijimą pranešama likus ne vėliau kaip 30 dienų iki paraiškos pateikimo Vaistų agentūrai. Pranešimas pateikiamas, išskyrus atvejus, kai paraiškos leidimui gauti pateikimo metu žmonėms skirtam vaistui išvežimo šalyje buvo numatyta tokia pati patentinės apsaugos arba papildomos apsaugos liudijimo galimybė, kaip ir tiesiogiai importuojamo žmonėms skirto vaisto atveju. </w:t>
      </w:r>
    </w:p>
    <w:p w14:paraId="4EBBEDAE" w14:textId="77777777" w:rsidR="00C96192" w:rsidRPr="00C96192" w:rsidRDefault="00C96192" w:rsidP="00C96192">
      <w:pPr>
        <w:pStyle w:val="HSLF-FS-Rubrik-2"/>
      </w:pPr>
      <w:r>
        <w:t xml:space="preserve">Mokesčiai </w:t>
      </w:r>
    </w:p>
    <w:p w14:paraId="5F02B637" w14:textId="6289BF54" w:rsidR="00C96192" w:rsidRDefault="00C96192" w:rsidP="003E763F">
      <w:pPr>
        <w:pStyle w:val="HSLF-FS-Brdtextindragfrstaraden"/>
        <w:spacing w:line="240" w:lineRule="auto"/>
        <w:ind w:firstLine="0"/>
        <w:rPr>
          <w:b/>
          <w:sz w:val="23"/>
          <w:szCs w:val="23"/>
        </w:rPr>
      </w:pPr>
      <w:r>
        <w:rPr>
          <w:b/>
        </w:rPr>
        <w:t>10 straipsnis.</w:t>
      </w:r>
      <w:r>
        <w:t xml:space="preserve"> Nuostatos dėl mokesčių pateikiamos Taisyklėse (2010:1167) dėl vaistų valstybinės kontrolės.</w:t>
      </w:r>
    </w:p>
    <w:p w14:paraId="5E4625DC" w14:textId="77777777" w:rsidR="008E0BB7" w:rsidRDefault="008E0BB7" w:rsidP="008E0BB7">
      <w:pPr>
        <w:pStyle w:val="HSLF-FS-Rubrik-2"/>
      </w:pPr>
      <w:r>
        <w:t xml:space="preserve">Produkto charakteristikų santraukos </w:t>
      </w:r>
    </w:p>
    <w:p w14:paraId="4879FB44" w14:textId="69BB98B3" w:rsidR="008E0BB7" w:rsidRDefault="008E0BB7" w:rsidP="003E763F">
      <w:pPr>
        <w:pStyle w:val="HSLF-FS-Brdtextindragfrstaraden"/>
        <w:spacing w:line="240" w:lineRule="auto"/>
        <w:ind w:firstLine="0"/>
      </w:pPr>
      <w:r>
        <w:rPr>
          <w:b/>
        </w:rPr>
        <w:t>11 straipsnis.</w:t>
      </w:r>
      <w:r>
        <w:t xml:space="preserve"> Tiesiogiai importuojamo žmonėms skirto vaisto charakteristikų santrauka </w:t>
      </w:r>
      <w:r>
        <w:rPr>
          <w:i/>
          <w:iCs/>
        </w:rPr>
        <w:t>mutatis mutandis</w:t>
      </w:r>
      <w:r>
        <w:t xml:space="preserve"> galioja ir lygiagrečiai importuojamam žmonėms skirtam vaistui. </w:t>
      </w:r>
    </w:p>
    <w:p w14:paraId="0262828E" w14:textId="6DA76E30" w:rsidR="008E0BB7" w:rsidRDefault="008E0BB7" w:rsidP="006828FD">
      <w:pPr>
        <w:pStyle w:val="HSLF-FS-Brdtextindragfrstaraden"/>
      </w:pPr>
      <w:r>
        <w:t xml:space="preserve">Jei Švedijoje nebeleidžiama prekiauti tiesiogiai importuojamu žmonėms skirtu vaistu ir jam trūksta vaisto charakteristikų santraukos, lygiagretų importą vykdantis subjektas pateikia paraišką pereiti prie kitos tinkamos vaisto charakteristikų santraukos. </w:t>
      </w:r>
    </w:p>
    <w:p w14:paraId="64CC7F95" w14:textId="4B4B24CF" w:rsidR="00013C90" w:rsidRDefault="008E0BB7" w:rsidP="009C696F">
      <w:pPr>
        <w:pStyle w:val="HSLF-FS-Brdtextindragfrstaraden"/>
      </w:pPr>
      <w:r>
        <w:t xml:space="preserve">Jei nėra tinkamos vaisto charakteristikų santraukos pagal antrą pastraipą, lygiagretų importą vykdantis subjektas pateikia lygiagrečiai importuojamo žmonėms skirto vaisto charakteristikų santrauką švedų </w:t>
      </w:r>
      <w:r>
        <w:lastRenderedPageBreak/>
        <w:t>kalba. Kai parengiama vaisto charakteristikų santrauka, ji parengiama pagal [Vaistų agentūros taisykles (HSLF-FS 2021:xx) dėl žmonėms skirtų vaistų leidimų prekiauti].</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Etiketė ir pakuotės lapelis</w:t>
      </w:r>
    </w:p>
    <w:p w14:paraId="0C51A248" w14:textId="3B7E3855" w:rsidR="008E0BB7" w:rsidRPr="00FB7D99" w:rsidRDefault="008E0BB7" w:rsidP="003E763F">
      <w:pPr>
        <w:pStyle w:val="HSLF-FS-Brdtextindragfrstaraden"/>
        <w:spacing w:line="240" w:lineRule="auto"/>
        <w:ind w:firstLine="0"/>
        <w:rPr>
          <w:b/>
          <w:sz w:val="23"/>
          <w:szCs w:val="23"/>
        </w:rPr>
      </w:pPr>
      <w:r>
        <w:rPr>
          <w:b/>
        </w:rPr>
        <w:t>12 straipsnis.</w:t>
      </w:r>
      <w:r>
        <w:t xml:space="preserve"> Etiketėje pateikta informacija ir pavadinimas turi būti suformatuoti taip, kaip nurodyta [Vaistų agentūros taisyklėse (HSLF-FS 2021:xx) dėl žmonėms skirtų vaistų etikečių ir pakuotės lapelių]. Be to, turi būti laikomasi toliau nurodytų reikalavimų.</w:t>
      </w:r>
    </w:p>
    <w:p w14:paraId="4B08A15A" w14:textId="77777777" w:rsidR="003F4B7D" w:rsidRDefault="003F4B7D" w:rsidP="003F4B7D">
      <w:pPr>
        <w:pStyle w:val="HSLF-FS-Brdtextindragfrstaraden"/>
      </w:pPr>
      <w:r>
        <w:t xml:space="preserve">1. Ant pirminės ir išorinės pakuotės nurodomi gamintojo, lygiagretų importą vykdančio subjekto ir perpakuotojo pavadinimai ir adresai. Vietoj gamintojo pavadinimo ir adreso galima nurodyti atitinkamą pavadinimą. </w:t>
      </w:r>
    </w:p>
    <w:p w14:paraId="40E0DA30" w14:textId="0F35B829" w:rsidR="00FB7D99" w:rsidRDefault="003F4B7D" w:rsidP="003F4B7D">
      <w:pPr>
        <w:pStyle w:val="HSLF-FS-Brdtextindragfrstaraden"/>
      </w:pPr>
      <w:r>
        <w:t xml:space="preserve">2. Jei lygiagrečiai importuojamas žmonėms skirtas vaistas kuriuo nors aspektu skiriasi nuo tiesiogiai importuojamo žmonėms skirto vaisto, ant išorinės pakuotės turi būti atitinkamai pateiktas tekstas. </w:t>
      </w:r>
    </w:p>
    <w:p w14:paraId="476EACF4" w14:textId="7E57E8A4" w:rsidR="00FB7D99" w:rsidRDefault="008E0BB7" w:rsidP="006828FD">
      <w:pPr>
        <w:pStyle w:val="HSLF-FS-Brdtextindragfrstaraden"/>
      </w:pPr>
      <w:r>
        <w:t xml:space="preserve">Išskyrus pirmos pastraipos 1 punktą, ant pirminių pakuočių tablečių lapelių forma ir kitų mažų pirminių pakuočių gali būti pateikiama tik 3–4 dalyse nurodyta informacija [HSLF-FS 2021:xx] ir lygiagretų importą vykdančio subjekto pavadinimas. </w:t>
      </w:r>
    </w:p>
    <w:p w14:paraId="48B7FB75" w14:textId="6CEE253F" w:rsidR="008E0BB7" w:rsidRPr="00FB7D99" w:rsidRDefault="008E0BB7" w:rsidP="006828FD">
      <w:pPr>
        <w:pStyle w:val="HSLF-FS-Brdtextindragfrstaraden"/>
      </w:pPr>
      <w:r>
        <w:t>Ant pakuotės gali būti pateiktas tekstas, jei teksto turinys neprieštarauja etiketėje švedų kalba pateiktam tekstui.</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13 straipsnis.</w:t>
      </w:r>
      <w:r>
        <w:t xml:space="preserve"> Pakuotės lapelis turi būti suformatuotas taip, kaip nurodyta [Vaistų agentūros taisyklėse (HSLF-FS 2021:xx) dėl žmonėms skirtų vaistų etikečių ir pakuotės lapelių]. Pakuotės lapelio turinys atitinka tiesiogiai importuojamo žmonėms skirto vaisto pakuotės lapelį, bet pritaikomas lygiagrečiai importuojamam žmonėms skirtam vaistui. </w:t>
      </w:r>
    </w:p>
    <w:p w14:paraId="320F43CC" w14:textId="18B3DC58" w:rsidR="008E0BB7" w:rsidRDefault="00FB7D99" w:rsidP="00290C54">
      <w:pPr>
        <w:pStyle w:val="HSLF-FS-Brdtextindragfrstaraden"/>
        <w:rPr>
          <w:b/>
          <w:sz w:val="23"/>
          <w:szCs w:val="23"/>
        </w:rPr>
      </w:pPr>
      <w:r>
        <w:t>Be gamintojo pavadinimo ir adreso, ant pakuotės lapelio taip pat nurodomi lygiagretų importą vykdančio subjekto ir perpakuotojo pavadinimai ir adresai. Vietoj gamintojo pavadinimo ir adreso galima nurodyti atitinkamą pavadinimą.</w:t>
      </w:r>
    </w:p>
    <w:p w14:paraId="2AAFFEDA" w14:textId="7B80763D" w:rsidR="00FB7D99" w:rsidRPr="00FB7D99" w:rsidRDefault="00290C54" w:rsidP="000A25FC">
      <w:pPr>
        <w:pStyle w:val="HSLF-FS-Rubrik-2"/>
      </w:pPr>
      <w:r>
        <w:t xml:space="preserve">Žmonėms skirto vaisto pavadinimas </w:t>
      </w:r>
    </w:p>
    <w:p w14:paraId="7D3512EF" w14:textId="6DC83553" w:rsidR="008E0BB7" w:rsidRDefault="00FB7D99" w:rsidP="003E763F">
      <w:pPr>
        <w:pStyle w:val="HSLF-FS-Brdtextindragfrstaraden"/>
        <w:spacing w:line="240" w:lineRule="auto"/>
        <w:ind w:firstLine="0"/>
        <w:rPr>
          <w:b/>
          <w:sz w:val="23"/>
          <w:szCs w:val="23"/>
        </w:rPr>
      </w:pPr>
      <w:r>
        <w:rPr>
          <w:b/>
        </w:rPr>
        <w:t xml:space="preserve">14 straipsnis. </w:t>
      </w:r>
      <w:r>
        <w:t xml:space="preserve">Be to, kas nurodyta dėl žmonėms skirto vaisto pavadinimo 1 straipsnyje [Vaistų agentūros taisyklės (HSLF-FS 2021:xx) dėl žmonėms skirtų vaistų etikečių ir pakuotės lapelių] lygiagrečiai importuojamas žmonėms skirtas vaistas gali turėti tą patį pavadinimą kaip ir tiesiogiai importuojamas žmonėms skirtas vaistas. </w:t>
      </w:r>
    </w:p>
    <w:p w14:paraId="794E867C" w14:textId="77777777" w:rsidR="000A25FC" w:rsidRPr="000A25FC" w:rsidRDefault="000A25FC" w:rsidP="000A25FC">
      <w:pPr>
        <w:pStyle w:val="HSLF-FS-Rubrik-2"/>
      </w:pPr>
      <w:r>
        <w:lastRenderedPageBreak/>
        <w:t xml:space="preserve">Galiojimo laikas ir saugojimas </w:t>
      </w:r>
    </w:p>
    <w:p w14:paraId="0710B930" w14:textId="7F9BD9E7" w:rsidR="000A25FC" w:rsidRDefault="000A25FC" w:rsidP="003E763F">
      <w:pPr>
        <w:pStyle w:val="HSLF-FS-Brdtextindragfrstaraden"/>
        <w:spacing w:line="240" w:lineRule="auto"/>
        <w:ind w:firstLine="0"/>
      </w:pPr>
      <w:r>
        <w:rPr>
          <w:b/>
        </w:rPr>
        <w:t>15 straipsnis.</w:t>
      </w:r>
      <w:r>
        <w:t xml:space="preserve"> Lygiagrečiai importuojamo žmonėms skirto vaisto tinkamumo vartoti laikas turi būti toks pat kaip ir žmonėms skirto vaisto tinkamumo vartoti išvežimo šalyje, išskyrus atvejus, kai atskiru atveju sąlygos reikalauja kitaip. Nurodomas neatidarytos pakuotės ir, jei taikoma, atidarytos pakuotės tinkamumo vartoti laikas. Jei žmonėms skirtą vaistą pildo vaistinės, visada nurodomas atidarytos pakuotės tinkamumo vartoti laikas. </w:t>
      </w:r>
    </w:p>
    <w:p w14:paraId="44C7A83A" w14:textId="67503CB7" w:rsidR="000A25FC" w:rsidRPr="00290C54" w:rsidRDefault="000A25FC" w:rsidP="00290C54">
      <w:pPr>
        <w:pStyle w:val="HSLF-FS-Brdtextindragfrstaraden"/>
      </w:pPr>
      <w:r>
        <w:t xml:space="preserve">Tais atvejais, kai antrinė pakuotė atidaroma perpakuojant ir dėl to daromas poveikis žmonėms skirto vaisto stabilumui, tinkamumo vartoti laikas naujojoje pakuotėje turi būti dokumentuojamas ir nurodomas. </w:t>
      </w:r>
    </w:p>
    <w:p w14:paraId="249CDA8A" w14:textId="377748F5" w:rsidR="008E0BB7" w:rsidRPr="00290C54" w:rsidRDefault="000A25FC" w:rsidP="00290C54">
      <w:pPr>
        <w:pStyle w:val="HSLF-FS-Brdtextindragfrstaraden"/>
      </w:pPr>
      <w:r>
        <w:t>Lygiagrečiai importuojamas žmonėms skirtas vaistas turi turėti tokias pačias laikymo instrukcijas kaip ir tiesiogiai importuojamas žmonėms skirtas vaistas, išskyrus atvejus, kai konkrečiu atveju taikomos sąlygos reikalauja kitaip.</w:t>
      </w:r>
    </w:p>
    <w:p w14:paraId="7DE657BA" w14:textId="77777777" w:rsidR="000A25FC" w:rsidRDefault="000A25FC" w:rsidP="000A25FC">
      <w:pPr>
        <w:pStyle w:val="HSLF-FS-Rubrik-2"/>
      </w:pPr>
      <w:r>
        <w:t xml:space="preserve">Pranešimas apie šalutinį poveikį </w:t>
      </w:r>
    </w:p>
    <w:p w14:paraId="104B7DFF" w14:textId="024946B8" w:rsidR="000A25FC" w:rsidRDefault="000A25FC" w:rsidP="003E763F">
      <w:pPr>
        <w:pStyle w:val="HSLF-FS-Brdtextindragfrstaraden"/>
        <w:spacing w:line="240" w:lineRule="auto"/>
        <w:ind w:firstLine="0"/>
      </w:pPr>
      <w:r>
        <w:rPr>
          <w:b/>
        </w:rPr>
        <w:t>16 straipsnis.</w:t>
      </w:r>
      <w:r>
        <w:t xml:space="preserve"> Lygiagretų importą vykdantis subjektas praneša apie visus įtariamus šalutinius poveikius, susijusius su lygiagrečiai importuojamu žmonėms skirtu vaistu, subjektui, kuriam Švedijoje išduotas leidimas prekiauti tiesiogiai importuojamu žmonėms skirtu vaistu. </w:t>
      </w:r>
    </w:p>
    <w:p w14:paraId="24B618C9" w14:textId="4D8E993E" w:rsidR="008F3292" w:rsidRPr="00290C54" w:rsidRDefault="000A25FC" w:rsidP="00290C54">
      <w:pPr>
        <w:pStyle w:val="HSLF-FS-Brdtextindragfrstaraden"/>
      </w:pPr>
      <w:r>
        <w:t xml:space="preserve">Vietoj to šalutinio poveikio ataskaita siunčiama subjektui, turinčiam leidimą prekiauti žmonėms skirtu vaistu išvežimo šalyje, jei: </w:t>
      </w:r>
    </w:p>
    <w:p w14:paraId="4371C89C" w14:textId="0C7F327B" w:rsidR="000A25FC" w:rsidRDefault="003F4B7D" w:rsidP="003F4B7D">
      <w:pPr>
        <w:pStyle w:val="HSLF-FS-Brdtextindragfrstaraden"/>
      </w:pPr>
      <w:r>
        <w:t xml:space="preserve">– subjektas, turintis leidimą prekiauti tiesiogiai importuojamu žmonėms skirtu vaistu, taip pat neturi leidimo prekiauti žmonėms skirtu vaistu išvežimo šalyje, arba </w:t>
      </w:r>
    </w:p>
    <w:p w14:paraId="06143F8F" w14:textId="06C05CA6" w:rsidR="000A25FC" w:rsidRDefault="003F4B7D" w:rsidP="003F4B7D">
      <w:pPr>
        <w:pStyle w:val="HSLF-FS-Brdtextindragfrstaraden"/>
      </w:pPr>
      <w:r>
        <w:t xml:space="preserve">– tiesiogiai importuojamu žmonėms skirtu vaistu Švedijoje nebeleidžiama prekiauti. </w:t>
      </w:r>
    </w:p>
    <w:p w14:paraId="24DE6638" w14:textId="24E9A8A4" w:rsidR="000A25FC" w:rsidRDefault="000A25FC" w:rsidP="00290C54">
      <w:pPr>
        <w:pStyle w:val="HSLF-FS-Brdtextindragfrstaraden"/>
      </w:pPr>
      <w:r>
        <w:t xml:space="preserve">Apie įtariamą šalutinį poveikį pranešama kuo greičiau po to, kai lygiagretų importą vykdantis subjektas informuojamas apie tokią informaciją. Pranešimas apie šalutinį poveikį gavėjui Švedijoje išsiunčiamas per septynias dienas. Pranešimas apie šalutinį poveikį gavėjui kitoje šalyje išverčiamas į anglų kalbą arba į kitą kalbą, kurią supranta gavėjas, ir išsiunčiamas per dešimt dienų. Jei pranešimo apie šalutinį poveikį gavėjas prašo papildomos informacijos, lygiagretų importą vykdantis subjektas visada pateikia tokią informaciją. </w:t>
      </w:r>
    </w:p>
    <w:p w14:paraId="5C8B5B90" w14:textId="26F662AA" w:rsidR="008F3292" w:rsidRDefault="008F3292" w:rsidP="008F3292">
      <w:pPr>
        <w:pStyle w:val="HSLF-FS-Rubrik-2"/>
      </w:pPr>
      <w:r>
        <w:t xml:space="preserve">Gamybos leidimas ir geroji gamybos praktika </w:t>
      </w:r>
    </w:p>
    <w:p w14:paraId="0F97AC9B" w14:textId="11B01259" w:rsidR="006E4323" w:rsidRPr="007C0355" w:rsidRDefault="008F3292" w:rsidP="003E763F">
      <w:pPr>
        <w:pStyle w:val="HSLF-FS-Brdtextindragfrstaraden"/>
        <w:spacing w:line="240" w:lineRule="auto"/>
        <w:ind w:firstLine="0"/>
      </w:pPr>
      <w:r>
        <w:rPr>
          <w:b/>
        </w:rPr>
        <w:t>17 straipsnis.</w:t>
      </w:r>
      <w:r>
        <w:t xml:space="preserve"> Perpakavimui arba ženklinimui iš naujo reikalingas specialus gamybos leidimas, išduotas Europos ekonominės erdvės valstybėje. Nuostatos šiuo klausimu pateikiamos [Vaistų agentūros </w:t>
      </w:r>
      <w:r>
        <w:lastRenderedPageBreak/>
        <w:t xml:space="preserve">taisyklėse (HSLF-FS 2021:xx) dėl leidimų gaminti ir importuoti vaistus]. </w:t>
      </w:r>
    </w:p>
    <w:p w14:paraId="02B2FF9E" w14:textId="55E1DF14" w:rsidR="008F3292" w:rsidRDefault="008F3292" w:rsidP="006E4323">
      <w:pPr>
        <w:pStyle w:val="HSLF-FS-Brdtextindragfrstaraden"/>
      </w:pPr>
      <w:r>
        <w:t xml:space="preserve">Perpakavimas ir ženklinimas iš naujo atliekamas laikantis Vaistų agentūros taisyklių (LVFS 2004:6) dėl gerosios gamybos praktikos ir taip, kad nebūtų paveiktas žmonėms skirto vaisto originalumas. </w:t>
      </w:r>
    </w:p>
    <w:p w14:paraId="0A73CF5B" w14:textId="77777777" w:rsidR="008F3292" w:rsidRDefault="008F3292" w:rsidP="008F3292">
      <w:pPr>
        <w:pStyle w:val="HSLF-FS-Rubrik-2"/>
      </w:pPr>
      <w:r>
        <w:t xml:space="preserve">Didmeninė prekyba </w:t>
      </w:r>
    </w:p>
    <w:p w14:paraId="0F4425C6" w14:textId="2B113FB5" w:rsidR="008F3292" w:rsidRPr="007123B4" w:rsidRDefault="008F3292" w:rsidP="007123B4">
      <w:pPr>
        <w:pStyle w:val="HSLF-FS-Brdtextindragfrstaraden"/>
        <w:spacing w:line="240" w:lineRule="auto"/>
        <w:ind w:firstLine="0"/>
        <w:rPr>
          <w:b/>
          <w:sz w:val="23"/>
          <w:szCs w:val="23"/>
        </w:rPr>
      </w:pPr>
      <w:r>
        <w:rPr>
          <w:b/>
        </w:rPr>
        <w:t>18 straipsnis.</w:t>
      </w:r>
      <w:r>
        <w:t xml:space="preserve"> Pagal Įstatymo (2009:366) dėl prekybos vaistais 3 skyriaus 1 straipsnį didmeninė prekyba vaistais gali būti vykdoma tik tiems, kuriems suteiktas toks leidimas. Papildomos nuostatos pateiktos [Vaistų agentūros taisyklėse (HSLF-FS 2021:xx) dėl didmeninės prekybos vaistais]. </w:t>
      </w:r>
    </w:p>
    <w:p w14:paraId="360AECBE" w14:textId="0C72E25D" w:rsidR="007123B4" w:rsidRPr="007123B4" w:rsidRDefault="009316D3" w:rsidP="007123B4">
      <w:pPr>
        <w:pStyle w:val="HSLF-FS-Rubrik-2"/>
      </w:pPr>
      <w:r>
        <w:t xml:space="preserve">Žmonėms skirti narkotiniai vaistai </w:t>
      </w:r>
    </w:p>
    <w:p w14:paraId="4031F41B" w14:textId="10107744" w:rsidR="007123B4" w:rsidRDefault="007123B4" w:rsidP="007123B4">
      <w:pPr>
        <w:pStyle w:val="HSLF-FS-Brdtext"/>
      </w:pPr>
      <w:r>
        <w:rPr>
          <w:b/>
        </w:rPr>
        <w:t>19 straipsnis.</w:t>
      </w:r>
      <w:r>
        <w:t xml:space="preserve"> Vaistų agentūros taisyklėse (LVFS 2011:9) dėl narkotinių vaistų kontrolės pateikiamos nuostatos dėl narkotinių vaistų tvarkymo.</w:t>
      </w:r>
    </w:p>
    <w:p w14:paraId="17F65349" w14:textId="2066661A" w:rsidR="007123B4" w:rsidRDefault="007123B4" w:rsidP="007123B4">
      <w:pPr>
        <w:pStyle w:val="HSLF-FS-Rubrik-2"/>
      </w:pPr>
      <w:r>
        <w:t xml:space="preserve">Lygiagrečiai importuojamų žmonėms skirtų vakcinų ir kraujo produktų pardavimas </w:t>
      </w:r>
    </w:p>
    <w:p w14:paraId="2AFF90DC" w14:textId="54B5CB77" w:rsidR="008F3292" w:rsidRPr="007123B4" w:rsidRDefault="007123B4" w:rsidP="007123B4">
      <w:pPr>
        <w:pStyle w:val="HSLF-FS-Brdtextindragfrstaraden"/>
        <w:ind w:firstLine="0"/>
      </w:pPr>
      <w:r>
        <w:rPr>
          <w:b/>
        </w:rPr>
        <w:t>20 straipsnis.</w:t>
      </w:r>
      <w:r>
        <w:t xml:space="preserve"> Vaistų agentūros taisyklėse (HSLF-FS 2015:14) dėl žmonėms skirtų vakcinų ir kraujo produktų gamybos partijų prekybos pateikiamos nuostatos dėl žmonėms skirtų vakcinų ir kraujo produktų, kurie bus parduodami Švedijos rinkoje, gamybos partijų. </w:t>
      </w:r>
    </w:p>
    <w:p w14:paraId="2CA1CC04" w14:textId="7FD4BDCA" w:rsidR="007123B4" w:rsidRDefault="007123B4" w:rsidP="007123B4">
      <w:pPr>
        <w:pStyle w:val="HSLF-FS-Rubrik-2"/>
      </w:pPr>
      <w:r>
        <w:t>Pakeitimai ir atšaukimai</w:t>
      </w:r>
    </w:p>
    <w:p w14:paraId="5663B19E" w14:textId="659FBF44" w:rsidR="000A25FC" w:rsidRDefault="007123B4" w:rsidP="003E763F">
      <w:pPr>
        <w:pStyle w:val="HSLF-FS-Brdtextindragfrstaraden"/>
        <w:spacing w:line="240" w:lineRule="auto"/>
        <w:ind w:firstLine="0"/>
        <w:rPr>
          <w:b/>
          <w:sz w:val="23"/>
          <w:szCs w:val="23"/>
        </w:rPr>
      </w:pPr>
      <w:r>
        <w:rPr>
          <w:b/>
        </w:rPr>
        <w:t>21 straipsnis.</w:t>
      </w:r>
      <w:r>
        <w:t xml:space="preserve"> Lygiagretų importą vykdantis subjektas turi būti informuotas apie visus žmonėms skirto vaisto, patvirtinto išvežimo šalyje, arba tiesiogiai importuojamo žmonėms skirto vaisto pakeitimus, kurie gali būti svarbūs lygiagrečiai importuojamo žmonėms skirto vaisto leidimui prekiauti. Lygiagretų importą vykdantis subjektas importuotojas nuolat informuoja Vaistų agentūrą apie tokius pakeitimus.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22 straipsnis.</w:t>
      </w:r>
      <w:r>
        <w:t xml:space="preserve"> Lygiagretų importą vykdantis subjektas kreipiasi dėl būtinų lygiagrečiai importuojamo žmonėms skirto vaisto leidimo prekiauti pakeitimų. </w:t>
      </w:r>
    </w:p>
    <w:p w14:paraId="4910B7CC" w14:textId="6F5BCDE4" w:rsidR="007123B4" w:rsidRDefault="007123B4" w:rsidP="007123B4">
      <w:pPr>
        <w:pStyle w:val="HSLF-FS-Brdtextindragfrstaraden"/>
      </w:pPr>
      <w:r>
        <w:t xml:space="preserve">Iš esmės pakeitus leidimą išvežimo šalyje, pakeistas lygiagrečiai importuotas žmonėms skirtas vaistas negali būti parduodamas tol, kol Vaistų agentūra nepatvirtino atitinkamų pakeitimų.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23 straipsnis. </w:t>
      </w:r>
      <w:r>
        <w:t xml:space="preserve">Jei leidimas prekiauti lygiagrečiai importuojamu žmonėms skirtu vaistu į išvežimo šalį arba tiesiogiai importuojamu </w:t>
      </w:r>
      <w:r>
        <w:lastRenderedPageBreak/>
        <w:t xml:space="preserve">žmonėms skirtu vaistu Švedijoje panaikinamas dėl priežasčių, susijusių su kokybe, poveikiu ar saugumu, leidimas prekiauti lygiagrečiai importuojamu žmonėms skirtu vaistu taip pat panaikinamas. </w:t>
      </w:r>
    </w:p>
    <w:p w14:paraId="1F883E64" w14:textId="518B5776" w:rsidR="007123B4" w:rsidRDefault="0091535B" w:rsidP="007C0355">
      <w:pPr>
        <w:pStyle w:val="HSLF-FS-Brdtextindragfrstaraden"/>
      </w:pPr>
      <w:r>
        <w:t xml:space="preserve">Leidimas prekiauti lygiagrečiai importuojamais žmonėms skirtais vaistais gali būti atšauktas pagal Vaistų įstatymo (2015:315) 11 skyriaus 2 straipsnį net ir tais atvejais, kurie nenurodyti pirmoje pastraipoje. </w:t>
      </w:r>
    </w:p>
    <w:p w14:paraId="55C307F2" w14:textId="77777777" w:rsidR="007E61A7" w:rsidRDefault="007E61A7" w:rsidP="007E61A7">
      <w:pPr>
        <w:pStyle w:val="HSLF-FS-Rubrik-2"/>
      </w:pPr>
      <w:r>
        <w:t xml:space="preserve">Nukrypti leidžianti nuostata </w:t>
      </w:r>
    </w:p>
    <w:p w14:paraId="089664DD" w14:textId="02B58EA2" w:rsidR="00153F3E" w:rsidRDefault="007E61A7" w:rsidP="003E763F">
      <w:pPr>
        <w:pStyle w:val="HSLF-FS-Brdtextindragfrstaraden"/>
        <w:spacing w:line="240" w:lineRule="auto"/>
        <w:ind w:firstLine="0"/>
      </w:pPr>
      <w:r>
        <w:rPr>
          <w:b/>
        </w:rPr>
        <w:t>24 straipsnis.</w:t>
      </w:r>
      <w:r>
        <w:t xml:space="preserve"> Vaistų agentūra, esant ypatingoms priežastims, gali leisti netaikyti šių taisyklių nuostatų (atleisti nuo jų). Tačiau leidimas netaikyti jų negali būti suteikiamas, jei dėl to būtų nevykdomi Švedijos įsipareigojimai pagal ES teisę.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Šios taisyklės įsigalioja 2022 m. sausio 28 d.</w:t>
      </w:r>
    </w:p>
    <w:p w14:paraId="33DB6D78" w14:textId="77777777" w:rsidR="00735042" w:rsidRDefault="00735042" w:rsidP="00735042">
      <w:pPr>
        <w:pStyle w:val="HSLF-FS-Brdtextindragfrstaraden"/>
      </w:pPr>
      <w:r>
        <w:t>2. Taisyklėmis panaikinamos Vaistų agentūros taisyklės (LVFS 2012:19) dėl lygiagrečiai importuojamų vaistų.</w:t>
      </w:r>
    </w:p>
    <w:p w14:paraId="0EAC64C7" w14:textId="4D1C2588" w:rsidR="00420658" w:rsidRPr="00420658" w:rsidRDefault="00735042" w:rsidP="00735042">
      <w:pPr>
        <w:pStyle w:val="HSLF-FS-Brdtextindragfrstaraden"/>
      </w:pPr>
      <w:r>
        <w:t>3. Leidimai, išduoti pagal Vaistų agentūros taisykles (LVFS 2012:19) dėl lygiagrečiai importuojamų vaistų, galioja kaip leidimai pagal naujas taisykles.</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Vaistų agentūra</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Priedas</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Kartu su paraiškomis dėl lygiagrečiai importuojamų žmonėms skirtų vaistų leidimo prekiauti pateikiama ši informacija ir dokumentai: </w:t>
      </w:r>
    </w:p>
    <w:p w14:paraId="514029D8" w14:textId="09560852" w:rsidR="007E61A7" w:rsidRDefault="00F11B34" w:rsidP="00F11B34">
      <w:pPr>
        <w:pStyle w:val="HSLF-FS-Brdtextindragfrstaraden"/>
      </w:pPr>
      <w:r>
        <w:t xml:space="preserve">1. Pareiškėjo vardas, pavardė arba prekybinis pavadinimas ir pašto adresas, taip pat paskirto asmens ryšiams su prašymu kontaktinė informacija. </w:t>
      </w:r>
    </w:p>
    <w:p w14:paraId="78C7D29E" w14:textId="45857F42" w:rsidR="007E61A7" w:rsidRDefault="00F11B34" w:rsidP="00F11B34">
      <w:pPr>
        <w:pStyle w:val="HSLF-FS-Brdtextindragfrstaraden"/>
      </w:pPr>
      <w:r>
        <w:t xml:space="preserve">2. Vietos atstovų vardas, pavardė (pavadinimas) ir pašto adresas. </w:t>
      </w:r>
    </w:p>
    <w:p w14:paraId="6E6F4A97" w14:textId="6CCF807F" w:rsidR="007E61A7" w:rsidRDefault="00F11B34" w:rsidP="00F11B34">
      <w:pPr>
        <w:pStyle w:val="HSLF-FS-Brdtextindragfrstaraden"/>
      </w:pPr>
      <w:r>
        <w:t xml:space="preserve">3. Žmonėms skirto vaisto pavadinimas, farmacinė forma, stiprumas ir vartojimo būdai. </w:t>
      </w:r>
    </w:p>
    <w:p w14:paraId="55C449F3" w14:textId="57258547" w:rsidR="007E61A7" w:rsidRDefault="00F11B34" w:rsidP="00F11B34">
      <w:pPr>
        <w:pStyle w:val="HSLF-FS-Brdtextindragfrstaraden"/>
      </w:pPr>
      <w:r>
        <w:t xml:space="preserve">4. EEE šalis, iš kurios žmonėms skirtas vaistas turi būti išvežtas. </w:t>
      </w:r>
    </w:p>
    <w:p w14:paraId="085E440B" w14:textId="39BE4E98" w:rsidR="007E61A7" w:rsidRDefault="00F11B34" w:rsidP="00F11B34">
      <w:pPr>
        <w:pStyle w:val="HSLF-FS-Brdtextindragfrstaraden"/>
      </w:pPr>
      <w:r>
        <w:t xml:space="preserve">5. Informacija, kad pranešimas pagal taisyklių 8 straipsnį buvo arba bus pateiktas. </w:t>
      </w:r>
    </w:p>
    <w:p w14:paraId="75DF96D8" w14:textId="03425D6C" w:rsidR="007E61A7" w:rsidRDefault="00F11B34" w:rsidP="00F11B34">
      <w:pPr>
        <w:pStyle w:val="HSLF-FS-Brdtextindragfrstaraden"/>
      </w:pPr>
      <w:r>
        <w:t xml:space="preserve">6. Informacija, kad pranešimas pateikiamas pagal taisyklių 9 straipsnį, ir tai, ar toks pranešimas jau buvo pateiktas. </w:t>
      </w:r>
    </w:p>
    <w:p w14:paraId="3BDB4718" w14:textId="71F61822" w:rsidR="007E61A7" w:rsidRDefault="00F11B34" w:rsidP="00F11B34">
      <w:pPr>
        <w:pStyle w:val="HSLF-FS-Brdtextindragfrstaraden"/>
      </w:pPr>
      <w:r>
        <w:t xml:space="preserve">7. Žmonėms skirto vaisto pavadinimas, farmacinė forma ir stiprumas išvežimo šalyje ir leidimo prekiauti numeris išvežimo šalyje. </w:t>
      </w:r>
    </w:p>
    <w:p w14:paraId="3E0A7832" w14:textId="2EC413BE" w:rsidR="007E61A7" w:rsidRDefault="00F11B34" w:rsidP="00F11B34">
      <w:pPr>
        <w:pStyle w:val="HSLF-FS-Brdtextindragfrstaraden"/>
      </w:pPr>
      <w:r>
        <w:t xml:space="preserve">8. Leidimo prekiauti turėtojo vardas, pavardė (pavadinimas) ir adresas išvežimo šalyje bei atitinkama informacija gamintojui. </w:t>
      </w:r>
    </w:p>
    <w:p w14:paraId="714DF124" w14:textId="5C59A4CB" w:rsidR="007E61A7" w:rsidRDefault="00F11B34" w:rsidP="00F11B34">
      <w:pPr>
        <w:pStyle w:val="HSLF-FS-Brdtextindragfrstaraden"/>
      </w:pPr>
      <w:r>
        <w:t xml:space="preserve">9. Tiesiogiai importuojamo žmonėms skirto vaisto pavadinimas, farmacinė forma, stiprumas ir leidimo prekiauti numeris. </w:t>
      </w:r>
    </w:p>
    <w:p w14:paraId="7BBE27A8" w14:textId="53BFAAF9" w:rsidR="007E61A7" w:rsidRDefault="00F11B34" w:rsidP="00F11B34">
      <w:pPr>
        <w:pStyle w:val="HSLF-FS-Brdtextindragfrstaraden"/>
      </w:pPr>
      <w:r>
        <w:t xml:space="preserve">10. Tiesiogiai importuojamo žmonėms skirto vaisto leidimo prekiauti turėtojo pavadinimas ir adresas. </w:t>
      </w:r>
    </w:p>
    <w:p w14:paraId="4546F84D" w14:textId="1045E18F" w:rsidR="007E61A7" w:rsidRDefault="00F11B34" w:rsidP="00F11B34">
      <w:pPr>
        <w:pStyle w:val="HSLF-FS-Brdtextindragfrstaraden"/>
      </w:pPr>
      <w:r>
        <w:t xml:space="preserve">11. Tiesiogiai importuojamo žmonėms skirto vaisto ir lygiagrečiai importuojamo žmonėms skirto vaisto skirtumų aprašymas. </w:t>
      </w:r>
    </w:p>
    <w:p w14:paraId="64BE3E65" w14:textId="77DB415E" w:rsidR="007E61A7" w:rsidRDefault="00F11B34" w:rsidP="00F11B34">
      <w:pPr>
        <w:pStyle w:val="HSLF-FS-Brdtextindragfrstaraden"/>
      </w:pPr>
      <w:r>
        <w:t xml:space="preserve">12. Išsamus žmonėms skirto vaisto ženklinimo iš naujo arba perpakavimo aprašymas. </w:t>
      </w:r>
    </w:p>
    <w:p w14:paraId="6DAFAC5B" w14:textId="6A68B83B" w:rsidR="007E61A7" w:rsidRDefault="00F11B34" w:rsidP="00F11B34">
      <w:pPr>
        <w:pStyle w:val="HSLF-FS-Brdtextindragfrstaraden"/>
      </w:pPr>
      <w:r>
        <w:t xml:space="preserve">13. Informacija apie lygiagrečiai importuojamų žmonėms skirtų vaistų priėmimo, saugojimo, perpakavimo, išleidimo ir vežimo instrukcijas ir kokybės kontrolę ir susigrąžintų vaistų sistemas. </w:t>
      </w:r>
    </w:p>
    <w:p w14:paraId="5F99D126" w14:textId="472C485B" w:rsidR="00642B0F" w:rsidRDefault="00F11B34" w:rsidP="00F11B34">
      <w:pPr>
        <w:pStyle w:val="HSLF-FS-Brdtextindragfrstaraden"/>
      </w:pPr>
      <w:r>
        <w:t xml:space="preserve">14. Bendrovės (-ių), atliekančios (-ių) perpakavimą ir (arba) ženklinimą iš naujo, pavadinimas, adresas ir gamybos leidimas ir, kai taikoma, rašytinis susitarimas. </w:t>
      </w:r>
    </w:p>
    <w:p w14:paraId="42B81F88" w14:textId="6A3D8C3C" w:rsidR="00642B0F" w:rsidRDefault="00F11B34" w:rsidP="00F11B34">
      <w:pPr>
        <w:pStyle w:val="HSLF-FS-Brdtextindragfrstaraden"/>
      </w:pPr>
      <w:r>
        <w:t xml:space="preserve">15. Informacija apie lygiagrečiai importuojamo žmonėms skirto vaisto pakuotę pakuočių dydžio (-ių) ir pakuočių ir (arba) farmacijos talpyklų forma. </w:t>
      </w:r>
    </w:p>
    <w:p w14:paraId="0E3D4B52" w14:textId="2275E4B1" w:rsidR="007E61A7" w:rsidRPr="007E61A7" w:rsidRDefault="00F11B34" w:rsidP="00F11B34">
      <w:pPr>
        <w:pStyle w:val="HSLF-FS-Brdtextindragfrstaraden"/>
      </w:pPr>
      <w:r>
        <w:t>16. Tinkamumo vartoti laikas (neatidarytos ir atidarytos pakuotės atveju) ir, jei taikoma, tinkamumo vartoti laikas užbaigus lygiagrečiai importuojamą žmonėms skirtą vaistą ir atitinkamos lygiagrečiai importuojamo žmonėms skirto vaisto laikymo instrukcijos.</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galima atsisiųsti arba užsisakyti</w:t>
      </w:r>
    </w:p>
    <w:p w14:paraId="2228B341" w14:textId="77777777" w:rsidR="00577C10" w:rsidRPr="00054DAD" w:rsidRDefault="00577C10" w:rsidP="00B9475C">
      <w:pPr>
        <w:pStyle w:val="HSLF-FS-Bestllningsinformation"/>
      </w:pPr>
      <w:r>
        <w:t>Svetainė: www.xxxxxxxxxxxxx.xx</w:t>
      </w:r>
    </w:p>
    <w:p w14:paraId="0E71970A" w14:textId="77777777" w:rsidR="00577C10" w:rsidRPr="00054DAD" w:rsidRDefault="00577C10" w:rsidP="00B9475C">
      <w:pPr>
        <w:pStyle w:val="HSLF-FS-Bestllningsinformation"/>
      </w:pPr>
      <w:r>
        <w:t>El. p.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2B3870">
      <w:pPr>
        <w:pStyle w:val="HSLF-FS-Kontaktinformation"/>
        <w:jc w:val="left"/>
      </w:pPr>
      <w:r>
        <w:t>Kontaktiniai duomenys</w:t>
      </w:r>
      <w:r>
        <w:br/>
        <w:t>Xxxxxxxxxxx</w:t>
      </w:r>
      <w:r>
        <w:br/>
        <w:t>Adresas</w:t>
      </w:r>
      <w:r>
        <w:br/>
        <w:t>Tel. xx xxxxxxxxx Faks. xx xxxxxxxxx</w:t>
      </w:r>
    </w:p>
    <w:p w14:paraId="2548EFCB" w14:textId="77777777" w:rsidR="00673671" w:rsidRPr="00964D75" w:rsidRDefault="00673671" w:rsidP="00B9475C">
      <w:pPr>
        <w:pStyle w:val="HSLF-FS-Kontaktinformation"/>
      </w:pPr>
      <w:r>
        <w:t>El. p. xxxxxxxx@xxxxxxx.xx</w:t>
      </w:r>
    </w:p>
    <w:p w14:paraId="7A240DDE" w14:textId="77777777" w:rsidR="00E44C93" w:rsidRPr="00964D75" w:rsidRDefault="00673671" w:rsidP="00B9475C">
      <w:pPr>
        <w:pStyle w:val="HSLF-FS-Kontaktinformation"/>
      </w:pPr>
      <w:r>
        <w:t>Svetainė: www.xxxxxxxxxxxxx.xx</w:t>
      </w:r>
    </w:p>
    <w:p w14:paraId="5434F6A8" w14:textId="77777777" w:rsidR="00673671" w:rsidRPr="002B3870" w:rsidRDefault="00673671" w:rsidP="00673671">
      <w:pPr>
        <w:pStyle w:val="HSLF-FS-Brdtextindragfrstaraden"/>
        <w:rPr>
          <w:lang w:val="es-ES"/>
        </w:rPr>
      </w:pPr>
    </w:p>
    <w:p w14:paraId="05DED749" w14:textId="60FC851A" w:rsidR="00876360" w:rsidRPr="00E44C93" w:rsidRDefault="00B8133C" w:rsidP="00615514">
      <w:pPr>
        <w:pStyle w:val="HSLF-FS-Tryckort"/>
      </w:pPr>
      <w:r>
        <w:t>Spausdinimo vieta: Spaustuvė ir paskelbimo metai</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567D" w14:textId="77777777" w:rsidR="005C4A10" w:rsidRDefault="005C4A10" w:rsidP="00290019">
      <w:r>
        <w:separator/>
      </w:r>
    </w:p>
  </w:endnote>
  <w:endnote w:type="continuationSeparator" w:id="0">
    <w:p w14:paraId="04DD301D" w14:textId="77777777" w:rsidR="005C4A10" w:rsidRDefault="005C4A10"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250D" w14:textId="77777777" w:rsidR="005C4A10" w:rsidRDefault="005C4A10" w:rsidP="00290019">
      <w:r>
        <w:separator/>
      </w:r>
    </w:p>
  </w:footnote>
  <w:footnote w:type="continuationSeparator" w:id="0">
    <w:p w14:paraId="132C9D6A" w14:textId="77777777" w:rsidR="005C4A10" w:rsidRDefault="005C4A10" w:rsidP="00290019">
      <w:r>
        <w:continuationSeparator/>
      </w:r>
    </w:p>
  </w:footnote>
  <w:footnote w:id="1">
    <w:p w14:paraId="4A95157E" w14:textId="7BBA23FB" w:rsidR="00943E19" w:rsidRDefault="00943E19" w:rsidP="00A97DE9">
      <w:pPr>
        <w:pStyle w:val="FootnoteText"/>
      </w:pPr>
      <w:r>
        <w:rPr>
          <w:rStyle w:val="FootnoteReference"/>
        </w:rPr>
        <w:footnoteRef/>
      </w:r>
      <w:r>
        <w:t xml:space="preserve"> Pranešimas pateiktas pagal </w:t>
      </w:r>
      <w:r w:rsidR="00A97DE9">
        <w:t xml:space="preserve">2015 m. rugsėjo 9 d. Europos Parlamento ir Tarybos direktyvą (ES) 2015/1535, kuria nustatoma informacijos apie techninius reglamentus ir informacinės visuomenės paslaugų taisykles teikimo tvarka.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2B3870">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PROJEKTAS"/>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 xml:space="preserve">HSLF-FS</w:t>
                    </w:r>
                    <w:r>
                      <w:br/>
                    </w:r>
                    <w:r>
                      <w:t xml:space="preserve">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2B3870"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PROJEKTAS"/>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 xml:space="preserve">HSLF-FS</w:t>
                    </w:r>
                    <w:r>
                      <w:br/>
                    </w:r>
                    <w:r>
                      <w:t xml:space="preserve">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2B3870"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PROJEKTAS"/>
          <w10:wrap anchorx="margin" anchory="margin"/>
        </v:shape>
      </w:pict>
    </w:r>
    <w:r w:rsidR="00964D75">
      <w:t xml:space="preserve">Bendrasis </w:t>
    </w:r>
    <w:r w:rsidR="00964D75">
      <w:t>teisės aktų, susijusių su sveikatos priežiūra, medicinine priežiūra, socialinėmis paslaugomis, medicinos reikmenimis, visuomenės sveikata ir kt., kodeksas</w:t>
    </w:r>
  </w:p>
  <w:p w14:paraId="1EDBB6C7" w14:textId="33B357D8" w:rsidR="00DB331A" w:rsidRPr="00964D75" w:rsidRDefault="002B3870"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521E8F87">
              <wp:simplePos x="0" y="0"/>
              <wp:positionH relativeFrom="column">
                <wp:posOffset>3810</wp:posOffset>
              </wp:positionH>
              <wp:positionV relativeFrom="paragraph">
                <wp:posOffset>577215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750E77"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5.45pt" to="374.1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NPxD7La&#10;AAAABgEAAA8AAABkcnMvZG93bnJldi54bWxMjr1OwzAUhXck3sG6SGzUoapCGuJUCMGCWBI6wHYb&#10;38YR8XUaO014e4wYYDw/OucrdovtxZlG3zlWcLtKQBA3TnfcKti/Pd9kIHxA1tg7JgVf5GFXXl4U&#10;mGs3c0XnOrQijrDPUYEJYcil9I0hi37lBuKYHd1oMUQ5tlKPOMdx28t1kqTSYsfxweBAj4aaz3qy&#10;Cl5Or36/Saun6v2U1fPHcTKtI6Wur5aHexCBlvBXhh/8iA5lZDq4ibUXvYI09hRsky2ImN5tsjW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NPxD7LaAAAABgEAAA8A&#10;AAAAAAAAAAAAAAAAKAQAAGRycy9kb3ducmV2LnhtbFBLBQYAAAAABAAEAPMAAAAvBQ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011A8FA0">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Paskelbta 20xx m. liepos xx d.</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Paskelbta 20xx m. liepos xx d.</w:t>
                    </w:r>
                  </w:p>
                </w:txbxContent>
              </v:textbox>
            </v:shape>
          </w:pict>
        </mc:Fallback>
      </mc:AlternateContent>
    </w:r>
    <w:r w:rsidR="004D7ACB">
      <w:t>ISSN xxx-xxxx, straipsnio numeris xxxxxxxx</w:t>
    </w:r>
    <w:r w:rsidR="004D7ACB">
      <w:br/>
      <w:t>Paskelbia:</w:t>
    </w:r>
    <w:r w:rsidR="004D7ACB">
      <w:rPr>
        <w:sz w:val="16"/>
      </w:rPr>
      <w:t xml:space="preserve"> Teisės departamento vadovas Pär Ödman, Nacionalinė sveikatos ir gerovės 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3870"/>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3</TotalTime>
  <Pages>10</Pages>
  <Words>1875</Words>
  <Characters>13464</Characters>
  <Application>Microsoft Office Word</Application>
  <DocSecurity>0</DocSecurity>
  <Lines>112</Lines>
  <Paragraphs>30</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6</cp:revision>
  <cp:lastPrinted>2013-04-29T08:38:00Z</cp:lastPrinted>
  <dcterms:created xsi:type="dcterms:W3CDTF">2021-06-28T07:31:00Z</dcterms:created>
  <dcterms:modified xsi:type="dcterms:W3CDTF">2021-07-07T11:25:00Z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