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De verordeningen van het Geneesmiddelenbureau betreffende parallel ingevoerde geneesmiddelen voor menselijk gebruik;</w:t>
      </w:r>
    </w:p>
    <w:p w14:paraId="246EEEEE" w14:textId="6CA454AB" w:rsidR="00BB03EE" w:rsidRDefault="0086714A" w:rsidP="0086714A">
      <w:pPr>
        <w:pStyle w:val="HSLF-FS-Beslutsinfo"/>
      </w:pPr>
      <w:r>
        <w:t>goedgekeurd op XX xx 2021.</w:t>
      </w:r>
    </w:p>
    <w:p w14:paraId="4E241320" w14:textId="54548C3E" w:rsidR="004F4CCF" w:rsidRDefault="00433373" w:rsidP="0086714A">
      <w:pPr>
        <w:pStyle w:val="HSLF-FS-Brdtext"/>
      </w:pPr>
      <w:r>
        <w:t>Krachtens hoofdstuk 9, § 11, van de geneesmiddelenverordening (2015:458) stelt het Geneesmiddelenbureau</w:t>
      </w:r>
      <w:r w:rsidR="00943E19">
        <w:rPr>
          <w:rStyle w:val="FootnoteReference"/>
        </w:rPr>
        <w:footnoteReference w:id="1"/>
      </w:r>
      <w:r>
        <w:t xml:space="preserve"> het volgende vast.</w:t>
      </w:r>
    </w:p>
    <w:p w14:paraId="40282447" w14:textId="1A63E6DC" w:rsidR="004315EF" w:rsidRPr="003C3708" w:rsidRDefault="004315EF" w:rsidP="003C3708">
      <w:pPr>
        <w:pStyle w:val="HSLF-FS-Rubrik-2"/>
      </w:pPr>
      <w:r>
        <w:t>Toepassingsgebied</w:t>
      </w:r>
    </w:p>
    <w:p w14:paraId="43B4D568" w14:textId="33FF8A54" w:rsidR="003C3708" w:rsidRPr="003C3708" w:rsidRDefault="00ED6DD8" w:rsidP="003C3708">
      <w:pPr>
        <w:pStyle w:val="HSLF-FS-Brdtext"/>
        <w:rPr>
          <w:sz w:val="24"/>
          <w:szCs w:val="24"/>
        </w:rPr>
      </w:pPr>
      <w:r>
        <w:rPr>
          <w:b/>
        </w:rPr>
        <w:t>§ 1</w:t>
      </w:r>
      <w:r>
        <w:t xml:space="preserve"> Deze voorschriften zijn van toepassing op de invoer van een parallel ingevoerd geneesmiddel voor menselijk gebruik. </w:t>
      </w:r>
    </w:p>
    <w:p w14:paraId="0F413F36" w14:textId="73CF5F55" w:rsidR="003C3708" w:rsidRPr="00BE016C" w:rsidRDefault="003C3708" w:rsidP="00BE016C">
      <w:pPr>
        <w:pStyle w:val="HSLF-FS-Brdtextindragfrstaraden"/>
      </w:pPr>
      <w:r>
        <w:t>Deze verordeningen zijn niet van toepassing op geneesmiddelen voor menselijk gebruik waarvoor de vergunningsaanvraag is herzien overeenkomstig Verordening (EG) nr. 726/2004 van het Europees Parlement en de Raad van 31 maart 2004 tot vaststelling van procedures van de Unie voor het verlenen van vergunningen en het toezicht op geneesmiddelen voor menselijk en diergeneeskundig gebruik en tot oprichting van een Europees Geneesmiddelenbureau.</w:t>
      </w:r>
    </w:p>
    <w:p w14:paraId="4A80A3E8" w14:textId="02D1B0F7" w:rsidR="003C3708" w:rsidRPr="003C3708" w:rsidRDefault="003C3708" w:rsidP="00C96192">
      <w:pPr>
        <w:pStyle w:val="HSLF-FS-Rubrik-2"/>
        <w:rPr>
          <w:bCs/>
        </w:rPr>
      </w:pPr>
      <w:r>
        <w:t>Definities</w:t>
      </w:r>
    </w:p>
    <w:p w14:paraId="0A72EFEB" w14:textId="5E3C0889" w:rsidR="00940C6F" w:rsidRDefault="00940C6F" w:rsidP="003C3708">
      <w:pPr>
        <w:pStyle w:val="HSLF-FS-Brdtextindragfrstaraden"/>
        <w:ind w:firstLine="0"/>
      </w:pPr>
      <w:r>
        <w:rPr>
          <w:b/>
        </w:rPr>
        <w:t>§ 2</w:t>
      </w:r>
      <w:r>
        <w:t xml:space="preserve"> De termen en concepten die worden gebruikt in de geneesmiddelenwet</w:t>
      </w:r>
    </w:p>
    <w:p w14:paraId="04DC6BA2" w14:textId="77777777" w:rsidR="00940C6F" w:rsidRDefault="00940C6F" w:rsidP="003C3708">
      <w:pPr>
        <w:pStyle w:val="HSLF-FS-Brdtextindragfrstaraden"/>
        <w:ind w:firstLine="0"/>
      </w:pPr>
      <w:r>
        <w:t xml:space="preserve">(2015:315) hebben dezelfde betekenis in deze verordeningen. </w:t>
      </w:r>
    </w:p>
    <w:p w14:paraId="1D091889" w14:textId="083F2529" w:rsidR="003C3708" w:rsidRPr="00BE016C" w:rsidRDefault="00940C6F" w:rsidP="00BE016C">
      <w:pPr>
        <w:pStyle w:val="HSLF-FS-Brdtextindragfrstaraden"/>
      </w:pPr>
      <w:r>
        <w:t>Voor de toepassing van deze verordeningen wordt verstaan onder:</w:t>
      </w:r>
    </w:p>
    <w:p w14:paraId="4386FD47" w14:textId="64D64BCA" w:rsidR="00940C6F" w:rsidRPr="00BE016C" w:rsidRDefault="00940C6F" w:rsidP="007C2C81">
      <w:pPr>
        <w:pStyle w:val="HSLF-FS-Brdtextindragfrstaraden"/>
      </w:pPr>
      <w:r>
        <w:rPr>
          <w:i/>
        </w:rPr>
        <w:t>parallelle import</w:t>
      </w:r>
      <w:r>
        <w:t xml:space="preserve"> binnenkomst in Zweden uit een land binnen de Europese Economische Ruimte (EER) van een geneesmiddel voor </w:t>
      </w:r>
      <w:r>
        <w:lastRenderedPageBreak/>
        <w:t>menselijk gebruik dat in Zweden en in het land van vertrek mag worden verkocht, maar de binnenkomst wordt afgehandeld door een andere entiteit dan de fabrikant of houder van de vergunning voor het in de handel brengen;</w:t>
      </w:r>
    </w:p>
    <w:p w14:paraId="19F16786" w14:textId="6540C502" w:rsidR="00940C6F" w:rsidRPr="00BE016C" w:rsidRDefault="00940C6F" w:rsidP="007C2C81">
      <w:pPr>
        <w:pStyle w:val="HSLF-FS-Brdtextindragfrstaraden"/>
      </w:pPr>
      <w:r>
        <w:rPr>
          <w:i/>
        </w:rPr>
        <w:t>parallelle importeur</w:t>
      </w:r>
      <w:r>
        <w:t xml:space="preserve"> de houder van de vergunning voor het in de handel brengen van een parallel ingevoerd geneesmiddel voor menselijk gebruik, </w:t>
      </w:r>
    </w:p>
    <w:p w14:paraId="4A759F7F" w14:textId="2F131841" w:rsidR="00F34CB6" w:rsidRPr="00BE016C" w:rsidRDefault="00940C6F" w:rsidP="007C2C81">
      <w:pPr>
        <w:pStyle w:val="HSLF-FS-Brdtextindragfrstaraden"/>
      </w:pPr>
      <w:r>
        <w:rPr>
          <w:i/>
        </w:rPr>
        <w:t>direct ingevoerd geneesmiddel voor menselijk gebruik</w:t>
      </w:r>
      <w:r>
        <w:t xml:space="preserve"> het geneesmiddel waarnaar het parallel ingevoerde geneesmiddel voor menselijk gebruik verwijst in de aanvraag. </w:t>
      </w:r>
    </w:p>
    <w:p w14:paraId="5F711D83" w14:textId="64AA579B" w:rsidR="00FA0F3C" w:rsidRDefault="00646823" w:rsidP="00FA0F3C">
      <w:pPr>
        <w:pStyle w:val="HSLF-FS-Rubrik-2"/>
      </w:pPr>
      <w:r>
        <w:t>Vergunning</w:t>
      </w:r>
    </w:p>
    <w:p w14:paraId="3C655A84" w14:textId="3F878C50" w:rsidR="007732D0" w:rsidRPr="007732D0" w:rsidRDefault="00C445C5" w:rsidP="007732D0">
      <w:pPr>
        <w:pStyle w:val="HSLF-FS-Brdtext"/>
      </w:pPr>
      <w:r>
        <w:rPr>
          <w:b/>
        </w:rPr>
        <w:t xml:space="preserve">§ 3 </w:t>
      </w:r>
      <w:r>
        <w:t xml:space="preserve">Een parallel ingevoerd geneesmiddel voor menselijk gebruik mag pas in de handel worden gebracht nadat een vergunning is verleend. </w:t>
      </w:r>
    </w:p>
    <w:p w14:paraId="51E8069F" w14:textId="6EC36889" w:rsidR="00646823" w:rsidRDefault="00C445C5" w:rsidP="00BE016C">
      <w:pPr>
        <w:pStyle w:val="HSLF-FS-Brdtextindragfrstaraden"/>
      </w:pPr>
      <w:r>
        <w:t xml:space="preserve">Een vergunning voor het in de handel brengen van een parallel ingevoerd geneesmiddel voor menselijk gebruik is vijf jaar geldig. Na de aanvraag kan de vergunning voor onbepaalde tijd worden verlengd. Op een dergelijke aanvraag is het in hoofdstuk 4, § 17 van de Geneesmiddelenwet (2015:315) vermelde verzoek van toepassing.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Om een vergunning voor het in de handel brengen van parallel ingevoerde geneesmiddelen voor menselijk gebruik te verkrijgen, moet aan het volgende worden voldaan: </w:t>
      </w:r>
    </w:p>
    <w:p w14:paraId="78F2E1FC" w14:textId="11663A88" w:rsidR="00D8693F" w:rsidRDefault="007C2C81" w:rsidP="007C2C81">
      <w:pPr>
        <w:pStyle w:val="HSLF-FS-Brdtextindragfrstaraden"/>
      </w:pPr>
      <w:r>
        <w:t>1. het rechtstreeks ingevoerde geneesmiddel voor menselijk gebruik mag reeds in Zweden in de handel worden gebracht wanneer het Geneesmiddelenbureau de aanvraag ontvangt;</w:t>
      </w:r>
    </w:p>
    <w:p w14:paraId="6F54A6D9" w14:textId="772D8B99" w:rsidR="00D8693F" w:rsidRDefault="007C2C81" w:rsidP="007C2C81">
      <w:pPr>
        <w:pStyle w:val="HSLF-FS-Brdtextindragfrstaraden"/>
      </w:pPr>
      <w:r>
        <w:t xml:space="preserve">2. het parallel ingevoerde geneesmiddel voor menselijk gebruik heeft een vergunning voor het in de handel brengen in het land van vertrek; </w:t>
      </w:r>
    </w:p>
    <w:p w14:paraId="7CAAA569" w14:textId="069A8D5A" w:rsidR="00D8693F" w:rsidRDefault="007C2C81" w:rsidP="007C2C81">
      <w:pPr>
        <w:pStyle w:val="HSLF-FS-Brdtextindragfrstaraden"/>
      </w:pPr>
      <w:r>
        <w:t xml:space="preserve">3. het land van vertrek is een lidstaat van de EER, en </w:t>
      </w:r>
    </w:p>
    <w:p w14:paraId="1E03DBE1" w14:textId="558CD31C" w:rsidR="00D57B04" w:rsidRDefault="007C2C81" w:rsidP="007C2C81">
      <w:pPr>
        <w:pStyle w:val="HSLF-FS-Brdtextindragfrstaraden"/>
      </w:pPr>
      <w:r>
        <w:t>4. het parallel ingevoerde geneesmiddel voor menselijk gebruik is voldoende vergelijkbaar met het rechtstreeks ingevoerde geneesmiddel voor menselijk gebruik.</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Een aanvraag voor een vergunning voor het in de handel brengen van parallel ingevoerde geneesmiddelen voor menselijk gebruik omvat: </w:t>
      </w:r>
    </w:p>
    <w:p w14:paraId="44DA9400" w14:textId="1FC51AA4" w:rsidR="00993A39" w:rsidRDefault="007C2C81" w:rsidP="007C2C81">
      <w:pPr>
        <w:pStyle w:val="HSLF-FS-Brdtextindragfrstaraden"/>
      </w:pPr>
      <w:r>
        <w:t xml:space="preserve">1. informatie en documentatie zoals gespecificeerd in de bijlage bij de voorschriften, </w:t>
      </w:r>
    </w:p>
    <w:p w14:paraId="419C2964" w14:textId="77A3603F" w:rsidR="00D8693F" w:rsidRPr="00993A39" w:rsidRDefault="007C2C81" w:rsidP="007C2C81">
      <w:pPr>
        <w:pStyle w:val="HSLF-FS-Brdtextindragfrstaraden"/>
      </w:pPr>
      <w:r>
        <w:t xml:space="preserve">2. voorgestelde etikettering van de primaire verpakking, </w:t>
      </w:r>
    </w:p>
    <w:p w14:paraId="7C0BA453" w14:textId="560BF230" w:rsidR="00D8693F" w:rsidRPr="00993A39" w:rsidRDefault="007C2C81" w:rsidP="007C2C81">
      <w:pPr>
        <w:pStyle w:val="HSLF-FS-Brdtextindragfrstaraden"/>
      </w:pPr>
      <w:r>
        <w:t xml:space="preserve">3. de voorgestelde bijsluiter, en </w:t>
      </w:r>
    </w:p>
    <w:p w14:paraId="0CFEA5D0" w14:textId="209D1807" w:rsidR="00BE016C" w:rsidRDefault="007C2C81" w:rsidP="007C2C81">
      <w:pPr>
        <w:pStyle w:val="HSLF-FS-Brdtextindragfrstaraden"/>
      </w:pPr>
      <w:r>
        <w:t xml:space="preserve">4. één exemplaar van alle verpakkingen en verpakkingsgrootten, uit het land van vertrek, bestemd voor binnenkomst in Zweden. </w:t>
      </w:r>
    </w:p>
    <w:p w14:paraId="096B4409" w14:textId="6ECA526F" w:rsidR="00993A39" w:rsidRDefault="00D8693F" w:rsidP="00BE016C">
      <w:pPr>
        <w:pStyle w:val="HSLF-FS-Brdtextindragfrstaraden"/>
      </w:pPr>
      <w:r>
        <w:t xml:space="preserve">Voor elk land van vertrek zijn afzonderlijke aanvragen vereist. </w:t>
      </w:r>
    </w:p>
    <w:p w14:paraId="26E87D79" w14:textId="76BBD1B2" w:rsidR="00D8693F" w:rsidRPr="00993A39" w:rsidRDefault="00D8693F" w:rsidP="00BE016C">
      <w:pPr>
        <w:pStyle w:val="HSLF-FS-Brdtextindragfrstaraden"/>
      </w:pPr>
      <w:r>
        <w:lastRenderedPageBreak/>
        <w:t xml:space="preserve">Het Geneesmiddelenbureau onderzoekt aanvragen voor vergunningen voor het in de handel brengen van parallel ingevoerde geneesmiddelen voor menselijk gebruik zodra de aanvraagvergoeding is betaald. </w:t>
      </w:r>
    </w:p>
    <w:p w14:paraId="18053560" w14:textId="5EF14C14" w:rsidR="00993A39" w:rsidRPr="00993A39" w:rsidRDefault="00993A39" w:rsidP="00993A39">
      <w:pPr>
        <w:pStyle w:val="HSLF-FS-Rubrik-2"/>
      </w:pPr>
      <w:r>
        <w:t>Toepassing voor menselijke biologische producten</w:t>
      </w:r>
    </w:p>
    <w:p w14:paraId="7D23B598" w14:textId="2162C899" w:rsidR="00D8693F" w:rsidRDefault="00993A39" w:rsidP="00993A39">
      <w:pPr>
        <w:pStyle w:val="HSLF-FS-Brdtext"/>
      </w:pPr>
      <w:r>
        <w:rPr>
          <w:b/>
        </w:rPr>
        <w:t xml:space="preserve">§ 6 </w:t>
      </w:r>
      <w:r>
        <w:t>Naast de vergunning voor het in de handel brengen van parallel ingevoerde geneesmiddelen voor menselijk gebruik zoals gespecificeerd in § 5, vervaardigd uit bloed of plasma van mensen, vereist het verlenen van een vergunning voor het in de handel brengen van uit bloed of plasma van mensen vervaardigde geneesmiddelen documentatie over uitgangsmaterialen, traceerbaarheid en systemen voor het melden van ernstige voorvallen in verband met potentiële besmettingsrisico’s. Dergelijke documentatie kan ook worden aangevraagd wanneer de aanvraag betrekking heeft op andere menselijke biologische producten.</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Toepassingsdocumenten overeenkomstig §§ 5 en 6 worden in het Zweeds of het Engels geschreven.</w:t>
      </w:r>
    </w:p>
    <w:p w14:paraId="1CBA2373" w14:textId="2BEEACD9" w:rsidR="00C96192" w:rsidRPr="00C96192" w:rsidRDefault="00C96192" w:rsidP="00C96192">
      <w:pPr>
        <w:pStyle w:val="HSLF-FS-Rubrik-2"/>
      </w:pPr>
      <w:r>
        <w:t xml:space="preserve">Kennisgeving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Degenen die voornemens zijn een geneesmiddel voor menselijk gebruik parallel in te voeren, stellen de houder van de vergunning voor het in de handel brengen van het geneesmiddel voor menselijk gebruik in kennis van hun voornemen. De kennisgeving vindt plaats voordat het parallel ingevoerde geneesmiddel voor menselijk gebruik in Zweden in de handel wordt gebracht.</w:t>
      </w:r>
    </w:p>
    <w:p w14:paraId="3BBDD876" w14:textId="1E41FBDB" w:rsidR="00C96192" w:rsidRDefault="00C96192" w:rsidP="00C96192">
      <w:pPr>
        <w:pStyle w:val="HSLF-FS-Rubrik-2"/>
      </w:pPr>
      <w:r>
        <w:t>Specifieke kennisgeving voor parallelinvoer uit bepaalde landen</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Indien de parallelimporteur van plan is geneesmiddelen voor menselijk gebruik in te voeren uit Bulgarije, Estland, Kroatië, Letland, Litouwen, Polen, Roemenië, Slowakije, Slovenië, Tsjechië of Hongarije en het rechtstreeks ingevoerde geneesmiddel voor menselijk gebruik wordt beschermd door octrooien of aanvullend beschermingscertificaat (ABC), wordt de octrooihouder of begunstigde van het octrooi of ABC hiervan uiterlijk 30 dagen voordat de aanvraag bij het Geneesmiddelenbureau wordt ingediend, in kennis gesteld. Kennisgeving vindt plaats tenzij voor het geneesmiddel voor menselijk gebruik in het land van vertrek dezelfde mogelijkheid van octrooibescherming of ABC is voorzien als voor het rechtstreeks ingevoerde geneesmiddel voor menselijk gebruik ten tijde van de aanvraag van de vergunning. </w:t>
      </w:r>
    </w:p>
    <w:p w14:paraId="4EBBEDAE" w14:textId="77777777" w:rsidR="00C96192" w:rsidRPr="00C96192" w:rsidRDefault="00C96192" w:rsidP="00C96192">
      <w:pPr>
        <w:pStyle w:val="HSLF-FS-Rubrik-2"/>
      </w:pPr>
      <w:r>
        <w:lastRenderedPageBreak/>
        <w:t xml:space="preserve">Vergoedingen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Bepalingen inzake vergoedingen zijn te vinden in de Verordening (2010:1167) betreffende vergoedingen voor de controle van geneesmiddelen door de overheid.</w:t>
      </w:r>
    </w:p>
    <w:p w14:paraId="5E4625DC" w14:textId="77777777" w:rsidR="008E0BB7" w:rsidRDefault="008E0BB7" w:rsidP="008E0BB7">
      <w:pPr>
        <w:pStyle w:val="HSLF-FS-Rubrik-2"/>
      </w:pPr>
      <w:r>
        <w:t xml:space="preserve">Samenvattingen van productkenmerken </w:t>
      </w:r>
    </w:p>
    <w:p w14:paraId="4879FB44" w14:textId="69BB98B3" w:rsidR="008E0BB7" w:rsidRDefault="008E0BB7" w:rsidP="003E763F">
      <w:pPr>
        <w:pStyle w:val="HSLF-FS-Brdtextindragfrstaraden"/>
        <w:spacing w:line="240" w:lineRule="auto"/>
        <w:ind w:firstLine="0"/>
      </w:pPr>
      <w:r>
        <w:rPr>
          <w:b/>
        </w:rPr>
        <w:t>§ 11</w:t>
      </w:r>
      <w:r>
        <w:t xml:space="preserve"> De samenvatting van de productkenmerken voor het rechtstreeks ingevoerde geneesmiddel voor menselijk gebruik is mutatis mutandis ook geldig voor het parallel ingevoerde geneesmiddel voor menselijk gebruik. </w:t>
      </w:r>
    </w:p>
    <w:p w14:paraId="0262828E" w14:textId="6DA76E30" w:rsidR="008E0BB7" w:rsidRDefault="008E0BB7" w:rsidP="006828FD">
      <w:pPr>
        <w:pStyle w:val="HSLF-FS-Brdtextindragfrstaraden"/>
      </w:pPr>
      <w:r>
        <w:t xml:space="preserve">Indien het rechtstreeks ingevoerde geneesmiddel voor menselijk gebruik niet langer in Zweden in de handel mag worden gebracht en er geen samenvatting van de productkenmerken is, dient de parallelimporteur een aanvraag in om over te schakelen op een andere geschikte samenvatting van de productkenmerken. </w:t>
      </w:r>
    </w:p>
    <w:p w14:paraId="64CC7F95" w14:textId="4B4B24CF" w:rsidR="00013C90" w:rsidRDefault="008E0BB7" w:rsidP="009C696F">
      <w:pPr>
        <w:pStyle w:val="HSLF-FS-Brdtextindragfrstaraden"/>
      </w:pPr>
      <w:r>
        <w:t>Indien er geen geschikte samenvatting van de productkenmerken is overeenkomstig de tweede alinea, dient de parallelimporteur een samenvatting van de productkenmerken in het Zweeds in voor het parallel ingevoerde geneesmiddel voor menselijk gebruik. Wanneer een samenvatting van de productkenmerken wordt opgesteld, wordt deze opgemaakt overeenkomstig [de verordeningen van het Geneesmiddelenbureau (HSLF-FS 2021:xx) betreffende een vergunning voor het in de handel brengen van geneesmiddelen voor menselijk gebruik].</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Etikettering en bijsluiter</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Etikettering en naam worden opgemaakt overeenkomstig [de verordeningen van het Geneesmiddelenbureau (HSLF-FS 2021:xx) inzake etikettering en bijsluiters voor geneesmiddelen voor menselijk gebruik]. Bovendien moet het volgende in acht worden genomen.</w:t>
      </w:r>
    </w:p>
    <w:p w14:paraId="4B08A15A" w14:textId="77777777" w:rsidR="003F4B7D" w:rsidRDefault="003F4B7D" w:rsidP="003F4B7D">
      <w:pPr>
        <w:pStyle w:val="HSLF-FS-Brdtextindragfrstaraden"/>
      </w:pPr>
      <w:r>
        <w:t xml:space="preserve">1. Op de onmiddellijke en buitenverpakking worden de naam en het adres van de fabrikant, de parallelimporteur en de omverpakker vermeld. In plaats van de naam en het adres van de fabrikant kan een relevante naam worden vermeld. </w:t>
      </w:r>
    </w:p>
    <w:p w14:paraId="40E0DA30" w14:textId="0F35B829" w:rsidR="00FB7D99" w:rsidRDefault="003F4B7D" w:rsidP="003F4B7D">
      <w:pPr>
        <w:pStyle w:val="HSLF-FS-Brdtextindragfrstaraden"/>
      </w:pPr>
      <w:r>
        <w:t xml:space="preserve">2. Indien het parallel ingevoerde geneesmiddel voor menselijk gebruik in enig opzicht afwijkt van het rechtstreeks ingevoerde geneesmiddel voor menselijk gebruik, moet de buitenverpakking dienovereenkomstig worden geëtiketteerd. </w:t>
      </w:r>
    </w:p>
    <w:p w14:paraId="476EACF4" w14:textId="7E57E8A4" w:rsidR="00FB7D99" w:rsidRDefault="008E0BB7" w:rsidP="006828FD">
      <w:pPr>
        <w:pStyle w:val="HSLF-FS-Brdtextindragfrstaraden"/>
      </w:pPr>
      <w:r>
        <w:t xml:space="preserve">Met uitzondering van punt 1 van de eerste alinea mogen op primaire verpakkingen in de vorm van blisterverpakkingen en andere kleine primaire verpakkingen alleen de in §§ 3-4 [HSLF-FS 2021:xx] vermelde informatie en de naam van de parallelimporteur worden aangebracht. </w:t>
      </w:r>
    </w:p>
    <w:p w14:paraId="48B7FB75" w14:textId="6CEE253F" w:rsidR="008E0BB7" w:rsidRPr="00FB7D99" w:rsidRDefault="008E0BB7" w:rsidP="006828FD">
      <w:pPr>
        <w:pStyle w:val="HSLF-FS-Brdtextindragfrstaraden"/>
      </w:pPr>
      <w:r>
        <w:lastRenderedPageBreak/>
        <w:t>De verpakking mag vreemde tekst bevatten indien de inhoud van de tekst niet in strijd is met de inhoud die in het Zweeds op het etiket staat.</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De bijsluiter wordt opgemaakt overeenkomstig [de verordeningen van het Geneesmiddelenbureau (HSLF-FS 2021:xx) inzake de etikettering en bijsluiters van geneesmiddelen voor menselijk gebruik]. De inhoud van de bijsluiter volgt de bijsluiter van het rechtstreeks ingevoerde geneesmiddel voor menselijk gebruik, maar wordt aangepast aan het parallel ingevoerde geneesmiddel voor menselijk gebruik. </w:t>
      </w:r>
    </w:p>
    <w:p w14:paraId="320F43CC" w14:textId="18B3DC58" w:rsidR="008E0BB7" w:rsidRDefault="00FB7D99" w:rsidP="00290C54">
      <w:pPr>
        <w:pStyle w:val="HSLF-FS-Brdtextindragfrstaraden"/>
        <w:rPr>
          <w:b/>
          <w:sz w:val="23"/>
          <w:szCs w:val="23"/>
        </w:rPr>
      </w:pPr>
      <w:r>
        <w:t>Naast de naam en het adres van de fabrikant moeten de namen en adressen van de parallelimporteur en de omverpakker ook op de bijsluiter worden vermeld. In plaats van de naam en het adres van de fabrikant kan een relevante naam worden vermeld.</w:t>
      </w:r>
    </w:p>
    <w:p w14:paraId="2AAFFEDA" w14:textId="7B80763D" w:rsidR="00FB7D99" w:rsidRPr="00FB7D99" w:rsidRDefault="00290C54" w:rsidP="000A25FC">
      <w:pPr>
        <w:pStyle w:val="HSLF-FS-Rubrik-2"/>
      </w:pPr>
      <w:r>
        <w:t xml:space="preserve">De naam van het geneesmiddel voor menselijk gebruik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Naast wat de naam van het geneesmiddel voor menselijk gebruik betreft in § 1 [de voorschriften van het agentschap voor medische producten (HSLF-FS 2021:xx)], kan het parallel ingevoerde geneesmiddel voor menselijk gebruik dezelfde naam hebben als het rechtstreeks ingevoerde geneesmiddel voor menselijk gebruik. </w:t>
      </w:r>
    </w:p>
    <w:p w14:paraId="794E867C" w14:textId="77777777" w:rsidR="000A25FC" w:rsidRPr="000A25FC" w:rsidRDefault="000A25FC" w:rsidP="000A25FC">
      <w:pPr>
        <w:pStyle w:val="HSLF-FS-Rubrik-2"/>
      </w:pPr>
      <w:r>
        <w:t xml:space="preserve">Houdbaarheid en opslag </w:t>
      </w:r>
    </w:p>
    <w:p w14:paraId="0710B930" w14:textId="7F9BD9E7" w:rsidR="000A25FC" w:rsidRDefault="000A25FC" w:rsidP="003E763F">
      <w:pPr>
        <w:pStyle w:val="HSLF-FS-Brdtextindragfrstaraden"/>
        <w:spacing w:line="240" w:lineRule="auto"/>
        <w:ind w:firstLine="0"/>
      </w:pPr>
      <w:r>
        <w:rPr>
          <w:b/>
        </w:rPr>
        <w:t>§ 15</w:t>
      </w:r>
      <w:r>
        <w:t xml:space="preserve"> Een parallel ingevoerd geneesmiddel voor menselijk gebruik heeft dezelfde houdbaarheidstermijn als het geneesmiddel voor menselijk gebruik in het land van vertrek, tenzij de omstandigheden in het individuele geval anders bepalen. De houdbaarheid wordt vermeld voor ongeopende verpakkingen en, indien van toepassing, voor geopende verpakkingen. Indien het geneesmiddel voor menselijk gebruik door apotheken moet worden aangevuld, moet de houdbaarheid van de geopende verpakking altijd worden vermeld. </w:t>
      </w:r>
    </w:p>
    <w:p w14:paraId="44C7A83A" w14:textId="67503CB7" w:rsidR="000A25FC" w:rsidRPr="00290C54" w:rsidRDefault="000A25FC" w:rsidP="00290C54">
      <w:pPr>
        <w:pStyle w:val="HSLF-FS-Brdtextindragfrstaraden"/>
      </w:pPr>
      <w:r>
        <w:t xml:space="preserve">Wanneer tijdens het ompakken een secundaire verpakking wordt geopend die de stabiliteit van het geneesmiddel voor menselijk gebruik beïnvloedt, wordt de houdbaarheid in de nieuwe verpakking gedocumenteerd en vermeld. </w:t>
      </w:r>
    </w:p>
    <w:p w14:paraId="249CDA8A" w14:textId="377748F5" w:rsidR="008E0BB7" w:rsidRPr="00290C54" w:rsidRDefault="000A25FC" w:rsidP="00290C54">
      <w:pPr>
        <w:pStyle w:val="HSLF-FS-Brdtextindragfrstaraden"/>
      </w:pPr>
      <w:r>
        <w:t>Het parallel ingevoerde geneesmiddel voor menselijk gebruik heeft dezelfde bewaarinstructies als het rechtstreeks ingevoerde geneesmiddel voor menselijk gebruik, tenzij de omstandigheden in het individuele geval anders bepalen.</w:t>
      </w:r>
    </w:p>
    <w:p w14:paraId="7DE657BA" w14:textId="77777777" w:rsidR="000A25FC" w:rsidRDefault="000A25FC" w:rsidP="000A25FC">
      <w:pPr>
        <w:pStyle w:val="HSLF-FS-Rubrik-2"/>
      </w:pPr>
      <w:r>
        <w:t xml:space="preserve">Melding van bijwerkingen </w:t>
      </w:r>
    </w:p>
    <w:p w14:paraId="104B7DFF" w14:textId="024946B8" w:rsidR="000A25FC" w:rsidRDefault="000A25FC" w:rsidP="003E763F">
      <w:pPr>
        <w:pStyle w:val="HSLF-FS-Brdtextindragfrstaraden"/>
        <w:spacing w:line="240" w:lineRule="auto"/>
        <w:ind w:firstLine="0"/>
      </w:pPr>
      <w:r>
        <w:rPr>
          <w:b/>
        </w:rPr>
        <w:t>§ 16</w:t>
      </w:r>
      <w:r>
        <w:t xml:space="preserve"> De parallelimporteur meldt alle vermoedelijke bijwerkingen in verband met het parallel ingevoerde geneesmiddel voor menselijk </w:t>
      </w:r>
      <w:r>
        <w:lastRenderedPageBreak/>
        <w:t xml:space="preserve">gebruik aan de entiteit met een vergunning voor het in de handel brengen in Zweden voor het rechtstreeks ingevoerde geneesmiddel voor menselijk gebruik. </w:t>
      </w:r>
    </w:p>
    <w:p w14:paraId="24B618C9" w14:textId="4D8E993E" w:rsidR="008F3292" w:rsidRPr="00290C54" w:rsidRDefault="000A25FC" w:rsidP="00290C54">
      <w:pPr>
        <w:pStyle w:val="HSLF-FS-Brdtextindragfrstaraden"/>
      </w:pPr>
      <w:r>
        <w:t xml:space="preserve">Het bijwerkingenrapport wordt in plaats daarvan toegezonden aan de entiteit met een vergunning voor het in de handel brengen in het land van vertrek voor het geneesmiddel voor menselijk gebruik indien </w:t>
      </w:r>
    </w:p>
    <w:p w14:paraId="4371C89C" w14:textId="0C7F327B" w:rsidR="000A25FC" w:rsidRDefault="003F4B7D" w:rsidP="003F4B7D">
      <w:pPr>
        <w:pStyle w:val="HSLF-FS-Brdtextindragfrstaraden"/>
      </w:pPr>
      <w:r>
        <w:t xml:space="preserve">– de entiteit met een vergunning voor het in de handel brengen van het rechtstreeks ingevoerde geneesmiddel voor menselijk gebruik, niet ook over een vergunning beschikt voor het in de handel brengen van het geneesmiddel voor menselijk gebruik beschikt in het land van vertrek, of </w:t>
      </w:r>
    </w:p>
    <w:p w14:paraId="06143F8F" w14:textId="06C05CA6" w:rsidR="000A25FC" w:rsidRDefault="003F4B7D" w:rsidP="003F4B7D">
      <w:pPr>
        <w:pStyle w:val="HSLF-FS-Brdtextindragfrstaraden"/>
      </w:pPr>
      <w:r>
        <w:t xml:space="preserve">– het rechtstreeks ingevoerde geneesmiddel voor menselijk gebruik niet langer is toegelaten voor het in de handel brengen in Zweden. </w:t>
      </w:r>
    </w:p>
    <w:p w14:paraId="24DE6638" w14:textId="24E9A8A4" w:rsidR="000A25FC" w:rsidRDefault="000A25FC" w:rsidP="00290C54">
      <w:pPr>
        <w:pStyle w:val="HSLF-FS-Brdtextindragfrstaraden"/>
      </w:pPr>
      <w:r>
        <w:t xml:space="preserve">Vermoedelijke bijwerkingen moeten zo spoedig mogelijk worden gemeld nadat de parallelimporteur van deze informatie op de hoogte is gesteld. Een bijwerkingsrapport wordt binnen zeven dagen aan een ontvanger in Zweden toegezonden. Een bijwerkingsrapport aan een ontvanger in een ander land wordt vertaald in het Engels of een andere taal die de ontvanger begrijpt, en wordt binnen tien dagen verzonden. Indien de ontvanger van het bijwerkingenrapport om aanvullende informatie verzoekt, verstrekt de parallelimporteur deze altijd. </w:t>
      </w:r>
    </w:p>
    <w:p w14:paraId="5C8B5B90" w14:textId="26F662AA" w:rsidR="008F3292" w:rsidRDefault="008F3292" w:rsidP="008F3292">
      <w:pPr>
        <w:pStyle w:val="HSLF-FS-Rubrik-2"/>
      </w:pPr>
      <w:r>
        <w:t xml:space="preserve">Vergunning voor de vervaardiging en goede fabricagepraktijken </w:t>
      </w:r>
    </w:p>
    <w:p w14:paraId="0F97AC9B" w14:textId="11B01259" w:rsidR="006E4323" w:rsidRPr="007C0355" w:rsidRDefault="008F3292" w:rsidP="003E763F">
      <w:pPr>
        <w:pStyle w:val="HSLF-FS-Brdtextindragfrstaraden"/>
        <w:spacing w:line="240" w:lineRule="auto"/>
        <w:ind w:firstLine="0"/>
      </w:pPr>
      <w:r>
        <w:rPr>
          <w:b/>
        </w:rPr>
        <w:t>§ 17</w:t>
      </w:r>
      <w:r>
        <w:t xml:space="preserve"> Ompakking of heretikettering vereist een speciale vergunning voor de vervaardiging die is afgegeven in een staat binnen de Europese Economische Ruimte. Bepalingen hierover zijn te vinden in [de verordeningen van het Geneesmiddelenbureau (HSLF-FS 2021:xx) betreffende vergunningen voor de vervaardiging en invoer van geneesmiddelen]. </w:t>
      </w:r>
    </w:p>
    <w:p w14:paraId="02B2FF9E" w14:textId="55E1DF14" w:rsidR="008F3292" w:rsidRDefault="008F3292" w:rsidP="006E4323">
      <w:pPr>
        <w:pStyle w:val="HSLF-FS-Brdtextindragfrstaraden"/>
      </w:pPr>
      <w:r>
        <w:t xml:space="preserve">Herverpakking en heretikettering gebeuren in overeenstemming met de voorschriften van het Geneesmiddelenbureau (LVFS 2004:6) inzake goede fabricagepraktijken en zodanig dat de oorspronkelijke aard van het geneesmiddel voor menselijk gebruik niet wordt aangetast. </w:t>
      </w:r>
    </w:p>
    <w:p w14:paraId="0A73CF5B" w14:textId="77777777" w:rsidR="008F3292" w:rsidRDefault="008F3292" w:rsidP="008F3292">
      <w:pPr>
        <w:pStyle w:val="HSLF-FS-Rubrik-2"/>
      </w:pPr>
      <w:r>
        <w:t xml:space="preserve">Groothandel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Overeenkomstig hoofdstuk 3, § 1 van de wet (2009:366) betreffende de handel in geneesmiddelen, mag de groothandel in geneesmiddelen alleen worden verricht indien daarvoor een vergunning is verleend. Aanvullende bepalingen zijn te vinden in [de verordeningen van het Geneesmiddelenbureau (HSLF-FS 2021:xx) betreffende de groothandel in geneesmiddelen]. </w:t>
      </w:r>
    </w:p>
    <w:p w14:paraId="360AECBE" w14:textId="0C72E25D" w:rsidR="007123B4" w:rsidRPr="007123B4" w:rsidRDefault="009316D3" w:rsidP="007123B4">
      <w:pPr>
        <w:pStyle w:val="HSLF-FS-Rubrik-2"/>
      </w:pPr>
      <w:r>
        <w:lastRenderedPageBreak/>
        <w:t xml:space="preserve">Verdovende middelen voor menselijk gebruik </w:t>
      </w:r>
    </w:p>
    <w:p w14:paraId="4031F41B" w14:textId="10107744" w:rsidR="007123B4" w:rsidRDefault="007123B4" w:rsidP="007123B4">
      <w:pPr>
        <w:pStyle w:val="HSLF-FS-Brdtext"/>
      </w:pPr>
      <w:r>
        <w:rPr>
          <w:b/>
        </w:rPr>
        <w:t>§ 19</w:t>
      </w:r>
      <w:r>
        <w:t xml:space="preserve"> De verordeningen van het Geneesmiddelenbureau (LVFS 2011:9) over de bestrijding van verdovende middelen bevatten bepalingen over de behandeling van verdovende middelen.</w:t>
      </w:r>
    </w:p>
    <w:p w14:paraId="17F65349" w14:textId="2066661A" w:rsidR="007123B4" w:rsidRDefault="007123B4" w:rsidP="007123B4">
      <w:pPr>
        <w:pStyle w:val="HSLF-FS-Rubrik-2"/>
      </w:pPr>
      <w:r>
        <w:t xml:space="preserve">Verkoop van parallel ingevoerde vaccins en bloedproducten voor menselijk gebruik </w:t>
      </w:r>
    </w:p>
    <w:p w14:paraId="2AFF90DC" w14:textId="54B5CB77" w:rsidR="008F3292" w:rsidRPr="007123B4" w:rsidRDefault="007123B4" w:rsidP="007123B4">
      <w:pPr>
        <w:pStyle w:val="HSLF-FS-Brdtextindragfrstaraden"/>
        <w:ind w:firstLine="0"/>
      </w:pPr>
      <w:r>
        <w:rPr>
          <w:b/>
        </w:rPr>
        <w:t>§ 20</w:t>
      </w:r>
      <w:r>
        <w:t xml:space="preserve"> De verordeningen van het Geneesmiddelenbureau (HSLF-FS 2015:14) betreffende het in de handel brengen van productiepartijen van vaccins en bloedproducten voor menselijk gebruik bevatten bepalingen over productiepartijen van vaccins en bloedproducten voor menselijk gebruik die op de Zweedse markt zullen worden verkocht. </w:t>
      </w:r>
    </w:p>
    <w:p w14:paraId="2CA1CC04" w14:textId="7FD4BDCA" w:rsidR="007123B4" w:rsidRDefault="007123B4" w:rsidP="007123B4">
      <w:pPr>
        <w:pStyle w:val="HSLF-FS-Rubrik-2"/>
      </w:pPr>
      <w:r>
        <w:t>Wijzigingen en intrekkingen</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De parallelimporteur blijft op de hoogte van alle wijzigingen in het geneesmiddel voor menselijk gebruik die in het land van vertrek of het rechtstreeks ingevoerde geneesmiddel voor menselijk gebruik zijn goedgekeurd en die van belang kunnen zijn voor de vergunning voor het in de handel brengen van het parallel ingevoerde geneesmiddel voor menselijk gebruik. De parallelimporteur houdt het Geneesmiddelenbureau op de hoogte van dergelijke wijzigingen.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De parallelimporteur dient de nodige wijzigingen aan te brengen in de vergunning voor het in de handel brengen van het parallel ingevoerde geneesmiddel voor menselijk gebruik. </w:t>
      </w:r>
    </w:p>
    <w:p w14:paraId="4910B7CC" w14:textId="6F5BCDE4" w:rsidR="007123B4" w:rsidRDefault="007123B4" w:rsidP="007123B4">
      <w:pPr>
        <w:pStyle w:val="HSLF-FS-Brdtextindragfrstaraden"/>
      </w:pPr>
      <w:r>
        <w:t xml:space="preserve">In geval van significante wijzigingen van de vergunning in het land van vertrek mag het gewijzigde parallel ingevoerde geneesmiddel voor menselijk gebruik niet worden verkocht voordat de desbetreffende wijzigingen door het Geneesmiddelenbureau zijn goedgekeurd.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Indien de vergunning voor het in de handel brengen van het parallel ingevoerde geneesmiddel voor menselijk gebruik in het land van vertrek of voor het rechtstreeks ingevoerde geneesmiddel voor menselijk gebruik in Zweden wordt ingetrokken om redenen die verband houden met de kwaliteit, de werking of de veiligheid, wordt de vergunning voor het in de handel brengen van het parallel ingevoerde geneesmiddel voor menselijk gebruik eveneens ingetrokken. </w:t>
      </w:r>
    </w:p>
    <w:p w14:paraId="1F883E64" w14:textId="518B5776" w:rsidR="007123B4" w:rsidRDefault="0091535B" w:rsidP="007C0355">
      <w:pPr>
        <w:pStyle w:val="HSLF-FS-Brdtextindragfrstaraden"/>
      </w:pPr>
      <w:r>
        <w:t xml:space="preserve">Een vergunning voor het in de handel brengen van parallel ingevoerde geneesmiddelen voor menselijk gebruik kan overeenkomstig hoofdstuk 11, § 2, van de geneesmiddelenwet </w:t>
      </w:r>
      <w:r>
        <w:lastRenderedPageBreak/>
        <w:t xml:space="preserve">(2015:315) worden ingetrokken, zelfs in andere dan de in lid een genoemde gevallen. </w:t>
      </w:r>
    </w:p>
    <w:p w14:paraId="55C307F2" w14:textId="77777777" w:rsidR="007E61A7" w:rsidRDefault="007E61A7" w:rsidP="007E61A7">
      <w:pPr>
        <w:pStyle w:val="HSLF-FS-Rubrik-2"/>
      </w:pPr>
      <w:r>
        <w:t xml:space="preserve">Dispensatie </w:t>
      </w:r>
    </w:p>
    <w:p w14:paraId="089664DD" w14:textId="02B58EA2" w:rsidR="00153F3E" w:rsidRDefault="007E61A7" w:rsidP="003E763F">
      <w:pPr>
        <w:pStyle w:val="HSLF-FS-Brdtextindragfrstaraden"/>
        <w:spacing w:line="240" w:lineRule="auto"/>
        <w:ind w:firstLine="0"/>
      </w:pPr>
      <w:r>
        <w:rPr>
          <w:b/>
        </w:rPr>
        <w:t>§ 24</w:t>
      </w:r>
      <w:r>
        <w:t xml:space="preserve"> Het Medical Products Agency kan, indien er bijzondere redenen zijn, een vrijstelling (dispensatie) verlenen van de bepalingen van deze verordeningen. Vrijstellingen kunnen echter niet worden verleend indien dit zou leiden tot een schending van de verplichtingen van Zweden uit hoofde van het Unierecht.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Deze verordeningen treden in werking op 28 januari 2022.</w:t>
      </w:r>
    </w:p>
    <w:p w14:paraId="33DB6D78" w14:textId="77777777" w:rsidR="00735042" w:rsidRDefault="00735042" w:rsidP="00735042">
      <w:pPr>
        <w:pStyle w:val="HSLF-FS-Brdtextindragfrstaraden"/>
      </w:pPr>
      <w:r>
        <w:t>2. Bij de verordeningen worden de verordeningen van het Geneesmiddelenbureau (LVFS 2012:19) betreffende parallel ingevoerde geneesmiddelen ingetrokken.</w:t>
      </w:r>
    </w:p>
    <w:p w14:paraId="0EAC64C7" w14:textId="4D1C2588" w:rsidR="00420658" w:rsidRPr="00420658" w:rsidRDefault="00735042" w:rsidP="00735042">
      <w:pPr>
        <w:pStyle w:val="HSLF-FS-Brdtextindragfrstaraden"/>
      </w:pPr>
      <w:r>
        <w:t>3. Vergunningen die zijn afgegeven op grond van de verordeningen van het Geneesmiddelenbureau (LVFS 2012:19) betreffende parallel ingevoerde geneesmiddelen, zijn geldig als vergunningen in overeenstemming met de nieuwe regelgeving.</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Agentschap voor medische producten</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Bijlage</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Aanvragen voor een vergunning voor het in de handel brengen van parallel ingevoerde geneesmiddelen voor menselijk gebruik gaan vergezeld van de volgende informatie en documentatie: </w:t>
      </w:r>
    </w:p>
    <w:p w14:paraId="514029D8" w14:textId="09560852" w:rsidR="007E61A7" w:rsidRDefault="00F11B34" w:rsidP="00F11B34">
      <w:pPr>
        <w:pStyle w:val="HSLF-FS-Brdtextindragfrstaraden"/>
      </w:pPr>
      <w:r>
        <w:t xml:space="preserve">1. Naam of handelsnaam en postadres van de aanvrager, alsmede contactgegevens van een aangewezen contactpersoon voor de aanvraag. </w:t>
      </w:r>
    </w:p>
    <w:p w14:paraId="78C7D29E" w14:textId="45857F42" w:rsidR="007E61A7" w:rsidRDefault="00F11B34" w:rsidP="00F11B34">
      <w:pPr>
        <w:pStyle w:val="HSLF-FS-Brdtextindragfrstaraden"/>
      </w:pPr>
      <w:r>
        <w:t xml:space="preserve">2. Naam en postadres van de lokale vertegenwoordigers. </w:t>
      </w:r>
    </w:p>
    <w:p w14:paraId="6E6F4A97" w14:textId="6CCF807F" w:rsidR="007E61A7" w:rsidRDefault="00F11B34" w:rsidP="00F11B34">
      <w:pPr>
        <w:pStyle w:val="HSLF-FS-Brdtextindragfrstaraden"/>
      </w:pPr>
      <w:r>
        <w:t xml:space="preserve">3. De naam van het geneesmiddel voor menselijk gebruik, farmaceutische vorm, sterkte en toedieningswegen. </w:t>
      </w:r>
    </w:p>
    <w:p w14:paraId="55C449F3" w14:textId="57258547" w:rsidR="007E61A7" w:rsidRDefault="00F11B34" w:rsidP="00F11B34">
      <w:pPr>
        <w:pStyle w:val="HSLF-FS-Brdtextindragfrstaraden"/>
      </w:pPr>
      <w:r>
        <w:t xml:space="preserve">4. Het EER-land waaruit het geneesmiddel voor menselijk gebruik vertrekt. </w:t>
      </w:r>
    </w:p>
    <w:p w14:paraId="085E440B" w14:textId="39BE4E98" w:rsidR="007E61A7" w:rsidRDefault="00F11B34" w:rsidP="00F11B34">
      <w:pPr>
        <w:pStyle w:val="HSLF-FS-Brdtextindragfrstaraden"/>
      </w:pPr>
      <w:r>
        <w:t xml:space="preserve">5. Informatie dat kennisgeving overeenkomstig § 8 van de verordening is of zal worden verstrekt. </w:t>
      </w:r>
    </w:p>
    <w:p w14:paraId="75DF96D8" w14:textId="03425D6C" w:rsidR="007E61A7" w:rsidRDefault="00F11B34" w:rsidP="00F11B34">
      <w:pPr>
        <w:pStyle w:val="HSLF-FS-Brdtextindragfrstaraden"/>
      </w:pPr>
      <w:r>
        <w:t xml:space="preserve">6. Informatie dat kennisgeving overeenkomstig § 9 van de verordening zal plaatsvinden en of die kennisgeving reeds heeft plaatsgevonden. </w:t>
      </w:r>
    </w:p>
    <w:p w14:paraId="3BDB4718" w14:textId="71F61822" w:rsidR="007E61A7" w:rsidRDefault="00F11B34" w:rsidP="00F11B34">
      <w:pPr>
        <w:pStyle w:val="HSLF-FS-Brdtextindragfrstaraden"/>
      </w:pPr>
      <w:r>
        <w:t xml:space="preserve">7. De naam, de farmaceutische vorm en de sterkte van het geneesmiddel voor menselijk gebruik in het land van vertrek en het nummer van de vergunning voor het in de handel brengen in het land van vertrek. </w:t>
      </w:r>
    </w:p>
    <w:p w14:paraId="3E0A7832" w14:textId="2EC413BE" w:rsidR="007E61A7" w:rsidRDefault="00F11B34" w:rsidP="00F11B34">
      <w:pPr>
        <w:pStyle w:val="HSLF-FS-Brdtextindragfrstaraden"/>
      </w:pPr>
      <w:r>
        <w:t xml:space="preserve">8. De naam en het adres van de houder van de vergunning voor het in de handel brengen in het land van vertrek en de desbetreffende informatie voor de fabrikant. </w:t>
      </w:r>
    </w:p>
    <w:p w14:paraId="714DF124" w14:textId="5C59A4CB" w:rsidR="007E61A7" w:rsidRDefault="00F11B34" w:rsidP="00F11B34">
      <w:pPr>
        <w:pStyle w:val="HSLF-FS-Brdtextindragfrstaraden"/>
      </w:pPr>
      <w:r>
        <w:t xml:space="preserve">9. Naam, farmaceutische vorm, sterkte en nummer van de vergunning voor het in de handel brengen van het rechtstreeks ingevoerde geneesmiddel voor menselijk gebruik. </w:t>
      </w:r>
    </w:p>
    <w:p w14:paraId="7BBE27A8" w14:textId="53BFAAF9" w:rsidR="007E61A7" w:rsidRDefault="00F11B34" w:rsidP="00F11B34">
      <w:pPr>
        <w:pStyle w:val="HSLF-FS-Brdtextindragfrstaraden"/>
      </w:pPr>
      <w:r>
        <w:t xml:space="preserve">10. Naam en adres van de houder van de vergunning voor het in de handel brengen van het rechtstreeks ingevoerde geneesmiddel voor menselijk gebruik. </w:t>
      </w:r>
    </w:p>
    <w:p w14:paraId="4546F84D" w14:textId="1045E18F" w:rsidR="007E61A7" w:rsidRDefault="00F11B34" w:rsidP="00F11B34">
      <w:pPr>
        <w:pStyle w:val="HSLF-FS-Brdtextindragfrstaraden"/>
      </w:pPr>
      <w:r>
        <w:t xml:space="preserve">11. Beschrijving van de verschillen tussen het rechtstreeks ingevoerde geneesmiddel voor menselijk gebruik en het parallel ingevoerde geneesmiddel voor menselijk gebruik. </w:t>
      </w:r>
    </w:p>
    <w:p w14:paraId="64BE3E65" w14:textId="77DB415E" w:rsidR="007E61A7" w:rsidRDefault="00F11B34" w:rsidP="00F11B34">
      <w:pPr>
        <w:pStyle w:val="HSLF-FS-Brdtextindragfrstaraden"/>
      </w:pPr>
      <w:r>
        <w:t xml:space="preserve">12. Een gedetailleerde beschrijving van de wijze waarop het geneesmiddel voor menselijk gebruik opnieuw moet worden geëtiketteerd of omgepakt. </w:t>
      </w:r>
    </w:p>
    <w:p w14:paraId="6DAFAC5B" w14:textId="6A68B83B" w:rsidR="007E61A7" w:rsidRDefault="00F11B34" w:rsidP="00F11B34">
      <w:pPr>
        <w:pStyle w:val="HSLF-FS-Brdtextindragfrstaraden"/>
      </w:pPr>
      <w:r>
        <w:t xml:space="preserve">13. Informatie over instructies en kwaliteitscontroles voor ontvangst, opslag, ompakking, vrijgave en vervoer van parallel ingevoerde geneesmiddelen voor menselijk gebruik en systemen voor terugroeping. </w:t>
      </w:r>
    </w:p>
    <w:p w14:paraId="5F99D126" w14:textId="472C485B" w:rsidR="00642B0F" w:rsidRDefault="00F11B34" w:rsidP="00F11B34">
      <w:pPr>
        <w:pStyle w:val="HSLF-FS-Brdtextindragfrstaraden"/>
      </w:pPr>
      <w:r>
        <w:t xml:space="preserve">14. Naam, adres en vergunning voor de vervaardiging en, indien van toepassing, schriftelijke overeenkomst voor het bedrijf of de bedrijven die de ompakking/heretikettering uitvoeren. </w:t>
      </w:r>
    </w:p>
    <w:p w14:paraId="42B81F88" w14:textId="6A3D8C3C" w:rsidR="00642B0F" w:rsidRDefault="00F11B34" w:rsidP="00F11B34">
      <w:pPr>
        <w:pStyle w:val="HSLF-FS-Brdtextindragfrstaraden"/>
      </w:pPr>
      <w:r>
        <w:lastRenderedPageBreak/>
        <w:t xml:space="preserve">15. Verpakkingsinformatie voor het parallel ingevoerde geneesmiddel voor menselijk gebruik in de vorm van verpakkingsgrootten en verpakking/farmaceutische recipiënten. </w:t>
      </w:r>
    </w:p>
    <w:p w14:paraId="0E3D4B52" w14:textId="2275E4B1" w:rsidR="007E61A7" w:rsidRPr="007E61A7" w:rsidRDefault="00F11B34" w:rsidP="00F11B34">
      <w:pPr>
        <w:pStyle w:val="HSLF-FS-Brdtextindragfrstaraden"/>
      </w:pPr>
      <w:r>
        <w:t>16. Houdbaarheid (voor ongeopende en geopende verpakking) en, indien van toepassing, de houdbaarheid na voltooiing van het parallel ingevoerde geneesmiddel voor menselijk gebruik en de bijbehorende instructies voor de opslag van het parallel ingevoerde geneesmiddel voor menselijk gebruik.</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kan worden gedownload of besteld via</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Contact xxxxxxxxxxx Adres Telefoon: XX xxxxxxxxx Fax: XX xxxxxxxxxxxx</w:t>
      </w:r>
    </w:p>
    <w:p w14:paraId="2548EFCB" w14:textId="77777777" w:rsidR="00673671" w:rsidRPr="00584D10" w:rsidRDefault="00673671" w:rsidP="00B9475C">
      <w:pPr>
        <w:pStyle w:val="HSLF-FS-Kontaktinformation"/>
        <w:rPr>
          <w:lang w:val="fr-FR"/>
        </w:rPr>
      </w:pPr>
      <w:r w:rsidRPr="00584D10">
        <w:rPr>
          <w:lang w:val="fr-FR"/>
        </w:rPr>
        <w:t>email: xxxxxxxx@xxxxxxx.xx</w:t>
      </w:r>
    </w:p>
    <w:p w14:paraId="7A240DDE" w14:textId="77777777" w:rsidR="00E44C93" w:rsidRPr="00584D10" w:rsidRDefault="00673671" w:rsidP="00B9475C">
      <w:pPr>
        <w:pStyle w:val="HSLF-FS-Kontaktinformation"/>
        <w:rPr>
          <w:lang w:val="fr-FR"/>
        </w:rPr>
      </w:pPr>
      <w:r w:rsidRPr="00584D10">
        <w:rPr>
          <w:lang w:val="fr-FR"/>
        </w:rPr>
        <w:t>internet: www.xxxxxxxxxxxxx.xx</w:t>
      </w:r>
    </w:p>
    <w:p w14:paraId="5434F6A8" w14:textId="77777777" w:rsidR="00673671" w:rsidRPr="00584D10" w:rsidRDefault="00673671" w:rsidP="00673671">
      <w:pPr>
        <w:pStyle w:val="HSLF-FS-Brdtextindragfrstaraden"/>
        <w:rPr>
          <w:lang w:val="fr-FR"/>
        </w:rPr>
      </w:pPr>
    </w:p>
    <w:p w14:paraId="05DED749" w14:textId="60FC851A" w:rsidR="00876360" w:rsidRPr="00E44C93" w:rsidRDefault="00B8133C" w:rsidP="00615514">
      <w:pPr>
        <w:pStyle w:val="HSLF-FS-Tryckort"/>
      </w:pPr>
      <w:r>
        <w:t>Plaats van afdrukken: Drukkerij en jaar van publicatie</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8F5C" w14:textId="77777777" w:rsidR="0042180A" w:rsidRDefault="0042180A" w:rsidP="00290019">
      <w:r>
        <w:separator/>
      </w:r>
    </w:p>
  </w:endnote>
  <w:endnote w:type="continuationSeparator" w:id="0">
    <w:p w14:paraId="596136D5" w14:textId="77777777" w:rsidR="0042180A" w:rsidRDefault="0042180A"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C1DA" w14:textId="77777777" w:rsidR="0042180A" w:rsidRDefault="0042180A" w:rsidP="00290019">
      <w:r>
        <w:separator/>
      </w:r>
    </w:p>
  </w:footnote>
  <w:footnote w:type="continuationSeparator" w:id="0">
    <w:p w14:paraId="41F670D3" w14:textId="77777777" w:rsidR="0042180A" w:rsidRDefault="0042180A"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Kennisgeving is ingediend overeenkomstig Richtlijn (EU) </w:t>
      </w:r>
    </w:p>
    <w:p w14:paraId="4A95157E" w14:textId="4BE9A4C9" w:rsidR="00943E19" w:rsidRDefault="00A97DE9" w:rsidP="00A97DE9">
      <w:pPr>
        <w:pStyle w:val="FootnoteText"/>
      </w:pPr>
      <w:r>
        <w:t xml:space="preserve">2015/1535 van het Europees Parlement en de Raad van 9 september 2015 betreffende een informatieprocedure op het gebied van technische voorschriften en regels betreffende Die diensten van de informatiemaatschappij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42180A">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ONTWERP"/>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42180A"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ONTWERP"/>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42180A"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ONTWERP"/>
          <w10:wrap anchorx="margin" anchory="margin"/>
        </v:shape>
      </w:pict>
    </w:r>
    <w:r w:rsidR="00964D75">
      <w:t xml:space="preserve">Gemeenschappelijke </w:t>
    </w:r>
    <w:r w:rsidR="00964D75">
      <w:t>statuten betreffende gezondheidszorg, medische zorg, sociale diensten, geneesmiddelen, volksgezondheid, enz.</w:t>
    </w:r>
  </w:p>
  <w:p w14:paraId="1EDBB6C7" w14:textId="0C9286D7" w:rsidR="00DB331A" w:rsidRPr="00964D75" w:rsidRDefault="004642EF"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66CDEFD1">
              <wp:simplePos x="0" y="0"/>
              <wp:positionH relativeFrom="column">
                <wp:posOffset>3810</wp:posOffset>
              </wp:positionH>
              <wp:positionV relativeFrom="paragraph">
                <wp:posOffset>637493</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71B00A"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0.2pt" to="374.1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Cwoy8bb&#10;AAAACAEAAA8AAABkcnMvZG93bnJldi54bWxMj0FLxDAQhe+C/yGM4M1NXUottekiohfx0roHvWWb&#10;2abYTLpNuq3/3hEEPc57jzffK3erG8QZp9B7UnC7SUAgtd701CnYvz3f5CBC1GT04AkVfGGAXXV5&#10;UerC+IVqPDexE1xCodAKbIxjIWVoLTodNn5EYu/oJ6cjn1MnzaQXLneD3CZJJp3uiT9YPeKjxfaz&#10;mZ2Cl9Nr2KdZ/VS/n/Jm+TjOtvOo1PXV+nAPIuIa/8Lwg8/oUDHTwc9kghgUZJxjNUlSEGzfpfkW&#10;xOFXkVUp/w+ovgEAAP//AwBQSwECLQAUAAYACAAAACEAtoM4kv4AAADhAQAAEwAAAAAAAAAAAAAA&#10;AAAAAAAAW0NvbnRlbnRfVHlwZXNdLnhtbFBLAQItABQABgAIAAAAIQA4/SH/1gAAAJQBAAALAAAA&#10;AAAAAAAAAAAAAC8BAABfcmVscy8ucmVsc1BLAQItABQABgAIAAAAIQCWWeFqzgEAAP0DAAAOAAAA&#10;AAAAAAAAAAAAAC4CAABkcnMvZTJvRG9jLnhtbFBLAQItABQABgAIAAAAIQAsKMvG2wAAAAgBAAAP&#10;AAAAAAAAAAAAAAAAACgEAABkcnMvZG93bnJldi54bWxQSwUGAAAAAAQABADzAAAAMA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46B01E9C">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Gepubliceerd op xx juli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Gepubliceerd op xx juli 20xx</w:t>
                    </w:r>
                  </w:p>
                </w:txbxContent>
              </v:textbox>
            </v:shape>
          </w:pict>
        </mc:Fallback>
      </mc:AlternateContent>
    </w:r>
    <w:r w:rsidR="004D7ACB">
      <w:t>ISSN xxx-xxxx, Artikelnummer xxxxx</w:t>
    </w:r>
    <w:r w:rsidR="004D7ACB">
      <w:br/>
      <w:t>Uitgever:</w:t>
    </w:r>
    <w:r w:rsidR="004D7ACB">
      <w:rPr>
        <w:sz w:val="16"/>
      </w:rPr>
      <w:t xml:space="preserve"> Hoofd Juridische dienst – Pär Ödman, Nationale Raad voor Gezondheid en Welzijn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80A"/>
    <w:rsid w:val="00421953"/>
    <w:rsid w:val="004315EF"/>
    <w:rsid w:val="00431E6E"/>
    <w:rsid w:val="00433373"/>
    <w:rsid w:val="0043385E"/>
    <w:rsid w:val="004340AD"/>
    <w:rsid w:val="0043652F"/>
    <w:rsid w:val="00460BBD"/>
    <w:rsid w:val="00461C13"/>
    <w:rsid w:val="004641D8"/>
    <w:rsid w:val="004642EF"/>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84D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11</TotalTime>
  <Pages>1</Pages>
  <Words>2768</Words>
  <Characters>15783</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8</cp:revision>
  <cp:lastPrinted>2013-04-29T08:38:00Z</cp:lastPrinted>
  <dcterms:created xsi:type="dcterms:W3CDTF">2021-06-28T07:31:00Z</dcterms:created>
  <dcterms:modified xsi:type="dcterms:W3CDTF">2021-07-05T15:30:00Z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