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1C3D" w14:textId="2F24B5F1" w:rsidR="00CA7196" w:rsidRDefault="00CC00EC" w:rsidP="00AD09D8">
      <w:pPr>
        <w:pStyle w:val="Heading1"/>
      </w:pPr>
      <w:r>
        <w:t xml:space="preserve">Analyse d’impact concernant les propositions relatives aux règlements de l’Agence suédoise des produits médicaux relatifs au commerce parallèle de médicaments vétérinaires et aux </w:t>
      </w:r>
      <w:bookmarkStart w:id="0" w:name="_Hlk73084254"/>
      <w:r>
        <w:t xml:space="preserve">règlements de l’Agence suédoise des produits médicaux relatifs aux médicaments à usage humain importés parallèlement. </w:t>
      </w:r>
      <w:bookmarkEnd w:id="0"/>
    </w:p>
    <w:p w14:paraId="38461386" w14:textId="77777777" w:rsidR="00AD09D8" w:rsidRDefault="00AD09D8" w:rsidP="00AD09D8"/>
    <w:p w14:paraId="6D696FAC" w14:textId="4DAD4895" w:rsidR="00AD09D8" w:rsidRDefault="00AD09D8" w:rsidP="00AD09D8">
      <w:pPr>
        <w:pStyle w:val="Numreradrubrik1"/>
      </w:pPr>
      <w:r>
        <w:t>Le problème et ce qui doit être fait</w:t>
      </w:r>
    </w:p>
    <w:p w14:paraId="0BC650CD" w14:textId="182F7EA9" w:rsidR="00F41421" w:rsidRDefault="00F41421" w:rsidP="00F41421">
      <w:pPr>
        <w:pStyle w:val="Numreradrubrik2"/>
      </w:pPr>
      <w:r>
        <w:t xml:space="preserve">Description contextuelle </w:t>
      </w:r>
    </w:p>
    <w:p w14:paraId="711AC5AD" w14:textId="77777777" w:rsidR="002C6959" w:rsidRPr="002C6959" w:rsidRDefault="002C6959" w:rsidP="002C6959">
      <w:pPr>
        <w:rPr>
          <w:lang w:val="en-US"/>
        </w:rPr>
      </w:pPr>
    </w:p>
    <w:p w14:paraId="1A95C318" w14:textId="124E756F" w:rsidR="00D41DBE" w:rsidRDefault="00140CDB" w:rsidP="00140CDB">
      <w:r>
        <w:t>Le 11 décembre 2018, le règlement (UE) 2019/6 du Parlement européen et du Conseil relatif aux médicaments vétérinaires et abrogeant la</w:t>
      </w:r>
      <w:bookmarkStart w:id="1" w:name="_Hlk74929470"/>
      <w:r>
        <w:t xml:space="preserve"> Directive 2001/82/CE</w:t>
      </w:r>
      <w:r>
        <w:rPr>
          <w:rStyle w:val="FootnoteReference"/>
        </w:rPr>
        <w:footnoteReference w:id="1"/>
      </w:r>
      <w:bookmarkEnd w:id="1"/>
      <w:r>
        <w:t xml:space="preserve"> (ci-après </w:t>
      </w:r>
      <w:bookmarkStart w:id="2" w:name="_Hlk73025757"/>
      <w:r>
        <w:t>Règlement de l’UE relatif aux médicaments vétérinaires</w:t>
      </w:r>
      <w:bookmarkEnd w:id="2"/>
      <w:r>
        <w:t>) a été adopté. Le règlement de l’UE sur les médicaments vétérinaires sera appliqué le 28 janvier 2022 et remplacera la directive 2001/82/CE du Parlement européen et du Conseil du 6 novembre 2001 instituant un code communautaire relatif aux médicaments vétérinaires</w:t>
      </w:r>
      <w:r>
        <w:rPr>
          <w:rStyle w:val="FootnoteReference"/>
        </w:rPr>
        <w:footnoteReference w:id="2"/>
      </w:r>
      <w:r>
        <w:t>. Un règlement de l’UE devient directement applicable en Suède le jour où il commence à être appliqué, sans être transposé dans la législation suédoise. Toutefois, le cadre réglementaire suédois doit être adapté pour que le règlement de l’UE sur les médicaments vétérinaires ait l’effet escompté et pour éviter une double réglementation nationale. À la lumière du nouveau règlement de l’UE, le gouvernement a nommé un enquêteur spécial et le groupe d’enquête a soumis le rapport Une législation sur les médicaments vétérinaires adaptée à l’UE (SOU 2021:45). Le groupe d’enquête a examiné la législation actuelle sur les médicaments pour animaux. L’objectif de cette révision est, entre autres, d’adapter la législation au règlement de l’UE sur les médicaments vétérinaires. À cet égard, le groupe d'enquête a proposé de modifier plusieurs lois et ordonnances suédoises, notamment la Loi sur les médicaments (2015:315) et l'Ordonnance sur les médicaments (2015:458). Ces modifications n’ont pas encore été décidées, mais étant donné que les modifications au règlement de l’UE sur les médicaments vétérinaires seront appliquées à compter du 28 janvier 2022 et qu’il est urgent que les opérateurs concernés reçoivent des informations sur les réglementations nationales qui s’appliqueront en Suède, l’Agence suédoise des produits médicaux évalue que les modifications proposées aux règlements susmentionnés devraient être envoyées pour consultation externe pendant que le gouvernement poursuit ses travaux en la matière.</w:t>
      </w:r>
    </w:p>
    <w:p w14:paraId="4D7B114B" w14:textId="77777777" w:rsidR="00D41DBE" w:rsidRDefault="00D41DBE" w:rsidP="00140CDB"/>
    <w:p w14:paraId="2ACCB698" w14:textId="443BC608" w:rsidR="00A81209" w:rsidRDefault="00227070" w:rsidP="00140CDB">
      <w:r>
        <w:t xml:space="preserve">Les importations parallèles visées dans la réglementation de l’Agence suédoise des produits médicaux (LVFS 2012:19) sur les médicaments importés parallèles sont appelées commerce parallèle dans le règlement de l’UE sur les médicaments vétérinaires, procédure régie par l’article 102 du règlement. Comme indiqué ci-dessus, cet article sera directement applicable en Suède et remplacera donc en partie le règlement concernant les médicaments vétérinaires actuellement dans la LVFS 2012:19. Toutefois, le règlement doit être complété par des dispositions relatives à la procédure administrative pour le commerce parallèle de </w:t>
      </w:r>
      <w:r>
        <w:lastRenderedPageBreak/>
        <w:t xml:space="preserve">médicaments vétérinaires et à la procédure administrative pour l’approbation de la demande d’autorisation pour le commerce parallèle de médicaments vétérinaires. </w:t>
      </w:r>
    </w:p>
    <w:p w14:paraId="46252976" w14:textId="77777777" w:rsidR="00A81209" w:rsidRDefault="00A81209" w:rsidP="00140CDB"/>
    <w:p w14:paraId="36520165" w14:textId="31E8A10B" w:rsidR="00A81209" w:rsidRDefault="00531427" w:rsidP="00140CDB">
      <w:r>
        <w:t xml:space="preserve">Dans ce contexte, l’Agence suédoise des produits médicaux propose de nouveaux règlements qui complètent le règlement de l’UE relatifs aux médicaments vétérinaires. Dans le même temps, il est proposé que le règlement relatif aux importations parallèles de médicaments à usage humain et au commerce parallèle de médicaments vétérinaires soit divisé en deux règlements distincts. Le règlement concernant les importations parallèles de médicaments à usage humain restera en grande partie inchangé. </w:t>
      </w:r>
    </w:p>
    <w:p w14:paraId="55A50E0E" w14:textId="599B515F" w:rsidR="00FB1D58" w:rsidRDefault="00FB1D58" w:rsidP="00140CDB"/>
    <w:p w14:paraId="368D84DA" w14:textId="40BEB452" w:rsidR="000A3A32" w:rsidRDefault="000A3A32" w:rsidP="00447CC2">
      <w:pPr>
        <w:pStyle w:val="Numreradrubrik2"/>
      </w:pPr>
      <w:r>
        <w:t xml:space="preserve">Plusieurs règlements qu’il est proposé de modifier </w:t>
      </w:r>
    </w:p>
    <w:p w14:paraId="6F187438" w14:textId="77777777" w:rsidR="002C6959" w:rsidRPr="00336ED1" w:rsidRDefault="002C6959" w:rsidP="002C6959"/>
    <w:p w14:paraId="36DC56B7" w14:textId="19E56219" w:rsidR="00FB1D58" w:rsidRDefault="001C293B" w:rsidP="00140CDB">
      <w:r>
        <w:t>À la suite de la proposition de modification de plusieurs règlements de l’Agence suédoise des produits médicaux dans le cadre du nouveau règlement de l’UE relatif aux médicaments vétérinaires, certains des règlements mentionnés dans les règlements proposés seront également modifiés. Comme indiqué ci-dessus, l’Agence suédoise des produits médicaux estime que les règlements proposés devraient maintenant être distribués aux fins de consultation afin que les personnes concernées puissent recevoir des informations et avoir la possibilité de prendre position sur les changements. Toutefois, certains règlements, auxquels il est fait référence dans les règlements, ne seront distribués qu’à un stade ultérieur pour consultation. Ces règlements sont mentionnés par leur nom de travail dans les propositions couvertes par le présent cycle de consultation. Le nom de travail est indiqué entre crochets. Ceci s’applique aux règlements suivants :</w:t>
      </w:r>
    </w:p>
    <w:p w14:paraId="588170D1" w14:textId="78D1E50E" w:rsidR="00FB1D58" w:rsidRDefault="00FB1D58" w:rsidP="00140CDB"/>
    <w:p w14:paraId="274D2FD7" w14:textId="024518A6" w:rsidR="00FB1D58" w:rsidRDefault="004C62A1" w:rsidP="004C62A1">
      <w:pPr>
        <w:pStyle w:val="ListParagraph"/>
        <w:numPr>
          <w:ilvl w:val="0"/>
          <w:numId w:val="30"/>
        </w:numPr>
      </w:pPr>
      <w:r>
        <w:t>Le règlement de l’Agence suédoise des produits médicaux (HSLF-FS 2021:xx) sur l’étiquetage et les notices des médicaments vétérinaires, aujourd’hui le règlement de l’Agence suédoise des produits médicaux (LVFS 2005:11) sur l’étiquetage et les notices des médicaments</w:t>
      </w:r>
    </w:p>
    <w:p w14:paraId="3D351548" w14:textId="33691598" w:rsidR="006271D5" w:rsidRDefault="006271D5" w:rsidP="006271D5">
      <w:pPr>
        <w:pStyle w:val="ListParagraph"/>
        <w:numPr>
          <w:ilvl w:val="0"/>
          <w:numId w:val="30"/>
        </w:numPr>
      </w:pPr>
      <w:r>
        <w:t>Règlement de l’Agence suédoise des produits médicaux (HSLF-FS 2021:xx) relatif à l’étiquetage et aux notices des médicaments à usage humain, aujourd'hui le règlement de l’Agence suédoise des produits médicaux (LVFS 2005:11) relatif à l’étiquetage et aux notices des médicaments</w:t>
      </w:r>
    </w:p>
    <w:p w14:paraId="701DCD95" w14:textId="6EC6E6A8" w:rsidR="004C62A1" w:rsidRDefault="00757B0F" w:rsidP="004C62A1">
      <w:pPr>
        <w:pStyle w:val="ListParagraph"/>
        <w:numPr>
          <w:ilvl w:val="0"/>
          <w:numId w:val="30"/>
        </w:numPr>
      </w:pPr>
      <w:r>
        <w:t xml:space="preserve">Le règlement de l’Agence suédoise des produits médicaux (HSLF-FS 2021:xx) relatif à l’autorisation de fabrication et à l’importation de médicaments, aujourd’hui le règlement et les lignes directrices générales de l’Agence suédoise des produits médicaux (LVFS 2004:7) relatif à l’autorisation de fabrication et à l’importation de médicaments </w:t>
      </w:r>
    </w:p>
    <w:p w14:paraId="299CDFDE" w14:textId="1742F60B" w:rsidR="006271D5" w:rsidRDefault="00450BCF" w:rsidP="00450BCF">
      <w:pPr>
        <w:pStyle w:val="ListParagraph"/>
        <w:numPr>
          <w:ilvl w:val="0"/>
          <w:numId w:val="30"/>
        </w:numPr>
      </w:pPr>
      <w:r>
        <w:t xml:space="preserve">Le règlement de l'Agence suédoise des produits médicaux (HSLF-FS 2021:xx) relatif </w:t>
      </w:r>
      <w:proofErr w:type="gramStart"/>
      <w:r>
        <w:t>au</w:t>
      </w:r>
      <w:proofErr w:type="gramEnd"/>
      <w:r>
        <w:t xml:space="preserve"> commerce de gros des médicaments, aujourd'hui le règlement de l'Agence suédoise des produits médicaux (LVFS 2014:8) relatif au commerce de gros des médicaments.</w:t>
      </w:r>
    </w:p>
    <w:p w14:paraId="248009CB" w14:textId="072A43A0" w:rsidR="000B4450" w:rsidRDefault="00E34406" w:rsidP="0002112D">
      <w:pPr>
        <w:pStyle w:val="ListParagraph"/>
        <w:numPr>
          <w:ilvl w:val="0"/>
          <w:numId w:val="30"/>
        </w:numPr>
      </w:pPr>
      <w:r>
        <w:t>Le règlement de l’Agence suédoise des produits médicaux (HSLF-FS 2021:xx) relatif à l’autorisation de mise sur le marché des médicaments à usage humain, aujourd’hui le règlement de l’Agence suédoise des produits médicaux (LVFS 2006:11) relatif à l’agrément des médicaments à vendre, etc.</w:t>
      </w:r>
    </w:p>
    <w:p w14:paraId="7269FA1A" w14:textId="5894F763" w:rsidR="00F60697" w:rsidRPr="00D5644C" w:rsidRDefault="000B4450" w:rsidP="00F41421">
      <w:pPr>
        <w:pStyle w:val="Numreradrubrik2"/>
      </w:pPr>
      <w:r>
        <w:t>Les dispositions proposées en bref</w:t>
      </w:r>
    </w:p>
    <w:p w14:paraId="6EE2B4EF" w14:textId="5DAAADFC" w:rsidR="006A5D00" w:rsidRPr="006A5D00" w:rsidRDefault="006A5D00" w:rsidP="00766E37">
      <w:pPr>
        <w:pStyle w:val="Numreradrubrik3"/>
      </w:pPr>
      <w:r>
        <w:t xml:space="preserve">Commerce parallèle de médicaments vétérinaires </w:t>
      </w:r>
    </w:p>
    <w:p w14:paraId="77E184EB" w14:textId="21B52C8D" w:rsidR="006A5D00" w:rsidRPr="006A5D00" w:rsidRDefault="006A5D00" w:rsidP="006A5D00">
      <w:pPr>
        <w:rPr>
          <w:b/>
          <w:bCs/>
          <w:i/>
          <w:iCs/>
        </w:rPr>
      </w:pPr>
    </w:p>
    <w:p w14:paraId="3E7AD665" w14:textId="6713E7BB" w:rsidR="006A5D00" w:rsidRPr="006A5D00" w:rsidRDefault="00361B3D" w:rsidP="006A5D00">
      <w:r>
        <w:lastRenderedPageBreak/>
        <w:t xml:space="preserve">Les nouveaux règlements sur le commerce parallèle des médicaments vétérinaires compléteront les dispositions du règlement de l’UE sur les médicaments vétérinaires. Pour éviter une double réglementation, certaines conditions ne seront pas réglementées dans les règlements, car le règlement est plutôt contenu dans le règlement de l’UE sur les médicaments vétérinaires. Les nouveaux règlements sur le commerce parallèle de médicaments vétérinaires ont donc été complétés par des références aux dispositions pertinentes du règlement de l’UE. Les nouveaux règlements sur le commerce parallèle des médicaments vétérinaires adaptent également les termes et les concepts pour les rendre conformes à ceux utilisés dans le règlement de l’UE. Les dispositions relatives aux importations parallèles de médicaments à usage humain font l’objet d’un règlement distinct décrit ci-après. </w:t>
      </w:r>
    </w:p>
    <w:p w14:paraId="711B7442" w14:textId="4547ECD4" w:rsidR="006A5D00" w:rsidRDefault="006A5D00" w:rsidP="006A5D00">
      <w:pPr>
        <w:rPr>
          <w:i/>
          <w:iCs/>
        </w:rPr>
      </w:pPr>
    </w:p>
    <w:p w14:paraId="73556DBC" w14:textId="0798A8BC" w:rsidR="006A5D00" w:rsidRDefault="006A5D00" w:rsidP="006A5D00">
      <w:pPr>
        <w:rPr>
          <w:b/>
          <w:bCs/>
          <w:i/>
          <w:iCs/>
        </w:rPr>
      </w:pPr>
      <w:r>
        <w:rPr>
          <w:b/>
          <w:i/>
        </w:rPr>
        <w:t>Les principaux changements dans les médicaments vétérinaires sont les suivants :</w:t>
      </w:r>
    </w:p>
    <w:p w14:paraId="529DF557" w14:textId="77777777" w:rsidR="008B2A66" w:rsidRPr="006A5D00" w:rsidRDefault="008B2A66" w:rsidP="006A5D00">
      <w:pPr>
        <w:rPr>
          <w:b/>
          <w:bCs/>
          <w:i/>
          <w:iCs/>
        </w:rPr>
      </w:pPr>
    </w:p>
    <w:p w14:paraId="308BAB9F" w14:textId="664F9728" w:rsidR="006A5D00" w:rsidRDefault="006A5D00" w:rsidP="006A5D00">
      <w:pPr>
        <w:pStyle w:val="ListParagraph"/>
        <w:numPr>
          <w:ilvl w:val="0"/>
          <w:numId w:val="23"/>
        </w:numPr>
      </w:pPr>
      <w:bookmarkStart w:id="3" w:name="_Hlk72389449"/>
      <w:r>
        <w:t xml:space="preserve">Le concept d’importation parallèle est remplacé par le commerce parallèle (voir </w:t>
      </w:r>
      <w:r>
        <w:rPr>
          <w:b/>
          <w:i/>
        </w:rPr>
        <w:t xml:space="preserve">Section </w:t>
      </w:r>
      <w:r w:rsidR="00336ED1">
        <w:rPr>
          <w:b/>
          <w:i/>
        </w:rPr>
        <w:t xml:space="preserve">2 </w:t>
      </w:r>
      <w:r w:rsidR="00336ED1">
        <w:t>de</w:t>
      </w:r>
      <w:r>
        <w:t xml:space="preserve"> la LVFS 2012:19 et, par exemple, Sections </w:t>
      </w:r>
      <w:r w:rsidR="00336ED1">
        <w:rPr>
          <w:b/>
          <w:i/>
        </w:rPr>
        <w:t xml:space="preserve">3 </w:t>
      </w:r>
      <w:r w:rsidR="00336ED1">
        <w:t>et</w:t>
      </w:r>
      <w:r>
        <w:t xml:space="preserve"> </w:t>
      </w:r>
      <w:r>
        <w:rPr>
          <w:b/>
          <w:i/>
        </w:rPr>
        <w:t>4</w:t>
      </w:r>
      <w:r>
        <w:t xml:space="preserve"> des règlements proposés).</w:t>
      </w:r>
    </w:p>
    <w:p w14:paraId="2603EC18" w14:textId="1DBDE46F" w:rsidR="006A5D00" w:rsidRDefault="006A5D00" w:rsidP="006A5D00">
      <w:pPr>
        <w:pStyle w:val="ListParagraph"/>
        <w:numPr>
          <w:ilvl w:val="0"/>
          <w:numId w:val="23"/>
        </w:numPr>
      </w:pPr>
      <w:r>
        <w:t xml:space="preserve">La notion d’importateur parallèle est remplacée par celle de commerçant en gros (voir </w:t>
      </w:r>
      <w:r>
        <w:rPr>
          <w:b/>
          <w:i/>
        </w:rPr>
        <w:t xml:space="preserve">Section </w:t>
      </w:r>
      <w:r w:rsidR="00336ED1">
        <w:rPr>
          <w:b/>
          <w:i/>
        </w:rPr>
        <w:t xml:space="preserve">2 </w:t>
      </w:r>
      <w:r w:rsidR="00336ED1">
        <w:t>de</w:t>
      </w:r>
      <w:r>
        <w:t xml:space="preserve"> la LVFS 2012:19 et </w:t>
      </w:r>
      <w:r>
        <w:rPr>
          <w:b/>
          <w:i/>
        </w:rPr>
        <w:t xml:space="preserve">Sections 6 et </w:t>
      </w:r>
      <w:r w:rsidR="00336ED1">
        <w:rPr>
          <w:b/>
          <w:i/>
        </w:rPr>
        <w:t xml:space="preserve">17 </w:t>
      </w:r>
      <w:r w:rsidR="00336ED1">
        <w:t>des</w:t>
      </w:r>
      <w:r>
        <w:t xml:space="preserve"> règlements proposés). </w:t>
      </w:r>
    </w:p>
    <w:p w14:paraId="7C56A8F7" w14:textId="202F809B" w:rsidR="00EA2E10" w:rsidRDefault="00EA2E10" w:rsidP="006A5D00">
      <w:pPr>
        <w:pStyle w:val="ListParagraph"/>
        <w:numPr>
          <w:ilvl w:val="0"/>
          <w:numId w:val="23"/>
        </w:numPr>
      </w:pPr>
      <w:r>
        <w:t xml:space="preserve">La notion de pays d’exportation est remplacée par l’État membre d’origine (voir, par exemple, les </w:t>
      </w:r>
      <w:r>
        <w:rPr>
          <w:b/>
          <w:i/>
        </w:rPr>
        <w:t>Sections 5, 15</w:t>
      </w:r>
      <w:r>
        <w:t xml:space="preserve"> et</w:t>
      </w:r>
      <w:r>
        <w:rPr>
          <w:b/>
          <w:i/>
        </w:rPr>
        <w:t>17</w:t>
      </w:r>
      <w:r>
        <w:t xml:space="preserve"> de la LVFS 2012:19 et les sections </w:t>
      </w:r>
      <w:r>
        <w:rPr>
          <w:b/>
          <w:i/>
        </w:rPr>
        <w:t>4, 13</w:t>
      </w:r>
      <w:r>
        <w:t xml:space="preserve"> et </w:t>
      </w:r>
      <w:r>
        <w:rPr>
          <w:b/>
          <w:i/>
        </w:rPr>
        <w:t>18</w:t>
      </w:r>
      <w:r>
        <w:t xml:space="preserve"> des règlements proposés).</w:t>
      </w:r>
    </w:p>
    <w:p w14:paraId="0ED19E3A" w14:textId="11626A8B" w:rsidR="00EA2E10" w:rsidRDefault="00EA2E10" w:rsidP="006A5D00">
      <w:pPr>
        <w:pStyle w:val="ListParagraph"/>
        <w:numPr>
          <w:ilvl w:val="0"/>
          <w:numId w:val="23"/>
        </w:numPr>
      </w:pPr>
      <w:r>
        <w:t>Le concept de médicament directement importé est remplacé par le médicament vétérinaire déjà approuvé en Suède (l’État membre de destination) (voir p.ex.</w:t>
      </w:r>
      <w:r>
        <w:rPr>
          <w:b/>
          <w:i/>
        </w:rPr>
        <w:t xml:space="preserve"> Section 2</w:t>
      </w:r>
      <w:r>
        <w:t xml:space="preserve"> de la LVFS 2012:19 et </w:t>
      </w:r>
      <w:r>
        <w:rPr>
          <w:b/>
          <w:i/>
        </w:rPr>
        <w:t xml:space="preserve">Sections </w:t>
      </w:r>
      <w:r w:rsidR="00336ED1">
        <w:rPr>
          <w:b/>
          <w:i/>
        </w:rPr>
        <w:t xml:space="preserve">10 </w:t>
      </w:r>
      <w:r w:rsidR="00336ED1">
        <w:t>et</w:t>
      </w:r>
      <w:r>
        <w:t xml:space="preserve"> </w:t>
      </w:r>
      <w:r>
        <w:rPr>
          <w:b/>
          <w:i/>
        </w:rPr>
        <w:t>11</w:t>
      </w:r>
      <w:r>
        <w:t xml:space="preserve"> des règlements proposés).</w:t>
      </w:r>
    </w:p>
    <w:p w14:paraId="4453B0A6" w14:textId="542F686A" w:rsidR="00F02124" w:rsidRDefault="00F02124" w:rsidP="00CA5956">
      <w:pPr>
        <w:pStyle w:val="ListParagraph"/>
        <w:numPr>
          <w:ilvl w:val="0"/>
          <w:numId w:val="23"/>
        </w:numPr>
      </w:pPr>
      <w:r>
        <w:t xml:space="preserve">Les conditions de base pour l’octroi d’une demande d’autorisation de mise sur le marché </w:t>
      </w:r>
      <w:bookmarkStart w:id="4" w:name="_Hlk72862873"/>
      <w:r w:rsidR="00336ED1">
        <w:t>d’un médicament</w:t>
      </w:r>
      <w:r>
        <w:t xml:space="preserve"> vétérinaire faisant l'objet d'un commerce parallèle</w:t>
      </w:r>
      <w:bookmarkEnd w:id="4"/>
      <w:r>
        <w:t xml:space="preserve"> ne peuvent plus être réglementées dans la réglementation nationale (voir </w:t>
      </w:r>
      <w:r>
        <w:rPr>
          <w:b/>
          <w:i/>
        </w:rPr>
        <w:t>Section 4</w:t>
      </w:r>
      <w:r>
        <w:t xml:space="preserve"> de la LVFS 2012:19 et </w:t>
      </w:r>
      <w:r>
        <w:rPr>
          <w:b/>
          <w:i/>
        </w:rPr>
        <w:t>Section 3</w:t>
      </w:r>
      <w:r>
        <w:t xml:space="preserve"> du nouveau règlement). </w:t>
      </w:r>
    </w:p>
    <w:p w14:paraId="431EB46B" w14:textId="254AC65E" w:rsidR="00AD755F" w:rsidRDefault="00AD755F" w:rsidP="00AD755F">
      <w:pPr>
        <w:pStyle w:val="ListParagraph"/>
        <w:numPr>
          <w:ilvl w:val="0"/>
          <w:numId w:val="23"/>
        </w:numPr>
      </w:pPr>
      <w:r>
        <w:t>Certaines nouvelles obligations pour le grossiste qui a l’intention de demander ou détient déjà une autorisation de mise sur le marché d’un médicament vétérinaire faisant l’objet d’un commerce parallèle seront ajoutées (voir l’</w:t>
      </w:r>
      <w:r>
        <w:rPr>
          <w:b/>
          <w:i/>
        </w:rPr>
        <w:t>Annexe</w:t>
      </w:r>
      <w:r>
        <w:t xml:space="preserve"> au nouveau règlement).</w:t>
      </w:r>
    </w:p>
    <w:p w14:paraId="3B6CE071" w14:textId="129FFF3F" w:rsidR="00910177" w:rsidRDefault="00B977B0" w:rsidP="005437CD">
      <w:pPr>
        <w:pStyle w:val="ListParagraph"/>
        <w:numPr>
          <w:ilvl w:val="0"/>
          <w:numId w:val="23"/>
        </w:numPr>
      </w:pPr>
      <w:r>
        <w:t>Les effets indésirables présumés doivent être signalés au titulaire de l’autorisation de mise sur le marché du médicament vétérinaire dans l’État membre d’origine (voir</w:t>
      </w:r>
      <w:r>
        <w:rPr>
          <w:b/>
          <w:i/>
        </w:rPr>
        <w:t xml:space="preserve"> Section 17</w:t>
      </w:r>
      <w:r>
        <w:t xml:space="preserve"> de la LVFS 2012:19 et</w:t>
      </w:r>
      <w:r>
        <w:rPr>
          <w:b/>
          <w:i/>
        </w:rPr>
        <w:t xml:space="preserve"> Section 13</w:t>
      </w:r>
      <w:r>
        <w:t xml:space="preserve"> du nouveau règlement).</w:t>
      </w:r>
    </w:p>
    <w:p w14:paraId="7254C33B" w14:textId="47479CB7" w:rsidR="00831571" w:rsidRPr="00AA4324" w:rsidRDefault="00260C4C" w:rsidP="00D52C8F">
      <w:pPr>
        <w:pStyle w:val="ListParagraph"/>
        <w:numPr>
          <w:ilvl w:val="0"/>
          <w:numId w:val="23"/>
        </w:numPr>
      </w:pPr>
      <w:r>
        <w:t xml:space="preserve">Les autorisations de mise sur le marché d’un médicament vétérinaire faisant l’objet d’un commerce parallèle ne seront plus limitées dans le temps (voir </w:t>
      </w:r>
      <w:r>
        <w:rPr>
          <w:b/>
          <w:i/>
        </w:rPr>
        <w:t>Section 3</w:t>
      </w:r>
      <w:r>
        <w:t xml:space="preserve"> de la LVFS 2012:19 et </w:t>
      </w:r>
      <w:r>
        <w:rPr>
          <w:b/>
          <w:i/>
        </w:rPr>
        <w:t>Section 3</w:t>
      </w:r>
      <w:r>
        <w:t xml:space="preserve"> du nouveau règlement).</w:t>
      </w:r>
    </w:p>
    <w:p w14:paraId="6C278CAB" w14:textId="0FAA67CB" w:rsidR="006A5D00" w:rsidRDefault="006A5D00" w:rsidP="00447CC2">
      <w:pPr>
        <w:pStyle w:val="ListParagraph"/>
        <w:numPr>
          <w:ilvl w:val="0"/>
          <w:numId w:val="27"/>
        </w:numPr>
      </w:pPr>
      <w:r>
        <w:t xml:space="preserve">Des références aux dispositions pertinentes du règlement de l’UE sur les médicaments vétérinaires sont introduites dans les dispositions relatives au commerce parallèle de médicaments vétérinaires (voir, par exemple, les </w:t>
      </w:r>
      <w:r>
        <w:rPr>
          <w:b/>
          <w:i/>
        </w:rPr>
        <w:t>Sections 1-3</w:t>
      </w:r>
      <w:r>
        <w:t xml:space="preserve"> du nouveau règlement).x</w:t>
      </w:r>
    </w:p>
    <w:bookmarkEnd w:id="3"/>
    <w:p w14:paraId="334FAF6F" w14:textId="2477AF95" w:rsidR="003F5298" w:rsidRDefault="003F5298" w:rsidP="003F5298"/>
    <w:p w14:paraId="1E97AD0A" w14:textId="38509FA6" w:rsidR="003F5298" w:rsidRDefault="003F5298" w:rsidP="003F5298">
      <w:pPr>
        <w:rPr>
          <w:b/>
          <w:bCs/>
          <w:i/>
          <w:iCs/>
        </w:rPr>
      </w:pPr>
      <w:r>
        <w:rPr>
          <w:b/>
          <w:i/>
        </w:rPr>
        <w:t xml:space="preserve">Changements de concepts </w:t>
      </w:r>
    </w:p>
    <w:p w14:paraId="52B1ED36" w14:textId="77777777" w:rsidR="00816291" w:rsidRDefault="00816291" w:rsidP="003F5298"/>
    <w:p w14:paraId="271C1A17" w14:textId="1666C01C" w:rsidR="00177E43" w:rsidRDefault="003F5298" w:rsidP="003F5298">
      <w:r>
        <w:t>Dans la réglementation d’aujourd’hui, LVFS 2012:19, l’expression « importation parallèle » est utilisée, qui, dans la Section 2, est définie</w:t>
      </w:r>
      <w:bookmarkStart w:id="5" w:name="_Hlk72332018"/>
      <w:r>
        <w:t xml:space="preserve"> comme étant l’importation en Suède d’un médicament en provenance d’un pays de l’Espace économique européen (EEE) dont la vente est approuvée en Suède et dans le pays d’exportation, mais l'importation est gérée par une personne autre que le fabricant/titulaire de l'autorisation de mise sur le marché. </w:t>
      </w:r>
    </w:p>
    <w:p w14:paraId="259870A4" w14:textId="77777777" w:rsidR="00704D05" w:rsidRDefault="00704D05" w:rsidP="003F5298"/>
    <w:p w14:paraId="4B10BFC0" w14:textId="3E1EC0E4" w:rsidR="00704D05" w:rsidRDefault="003111A9" w:rsidP="003F5298">
      <w:bookmarkStart w:id="6" w:name="_Hlk72331599"/>
      <w:bookmarkEnd w:id="5"/>
      <w:r>
        <w:t xml:space="preserve">Dans le règlement de l’UE relatif aux médicaments vétérinaires, la procédure n’est pas qualifiée d’importation parallèle, mais plutôt de commerce parallèle. Selon l'article 102, paragraphe 1, le commerce parallèle désigne le commerce d'un médicament vétérinaire acquis dans un État membre (État membre d'origine) et distribué dans un autre État membre (État membre de destination) lorsque le médicament vétérinaire faisant l'objet du commerce a une origine commune avec le médicament vétérinaire déjà autorisé dans l'État membre de destination. </w:t>
      </w:r>
    </w:p>
    <w:p w14:paraId="781E88D5" w14:textId="77777777" w:rsidR="00704D05" w:rsidRDefault="00704D05" w:rsidP="003F5298"/>
    <w:p w14:paraId="08097BE0" w14:textId="78A1CD63" w:rsidR="003F5298" w:rsidRDefault="00E731A6" w:rsidP="003F5298">
      <w:r>
        <w:t>Dans l’introduction du point 65 du règlement de l’UE sur les médicaments vétérinaires, il est mentionné en particulier que le commerce parallèle diffère de l’importation dans la mesure où l'importation se réfère à des produits entrant dans l’Union en provenance de pays tiers. La notion d’importation parallèle peut donc être trompeuse si elle est utilisée et si l’on a estimé qu’elle devrait être remplacée par le commerce parallèle dans ce contexte. De même, dans la Loi sur les médicaments et les documents à l’échelle de l’UE, le commerce parallèle est le concept qui sera utilisé pour les médicaments vétérinaires.</w:t>
      </w:r>
    </w:p>
    <w:bookmarkEnd w:id="6"/>
    <w:p w14:paraId="1A155B3C" w14:textId="4059D601" w:rsidR="00E731A6" w:rsidRDefault="00E731A6" w:rsidP="003F5298"/>
    <w:p w14:paraId="5173A999" w14:textId="46388E10" w:rsidR="00E731A6" w:rsidRDefault="00E731A6" w:rsidP="003F5298">
      <w:r>
        <w:t xml:space="preserve">L’opérateur connu aujourd’hui en tant qu’importateur parallèle (voir la Section 2 de la LVFS 2012:19) est mentionné dans le règlement de l’UE sur les médicaments vétérinaires en tant que grossiste. Dans les nouveaux règlements sur le commerce parallèle de médicaments vétérinaires, les mêmes concepts sont donc utilisés pour se conformer au règlement de l’UE. </w:t>
      </w:r>
    </w:p>
    <w:p w14:paraId="47C2081B" w14:textId="79BDD271" w:rsidR="00E731A6" w:rsidRDefault="00E731A6" w:rsidP="003F5298"/>
    <w:p w14:paraId="023F22B4" w14:textId="1D3FCD7E" w:rsidR="00E731A6" w:rsidRDefault="00E731A6" w:rsidP="003F5298">
      <w:r>
        <w:t>La Section 2 du nouveau règlement propose d’introduire une référence au fait que les termes et concepts utilisés dans le règlement de l’UE sur les médicaments vétérinaires et la Loi sur les médicaments ont également le même sens dans le règlement.</w:t>
      </w:r>
    </w:p>
    <w:p w14:paraId="02056BEE" w14:textId="01454000" w:rsidR="00C820D1" w:rsidRDefault="00C820D1" w:rsidP="003F5298"/>
    <w:p w14:paraId="58B500E3" w14:textId="78CF72D8" w:rsidR="00B05687" w:rsidRPr="000059C8" w:rsidRDefault="00B05687" w:rsidP="003F5298">
      <w:pPr>
        <w:rPr>
          <w:b/>
          <w:bCs/>
          <w:i/>
          <w:iCs/>
        </w:rPr>
      </w:pPr>
      <w:r>
        <w:rPr>
          <w:b/>
          <w:i/>
        </w:rPr>
        <w:t>Conditions du commerce parallèle de médicaments vétérinaires</w:t>
      </w:r>
    </w:p>
    <w:p w14:paraId="131EFD69" w14:textId="77777777" w:rsidR="00816291" w:rsidRDefault="00816291" w:rsidP="003F5298"/>
    <w:p w14:paraId="38EADF8E" w14:textId="5414A58B" w:rsidR="00B05687" w:rsidRDefault="00B05687" w:rsidP="003F5298">
      <w:r>
        <w:t xml:space="preserve">L’article 102, paragraphe 1, du règlement de l’UE sur les médicaments vétérinaires impose que le médicament vétérinaire faisant l’objet d’un commerce parallèle ait une origine commune avec le médicament vétérinaire déjà approuvé en Suède. L’article 102, paragraphe 1, énonce quatre conditions, qui doivent toutes être remplies pour qu’une origine commune soit considérée comme existante. Les conditions de base de la procédure sont désormais régies par la Section 4 de la LVFS 2012:19, mais étant donné que le règlement correspondant, avec la nouvelle exigence d’origine commune, est désormais énoncé dans le règlement de l’UE, cette disposition ne sera pas incluse dans les nouveaux règlements sur le commerce parallèle des médicaments vétérinaires. </w:t>
      </w:r>
    </w:p>
    <w:p w14:paraId="1609923F" w14:textId="2A03C7AA" w:rsidR="00E5513C" w:rsidRDefault="00E5513C" w:rsidP="003F5298"/>
    <w:p w14:paraId="213910C5" w14:textId="2703B595" w:rsidR="00E5513C" w:rsidRPr="003C12E6" w:rsidRDefault="00E5513C" w:rsidP="003F5298">
      <w:pPr>
        <w:rPr>
          <w:b/>
          <w:bCs/>
          <w:i/>
          <w:iCs/>
        </w:rPr>
      </w:pPr>
      <w:r>
        <w:rPr>
          <w:b/>
          <w:i/>
        </w:rPr>
        <w:t>Nouvelles obligations pour les personnes pratiquant le commerce parallèle de médicaments vétérinaires</w:t>
      </w:r>
    </w:p>
    <w:p w14:paraId="2AB5F5F8" w14:textId="77777777" w:rsidR="00816291" w:rsidRDefault="00816291" w:rsidP="00E5513C"/>
    <w:p w14:paraId="3373587C" w14:textId="51D7876F" w:rsidR="00E5513C" w:rsidRDefault="004E2BE8" w:rsidP="00E5513C">
      <w:r>
        <w:t xml:space="preserve">Conformément à l’article 102 du règlement de l’UE sur les médicaments vétérinaires, certaines nouvelles obligations s’appliquent à ceux qui pratiquent le commerce parallèle </w:t>
      </w:r>
      <w:bookmarkStart w:id="7" w:name="_Hlk72866586"/>
      <w:r>
        <w:t>de</w:t>
      </w:r>
      <w:bookmarkEnd w:id="7"/>
      <w:r>
        <w:t xml:space="preserve"> médicaments vétérinaires, notamment l’obligation d’informer et d’établir certains types de documentation. Les nouvelles exigences sont énoncées directement dans le règlement de l’UE, mais l’Agence suédoise des produits médicaux propose que le nouveau règlement régisse la façon dont cette documentation doit être jointe à la demande et comment le grossiste doit fournir les informations. </w:t>
      </w:r>
    </w:p>
    <w:p w14:paraId="11683BF1" w14:textId="77777777" w:rsidR="001D70AF" w:rsidRDefault="001D70AF" w:rsidP="00E5513C"/>
    <w:p w14:paraId="14FC76F7" w14:textId="1DE1ACC4" w:rsidR="00E5513C" w:rsidRDefault="00E5513C" w:rsidP="00E5513C">
      <w:r>
        <w:lastRenderedPageBreak/>
        <w:t xml:space="preserve">L'article 102, paragraphe 6, point a), stipule que le grossiste est tenu de soumettre une déclaration à l'Agence suédoise des produits médicaux et de prendre les mesures appropriées pour que le grossiste de l'État membre d'origine le tienne informé de toutes les questions relatives à la pharmacovigilance. La présentation d’une telle déclaration est une exigence tout à fait nouvelle. Il est prévu de préciser le contenu de la déclaration dans un guide du nouveau règlement. </w:t>
      </w:r>
    </w:p>
    <w:p w14:paraId="61C17559" w14:textId="77777777" w:rsidR="001D70AF" w:rsidRDefault="001D70AF" w:rsidP="00E5513C"/>
    <w:p w14:paraId="4F15749F" w14:textId="649C09A1" w:rsidR="001D70AF" w:rsidRDefault="001D70AF" w:rsidP="00E5513C">
      <w:r>
        <w:t>En outre, l’article 102, paragraphe 6, point b), impose au grossiste l’obligation de notifier au titulaire de l’autorisation de mise sur le marché dans l’État membre de destination du médicament vétérinaire qui doit être acquis auprès de l’État membre d’origine et qui est destiné à être mis sur le marché en Suède, au moins un mois avant que la demande d’autorisation de mise sur le marché d’un médicament vétérinaire faisant l’objet d’un commerce parallèle ne soit présentée à l’Agence suédoise des produits médicaux. Toutefois, l’obligation correspondante de notifier le titulaire de l’autorisation de mise sur le marché (de ce que l’on appelle désormais le médicament directement importé) est énoncée à la Section 8 de la LVFS 2012:19, sans exiger que la notification soit faite dans un certain délai avant que la demande ne soit soumise à l’Agence suédoise des produits médicaux.</w:t>
      </w:r>
    </w:p>
    <w:p w14:paraId="1475862C" w14:textId="7BA90C30" w:rsidR="001D70AF" w:rsidRDefault="001D70AF" w:rsidP="00E5513C"/>
    <w:p w14:paraId="59280980" w14:textId="522831ED" w:rsidR="00446FD5" w:rsidRPr="001D70AF" w:rsidRDefault="001D70AF" w:rsidP="001D70AF">
      <w:r>
        <w:t>En outre, l’article 102, paragraphe 6, point c), impose au grossiste l’obligation de soumettre à l’Agence suédoise des produits médicaux une déclaration écrite indiquant que le titulaire de l’autorisation de mise sur le marché dans l’État membre de destination a été notifié conformément à l’article 102, paragraphe 6, point b), y compris une copie de cet avis.</w:t>
      </w:r>
    </w:p>
    <w:p w14:paraId="1F459536" w14:textId="77FD26A9" w:rsidR="001D70AF" w:rsidRDefault="001D70AF" w:rsidP="00E5513C"/>
    <w:p w14:paraId="45C12172" w14:textId="072E2CE3" w:rsidR="007D69B3" w:rsidRPr="0011072C" w:rsidRDefault="007D69B3" w:rsidP="007D69B3">
      <w:r>
        <w:t xml:space="preserve">À la suite de la création d’une nouvelle base de données de l’UE sur les médicaments vétérinaires (ci-après dénommée « base de données sur les médicaments »), qui est régie par les articles 55 et 56 du règlement de l’UE sur les médicaments vétérinaires, l’Agence suédoise des produits médicaux doit également demander certaines informations concernant </w:t>
      </w:r>
      <w:bookmarkStart w:id="8" w:name="_Hlk73265181"/>
      <w:r>
        <w:t>la demande d’autorisation de mise sur le marché d’un médicament vétérinaire faisant l’objet d’un commerce parallèle</w:t>
      </w:r>
      <w:bookmarkEnd w:id="8"/>
      <w:r>
        <w:t>. Conformément à l’article 102, paragraphe 4, du règlement de l’UE, l’Agence suédoise des produits médicaux publie une liste des médicaments vétérinaires faisant l’objet d’un commerce parallèle en Suède dans la base de données des produits. Les informations à introduire dans la base de données sur les produits sont détaillées à l’article 102, paragraphe 7, du règlement de l’UE. Bon nombre de ces informations sont déjà demandées par l’Agence suédoise des produits médicaux, mais, par exemple, les coordonnées du grossiste dans l’État membre d’origine (c’est-à-dire la personne auprès de laquelle le médicament a été acheté) sont de nouvelles informations qui seront demandées par l’Agence suédoise des produits médicaux dans le cadre de la demande. Les documents à l’échelle de l’UE relatifs au commerce parallèle de médicaments vétérinaires et un éventuel formulaire de demande à l’échelle de l’UE préparé par CMDv</w:t>
      </w:r>
      <w:r w:rsidR="00504343" w:rsidRPr="0011072C">
        <w:rPr>
          <w:rStyle w:val="FootnoteReference"/>
        </w:rPr>
        <w:footnoteReference w:id="3"/>
      </w:r>
      <w:r>
        <w:t xml:space="preserve"> peuvent nécessiter des informations supplémentaires à joindre à la demande.</w:t>
      </w:r>
    </w:p>
    <w:p w14:paraId="61E2EF17" w14:textId="77777777" w:rsidR="007D69B3" w:rsidRDefault="007D69B3" w:rsidP="00E5513C"/>
    <w:p w14:paraId="346C9CA0" w14:textId="6D61852A" w:rsidR="00E5513C" w:rsidRDefault="001D70AF" w:rsidP="00316D8F">
      <w:r>
        <w:t xml:space="preserve">L’Agence suédoise des produits médicaux propose que l’annexe du nouveau règlement sur le commerce parallèle de médicaments vétérinaires indique que la documentation et les informations susmentionnées doivent être jointes à la demande d’autorisation de mise sur le marché d’un médicament vétérinaire faisant l’objet d’un commerce parallèle. Comme indiqué ci-dessus, CMDv travaille actuellement à l’élaboration d’un formulaire de demande d’autorisation pour le commerce parallèle de médicaments vétérinaires à l’échelle de l’UE. Si le formulaire de demande à l’échelle de l’UE est prêt et est utilisé, l’Annexe du règlement sera </w:t>
      </w:r>
      <w:r>
        <w:lastRenderedPageBreak/>
        <w:t xml:space="preserve">quelque peu différente. Il y a donc deux annexes alternatives dans le projet de règlement sur le commerce parallèle de médicaments vétérinaires. Une annexe qui est adaptée et mise à jour pour l’utilisation d’un formulaire de demande national et une autre annexe qui devient pertinente si un formulaire de demande à l’échelle de l’UE est produit par CMDv. Les deux annexes peuvent être légèrement mises à jour pour se conformer à une version finale du formulaire de demande national ou du formulaire de demande à l’échelle de l’UE. </w:t>
      </w:r>
    </w:p>
    <w:p w14:paraId="395731F2" w14:textId="6123D074" w:rsidR="001D70AF" w:rsidRDefault="001D70AF" w:rsidP="00E5513C"/>
    <w:p w14:paraId="54000731" w14:textId="513E95F1" w:rsidR="00E5513C" w:rsidRDefault="00021A5F" w:rsidP="001D2A35">
      <w:r>
        <w:t xml:space="preserve">Outre ce qui précède, le grossiste est tenu de notifier au titulaire de l’autorisation de mise sur le marché, et à l’autorité compétente de l’État membre d’origine l’intention d’acquérir un médicament vétérinaire de cet État membre et de le distribuer en Suède (article 102, paragraphe 5). Toutefois, il n’est pas nécessaire de prévoir une disposition supplémentaire dans le nouveau règlement. </w:t>
      </w:r>
    </w:p>
    <w:p w14:paraId="2F1C14B4" w14:textId="77777777" w:rsidR="007E5E80" w:rsidRDefault="007E5E80">
      <w:pPr>
        <w:rPr>
          <w:b/>
          <w:bCs/>
          <w:i/>
          <w:iCs/>
        </w:rPr>
      </w:pPr>
    </w:p>
    <w:p w14:paraId="78531A7A" w14:textId="77777777" w:rsidR="000A266F" w:rsidRDefault="000A266F">
      <w:pPr>
        <w:spacing w:after="200" w:line="276" w:lineRule="auto"/>
        <w:rPr>
          <w:b/>
          <w:bCs/>
          <w:i/>
          <w:iCs/>
        </w:rPr>
      </w:pPr>
      <w:r>
        <w:br w:type="page"/>
      </w:r>
    </w:p>
    <w:p w14:paraId="1A174224" w14:textId="636016AF" w:rsidR="007827C4" w:rsidRPr="0077319B" w:rsidRDefault="0077319B" w:rsidP="001D2A35">
      <w:pPr>
        <w:rPr>
          <w:b/>
          <w:bCs/>
          <w:i/>
          <w:iCs/>
        </w:rPr>
      </w:pPr>
      <w:r>
        <w:rPr>
          <w:b/>
          <w:i/>
        </w:rPr>
        <w:lastRenderedPageBreak/>
        <w:t xml:space="preserve">Déclaration des effets indésirables </w:t>
      </w:r>
    </w:p>
    <w:p w14:paraId="1194E19F" w14:textId="77777777" w:rsidR="00816291" w:rsidRDefault="00816291" w:rsidP="001D2A35"/>
    <w:p w14:paraId="77142BAD" w14:textId="24E15A7C" w:rsidR="00D218AD" w:rsidRDefault="006766E8" w:rsidP="001D2A35">
      <w:r>
        <w:t xml:space="preserve">La Section 17 de la LVFS 2012:19 </w:t>
      </w:r>
      <w:proofErr w:type="gramStart"/>
      <w:r>
        <w:t>stipule</w:t>
      </w:r>
      <w:proofErr w:type="gramEnd"/>
      <w:r>
        <w:t xml:space="preserve"> que les effets indésirables présumés, en règle générale, doivent être signalés au titulaire de l’autorisation de mise sur le marché du médicament directement importé en Suède. Toutefois, il découle de la disposition de l’article 102, paragraphe 6, point e), du </w:t>
      </w:r>
      <w:bookmarkStart w:id="9" w:name="_Hlk73084734"/>
      <w:r>
        <w:t xml:space="preserve">Règlement de l’UE sur les médicaments vétérinaires </w:t>
      </w:r>
      <w:bookmarkEnd w:id="9"/>
      <w:r>
        <w:t xml:space="preserve">que </w:t>
      </w:r>
      <w:bookmarkStart w:id="10" w:name="_Hlk72390782"/>
      <w:r>
        <w:t xml:space="preserve">les effets indésirables présumés doivent être déclarés au </w:t>
      </w:r>
      <w:bookmarkStart w:id="11" w:name="_Hlk72336477"/>
      <w:r>
        <w:t>titulaire de l’autorisation de mise sur le marché du médicament vétérinaire faisant l’objet d’un commerce parallèle</w:t>
      </w:r>
      <w:bookmarkEnd w:id="11"/>
      <w:r>
        <w:t xml:space="preserve">. Cela signifie que les déclarations d’effets indésirables ne sont plus envoyées au titulaire de l’autorisation de mise sur le marché du médicament déjà approuvé en Suède (dénommé aujourd’hui médicament directement importé), mais seront toujours envoyées au titulaire de l’autorisation de mise sur le marché du médicament vétérinaire dans l’État membre d’origine. </w:t>
      </w:r>
      <w:bookmarkEnd w:id="10"/>
      <w:r>
        <w:t>La disposition du règlement de l’UE s’applique directement, mais la réglementation nationale continuera de réglementer le délai dans lequel les effets indésirables présumés doivent être déclarés et la langue à utiliser dans cette déclaration.</w:t>
      </w:r>
    </w:p>
    <w:p w14:paraId="31AC7712" w14:textId="4060BF49" w:rsidR="004C164E" w:rsidRDefault="004C164E" w:rsidP="003F5298"/>
    <w:p w14:paraId="5A9733E0" w14:textId="3129C20C" w:rsidR="004C164E" w:rsidRDefault="004C164E" w:rsidP="003F5298">
      <w:pPr>
        <w:rPr>
          <w:b/>
          <w:bCs/>
          <w:i/>
          <w:iCs/>
        </w:rPr>
      </w:pPr>
      <w:r>
        <w:rPr>
          <w:b/>
          <w:i/>
        </w:rPr>
        <w:t xml:space="preserve">Retrait </w:t>
      </w:r>
    </w:p>
    <w:p w14:paraId="7BB41AD4" w14:textId="77777777" w:rsidR="00816291" w:rsidRDefault="00816291" w:rsidP="0058131D"/>
    <w:p w14:paraId="05F54C11" w14:textId="17A04CEF" w:rsidR="0058131D" w:rsidRDefault="0058131D" w:rsidP="0058131D">
      <w:r>
        <w:t>Conformément à l’article 102, paragraphe 6, point d), le grossiste est tenu de ne pas commercialiser un médicament vétérinaire qui a été retiré du marché de l’État membre d’origine ou de destination en raison de sa qualité, de sa sécurité ou de ses effets. Une autorisation de mise sur le marché d’un médicament vétérinaire faisant l’objet d’un commerce parallèle peut donc être retirée si les conditions énoncées à l’article 102, paragraphe 6, point d), ne sont plus remplies. Il est proposé d’inclure dans le nouveau règlement une disposition sur ces motifs de retrait.</w:t>
      </w:r>
    </w:p>
    <w:p w14:paraId="2E73CAF2" w14:textId="77777777" w:rsidR="0058131D" w:rsidRDefault="0058131D" w:rsidP="0058131D"/>
    <w:p w14:paraId="3F0A71FD" w14:textId="69C9722A" w:rsidR="00D51BF1" w:rsidRDefault="00F377BC" w:rsidP="0058131D">
      <w:bookmarkStart w:id="12" w:name="_Hlk72868592"/>
      <w:r>
        <w:t>L’Agence suédoise des produits médicaux délivre une autorisation de mise sur le marché d’un médicament vétérinaire soumis au commerce parallèle en vertu de la Section 10 du chapitre 4 de la Loi sur les médicaments. Une autorisation accordée peut être retirée en vertu de la Section 2 du chapitre 11 de la Loi sur les médicaments. Le nouveau règlement sur le commerce parallèle de médicaments vétérinaires propose donc une référence supplémentaire à la Section 2 du chapitre 11 de la Loi sur les médicaments dans la partie relative au retrait d'une autorisation.</w:t>
      </w:r>
      <w:bookmarkEnd w:id="12"/>
      <w:r>
        <w:t xml:space="preserve"> </w:t>
      </w:r>
    </w:p>
    <w:p w14:paraId="7CAB9E1F" w14:textId="5EDDFCB4" w:rsidR="00D218AD" w:rsidRDefault="00D218AD" w:rsidP="003F5298"/>
    <w:p w14:paraId="3D7243F0" w14:textId="171D9B0B" w:rsidR="00AE228E" w:rsidRDefault="00D218AD" w:rsidP="003F5298">
      <w:pPr>
        <w:rPr>
          <w:b/>
          <w:bCs/>
          <w:i/>
          <w:iCs/>
        </w:rPr>
      </w:pPr>
      <w:r>
        <w:rPr>
          <w:b/>
          <w:i/>
        </w:rPr>
        <w:t xml:space="preserve">Autres modifications </w:t>
      </w:r>
    </w:p>
    <w:p w14:paraId="1A799064" w14:textId="77777777" w:rsidR="00816291" w:rsidRDefault="00816291" w:rsidP="00AE228E"/>
    <w:p w14:paraId="2B9EFD6E" w14:textId="1D691EB7" w:rsidR="00DD1E65" w:rsidRDefault="00AE228E" w:rsidP="00AE228E">
      <w:r>
        <w:t>En ce qui concerne la demande d’autorisation de mise sur le marché d’un médicament vétérinaire faisant l’objet d’un commerce parallèle, la Section 4 du règlement est modifiée de sorte que des demandes distinctes ne doivent plus être introduites pour chaque dosage et forme pharmaceutique, mais uniquement pour chaque État membre d’origine.</w:t>
      </w:r>
    </w:p>
    <w:p w14:paraId="40F81984" w14:textId="77777777" w:rsidR="00AE228E" w:rsidRDefault="00AE228E" w:rsidP="00AE228E"/>
    <w:p w14:paraId="30742E26" w14:textId="67D7D895" w:rsidR="00DD1E65" w:rsidRDefault="00DD1E65" w:rsidP="003F5298">
      <w:r>
        <w:t xml:space="preserve">La disposition de la section 6 de la LVFS 2012:19 </w:t>
      </w:r>
      <w:proofErr w:type="gramStart"/>
      <w:r>
        <w:t>relative</w:t>
      </w:r>
      <w:proofErr w:type="gramEnd"/>
      <w:r>
        <w:t xml:space="preserve"> aux médicaments biologiques ne s’applique qu’aux médicaments à usage humain et ne sera donc pas transférée au nouveau règlement sur le commerce parallèle de médicaments vétérinaires. </w:t>
      </w:r>
      <w:bookmarkStart w:id="13" w:name="_Hlk72868375"/>
      <w:r>
        <w:t xml:space="preserve">Les dispositions énoncées aujourd’hui concernant les accords techniques dans la section 18 de la LVFS 2012:19 sont également régies par les articles 24 et 25 du règlement de l’Agence suédoise des produits médicaux (LVFS 2004:6) sur les bonnes pratiques de fabrication des médicaments. Il n’est donc pas nécessaire de le préciser également dans la réglementation relative au commerce parallèle de médicaments vétérinaires. </w:t>
      </w:r>
    </w:p>
    <w:p w14:paraId="3A387E8E" w14:textId="41C4D2C6" w:rsidR="003F3C52" w:rsidRDefault="003F3C52" w:rsidP="003F5298"/>
    <w:p w14:paraId="06BC4B7E" w14:textId="05C472E6" w:rsidR="007673A7" w:rsidRDefault="003F3C52" w:rsidP="003F5298">
      <w:r>
        <w:lastRenderedPageBreak/>
        <w:t xml:space="preserve">L’exigence supplémentaire selon laquelle les plaquettes thermoformées et autres petits contenants pharmaceutiques doivent porter le nom de l’importateur parallèle, énoncée à la Section 12 de la LVFS 2012:19, est proposée pour des raisons de traçabilité (voir la Section 9 du nouveau règlement). Toutefois, il est précisé que ces informations doivent être ajoutées en plus des autres informations devant figurer sur les petits contenants, qui seront désormais régies par l’article 12 du règlement de l’UE sur les médicaments vétérinaires. </w:t>
      </w:r>
      <w:bookmarkEnd w:id="13"/>
      <w:r>
        <w:t xml:space="preserve">Au lieu du nom de l’importateur parallèle, le contenant doit être étiqueté avec le nom du grossiste. </w:t>
      </w:r>
    </w:p>
    <w:p w14:paraId="71C1D5C4" w14:textId="3432B4B8" w:rsidR="00B74438" w:rsidRDefault="00B74438" w:rsidP="003F5298"/>
    <w:p w14:paraId="184BBBB5" w14:textId="22B71CA0" w:rsidR="00B74438" w:rsidRPr="007E5E80" w:rsidRDefault="00B74438" w:rsidP="003F5298">
      <w:r>
        <w:t xml:space="preserve">La règle d’exemption est clarifiée de sorte qu’il est clair que des exemptions peuvent être accordées pour des raisons particulières et qu’elles doivent être compatibles avec le droit de l’UE. </w:t>
      </w:r>
    </w:p>
    <w:p w14:paraId="53E92DD4" w14:textId="77777777" w:rsidR="00796D11" w:rsidRDefault="00796D11" w:rsidP="004C164E"/>
    <w:p w14:paraId="53860B99" w14:textId="7F3CD343" w:rsidR="004C164E" w:rsidRPr="004C164E" w:rsidRDefault="004C164E" w:rsidP="008B2A66">
      <w:pPr>
        <w:pStyle w:val="Numreradrubrik3"/>
      </w:pPr>
      <w:r>
        <w:t xml:space="preserve">Importations parallèles de médicaments à usage humain </w:t>
      </w:r>
    </w:p>
    <w:p w14:paraId="4BCBA6A7" w14:textId="5EC526B7" w:rsidR="008D56F3" w:rsidRDefault="008D56F3" w:rsidP="002E5D9F"/>
    <w:p w14:paraId="0B3A3BB7" w14:textId="7A3ED147" w:rsidR="0025626A" w:rsidRPr="001A052D" w:rsidRDefault="0025626A" w:rsidP="002E5D9F">
      <w:r>
        <w:t>Étant donné qu’il est proposé de réglementer le commerce parallèle de médicaments vétérinaires dans des règlements spéciaux, il est proposé d’élaborer un nouveau règlement distinct pour les médicaments parallèles importés à usage humain. Contrairement au titre de la LVFS 2012:19, ces règlements porteront le nom de règlement de l’Agence suédoise des produits médicaux (HSLF-FS 2021:xx) sur les médicaments importés en parallèle à usage humain. Ce règlement propose essentiellement ce qui suit.</w:t>
      </w:r>
    </w:p>
    <w:p w14:paraId="3F13B0C8" w14:textId="591E2C07" w:rsidR="0025626A" w:rsidRDefault="0025626A" w:rsidP="002E5D9F">
      <w:pPr>
        <w:rPr>
          <w:i/>
          <w:iCs/>
          <w:u w:val="single"/>
        </w:rPr>
      </w:pPr>
    </w:p>
    <w:p w14:paraId="758BE441" w14:textId="5C7893C1" w:rsidR="0025626A" w:rsidRDefault="0025626A" w:rsidP="002E5D9F">
      <w:r>
        <w:t xml:space="preserve">Le </w:t>
      </w:r>
      <w:bookmarkStart w:id="14" w:name="_Hlk73267217"/>
      <w:r>
        <w:t>nouveau règlement sur les médicaments importés en parallèle à usage humain</w:t>
      </w:r>
      <w:bookmarkEnd w:id="14"/>
      <w:r>
        <w:t xml:space="preserve"> indiquera clairement que le règlement concerne les médicaments à usage humain au moyen d’une nouvelle rubrique et en remplaçant systématiquement les médicaments par des médicaments à usage humain dans le règlement. </w:t>
      </w:r>
    </w:p>
    <w:p w14:paraId="0BAA0DAC" w14:textId="68182D89" w:rsidR="0025626A" w:rsidRDefault="0025626A" w:rsidP="002E5D9F"/>
    <w:p w14:paraId="0297D464" w14:textId="7E66FF1C" w:rsidR="001574F7" w:rsidRDefault="001574F7" w:rsidP="002E5D9F">
      <w:r>
        <w:t xml:space="preserve">En ce qui concerne la demande d’autorisation de mise sur le marché d’un médicament à usage humain importé en parallèle, la section 4 du règlement est modifiée </w:t>
      </w:r>
      <w:proofErr w:type="gramStart"/>
      <w:r>
        <w:t>de manière à ce</w:t>
      </w:r>
      <w:proofErr w:type="gramEnd"/>
      <w:r>
        <w:t xml:space="preserve"> que des demandes distinctes ne soient plus nécessaires pour chaque dosage et forme pharmaceutique, mais uniquement pour chaque pays d’exportation. De cette manière, les médicaments à usage humain et vétérinaire sont traités de la même manière au cours de la demande. </w:t>
      </w:r>
    </w:p>
    <w:p w14:paraId="26392684" w14:textId="77777777" w:rsidR="001574F7" w:rsidRDefault="001574F7" w:rsidP="002E5D9F"/>
    <w:p w14:paraId="1791DE45" w14:textId="0B183BE0" w:rsidR="0025626A" w:rsidRDefault="0025626A" w:rsidP="002E5D9F">
      <w:r>
        <w:t xml:space="preserve">En ce qui concerne les dispositions relatives à l’étiquetage et aux notices des Sections 12 et 13 du nouveau règlement sur les médicaments à usage humain importés parallèlement, les références aux nouvelles dispositions relatives à l’information du produit sont modifiées. L’exigence supplémentaire selon laquelle les plaquettes thermoformées et autres petits contenants pharmaceutiques doivent porter le nom de l’importateur parallèle, figurant à la Section 12 de la LVFS 2012:19, est proposée pour des raisons de traçabilité. Toutefois, une clarification est apportée afin qu’il soit précisé que ces informations doivent être ajoutées en plus des autres informations qui doivent figurer sur les petits récipients conformément aux règlements à venir concernant l’étiquetage et les notices des médicaments à usage humain (HSLF-FS 2021:xx). </w:t>
      </w:r>
    </w:p>
    <w:p w14:paraId="337F0088" w14:textId="2A444224" w:rsidR="0025626A" w:rsidRDefault="0025626A" w:rsidP="002E5D9F"/>
    <w:p w14:paraId="7BCBA212" w14:textId="20A096D6" w:rsidR="002A6F29" w:rsidRDefault="002A6F29" w:rsidP="002E5D9F">
      <w:r>
        <w:t xml:space="preserve">Le dernier paragraphe de la Section 17 proposé (correspondant à la Section 18 de la LVFS 2012:19) qui s’applique aux accords techniques a été supprimé parce qu’il est également régi par les Sections 24 et 25 du règlement de l’Agence suédoise des produits médicaux (2004:6) sur les bonnes pratiques de fabrication des médicaments. La disposition relative au contrôle des lots contenue dans l’actuelle Section 23 du règlement a également été supprimée car elle </w:t>
      </w:r>
      <w:r>
        <w:lastRenderedPageBreak/>
        <w:t>est régie par le règlement de l’Agence suédoise des produits médicaux (LVFS 2014:8) relatif au commerce de gros de médicaments.</w:t>
      </w:r>
    </w:p>
    <w:p w14:paraId="60A2435D" w14:textId="4BFF42B7" w:rsidR="00FB105F" w:rsidRDefault="00FB105F" w:rsidP="002E5D9F"/>
    <w:p w14:paraId="292E3ECA" w14:textId="6D1B41D9" w:rsidR="0025626A" w:rsidRDefault="00FB105F" w:rsidP="002E5D9F">
      <w:r>
        <w:t xml:space="preserve">Dans la disposition relative au retrait d'une autorisation dans la section 23 proposée (correspondant à la section 24 de LVFS 2012:19), la référence à la loi sur les médicaments a été modifiée du chapitre 6, section 10 au chapitre 11, section 2. </w:t>
      </w:r>
    </w:p>
    <w:p w14:paraId="013577EC" w14:textId="7B464DEE" w:rsidR="00584AD4" w:rsidRDefault="00584AD4" w:rsidP="002E5D9F"/>
    <w:p w14:paraId="42B58A1F" w14:textId="5087E421" w:rsidR="006008BA" w:rsidRDefault="00584AD4" w:rsidP="002E5D9F">
      <w:r>
        <w:t>La règle d’exemption est clarifiée de sorte qu’il est clair que des exemptions peuvent être accordées pour des raisons particulières et qu’elles doivent être compatibles avec le droit de l’UE.</w:t>
      </w:r>
    </w:p>
    <w:p w14:paraId="15D334AB" w14:textId="77777777" w:rsidR="006008BA" w:rsidRPr="00502B2F" w:rsidRDefault="006008BA" w:rsidP="003867F2"/>
    <w:p w14:paraId="480915F2" w14:textId="60DE7713" w:rsidR="00AD09D8" w:rsidRDefault="00AD09D8" w:rsidP="00502B2F">
      <w:pPr>
        <w:pStyle w:val="Numreradrubrik1"/>
      </w:pPr>
      <w:r>
        <w:t>Solutions alternatives</w:t>
      </w:r>
    </w:p>
    <w:p w14:paraId="518B10E2" w14:textId="77777777" w:rsidR="001C1AA3" w:rsidRPr="001C1AA3" w:rsidRDefault="001C1AA3" w:rsidP="001C1AA3">
      <w:pPr>
        <w:rPr>
          <w:lang w:val="en-US"/>
        </w:rPr>
      </w:pPr>
    </w:p>
    <w:p w14:paraId="0936D760" w14:textId="49BA21CF" w:rsidR="00612B36" w:rsidRDefault="003D1C4D" w:rsidP="00DE3393">
      <w:r>
        <w:t xml:space="preserve">Si la LVFS 2012:19 actuelle n’est pas modifiée, les règlements existants contiendraient un double règlement par rapport au droit de l’UE, ce qui n’est pas autorisé. Par conséquent, le fait de ne pas apporter de modifications au règlement actuel n’est pas considéré comme une alternative. </w:t>
      </w:r>
    </w:p>
    <w:p w14:paraId="19DCC86F" w14:textId="77777777" w:rsidR="00612B36" w:rsidRDefault="00612B36" w:rsidP="00DE3393"/>
    <w:p w14:paraId="663B9796" w14:textId="77777777" w:rsidR="003707E4" w:rsidRDefault="008D7B7C" w:rsidP="00DE3393">
      <w:r>
        <w:t xml:space="preserve">Une alternative à la réglementation actuellement proposée pourrait consister à abroger uniquement les parties de la réglementation existante concernant les médicaments vétérinaires. Toutefois, cela signifierait que la procédure administrative pour le commerce parallèle de médicaments vétérinaires et la procédure administrative pour l’approbation de l’autorisation de procéder à un commerce parallèle de médicaments vétérinaires ne seraient pas réglementées. Cela pourrait conduire à une ambiguïté quant à ce qui s’applique à cette procédure et pourrait, en fin de compte, présenter des risques pour la santé publique et animale, par exemple, si elle n’est pas clairement réglementée quand une autorisation peut être accordée, pour quels motifs ou quand elle doit être retirée. </w:t>
      </w:r>
    </w:p>
    <w:p w14:paraId="22B9D565" w14:textId="77777777" w:rsidR="003707E4" w:rsidRDefault="003707E4" w:rsidP="00DE3393"/>
    <w:p w14:paraId="0FE85ED4" w14:textId="44D3C3FA" w:rsidR="008E1B52" w:rsidRDefault="00771638" w:rsidP="00DE3393">
      <w:r>
        <w:t xml:space="preserve">Une autre option pourrait consister à apporter les modifications proposées, mais à conserver les dispositions des règlements communs. Toutefois, compte tenu du fait que la réglementation des importations parallèles de médicaments à usage humain et du commerce parallèle de médicaments vétérinaires sera sensiblement différente, l’Agence suédoise des produits médicaux estime qu’il est plus clair de réglementer les importations parallèles de médicaments à usage humain et le commerce parallèle de médicaments vétérinaires dans deux règlements distincts. Dans l’ensemble, l’Agence suédoise des produits médicaux estime donc qu’il y a lieu d’élaborer de nouveaux règlements sur le commerce parallèle de médicaments vétérinaires qui complètent le règlement de l’UE sur les médicaments vétérinaires. Cela signifie que la procédure d’importation parallèle de médicaments à usage humain (qui restera en général inchangée) et la procédure de commerce parallèle de médicaments vétérinaires seront régies par deux nouveaux règlements, la réglementation de l’Agence suédoise des produits médicaux sur le commerce parallèle de médicaments à usage vétérinaire et la réglementation de l’Agence suédoise des produits médicaux sur les médicaments à usage humain importés en parallèle. </w:t>
      </w:r>
    </w:p>
    <w:p w14:paraId="43929B0E" w14:textId="77777777" w:rsidR="008E1B52" w:rsidRDefault="008E1B52" w:rsidP="00DE3393"/>
    <w:p w14:paraId="417AF9B2" w14:textId="07E48529" w:rsidR="00180A5F" w:rsidRDefault="00AD09D8" w:rsidP="008E1B52">
      <w:pPr>
        <w:pStyle w:val="Numreradrubrik1"/>
      </w:pPr>
      <w:r>
        <w:t>Les personnes concernées par le règlement</w:t>
      </w:r>
    </w:p>
    <w:p w14:paraId="64D52B17" w14:textId="77777777" w:rsidR="00F7501C" w:rsidRPr="00336ED1" w:rsidRDefault="00F7501C" w:rsidP="00F7501C"/>
    <w:p w14:paraId="4CB96165" w14:textId="4BF6A88F" w:rsidR="006F07BD" w:rsidRPr="009F7B89" w:rsidRDefault="006F07BD" w:rsidP="006F07BD">
      <w:r>
        <w:lastRenderedPageBreak/>
        <w:t xml:space="preserve">Les personnes concernées par le règlement sont principalement des grossistes qui pratiquent déjà le commerce parallèle de médicaments vétérinaires ou des grossistes qui ont l’intention de le faire. De plus, </w:t>
      </w:r>
      <w:bookmarkStart w:id="15" w:name="_Hlk73271546"/>
      <w:r>
        <w:t>les entreprises qui ont l’intention d’importer des médicaments à usage humain en parallèle ou qui sont déjà des importateurs parallèles de ces médicaments</w:t>
      </w:r>
      <w:bookmarkEnd w:id="15"/>
      <w:r>
        <w:t xml:space="preserve"> sont affectées dans une certaine mesure. </w:t>
      </w:r>
    </w:p>
    <w:p w14:paraId="0B639A8D" w14:textId="77777777" w:rsidR="006F07BD" w:rsidRPr="009F7B89" w:rsidRDefault="006F07BD" w:rsidP="006F07BD"/>
    <w:p w14:paraId="7EDA2FA3" w14:textId="06A52292" w:rsidR="006F07BD" w:rsidRPr="00AC142B" w:rsidRDefault="006F07BD" w:rsidP="006F07BD">
      <w:r>
        <w:t xml:space="preserve">Les règles affectent également les titulaires d’autorisations de mise sur le marché de médicaments. Il s’agit des entreprises pharmaceutiques qui reçoivent des déclarations d’effets indésirables du grossiste (pour les médicaments vétérinaires) et de l’importateur parallèle (pour les médicaments à usage humain). Il a été constaté que la révision peut donc également être importante pour ces sociétés. </w:t>
      </w:r>
    </w:p>
    <w:p w14:paraId="23DACA0F" w14:textId="77777777" w:rsidR="006F07BD" w:rsidRPr="006C0F6E" w:rsidRDefault="006F07BD" w:rsidP="006F07BD"/>
    <w:p w14:paraId="7507E6EA" w14:textId="51C30A64" w:rsidR="006F07BD" w:rsidRDefault="006F07BD" w:rsidP="006F07BD">
      <w:r>
        <w:t>Les vétérinaires et les pharmacies qui manipulent des médicaments vétérinaires peuvent être affectés dans une certaine mesure.</w:t>
      </w:r>
    </w:p>
    <w:p w14:paraId="427276BE" w14:textId="77777777" w:rsidR="009E6F94" w:rsidRPr="006C0F6E" w:rsidRDefault="009E6F94" w:rsidP="006F07BD"/>
    <w:p w14:paraId="49DA469F" w14:textId="60E31035" w:rsidR="00AD09D8" w:rsidRDefault="00AD09D8" w:rsidP="00AD09D8">
      <w:pPr>
        <w:pStyle w:val="Numreradrubrik1"/>
      </w:pPr>
      <w:r>
        <w:t>Autorisations</w:t>
      </w:r>
    </w:p>
    <w:p w14:paraId="01F1AEF4" w14:textId="77777777" w:rsidR="00F7501C" w:rsidRPr="00F7501C" w:rsidRDefault="00F7501C" w:rsidP="00F7501C">
      <w:pPr>
        <w:rPr>
          <w:lang w:val="en-US"/>
        </w:rPr>
      </w:pPr>
    </w:p>
    <w:p w14:paraId="47615B87" w14:textId="43D61D91" w:rsidR="00AD09D8" w:rsidRDefault="001C0D10" w:rsidP="00AD09D8">
      <w:r>
        <w:t>L’Agence suédoise des produits médicaux publie le projet de règlement sur les médicaments à usage humain importés en parallèle et le commerce parallèle de médicaments vétérinaires sur la base des autorisations prévues à la Section 11 du chapitre 9 de l’Ordonnance sur les médicaments (2015:458).</w:t>
      </w:r>
    </w:p>
    <w:p w14:paraId="6D1AB06E" w14:textId="3ADC29E7" w:rsidR="00683238" w:rsidRDefault="00A94A68" w:rsidP="009F7B89">
      <w:pPr>
        <w:spacing w:before="240"/>
      </w:pPr>
      <w:r>
        <w:t xml:space="preserve">En ce qui concerne la proposition de règlement sur le commerce parallèle de médicaments vétérinaires, il y a également des propositions de nouvelles autorisations dans SOU 2021:45, au chapitre </w:t>
      </w:r>
      <w:bookmarkStart w:id="16" w:name="_Hlk74927861"/>
      <w:r>
        <w:t>9,</w:t>
      </w:r>
      <w:bookmarkEnd w:id="16"/>
      <w:r>
        <w:t xml:space="preserve"> Sections 11 (a) et 12 de l’Ordonnance sur les médicaments. L’autorisation prévue à la Section 11 (a) du chapitre 9 de l’Ordonnance sur les médicaments signifie que l’Agence suédoise des produits médicaux peut émettre les règlements supplémentaires nécessaires pour compléter les dispositions du règlement (UE) 2019/6 du Parlement européen et du Conseil, que complète la Loi sur les médicaments (2015:315). L’autorisation prévue à la Section 12 du chapitre 9 de l’Ordonnance sur les médicaments signifie que l’Agence suédoise des produits médicaux peut émettre des dispositions sur l’application de la Loi sur les médicaments (2015:315), de l’Ordonnance sur les médicaments (2015:458) et des dispositions du règlement (UE) 2019/6 du Parlement européen et du Conseil, que complète la loi sur les médicaments. Si ces autorisations n’entrent pas en vigueur, l’autorisation actuelle de l’Agence suédoise des produits médicaux se trouve au chapitre 9, Section 11 de l’Ordonnance sur les médicaments (2015:458). </w:t>
      </w:r>
    </w:p>
    <w:p w14:paraId="3D001E16" w14:textId="77777777" w:rsidR="001E0536" w:rsidRPr="009C691C" w:rsidRDefault="001E0536" w:rsidP="009F7B89">
      <w:pPr>
        <w:spacing w:before="240"/>
      </w:pPr>
    </w:p>
    <w:p w14:paraId="0BF45837" w14:textId="4AB0BC80" w:rsidR="009B5E5B" w:rsidRDefault="00AD09D8" w:rsidP="00683238">
      <w:pPr>
        <w:pStyle w:val="Numreradrubrik1"/>
      </w:pPr>
      <w:bookmarkStart w:id="17" w:name="_Hlk73272081"/>
      <w:r>
        <w:t>Incidences liées aux coûts et autres impacts</w:t>
      </w:r>
      <w:bookmarkEnd w:id="17"/>
    </w:p>
    <w:p w14:paraId="066C498F" w14:textId="77777777" w:rsidR="00194A6E" w:rsidRPr="00336ED1" w:rsidRDefault="00194A6E" w:rsidP="00364605">
      <w:pPr>
        <w:rPr>
          <w:i/>
          <w:iCs/>
        </w:rPr>
      </w:pPr>
    </w:p>
    <w:p w14:paraId="0691F358" w14:textId="36B351A5" w:rsidR="00180A5F" w:rsidRPr="00816291" w:rsidRDefault="002A7584" w:rsidP="00180A5F">
      <w:pPr>
        <w:rPr>
          <w:b/>
          <w:bCs/>
        </w:rPr>
      </w:pPr>
      <w:r>
        <w:rPr>
          <w:b/>
          <w:i/>
        </w:rPr>
        <w:t xml:space="preserve">Commerce parallèle de médicaments vétérinaires </w:t>
      </w:r>
    </w:p>
    <w:p w14:paraId="09EAA885" w14:textId="77777777" w:rsidR="00816291" w:rsidRDefault="00816291" w:rsidP="00FF5B64"/>
    <w:p w14:paraId="103FC5FF" w14:textId="44A5062C" w:rsidR="00FF5B64" w:rsidRPr="001B4763" w:rsidRDefault="00FF5B64" w:rsidP="00FF5B64">
      <w:r>
        <w:t>Les règles qui sont actuellement énoncées dans les règlements de l’Agence suédoise des produits médicaux (LVFS 2012:19) sur les médicaments importés en parallèle sont en principe conformes aux règles qui sont actuellement proposées dans les nouveaux règlements relatifs au commerce parallèle de médicaments vétérinaires, avec certaines différences présentées ci-dessus.</w:t>
      </w:r>
    </w:p>
    <w:p w14:paraId="112843C4" w14:textId="77777777" w:rsidR="00DC28A9" w:rsidRDefault="00DC28A9" w:rsidP="001D2A35"/>
    <w:p w14:paraId="2001140A" w14:textId="153E46A1" w:rsidR="007D7A99" w:rsidRPr="00AA670D" w:rsidRDefault="00FF5B64" w:rsidP="001D2A35">
      <w:r>
        <w:lastRenderedPageBreak/>
        <w:t xml:space="preserve">Comme indiqué précédemment, les nouveaux règlements sur le commerce parallèle des médicaments vétérinaires visent à compléter les dispositions du règlement de l’UE sur les médicaments vétérinaires. Des parties du règlement contenues dans les règlements actuels ne seront donc pas incluses dans les nouveaux règlements sur le commerce parallèle de médicaments vétérinaires, si ce n’est sous la forme de références aux dispositions pertinentes du règlement de l’UE sur les médicaments vétérinaires. </w:t>
      </w:r>
    </w:p>
    <w:p w14:paraId="76D6E614" w14:textId="184FECED" w:rsidR="001B4763" w:rsidRDefault="001B4763" w:rsidP="001D2A35"/>
    <w:p w14:paraId="3642AF69" w14:textId="30218E18" w:rsidR="00B521B2" w:rsidRPr="001B4763" w:rsidRDefault="00FF5B64" w:rsidP="00FF5B64">
      <w:r>
        <w:t xml:space="preserve">Certaines nouvelles obligations pour le grossiste qui a l’intention de demander ou détient déjà une autorisation de mise sur le marché d’un médicament vétérinaire faisant l’objet d’un commerce parallèle ont été identifiées. Ces obligations sont décrites au paragraphe 1.3.1 de la présente analyse d’impact et sont régies par l’article 102, paragraphe 5, et l’article 102, paragraphe 6, points a) à c), du règlement de l’UE sur les médicaments vétérinaires. Une autre conséquence est que les déclarations d’effets indésirables présumés ne seront plus transmises au titulaire de l’autorisation de mise sur le marché du médicament déjà approuvé en Suède (désormais dénommé « médicament directement importé »), mais seront toujours transmises au titulaire de l’autorisation de mise sur le marché du médicament vétérinaire dans l’État membre d’origine. </w:t>
      </w:r>
    </w:p>
    <w:p w14:paraId="0DE47306" w14:textId="77777777" w:rsidR="006E04C3" w:rsidRDefault="006E04C3" w:rsidP="00FF5B64"/>
    <w:p w14:paraId="0C2B7138" w14:textId="609BDA4E" w:rsidR="00B402D9" w:rsidRPr="001B4763" w:rsidRDefault="00B521B2" w:rsidP="00FF5B64">
      <w:r>
        <w:t xml:space="preserve">Les obligations supplémentaires décrites ci-dessus sont régies par le règlement de l’UE. Dans cette analyse d’impact, les effets des exigences du règlement de l’UE sur les médicaments vétérinaires ne sont pas pris en compte, mais seuls les effets des exigences supplémentaires proposées par l’Agence suédoise des produits médicaux dans le nouveau règlement ont été étudiés. Toutefois, l’Agence suédoise des produits médicaux impose des exigences supplémentaires selon lesquelles, conformément à l’article 102, paragraphe 6, point a), et à certains documents nouveaux supplémentaires conformément au règlement de l’UE, une déclaration doit être jointe à la demande (voir ci-dessus la section 1.3.1). Les propositions peuvent donner lieu à un certain allongement du temps nécessaire aux entreprises concernées par l’introduction de nouvelles procédures pour se conformer aux nouvelles obligations. Étant donné que de nouveaux règlements sur le commerce parallèle de médicaments vétérinaires sont proposés, les grossistes et d’autres parties prenantes doivent également mettre à jour les documents réglementaires internes concernant les références. Les autres modifications proposées ne devraient pas entraîner une augmentation significative du temps nécessaire à la mise en œuvre. </w:t>
      </w:r>
    </w:p>
    <w:p w14:paraId="1FA0D68B" w14:textId="77777777" w:rsidR="001F0AFE" w:rsidRDefault="001F0AFE" w:rsidP="001F0AFE"/>
    <w:p w14:paraId="7B52C4B8" w14:textId="52A589D6" w:rsidR="001F0AFE" w:rsidRPr="001B4763" w:rsidRDefault="001F0AFE" w:rsidP="001F0AFE">
      <w:r>
        <w:t xml:space="preserve">Le délai de cinq ans et la nécessité d’une demande de renouvellement de l’autorisation prévu à la Section 3 de la LVFS 2012:19 existent, entre autres, compte tenu du fait que les exigences correspondantes pour le renouvellement existent pour les autorisations prévues à la Section 17 du chapitre 4 de la Loi sur les médicaments (2015:315). Compte tenu du fait que ce délai ne restera pas pour les autorisations délivrées en vertu du règlement de l’UE sur les médicaments vétérinaires, l’Agence suédoise des produits médicaux estime qu’il devrait également être supprimé pour les autorisations de mise sur le marché d’un médicament vétérinaire faisant l’objet d’un commerce parallèle. Cette disposition n’est donc pas équivalente dans les nouveaux règlements relatifs au commerce parallèle de médicaments vétérinaires. </w:t>
      </w:r>
    </w:p>
    <w:p w14:paraId="3151B969" w14:textId="77777777" w:rsidR="001F0AFE" w:rsidRPr="001B4763" w:rsidRDefault="001F0AFE" w:rsidP="001F0AFE"/>
    <w:p w14:paraId="69E80674" w14:textId="24D6E5EE" w:rsidR="00FF5B64" w:rsidRPr="001B4763" w:rsidRDefault="00FF5B64" w:rsidP="00FF5B64">
      <w:r>
        <w:t>Étant donné qu’une demande de renouvellement des autorisations de mise sur le marché d’un médicament vétérinaire faisant l’objet d’un commerce parallèle ne sera plus requise, la charge administrative des grossistes en termes de temps nécessaire à ce traitement, sera réduite. Cela signifie un allégement pour ces entreprises par rapport à la réglementation actuelle.</w:t>
      </w:r>
    </w:p>
    <w:p w14:paraId="791486FE" w14:textId="77777777" w:rsidR="002F339E" w:rsidRPr="001B4763" w:rsidRDefault="002F339E" w:rsidP="00FF5B64"/>
    <w:p w14:paraId="21B0E293" w14:textId="1C1B3157" w:rsidR="001B48F5" w:rsidRPr="00816291" w:rsidRDefault="001B48F5" w:rsidP="00866E1E">
      <w:pPr>
        <w:rPr>
          <w:b/>
          <w:bCs/>
          <w:i/>
          <w:iCs/>
        </w:rPr>
      </w:pPr>
      <w:r>
        <w:rPr>
          <w:b/>
          <w:i/>
        </w:rPr>
        <w:t>Importations parallèles de médicaments à usage humain</w:t>
      </w:r>
    </w:p>
    <w:p w14:paraId="5A4096D1" w14:textId="7AE6C350" w:rsidR="005E4A96" w:rsidRDefault="005E4A96" w:rsidP="00866E1E">
      <w:pPr>
        <w:rPr>
          <w:i/>
          <w:iCs/>
        </w:rPr>
      </w:pPr>
    </w:p>
    <w:p w14:paraId="01DFC9C7" w14:textId="71FF9A9E" w:rsidR="005E4A96" w:rsidRPr="005E4A96" w:rsidRDefault="005E4A96" w:rsidP="00866E1E">
      <w:r>
        <w:t xml:space="preserve">Les propositions de nouveaux règlements sur les médicaments à usage humain importés en parallèle n’impliquent que des adaptations rédactionnelles, des renvois modifiés et la suppression des dispositions redondantes. Outre la référence modifiée à la disposition sur les motifs de retrait dans la Loi sur les médicaments, les règles n'impliquent aucun changement en la matière. L’évaluation est que la conséquence pour les entreprises concernées (qui ont l’intention d’importer parallèlement des médicaments à usage humain ou qui sont déjà des importateurs parallèles de ces médicaments) est qu’elles doivent seulement mettre à jour leurs documents internes en raison des nouveaux règlements. </w:t>
      </w:r>
    </w:p>
    <w:p w14:paraId="481222AD" w14:textId="77777777" w:rsidR="001B48F5" w:rsidRPr="001B48F5" w:rsidRDefault="001B48F5" w:rsidP="00866E1E">
      <w:pPr>
        <w:rPr>
          <w:i/>
          <w:iCs/>
        </w:rPr>
      </w:pPr>
    </w:p>
    <w:p w14:paraId="53D4467C" w14:textId="3F42B699" w:rsidR="00252E19" w:rsidRPr="00816291" w:rsidRDefault="00AE228E" w:rsidP="00866E1E">
      <w:pPr>
        <w:rPr>
          <w:b/>
          <w:bCs/>
          <w:i/>
          <w:iCs/>
        </w:rPr>
      </w:pPr>
      <w:r>
        <w:rPr>
          <w:b/>
          <w:i/>
        </w:rPr>
        <w:t xml:space="preserve">Évaluation globale des conséquences </w:t>
      </w:r>
    </w:p>
    <w:p w14:paraId="70ED83F0" w14:textId="77777777" w:rsidR="007363BB" w:rsidRDefault="007363BB" w:rsidP="00866E1E"/>
    <w:p w14:paraId="42115FDD" w14:textId="4FB86AFE" w:rsidR="00866E1E" w:rsidRPr="001B48F5" w:rsidRDefault="00FF5B64" w:rsidP="00866E1E">
      <w:r>
        <w:t xml:space="preserve">L’évaluation globale de l’Agence suédoise des produits médicaux est que, à l’exception d’une augmentation initiale du temps et de la consommation de ressources liée à l’adaptation de leurs habitudes par les grossistes, les modifications proposées se traduiront par une plus grande clarté et une réduction de la charge administrative pour les entreprises. Cette dernière peut être liée notamment à la suppression de l’exigence relative à une demande de renouvellement de l’autorisation de mise sur le marché d’un médicament vétérinaire faisant l’objet d’un commerce parallèle. Le règlement dans son ensemble n’est donc considéré comme ayant que des conséquences mineures en termes de coûts pour les entreprises. L’Agence suédoise des produits médicaux ne considère pas non plus que la réglementation proposée entraîne d’autres coûts ou modifications pour les entreprises ou qu’elle affecte les conditions de concurrence des entreprises. Dans ce contexte, les modifications proposées au règlement ne sont pas considérées comme ayant des effets d’une telle importance sur les conditions de travail, la compétitivité ou d’autres conditions des entreprises, comme indiqué à la Section 7 de l’Ordonnance (2007:1244) sur les études d’impact réglementaire. L’analyse d’impact ne contient donc aucune description conformément à cette disposition.  </w:t>
      </w:r>
    </w:p>
    <w:p w14:paraId="2F976B64" w14:textId="77777777" w:rsidR="00866E1E" w:rsidRPr="001B48F5" w:rsidRDefault="00866E1E" w:rsidP="00866E1E"/>
    <w:p w14:paraId="30F866C2" w14:textId="172DAD8C" w:rsidR="00FF5B64" w:rsidRDefault="00866E1E" w:rsidP="00866E1E">
      <w:r>
        <w:t>Les propositions ne sont pas considérées comme ayant des effets sur les municipalités et les régions, et elles n’entraînent pas de changements dans les pouvoirs ou les obligations des municipalités.</w:t>
      </w:r>
    </w:p>
    <w:p w14:paraId="4E6785D6" w14:textId="7486427F" w:rsidR="001B48F5" w:rsidRDefault="001B48F5" w:rsidP="00866E1E"/>
    <w:p w14:paraId="153F4C09" w14:textId="083B799A" w:rsidR="00AD09D8" w:rsidRDefault="00AD09D8" w:rsidP="00AD09D8">
      <w:pPr>
        <w:pStyle w:val="Numreradrubrik1"/>
      </w:pPr>
      <w:r>
        <w:t>Conformité avec la législation de l’UE</w:t>
      </w:r>
    </w:p>
    <w:p w14:paraId="6CB4BF6A" w14:textId="5ED1DF05" w:rsidR="007E0474" w:rsidRDefault="00244235" w:rsidP="001B48F5">
      <w:pPr>
        <w:pStyle w:val="Numreradrubrik2"/>
      </w:pPr>
      <w:r>
        <w:t xml:space="preserve">Médicaments vétérinaires  </w:t>
      </w:r>
    </w:p>
    <w:p w14:paraId="29594DFF" w14:textId="77777777" w:rsidR="00F85B58" w:rsidRDefault="00F85B58" w:rsidP="007E0474">
      <w:bookmarkStart w:id="18" w:name="_Hlk73272391"/>
    </w:p>
    <w:p w14:paraId="0A6CC573" w14:textId="7329C485" w:rsidR="007E0474" w:rsidRDefault="007E0474" w:rsidP="007E0474">
      <w:r>
        <w:t>Les dispositions relatives au commerce parallèle de médicaments vétérinaires</w:t>
      </w:r>
      <w:bookmarkEnd w:id="18"/>
      <w:r>
        <w:t xml:space="preserve"> sont proposées pour contenir des règles qui complètent le règlement de l’UE sur les médicaments vétérinaires. Conformément à l’article 102, paragraphe 3, du règlement de l’Union européenne sur les médicaments vétérinaires, les États membres établissent des procédures administratives pour le commerce parallèle de médicaments vétérinaires et la procédure administrative pour l’approbation des demandes de commerce parallèle de ces produits. En outre, l’article 2, paragraphe 9, du règlement de l’UE sur les médicaments vétérinaires dispose que rien dans le règlement n’empêche un État membre de maintenir ou d’appliquer sur son territoire toute mesure de contrôle appropriée pour les stupéfiants et les substances psychotropes. Les règles supplémentaires relatives à la procédure administrative de demande et au commerce parallèle lui-même, qui comprennent notamment les règles d’étiquetage, la procédure de déclaration des effets indésirables et le retrait des autorisations, sont nécessaires pour garantir la sécurité d’utilisation des médicaments fournis aux propriétaires et aux </w:t>
      </w:r>
      <w:r>
        <w:lastRenderedPageBreak/>
        <w:t xml:space="preserve">animaux. L’évaluation globale est donc que les règles contenues dans les nouveaux règlements sur le commerce parallèle de médicaments vétérinaires sont compatibles avec le droit de l’UE. </w:t>
      </w:r>
    </w:p>
    <w:p w14:paraId="12B5D167" w14:textId="642F0C98" w:rsidR="00244235" w:rsidRDefault="00244235" w:rsidP="007E0474"/>
    <w:p w14:paraId="3CC401D6" w14:textId="5AD4264C" w:rsidR="00244235" w:rsidRDefault="00244235" w:rsidP="001103D8">
      <w:pPr>
        <w:pStyle w:val="Numreradrubrik2"/>
      </w:pPr>
      <w:r>
        <w:t>Médicaments à usage humain</w:t>
      </w:r>
    </w:p>
    <w:p w14:paraId="4F378AF4" w14:textId="77777777" w:rsidR="00244235" w:rsidRDefault="00244235" w:rsidP="007E0474"/>
    <w:p w14:paraId="11E3BF0F" w14:textId="77777777" w:rsidR="007F50BB" w:rsidRDefault="00244235" w:rsidP="00AE228E">
      <w:r>
        <w:t xml:space="preserve">Le règlement est conforme au droit de l’UE. Les importations parallèles de médicaments à usage humain continuent d’être fondées sur les traités de l’Union européenne et sur la jurisprudence développée par la Cour de justice de l’Union européenne. La proposition de nouveaux règlements sur les médicaments à usage humain importés en parallèle est en grande partie une codification de la pratique de la Cour de justice de l’UE et des exigences nationales qui sont générales pour tous les médicaments autorisés en Suède. Les propositions proposées lors du cycle de consultation n’impliqueront, en général, que des modifications rédactionnelles et des modifications dues au fait que le commerce parallèle de médicaments vétérinaires est régi par des règlements distincts.  </w:t>
      </w:r>
    </w:p>
    <w:p w14:paraId="584737CE" w14:textId="77777777" w:rsidR="007F50BB" w:rsidRDefault="007F50BB" w:rsidP="00AE228E"/>
    <w:p w14:paraId="15A25E38" w14:textId="69255553" w:rsidR="009C5719" w:rsidRDefault="009C5719" w:rsidP="007F50BB">
      <w:pPr>
        <w:pStyle w:val="Numreradrubrik2"/>
      </w:pPr>
      <w:r>
        <w:t xml:space="preserve">Obligation de notification </w:t>
      </w:r>
    </w:p>
    <w:p w14:paraId="2D559557" w14:textId="474EF4A2" w:rsidR="009C5719" w:rsidRDefault="009C5719" w:rsidP="007E0474"/>
    <w:p w14:paraId="130A1F19" w14:textId="16EDF98C" w:rsidR="001103D8" w:rsidRDefault="001103D8" w:rsidP="001103D8">
      <w:r>
        <w:t xml:space="preserve">Le règlement de l’UE permet aux États membres de réglementer les procédures administratives pour le commerce parallèle (voir l’article 102, paragraphe 3, du règlement de l’UE sur les médicaments vétérinaires). L’Agence suédoise des produits médicaux propose, entre autres, des règles supplémentaires concernant l’étiquetage et les notices dans les Sections 9 et 10 du règlement sur le commerce parallèle de médicaments vétérinaires. L’Agence suédoise des produits médicaux considère donc que les règlements contiennent des exigences techniques pour l’étiquetage des produits et qu’ils doivent être notifiés conformément à la directive relative à la notification (UE) 2015/1535. Il en va de même pour les règlements proposés par l’Agence suédoise des produits médicaux concernant les médicaments à usage humain importés en parallèle, dans lesquels les dispositions correspondantes relatives à l’étiquetage et aux notices figurent aux Sections 12 et 13. </w:t>
      </w:r>
    </w:p>
    <w:p w14:paraId="549EE55B" w14:textId="77777777" w:rsidR="001103D8" w:rsidRDefault="001103D8" w:rsidP="001103D8"/>
    <w:p w14:paraId="21EBE3CB" w14:textId="0657BEED" w:rsidR="00AD09D8" w:rsidRPr="007F50BB" w:rsidRDefault="00AD09D8" w:rsidP="001103D8">
      <w:pPr>
        <w:pStyle w:val="Numreradrubrik1"/>
      </w:pPr>
      <w:r>
        <w:t>Date d'entrée en vigueur et initiatives spéciales d'information</w:t>
      </w:r>
    </w:p>
    <w:p w14:paraId="42CC8FB7" w14:textId="77777777" w:rsidR="0039230E" w:rsidRDefault="0039230E" w:rsidP="001C1AA3">
      <w:pPr>
        <w:rPr>
          <w:b/>
          <w:bCs/>
          <w:i/>
          <w:iCs/>
        </w:rPr>
      </w:pPr>
    </w:p>
    <w:p w14:paraId="382443FB" w14:textId="2BC5153D" w:rsidR="00FC761F" w:rsidRPr="0039230E" w:rsidRDefault="0039230E" w:rsidP="001C1AA3">
      <w:pPr>
        <w:rPr>
          <w:b/>
          <w:bCs/>
          <w:i/>
          <w:iCs/>
        </w:rPr>
      </w:pPr>
      <w:r>
        <w:rPr>
          <w:b/>
          <w:i/>
        </w:rPr>
        <w:t xml:space="preserve">Informations générales sur l'entrée en vigueur </w:t>
      </w:r>
    </w:p>
    <w:p w14:paraId="7E1D15CF" w14:textId="77777777" w:rsidR="0039230E" w:rsidRDefault="0039230E" w:rsidP="001C1AA3"/>
    <w:p w14:paraId="2C7ADC99" w14:textId="6ED1B517" w:rsidR="00E57FA6" w:rsidRPr="007F50BB" w:rsidRDefault="00430272" w:rsidP="001C1AA3">
      <w:r>
        <w:t>Il est proposé que les nouveaux règlements et les règlements modifiés entrent en vigueur le 28 janvier 2022, date d’application du règlement de l’UE sur les médicaments vétérinaires. Des informations sur la réglementation seront publiées sur le site Web de l’Agence suédoise des produits médicaux bien avant l’entrée en vigueur.</w:t>
      </w:r>
    </w:p>
    <w:p w14:paraId="08614C40" w14:textId="77777777" w:rsidR="00E57FA6" w:rsidRDefault="00E57FA6" w:rsidP="001C1AA3">
      <w:pPr>
        <w:rPr>
          <w:strike/>
        </w:rPr>
      </w:pPr>
    </w:p>
    <w:p w14:paraId="6872A189" w14:textId="6C5B08DA" w:rsidR="001C1AA3" w:rsidRPr="00E57FA6" w:rsidRDefault="00E57FA6" w:rsidP="001C1AA3">
      <w:r>
        <w:t>Le nouveau règlement sur les médicaments à usage humain importés en parallèle abroge le règlement de l’Agence suédoise des produits médicaux (LVFS 2012:19) sur les médicaments importés en parallèle.</w:t>
      </w:r>
    </w:p>
    <w:p w14:paraId="7D2542DD" w14:textId="77777777" w:rsidR="00D65647" w:rsidRDefault="00D65647" w:rsidP="001C1AA3">
      <w:pPr>
        <w:rPr>
          <w:i/>
          <w:iCs/>
        </w:rPr>
      </w:pPr>
    </w:p>
    <w:p w14:paraId="2CABB395" w14:textId="19918A31" w:rsidR="004C547A" w:rsidRDefault="00D65647" w:rsidP="001C1AA3">
      <w:pPr>
        <w:rPr>
          <w:b/>
          <w:bCs/>
          <w:i/>
          <w:iCs/>
        </w:rPr>
      </w:pPr>
      <w:r>
        <w:rPr>
          <w:b/>
          <w:i/>
        </w:rPr>
        <w:t>Médicaments vétérinaires</w:t>
      </w:r>
    </w:p>
    <w:p w14:paraId="7F6F307F" w14:textId="77777777" w:rsidR="00F85B58" w:rsidRPr="00F85B58" w:rsidRDefault="00F85B58" w:rsidP="001C1AA3">
      <w:pPr>
        <w:rPr>
          <w:b/>
          <w:bCs/>
          <w:i/>
          <w:iCs/>
        </w:rPr>
      </w:pPr>
    </w:p>
    <w:p w14:paraId="7FE1B247" w14:textId="7EE4BF32" w:rsidR="00B940DB" w:rsidRDefault="006C5077" w:rsidP="00E57FA6">
      <w:r>
        <w:lastRenderedPageBreak/>
        <w:t>Le règlement de l’UE sur les médicaments vétérinaires contient des dispositions transitoires à l’article 151, paragraphe 2, pour les demandes d’autorisation de mise sur le marché validées conformément à la directive 2001/82/CE avant le 28 janvier 2022. L’Agence suédoise des produits médicaux propose que les demandes correspondantes s’appliquent aux demandes d’autorisation de mise sur le marché de</w:t>
      </w:r>
      <w:bookmarkStart w:id="19" w:name="_Hlk73274495"/>
      <w:r>
        <w:t xml:space="preserve"> médicaments vétérinaires importés en parallèle</w:t>
      </w:r>
      <w:bookmarkEnd w:id="19"/>
      <w:r>
        <w:t xml:space="preserve"> qui ont été reçues par l’Agence suédoise des produits médicaux avant le 28 janvier 2022 et que ces demandes soient donc complétées conformément à la réglementation de l’Agence suédoise des produits médicaux (LVFS 2012:19) sur les médicaments importés en parallèle. </w:t>
      </w:r>
    </w:p>
    <w:p w14:paraId="35A5E099" w14:textId="77777777" w:rsidR="006C5077" w:rsidRDefault="006C5077" w:rsidP="001C1AA3"/>
    <w:p w14:paraId="0D27B292" w14:textId="29976051" w:rsidR="001A3154" w:rsidRDefault="001A3154" w:rsidP="001C1AA3">
      <w:r>
        <w:t xml:space="preserve">En outre, l’article 152, paragraphe 2, du règlement de l’UE prévoit une disposition transitoire selon laquelle les médicaments vétérinaires qui ont été mis sur le marché conformément à la </w:t>
      </w:r>
      <w:bookmarkStart w:id="20" w:name="_Hlk73274249"/>
      <w:r>
        <w:t>directive 2001/82/CE</w:t>
      </w:r>
      <w:bookmarkEnd w:id="20"/>
      <w:r>
        <w:t xml:space="preserve"> peuvent continuer d’être fournis jusqu’au 29 janvier 2027, même s’ils ne sont pas conformes aux exigences du règlement. Pour le médicament vétérinaire dans l’État membre d’origine, qui fait l’objet d’un commerce parallèle, et pour le médicament vétérinaire qui a déjà été approuvé dans l’État membre de destination (Suède), il y aura une période transitoire de </w:t>
      </w:r>
      <w:proofErr w:type="gramStart"/>
      <w:r>
        <w:t>cinq ans assortie</w:t>
      </w:r>
      <w:proofErr w:type="gramEnd"/>
      <w:r>
        <w:t xml:space="preserve"> d’un délai d’adaptation aux règles modifiées. L’Agence suédoise des produits médicaux estime que la période de transition correspondante devrait également être prévue pour le médicament faisant l’objet d’un commerce parallèle et distribué en Suède, entre autres, pour la possibilité d’adaptation conformément aux nouvelles règles d’étiquetage et de notice. Dans ce contexte, il est proposé que les médicaments vétérinaires qui font l’objet d’un commerce parallèle et qui ont été mis sur le marché suédois conformément à la LVFS 2012:19 puissent continuer à être fournis jusqu’au 29 janvier 2027, même s’ils ne satisfont pas aux exigences du nouveau règlement. Par la suite, ceux qui pratiquent le commerce parallèle de médicaments vétérinaires doivent s’assurer que les médicaments répondent aux exigences du nouveau règlement. </w:t>
      </w:r>
    </w:p>
    <w:p w14:paraId="1D70A8C1" w14:textId="0606C138" w:rsidR="00B940DB" w:rsidRDefault="00B940DB" w:rsidP="001C1AA3"/>
    <w:p w14:paraId="4C2F314C" w14:textId="50B9AE03" w:rsidR="00B940DB" w:rsidRDefault="00B940DB" w:rsidP="001C1AA3">
      <w:r>
        <w:t xml:space="preserve">En outre, une disposition transitoire est proposée, ce qui signifie que l’autorisation de mise sur le marché des médicaments vétérinaires importés parallèles délivrés sur la base de la LVFS 2012:19 s’applique en tant qu’autorisation en vertu du nouveau règlement. Cela correspond à ce qui sera demandé pour l’agrément de la vente de médicaments vétérinaires et l’enregistrement de médicaments homéopathiques vétérinaires conformément à l’article 152, paragraphe 1. </w:t>
      </w:r>
    </w:p>
    <w:p w14:paraId="30F4F4E8" w14:textId="77777777" w:rsidR="0056480D" w:rsidRDefault="0056480D" w:rsidP="001C1AA3">
      <w:pPr>
        <w:rPr>
          <w:b/>
          <w:bCs/>
          <w:i/>
          <w:iCs/>
        </w:rPr>
      </w:pPr>
    </w:p>
    <w:p w14:paraId="1DD7219B" w14:textId="7773AB8B" w:rsidR="00075E7A" w:rsidRPr="00F85B58" w:rsidRDefault="00075E7A" w:rsidP="001C1AA3">
      <w:pPr>
        <w:rPr>
          <w:b/>
          <w:bCs/>
          <w:i/>
          <w:iCs/>
        </w:rPr>
      </w:pPr>
      <w:r>
        <w:rPr>
          <w:b/>
          <w:i/>
        </w:rPr>
        <w:t xml:space="preserve">Médicaments à usage humain </w:t>
      </w:r>
    </w:p>
    <w:p w14:paraId="5345BCC2" w14:textId="77777777" w:rsidR="00AE0E18" w:rsidRDefault="00AE0E18" w:rsidP="001C1AA3"/>
    <w:p w14:paraId="7A2FD6E9" w14:textId="7958807A" w:rsidR="00075E7A" w:rsidRPr="00075E7A" w:rsidRDefault="00075E7A" w:rsidP="001C1AA3">
      <w:r>
        <w:t xml:space="preserve">Pour les médicaments à usage humain importés en parallèle, il est proposé de la même manière que pour les médicaments vétérinaires importés en parallèle qu’une autorisation délivrée par la LVFS 2012:19 devrait s’appliquer en tant qu’autorisation conformément au nouveau règlement. En outre, il n’est pas nécessaire de prévoir d’autres dispositions transitoires, étant donné que les propositions de nouveaux règlements </w:t>
      </w:r>
      <w:bookmarkStart w:id="21" w:name="_Hlk73275203"/>
      <w:r>
        <w:t xml:space="preserve">sur les médicaments à usage humain importés en parallèle </w:t>
      </w:r>
      <w:bookmarkEnd w:id="21"/>
      <w:r>
        <w:t xml:space="preserve">n’entraînent aucune modification substantielle. </w:t>
      </w:r>
    </w:p>
    <w:p w14:paraId="0CAF97ED" w14:textId="77777777" w:rsidR="001A3154" w:rsidRDefault="001A3154" w:rsidP="001C1AA3"/>
    <w:p w14:paraId="00B6BF70" w14:textId="430DE3EA" w:rsidR="00B418E0" w:rsidRPr="00B418E0" w:rsidRDefault="00B418E0" w:rsidP="002275FE">
      <w:pPr>
        <w:rPr>
          <w:b/>
          <w:bCs/>
          <w:i/>
          <w:iCs/>
        </w:rPr>
      </w:pPr>
      <w:r>
        <w:rPr>
          <w:b/>
          <w:i/>
        </w:rPr>
        <w:t>Informations</w:t>
      </w:r>
    </w:p>
    <w:p w14:paraId="06ED6659" w14:textId="77777777" w:rsidR="00B418E0" w:rsidRDefault="00B418E0" w:rsidP="002275FE"/>
    <w:p w14:paraId="4B3CB228" w14:textId="5C0B1247" w:rsidR="00AD6F75" w:rsidRDefault="00F211EF" w:rsidP="002275FE">
      <w:r>
        <w:t xml:space="preserve">Des informations sur les nouveaux règlements seront publiées sur le site Internet de l’Agence suédoise des produits médicaux. Ces informations comprendront, entre autres, une clarification sur la manière dont seront traités les renouvellements des autorisations de mise sur le marché temporaires de médicaments vétérinaires importés en parallèle et délivrés conformément à la LVFS 2012:19 (directive 2001/82/CE). </w:t>
      </w:r>
    </w:p>
    <w:p w14:paraId="6C26B2EA" w14:textId="77777777" w:rsidR="00AD6F75" w:rsidRDefault="00AD6F75" w:rsidP="002275FE"/>
    <w:p w14:paraId="6BD55763" w14:textId="728B7C26" w:rsidR="001A3154" w:rsidRDefault="00F211EF" w:rsidP="002275FE">
      <w:r>
        <w:lastRenderedPageBreak/>
        <w:t xml:space="preserve">Des orientations seront élaborées par l’Agence suédoise des produits médicaux tant pour les nouveaux règlements sur le commerce parallèle de médicaments vétérinaires que pour les nouveaux règlements sur les médicaments parallèles importés à usage humain. Les documents d'orientation peuvent être lus ensemble, en plus des règlements, lorsque ceux-ci entrent en vigueur et peuvent être utiles pour l'application de ces règlements. </w:t>
      </w:r>
    </w:p>
    <w:p w14:paraId="79B37B6F" w14:textId="77777777" w:rsidR="00991838" w:rsidRPr="00D74521" w:rsidRDefault="00991838" w:rsidP="00D74521">
      <w:pPr>
        <w:rPr>
          <w:color w:val="00B050"/>
        </w:rPr>
      </w:pPr>
    </w:p>
    <w:p w14:paraId="6755A076" w14:textId="40D8CDD9" w:rsidR="00AD09D8" w:rsidRPr="00F60697" w:rsidRDefault="00AD09D8" w:rsidP="00AD09D8">
      <w:pPr>
        <w:pStyle w:val="Numreradrubrik1"/>
      </w:pPr>
      <w:r>
        <w:t>Effets significatifs pour les entreprises</w:t>
      </w:r>
    </w:p>
    <w:p w14:paraId="64FA6D6B" w14:textId="77777777" w:rsidR="00F85B58" w:rsidRDefault="00F85B58" w:rsidP="008656FD"/>
    <w:p w14:paraId="53C3C09F" w14:textId="6211EE93" w:rsidR="008656FD" w:rsidRPr="00F60697" w:rsidRDefault="00F60697" w:rsidP="008656FD">
      <w:r>
        <w:t xml:space="preserve">Comme énoncé plus haut à l'article 5, les règles ne sont pas considérées comme </w:t>
      </w:r>
      <w:proofErr w:type="gramStart"/>
      <w:r>
        <w:t>ayant</w:t>
      </w:r>
      <w:proofErr w:type="gramEnd"/>
      <w:r>
        <w:t xml:space="preserve"> des conséquences importantes pour les entreprises ou seulement des conséquences d'importance mineure. Dans ce contexte, les modifications proposées au règlement ne sont pas considérées comme ayant des effets aussi importants pour les conditions de travail, la compétitivité ou d’autres conditions de l’entreprise, comme indiqué à la Section 7 de l’Ordonnance (2007:1244) sur les études d’impact de la réglementation. L’analyse d’impact ne contient donc aucune description conformément à cette disposition.  </w:t>
      </w:r>
    </w:p>
    <w:p w14:paraId="3C7347F4" w14:textId="77777777" w:rsidR="00180A5F" w:rsidRPr="00180A5F" w:rsidRDefault="00180A5F" w:rsidP="00180A5F"/>
    <w:p w14:paraId="40DFF0F6" w14:textId="1FD696E9" w:rsidR="00AD09D8" w:rsidRDefault="00AD09D8" w:rsidP="00AD09D8">
      <w:pPr>
        <w:pStyle w:val="Numreradrubrik1"/>
      </w:pPr>
      <w:r>
        <w:t>Incidence sur les municipalités, les régions ou changements dans les pouvoirs et obligations des municipalités</w:t>
      </w:r>
    </w:p>
    <w:p w14:paraId="3F784231" w14:textId="77777777" w:rsidR="00F85B58" w:rsidRDefault="00F85B58" w:rsidP="00AD09D8"/>
    <w:p w14:paraId="317CCBFD" w14:textId="51FB4274" w:rsidR="00AD09D8" w:rsidRDefault="007656AE" w:rsidP="00AD09D8">
      <w:r>
        <w:t>Les modifications du règlement ne sont pas considérées comme ayant de tels effets ou changements pour les municipalités ou les régions visées à la Section 8 de l’Ordonnance sur les études d’impact de la réglementation.</w:t>
      </w:r>
    </w:p>
    <w:p w14:paraId="2F314BA3" w14:textId="77777777" w:rsidR="002E485C" w:rsidRDefault="002E485C" w:rsidP="00AD09D8"/>
    <w:p w14:paraId="1BAA6AD9" w14:textId="77777777" w:rsidR="00AD09D8" w:rsidRDefault="00AD09D8" w:rsidP="00AD09D8">
      <w:pPr>
        <w:pStyle w:val="Numreradrubrik1"/>
      </w:pPr>
      <w:r>
        <w:t>Contacts</w:t>
      </w:r>
    </w:p>
    <w:p w14:paraId="4A8B5F68" w14:textId="77777777" w:rsidR="00F85B58" w:rsidRDefault="00F85B58" w:rsidP="00C7730E"/>
    <w:p w14:paraId="73D1DAAD" w14:textId="03901BE9" w:rsidR="00C7730E" w:rsidRDefault="00563F38" w:rsidP="00C7730E">
      <w:r>
        <w:t xml:space="preserve">Les personnes-ressources suivantes peuvent être contactées au numéro de téléphone +46 (0) 18-17 46 00 et à l’adresse électronique </w:t>
      </w:r>
      <w:hyperlink r:id="rId8" w:history="1">
        <w:r>
          <w:rPr>
            <w:rStyle w:val="Hyperlink"/>
          </w:rPr>
          <w:t>registrator@lakemedelsverket.se</w:t>
        </w:r>
      </w:hyperlink>
      <w:r>
        <w:t xml:space="preserve"> </w:t>
      </w:r>
    </w:p>
    <w:p w14:paraId="2AAB3BA9" w14:textId="0B366CFD" w:rsidR="005F3EA1" w:rsidRDefault="005F3EA1" w:rsidP="00C7730E"/>
    <w:p w14:paraId="0EFC4581" w14:textId="026D3904" w:rsidR="005F3EA1" w:rsidRDefault="005F3EA1" w:rsidP="00C7730E">
      <w:r>
        <w:t xml:space="preserve">Anna Norberg </w:t>
      </w:r>
      <w:r>
        <w:tab/>
        <w:t>Département de pharmacie et de biotechnologie</w:t>
      </w:r>
    </w:p>
    <w:p w14:paraId="2B34C05C" w14:textId="33310DFE" w:rsidR="005F3EA1" w:rsidRDefault="005F3EA1" w:rsidP="00C7730E">
      <w:r>
        <w:t>Eva Eriksson</w:t>
      </w:r>
      <w:r>
        <w:tab/>
        <w:t xml:space="preserve"> Unité juridique</w:t>
      </w:r>
    </w:p>
    <w:p w14:paraId="0F487C81" w14:textId="7BF2A44F" w:rsidR="005F3EA1" w:rsidRDefault="005F3EA1" w:rsidP="00C7730E">
      <w:r>
        <w:t>Malin Malmström</w:t>
      </w:r>
      <w:r>
        <w:tab/>
        <w:t xml:space="preserve"> Unité juridique</w:t>
      </w:r>
    </w:p>
    <w:p w14:paraId="212CCD2B" w14:textId="753F1E43" w:rsidR="005F3EA1" w:rsidRDefault="005F3EA1" w:rsidP="00C7730E">
      <w:r>
        <w:t>Josefin Sahlin</w:t>
      </w:r>
      <w:r>
        <w:tab/>
        <w:t xml:space="preserve"> Unité juridique</w:t>
      </w:r>
    </w:p>
    <w:p w14:paraId="571A9E44" w14:textId="77777777" w:rsidR="00285618" w:rsidRDefault="00285618" w:rsidP="00C7730E"/>
    <w:p w14:paraId="4BF37ED3" w14:textId="5FD80799" w:rsidR="005977CE" w:rsidRDefault="005977CE" w:rsidP="005977CE">
      <w:pPr>
        <w:pStyle w:val="Numreradrubrik1"/>
      </w:pPr>
      <w:r>
        <w:t>Annexes</w:t>
      </w:r>
    </w:p>
    <w:p w14:paraId="7DA86B38" w14:textId="77777777" w:rsidR="00F85B58" w:rsidRPr="00F85B58" w:rsidRDefault="00F85B58" w:rsidP="00F85B58">
      <w:pPr>
        <w:rPr>
          <w:lang w:val="en-US"/>
        </w:rPr>
      </w:pPr>
    </w:p>
    <w:p w14:paraId="61CC1105" w14:textId="212BF180" w:rsidR="005977CE" w:rsidRDefault="00F52743" w:rsidP="00F52743">
      <w:pPr>
        <w:pStyle w:val="ListParagraph"/>
        <w:numPr>
          <w:ilvl w:val="0"/>
          <w:numId w:val="22"/>
        </w:numPr>
      </w:pPr>
      <w:r>
        <w:t xml:space="preserve">Proposition de règlement de l’Agence suédoise des produits médicaux (HSLF-FS 2021:xx) relatif au commerce parallèle de médicaments vétérinaires. </w:t>
      </w:r>
    </w:p>
    <w:p w14:paraId="4EFA924F" w14:textId="2DDC7F89" w:rsidR="005F3EA1" w:rsidRPr="005977CE" w:rsidRDefault="00452633" w:rsidP="00F52743">
      <w:pPr>
        <w:pStyle w:val="ListParagraph"/>
        <w:numPr>
          <w:ilvl w:val="0"/>
          <w:numId w:val="22"/>
        </w:numPr>
      </w:pPr>
      <w:r>
        <w:t>Proposition de règlement de l’Agence suédoise des produits médicaux (HSLF-FS 2021:xx) sur les médicaments importés en parallèle à usage humain.</w:t>
      </w:r>
    </w:p>
    <w:sectPr w:rsidR="005F3EA1" w:rsidRPr="005977CE" w:rsidSect="00034727">
      <w:headerReference w:type="default" r:id="rId9"/>
      <w:footerReference w:type="default" r:id="rId10"/>
      <w:footerReference w:type="first" r:id="rId11"/>
      <w:type w:val="continuous"/>
      <w:pgSz w:w="11906" w:h="16838"/>
      <w:pgMar w:top="1417" w:right="1417" w:bottom="1417" w:left="1417" w:header="56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DD09" w14:textId="77777777" w:rsidR="0070073A" w:rsidRDefault="0070073A" w:rsidP="00707125">
      <w:r>
        <w:separator/>
      </w:r>
    </w:p>
  </w:endnote>
  <w:endnote w:type="continuationSeparator" w:id="0">
    <w:p w14:paraId="2F5F3526" w14:textId="77777777" w:rsidR="0070073A" w:rsidRDefault="0070073A" w:rsidP="007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PMincho">
    <w:altName w:val="MS 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527925"/>
      <w:docPartObj>
        <w:docPartGallery w:val="Page Numbers (Bottom of Page)"/>
        <w:docPartUnique/>
      </w:docPartObj>
    </w:sdtPr>
    <w:sdtEndPr/>
    <w:sdtContent>
      <w:p w14:paraId="0959D76D" w14:textId="599E0E68" w:rsidR="003F5B72" w:rsidRDefault="003F5B72">
        <w:pPr>
          <w:pStyle w:val="Footer"/>
          <w:jc w:val="right"/>
        </w:pPr>
        <w:r>
          <w:fldChar w:fldCharType="begin"/>
        </w:r>
        <w:r>
          <w:instrText>PAGE   \* MERGEFORMAT</w:instrText>
        </w:r>
        <w:r>
          <w:fldChar w:fldCharType="separate"/>
        </w:r>
        <w:r>
          <w:t>2</w:t>
        </w:r>
        <w:r>
          <w:fldChar w:fldCharType="end"/>
        </w:r>
      </w:p>
    </w:sdtContent>
  </w:sdt>
  <w:p w14:paraId="12EAA3F9" w14:textId="77777777" w:rsidR="003F5B72" w:rsidRPr="004A6C2B" w:rsidRDefault="003F5B72" w:rsidP="0057578E">
    <w:pPr>
      <w:pStyle w:val="Footer"/>
      <w:tabs>
        <w:tab w:val="right" w:pos="10263"/>
      </w:tabs>
      <w:spacing w:line="220" w:lineRule="exact"/>
      <w:rPr>
        <w:rFonts w:ascii="Arial" w:hAnsi="Arial" w:cs="Arial"/>
        <w:color w:val="595959" w:themeColor="text1" w:themeTint="A6"/>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64476"/>
      <w:docPartObj>
        <w:docPartGallery w:val="Page Numbers (Bottom of Page)"/>
        <w:docPartUnique/>
      </w:docPartObj>
    </w:sdtPr>
    <w:sdtEndPr/>
    <w:sdtContent>
      <w:p w14:paraId="1D4C6953" w14:textId="6FA2FE2B" w:rsidR="003F5B72" w:rsidRDefault="003F5B72">
        <w:pPr>
          <w:pStyle w:val="Footer"/>
          <w:jc w:val="right"/>
        </w:pPr>
        <w:r>
          <w:fldChar w:fldCharType="begin"/>
        </w:r>
        <w:r>
          <w:instrText>PAGE   \* MERGEFORMAT</w:instrText>
        </w:r>
        <w:r>
          <w:fldChar w:fldCharType="separate"/>
        </w:r>
        <w:r>
          <w:t>2</w:t>
        </w:r>
        <w:r>
          <w:fldChar w:fldCharType="end"/>
        </w:r>
      </w:p>
    </w:sdtContent>
  </w:sdt>
  <w:p w14:paraId="1E190990" w14:textId="77777777" w:rsidR="003F5B72" w:rsidRPr="00122C62" w:rsidRDefault="003F5B72" w:rsidP="00122C62">
    <w:pPr>
      <w:pStyle w:val="Footer"/>
      <w:tabs>
        <w:tab w:val="right" w:pos="10263"/>
      </w:tabs>
      <w:spacing w:line="220" w:lineRule="exact"/>
      <w:rPr>
        <w:rFonts w:ascii="Arial" w:hAnsi="Arial" w:cs="Arial"/>
        <w:color w:val="595959" w:themeColor="text1" w:themeTint="A6"/>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79E4" w14:textId="77777777" w:rsidR="0070073A" w:rsidRDefault="0070073A" w:rsidP="00707125">
      <w:r>
        <w:separator/>
      </w:r>
    </w:p>
  </w:footnote>
  <w:footnote w:type="continuationSeparator" w:id="0">
    <w:p w14:paraId="1319AE09" w14:textId="77777777" w:rsidR="0070073A" w:rsidRDefault="0070073A" w:rsidP="00707125">
      <w:r>
        <w:continuationSeparator/>
      </w:r>
    </w:p>
  </w:footnote>
  <w:footnote w:id="1">
    <w:p w14:paraId="5377470E" w14:textId="77777777" w:rsidR="003F5B72" w:rsidRPr="00676BEB" w:rsidRDefault="003F5B72" w:rsidP="00140CDB">
      <w:pPr>
        <w:pStyle w:val="FootnoteText"/>
      </w:pPr>
      <w:r>
        <w:rPr>
          <w:rStyle w:val="FootnoteReference"/>
        </w:rPr>
        <w:footnoteRef/>
      </w:r>
      <w:r>
        <w:t xml:space="preserve"> JO L 4 du 7.1.2019, p. 43, Celex 32019R0006.</w:t>
      </w:r>
    </w:p>
  </w:footnote>
  <w:footnote w:id="2">
    <w:p w14:paraId="21EDC01A" w14:textId="77777777" w:rsidR="003F5B72" w:rsidRPr="00BD6C52" w:rsidRDefault="003F5B72" w:rsidP="00140CDB">
      <w:pPr>
        <w:pStyle w:val="FootnoteText"/>
      </w:pPr>
      <w:r>
        <w:rPr>
          <w:rStyle w:val="FootnoteReference"/>
        </w:rPr>
        <w:footnoteRef/>
      </w:r>
      <w:r>
        <w:t xml:space="preserve"> JO L 311 du 28.11.2001, p. 1, Celex 32001L0082.</w:t>
      </w:r>
    </w:p>
  </w:footnote>
  <w:footnote w:id="3">
    <w:p w14:paraId="0DEEAF24" w14:textId="3E829D28" w:rsidR="00504343" w:rsidRPr="00E207D0" w:rsidRDefault="00504343">
      <w:pPr>
        <w:pStyle w:val="FootnoteText"/>
      </w:pPr>
      <w:r>
        <w:rPr>
          <w:rStyle w:val="FootnoteReference"/>
        </w:rPr>
        <w:footnoteRef/>
      </w:r>
      <w:r>
        <w:t xml:space="preserve"> Groupe de coordination pour la reconnaissance mutuelle et les procédures décentralisées – Vétérinaire.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AB97" w14:textId="7F559BFF" w:rsidR="003F5B72" w:rsidRDefault="003F5B72">
    <w:pPr>
      <w:pStyle w:val="Header"/>
    </w:pPr>
    <w:r>
      <w:rPr>
        <w:noProof/>
      </w:rPr>
      <w:drawing>
        <wp:inline distT="0" distB="0" distL="0" distR="0" wp14:anchorId="631F2096" wp14:editId="3C31FCA6">
          <wp:extent cx="2381250" cy="352973"/>
          <wp:effectExtent l="0" t="0" r="0" b="9525"/>
          <wp:docPr id="3" name="Bildobjekt 3" descr="Läkemedel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kemedelsverket.jpg"/>
                  <pic:cNvPicPr/>
                </pic:nvPicPr>
                <pic:blipFill>
                  <a:blip r:embed="rId1">
                    <a:extLst>
                      <a:ext uri="{28A0092B-C50C-407E-A947-70E740481C1C}">
                        <a14:useLocalDpi xmlns:a14="http://schemas.microsoft.com/office/drawing/2010/main" val="0"/>
                      </a:ext>
                    </a:extLst>
                  </a:blip>
                  <a:stretch>
                    <a:fillRect/>
                  </a:stretch>
                </pic:blipFill>
                <pic:spPr>
                  <a:xfrm>
                    <a:off x="0" y="0"/>
                    <a:ext cx="2422230" cy="359047"/>
                  </a:xfrm>
                  <a:prstGeom prst="rect">
                    <a:avLst/>
                  </a:prstGeom>
                </pic:spPr>
              </pic:pic>
            </a:graphicData>
          </a:graphic>
        </wp:inline>
      </w:drawing>
    </w:r>
    <w:r>
      <w:tab/>
      <w:t xml:space="preserve"> </w:t>
    </w:r>
    <w:r w:rsidR="00336ED1">
      <w:tab/>
    </w:r>
    <w:r>
      <w:rPr>
        <w:sz w:val="22"/>
      </w:rPr>
      <w:t>Numéro de référence 3.1.1-2021-052021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B94"/>
    <w:multiLevelType w:val="hybridMultilevel"/>
    <w:tmpl w:val="180846BC"/>
    <w:lvl w:ilvl="0" w:tplc="F15C0C82">
      <w:start w:val="10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7F60F44"/>
    <w:multiLevelType w:val="hybridMultilevel"/>
    <w:tmpl w:val="63565ECC"/>
    <w:lvl w:ilvl="0" w:tplc="6082EEA2">
      <w:start w:val="1"/>
      <w:numFmt w:val="bullet"/>
      <w:lvlText w:val="-"/>
      <w:lvlJc w:val="left"/>
      <w:pPr>
        <w:ind w:left="720" w:hanging="360"/>
      </w:pPr>
      <w:rPr>
        <w:rFonts w:ascii="Times New Roman" w:eastAsiaTheme="minorHAnsi" w:hAnsi="Times New Roman"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81024D"/>
    <w:multiLevelType w:val="hybridMultilevel"/>
    <w:tmpl w:val="05028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535578"/>
    <w:multiLevelType w:val="hybridMultilevel"/>
    <w:tmpl w:val="6CC66B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1147EF"/>
    <w:multiLevelType w:val="hybridMultilevel"/>
    <w:tmpl w:val="C63C7A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492FFA"/>
    <w:multiLevelType w:val="multilevel"/>
    <w:tmpl w:val="DE10B400"/>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1986"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abstractNum w:abstractNumId="6" w15:restartNumberingAfterBreak="0">
    <w:nsid w:val="164F0828"/>
    <w:multiLevelType w:val="hybridMultilevel"/>
    <w:tmpl w:val="DD383B8E"/>
    <w:lvl w:ilvl="0" w:tplc="7CF441C6">
      <w:start w:val="1"/>
      <w:numFmt w:val="decimal"/>
      <w:lvlText w:val="%1."/>
      <w:lvlJc w:val="left"/>
      <w:pPr>
        <w:ind w:left="645" w:hanging="360"/>
      </w:pPr>
      <w:rPr>
        <w:rFonts w:hint="default"/>
      </w:rPr>
    </w:lvl>
    <w:lvl w:ilvl="1" w:tplc="041D0019" w:tentative="1">
      <w:start w:val="1"/>
      <w:numFmt w:val="lowerLetter"/>
      <w:lvlText w:val="%2."/>
      <w:lvlJc w:val="left"/>
      <w:pPr>
        <w:ind w:left="1365" w:hanging="360"/>
      </w:p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abstractNum w:abstractNumId="7" w15:restartNumberingAfterBreak="0">
    <w:nsid w:val="1A7F2C12"/>
    <w:multiLevelType w:val="hybridMultilevel"/>
    <w:tmpl w:val="8B12A7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B62240F"/>
    <w:multiLevelType w:val="hybridMultilevel"/>
    <w:tmpl w:val="D3E237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F30A4A"/>
    <w:multiLevelType w:val="hybridMultilevel"/>
    <w:tmpl w:val="607A91BA"/>
    <w:lvl w:ilvl="0" w:tplc="61FC846A">
      <w:start w:val="102"/>
      <w:numFmt w:val="bullet"/>
      <w:lvlText w:val="-"/>
      <w:lvlJc w:val="left"/>
      <w:pPr>
        <w:ind w:left="1069" w:hanging="360"/>
      </w:pPr>
      <w:rPr>
        <w:rFonts w:ascii="Times New Roman" w:eastAsiaTheme="minorHAnsi"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0" w15:restartNumberingAfterBreak="0">
    <w:nsid w:val="2C7E1CC9"/>
    <w:multiLevelType w:val="hybridMultilevel"/>
    <w:tmpl w:val="93548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C670EC"/>
    <w:multiLevelType w:val="hybridMultilevel"/>
    <w:tmpl w:val="8E0CC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E4173D"/>
    <w:multiLevelType w:val="hybridMultilevel"/>
    <w:tmpl w:val="467C97BE"/>
    <w:lvl w:ilvl="0" w:tplc="6614786C">
      <w:start w:val="1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E9E1B97"/>
    <w:multiLevelType w:val="hybridMultilevel"/>
    <w:tmpl w:val="206AF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D9110D"/>
    <w:multiLevelType w:val="hybridMultilevel"/>
    <w:tmpl w:val="591CFE64"/>
    <w:lvl w:ilvl="0" w:tplc="2140DF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4236AB"/>
    <w:multiLevelType w:val="hybridMultilevel"/>
    <w:tmpl w:val="71A407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B7FF7"/>
    <w:multiLevelType w:val="hybridMultilevel"/>
    <w:tmpl w:val="E098D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4"/>
  </w:num>
  <w:num w:numId="16">
    <w:abstractNumId w:val="2"/>
  </w:num>
  <w:num w:numId="17">
    <w:abstractNumId w:val="6"/>
  </w:num>
  <w:num w:numId="18">
    <w:abstractNumId w:val="14"/>
  </w:num>
  <w:num w:numId="19">
    <w:abstractNumId w:val="10"/>
  </w:num>
  <w:num w:numId="20">
    <w:abstractNumId w:val="8"/>
  </w:num>
  <w:num w:numId="21">
    <w:abstractNumId w:val="1"/>
  </w:num>
  <w:num w:numId="22">
    <w:abstractNumId w:val="11"/>
  </w:num>
  <w:num w:numId="23">
    <w:abstractNumId w:val="15"/>
  </w:num>
  <w:num w:numId="24">
    <w:abstractNumId w:val="12"/>
  </w:num>
  <w:num w:numId="25">
    <w:abstractNumId w:val="0"/>
  </w:num>
  <w:num w:numId="26">
    <w:abstractNumId w:val="9"/>
  </w:num>
  <w:num w:numId="27">
    <w:abstractNumId w:val="3"/>
  </w:num>
  <w:num w:numId="28">
    <w:abstractNumId w:val="7"/>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cumentProtection w:edit="forms" w:enforcement="0"/>
  <w:defaultTabStop w:val="1304"/>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D8"/>
    <w:rsid w:val="00002005"/>
    <w:rsid w:val="000022CE"/>
    <w:rsid w:val="000040C0"/>
    <w:rsid w:val="00004ED6"/>
    <w:rsid w:val="000059C8"/>
    <w:rsid w:val="0000658B"/>
    <w:rsid w:val="00006F05"/>
    <w:rsid w:val="00012A3A"/>
    <w:rsid w:val="00013D79"/>
    <w:rsid w:val="0001431D"/>
    <w:rsid w:val="0001689A"/>
    <w:rsid w:val="00017379"/>
    <w:rsid w:val="00017674"/>
    <w:rsid w:val="0002112D"/>
    <w:rsid w:val="00021A5F"/>
    <w:rsid w:val="00023291"/>
    <w:rsid w:val="000251B3"/>
    <w:rsid w:val="00030F23"/>
    <w:rsid w:val="000310AD"/>
    <w:rsid w:val="000340F8"/>
    <w:rsid w:val="00034727"/>
    <w:rsid w:val="00036312"/>
    <w:rsid w:val="00036A63"/>
    <w:rsid w:val="00037B60"/>
    <w:rsid w:val="000425B9"/>
    <w:rsid w:val="000441D2"/>
    <w:rsid w:val="00045A77"/>
    <w:rsid w:val="00045C83"/>
    <w:rsid w:val="0005162B"/>
    <w:rsid w:val="00051BB6"/>
    <w:rsid w:val="00051DD3"/>
    <w:rsid w:val="00051F52"/>
    <w:rsid w:val="00052800"/>
    <w:rsid w:val="00052BCF"/>
    <w:rsid w:val="00053B3D"/>
    <w:rsid w:val="00053FED"/>
    <w:rsid w:val="00054CFB"/>
    <w:rsid w:val="00056ECB"/>
    <w:rsid w:val="00060361"/>
    <w:rsid w:val="00062448"/>
    <w:rsid w:val="00062CC2"/>
    <w:rsid w:val="00066F1C"/>
    <w:rsid w:val="00074699"/>
    <w:rsid w:val="00075E7A"/>
    <w:rsid w:val="00080FF6"/>
    <w:rsid w:val="00081723"/>
    <w:rsid w:val="00081995"/>
    <w:rsid w:val="0008424D"/>
    <w:rsid w:val="00086355"/>
    <w:rsid w:val="000906EA"/>
    <w:rsid w:val="00090A43"/>
    <w:rsid w:val="00090FB1"/>
    <w:rsid w:val="000967E5"/>
    <w:rsid w:val="0009680A"/>
    <w:rsid w:val="000A0362"/>
    <w:rsid w:val="000A0FBD"/>
    <w:rsid w:val="000A266F"/>
    <w:rsid w:val="000A3747"/>
    <w:rsid w:val="000A3A32"/>
    <w:rsid w:val="000B319E"/>
    <w:rsid w:val="000B3861"/>
    <w:rsid w:val="000B3872"/>
    <w:rsid w:val="000B3F67"/>
    <w:rsid w:val="000B4450"/>
    <w:rsid w:val="000B52CD"/>
    <w:rsid w:val="000B577E"/>
    <w:rsid w:val="000C3DC9"/>
    <w:rsid w:val="000C6540"/>
    <w:rsid w:val="000D187F"/>
    <w:rsid w:val="000D2567"/>
    <w:rsid w:val="000D2962"/>
    <w:rsid w:val="000D4DF0"/>
    <w:rsid w:val="000D600A"/>
    <w:rsid w:val="000D63C9"/>
    <w:rsid w:val="000D78AE"/>
    <w:rsid w:val="000D7B68"/>
    <w:rsid w:val="000E1F4F"/>
    <w:rsid w:val="000E2EAB"/>
    <w:rsid w:val="000E3EA3"/>
    <w:rsid w:val="000E51B3"/>
    <w:rsid w:val="000E5A01"/>
    <w:rsid w:val="000F0311"/>
    <w:rsid w:val="000F2A15"/>
    <w:rsid w:val="000F2A28"/>
    <w:rsid w:val="000F2F8E"/>
    <w:rsid w:val="000F759E"/>
    <w:rsid w:val="00100DA9"/>
    <w:rsid w:val="00100DE0"/>
    <w:rsid w:val="001016D3"/>
    <w:rsid w:val="00103818"/>
    <w:rsid w:val="00103C83"/>
    <w:rsid w:val="00103F8E"/>
    <w:rsid w:val="00110390"/>
    <w:rsid w:val="001103D8"/>
    <w:rsid w:val="0011072C"/>
    <w:rsid w:val="0011117F"/>
    <w:rsid w:val="0011377A"/>
    <w:rsid w:val="001152D4"/>
    <w:rsid w:val="00117E32"/>
    <w:rsid w:val="001215C1"/>
    <w:rsid w:val="001228EA"/>
    <w:rsid w:val="00122C62"/>
    <w:rsid w:val="00123606"/>
    <w:rsid w:val="00127D7C"/>
    <w:rsid w:val="00127F3F"/>
    <w:rsid w:val="001318FF"/>
    <w:rsid w:val="00131DDA"/>
    <w:rsid w:val="001330A3"/>
    <w:rsid w:val="001350ED"/>
    <w:rsid w:val="00140CDB"/>
    <w:rsid w:val="00142F51"/>
    <w:rsid w:val="0014682F"/>
    <w:rsid w:val="00146ACD"/>
    <w:rsid w:val="001471F2"/>
    <w:rsid w:val="0015028D"/>
    <w:rsid w:val="001535E7"/>
    <w:rsid w:val="00153C74"/>
    <w:rsid w:val="001543B3"/>
    <w:rsid w:val="001574F7"/>
    <w:rsid w:val="00157A90"/>
    <w:rsid w:val="00160D9F"/>
    <w:rsid w:val="00161451"/>
    <w:rsid w:val="00161A00"/>
    <w:rsid w:val="00161BCA"/>
    <w:rsid w:val="001650D9"/>
    <w:rsid w:val="00170382"/>
    <w:rsid w:val="00173021"/>
    <w:rsid w:val="00173304"/>
    <w:rsid w:val="00174F30"/>
    <w:rsid w:val="001755C0"/>
    <w:rsid w:val="00177E43"/>
    <w:rsid w:val="00180A5F"/>
    <w:rsid w:val="00180F7F"/>
    <w:rsid w:val="00183497"/>
    <w:rsid w:val="0018393E"/>
    <w:rsid w:val="00183C39"/>
    <w:rsid w:val="001903F3"/>
    <w:rsid w:val="001944B0"/>
    <w:rsid w:val="00194A6E"/>
    <w:rsid w:val="00197A0F"/>
    <w:rsid w:val="001A052D"/>
    <w:rsid w:val="001A0788"/>
    <w:rsid w:val="001A0DF2"/>
    <w:rsid w:val="001A2856"/>
    <w:rsid w:val="001A3154"/>
    <w:rsid w:val="001A32FF"/>
    <w:rsid w:val="001A4DE0"/>
    <w:rsid w:val="001A69CE"/>
    <w:rsid w:val="001B085F"/>
    <w:rsid w:val="001B4763"/>
    <w:rsid w:val="001B48F5"/>
    <w:rsid w:val="001B5227"/>
    <w:rsid w:val="001C0381"/>
    <w:rsid w:val="001C0D10"/>
    <w:rsid w:val="001C1AA3"/>
    <w:rsid w:val="001C293B"/>
    <w:rsid w:val="001C6364"/>
    <w:rsid w:val="001D0103"/>
    <w:rsid w:val="001D14F1"/>
    <w:rsid w:val="001D2A35"/>
    <w:rsid w:val="001D4884"/>
    <w:rsid w:val="001D4FBE"/>
    <w:rsid w:val="001D5270"/>
    <w:rsid w:val="001D70AF"/>
    <w:rsid w:val="001D7C42"/>
    <w:rsid w:val="001E044E"/>
    <w:rsid w:val="001E0536"/>
    <w:rsid w:val="001E40F6"/>
    <w:rsid w:val="001E4B4E"/>
    <w:rsid w:val="001E5605"/>
    <w:rsid w:val="001E75A2"/>
    <w:rsid w:val="001F0AFE"/>
    <w:rsid w:val="001F7E05"/>
    <w:rsid w:val="002018E2"/>
    <w:rsid w:val="002022A5"/>
    <w:rsid w:val="00202DC6"/>
    <w:rsid w:val="00203166"/>
    <w:rsid w:val="002051A4"/>
    <w:rsid w:val="00211292"/>
    <w:rsid w:val="00214ECA"/>
    <w:rsid w:val="00226407"/>
    <w:rsid w:val="00227070"/>
    <w:rsid w:val="002275FE"/>
    <w:rsid w:val="00231119"/>
    <w:rsid w:val="002326C9"/>
    <w:rsid w:val="00235EDC"/>
    <w:rsid w:val="00237EFB"/>
    <w:rsid w:val="00244235"/>
    <w:rsid w:val="00245529"/>
    <w:rsid w:val="00252E19"/>
    <w:rsid w:val="0025509E"/>
    <w:rsid w:val="0025626A"/>
    <w:rsid w:val="00257B2D"/>
    <w:rsid w:val="002605E6"/>
    <w:rsid w:val="00260645"/>
    <w:rsid w:val="00260C4C"/>
    <w:rsid w:val="0026218C"/>
    <w:rsid w:val="002624AB"/>
    <w:rsid w:val="00266DD4"/>
    <w:rsid w:val="00267470"/>
    <w:rsid w:val="00271FB8"/>
    <w:rsid w:val="002743CC"/>
    <w:rsid w:val="0028041C"/>
    <w:rsid w:val="00280D41"/>
    <w:rsid w:val="00281F4F"/>
    <w:rsid w:val="00283C89"/>
    <w:rsid w:val="00285618"/>
    <w:rsid w:val="00285D99"/>
    <w:rsid w:val="00290AB5"/>
    <w:rsid w:val="002938C9"/>
    <w:rsid w:val="00293F80"/>
    <w:rsid w:val="0029434F"/>
    <w:rsid w:val="00294383"/>
    <w:rsid w:val="00295299"/>
    <w:rsid w:val="00296141"/>
    <w:rsid w:val="002A0E68"/>
    <w:rsid w:val="002A2A74"/>
    <w:rsid w:val="002A3DF6"/>
    <w:rsid w:val="002A4D88"/>
    <w:rsid w:val="002A6F29"/>
    <w:rsid w:val="002A7584"/>
    <w:rsid w:val="002A7B29"/>
    <w:rsid w:val="002B03B8"/>
    <w:rsid w:val="002B286A"/>
    <w:rsid w:val="002B28F4"/>
    <w:rsid w:val="002B3C8C"/>
    <w:rsid w:val="002B51FF"/>
    <w:rsid w:val="002B52C6"/>
    <w:rsid w:val="002B5A59"/>
    <w:rsid w:val="002C0C1F"/>
    <w:rsid w:val="002C0D5E"/>
    <w:rsid w:val="002C169D"/>
    <w:rsid w:val="002C5070"/>
    <w:rsid w:val="002C5247"/>
    <w:rsid w:val="002C5B8B"/>
    <w:rsid w:val="002C5F05"/>
    <w:rsid w:val="002C6959"/>
    <w:rsid w:val="002D1298"/>
    <w:rsid w:val="002D228E"/>
    <w:rsid w:val="002D2DF2"/>
    <w:rsid w:val="002D33B5"/>
    <w:rsid w:val="002D55AC"/>
    <w:rsid w:val="002D5894"/>
    <w:rsid w:val="002E123F"/>
    <w:rsid w:val="002E1F78"/>
    <w:rsid w:val="002E485C"/>
    <w:rsid w:val="002E4B86"/>
    <w:rsid w:val="002E4CAF"/>
    <w:rsid w:val="002E5A15"/>
    <w:rsid w:val="002E5D9F"/>
    <w:rsid w:val="002E62C3"/>
    <w:rsid w:val="002E67EB"/>
    <w:rsid w:val="002F0B45"/>
    <w:rsid w:val="002F2087"/>
    <w:rsid w:val="002F339E"/>
    <w:rsid w:val="002F513B"/>
    <w:rsid w:val="002F5F52"/>
    <w:rsid w:val="002F775F"/>
    <w:rsid w:val="00300B23"/>
    <w:rsid w:val="00303F51"/>
    <w:rsid w:val="00304791"/>
    <w:rsid w:val="003102B2"/>
    <w:rsid w:val="003111A9"/>
    <w:rsid w:val="00312279"/>
    <w:rsid w:val="00316D8F"/>
    <w:rsid w:val="00322588"/>
    <w:rsid w:val="00330301"/>
    <w:rsid w:val="00330A13"/>
    <w:rsid w:val="00334EDE"/>
    <w:rsid w:val="00336ED1"/>
    <w:rsid w:val="00337629"/>
    <w:rsid w:val="00344FD0"/>
    <w:rsid w:val="003452D2"/>
    <w:rsid w:val="00347262"/>
    <w:rsid w:val="0034777E"/>
    <w:rsid w:val="003545E4"/>
    <w:rsid w:val="0036004E"/>
    <w:rsid w:val="00360341"/>
    <w:rsid w:val="00361B3D"/>
    <w:rsid w:val="00362768"/>
    <w:rsid w:val="00363C9B"/>
    <w:rsid w:val="00364605"/>
    <w:rsid w:val="00366207"/>
    <w:rsid w:val="003707E4"/>
    <w:rsid w:val="00371180"/>
    <w:rsid w:val="00375C65"/>
    <w:rsid w:val="003770F5"/>
    <w:rsid w:val="00377582"/>
    <w:rsid w:val="003818AA"/>
    <w:rsid w:val="003867F2"/>
    <w:rsid w:val="0038753C"/>
    <w:rsid w:val="003878C4"/>
    <w:rsid w:val="0039230E"/>
    <w:rsid w:val="0039503F"/>
    <w:rsid w:val="003973C1"/>
    <w:rsid w:val="003A1E0A"/>
    <w:rsid w:val="003A2378"/>
    <w:rsid w:val="003B3290"/>
    <w:rsid w:val="003B3F13"/>
    <w:rsid w:val="003B3FA3"/>
    <w:rsid w:val="003B7978"/>
    <w:rsid w:val="003C12E6"/>
    <w:rsid w:val="003C5F28"/>
    <w:rsid w:val="003C73C8"/>
    <w:rsid w:val="003C7B03"/>
    <w:rsid w:val="003D0E7A"/>
    <w:rsid w:val="003D1C4D"/>
    <w:rsid w:val="003E0A7F"/>
    <w:rsid w:val="003E1380"/>
    <w:rsid w:val="003E393A"/>
    <w:rsid w:val="003E4411"/>
    <w:rsid w:val="003F0511"/>
    <w:rsid w:val="003F0AE6"/>
    <w:rsid w:val="003F0EDD"/>
    <w:rsid w:val="003F1A36"/>
    <w:rsid w:val="003F3C52"/>
    <w:rsid w:val="003F5298"/>
    <w:rsid w:val="003F5B72"/>
    <w:rsid w:val="003F6051"/>
    <w:rsid w:val="003F6F56"/>
    <w:rsid w:val="00401D7E"/>
    <w:rsid w:val="00406084"/>
    <w:rsid w:val="004114C6"/>
    <w:rsid w:val="00411E15"/>
    <w:rsid w:val="004123AA"/>
    <w:rsid w:val="0041484C"/>
    <w:rsid w:val="00417798"/>
    <w:rsid w:val="00417D8C"/>
    <w:rsid w:val="004201DC"/>
    <w:rsid w:val="00422952"/>
    <w:rsid w:val="00422D2E"/>
    <w:rsid w:val="00424A12"/>
    <w:rsid w:val="004270AC"/>
    <w:rsid w:val="00430272"/>
    <w:rsid w:val="00432276"/>
    <w:rsid w:val="00435F75"/>
    <w:rsid w:val="004425AE"/>
    <w:rsid w:val="004447C9"/>
    <w:rsid w:val="00446F59"/>
    <w:rsid w:val="00446FD5"/>
    <w:rsid w:val="00447CC2"/>
    <w:rsid w:val="004502F5"/>
    <w:rsid w:val="00450338"/>
    <w:rsid w:val="00450BCF"/>
    <w:rsid w:val="00452569"/>
    <w:rsid w:val="00452633"/>
    <w:rsid w:val="004548A8"/>
    <w:rsid w:val="00454F14"/>
    <w:rsid w:val="00457125"/>
    <w:rsid w:val="00457435"/>
    <w:rsid w:val="00457BFE"/>
    <w:rsid w:val="00460DE2"/>
    <w:rsid w:val="00462B2D"/>
    <w:rsid w:val="00466B8C"/>
    <w:rsid w:val="004724DB"/>
    <w:rsid w:val="004739DA"/>
    <w:rsid w:val="00474974"/>
    <w:rsid w:val="00474DD0"/>
    <w:rsid w:val="004760D2"/>
    <w:rsid w:val="00477F40"/>
    <w:rsid w:val="00481418"/>
    <w:rsid w:val="00481862"/>
    <w:rsid w:val="00482814"/>
    <w:rsid w:val="00483B96"/>
    <w:rsid w:val="00490E73"/>
    <w:rsid w:val="004948D8"/>
    <w:rsid w:val="00494E76"/>
    <w:rsid w:val="004957DD"/>
    <w:rsid w:val="0049617C"/>
    <w:rsid w:val="00496475"/>
    <w:rsid w:val="00496C10"/>
    <w:rsid w:val="004A02E9"/>
    <w:rsid w:val="004A0BC0"/>
    <w:rsid w:val="004A1FC1"/>
    <w:rsid w:val="004A3D90"/>
    <w:rsid w:val="004A4483"/>
    <w:rsid w:val="004A5551"/>
    <w:rsid w:val="004A6C2B"/>
    <w:rsid w:val="004B0AB1"/>
    <w:rsid w:val="004B1AEF"/>
    <w:rsid w:val="004B1BF8"/>
    <w:rsid w:val="004B2850"/>
    <w:rsid w:val="004B2FAB"/>
    <w:rsid w:val="004B444C"/>
    <w:rsid w:val="004B50CB"/>
    <w:rsid w:val="004B5DE7"/>
    <w:rsid w:val="004B691A"/>
    <w:rsid w:val="004B6BCC"/>
    <w:rsid w:val="004B7552"/>
    <w:rsid w:val="004C164E"/>
    <w:rsid w:val="004C25B6"/>
    <w:rsid w:val="004C2BD5"/>
    <w:rsid w:val="004C3B14"/>
    <w:rsid w:val="004C3BC5"/>
    <w:rsid w:val="004C462F"/>
    <w:rsid w:val="004C547A"/>
    <w:rsid w:val="004C5FE3"/>
    <w:rsid w:val="004C601A"/>
    <w:rsid w:val="004C62A1"/>
    <w:rsid w:val="004C777E"/>
    <w:rsid w:val="004D26EA"/>
    <w:rsid w:val="004D3AC0"/>
    <w:rsid w:val="004D54E5"/>
    <w:rsid w:val="004E0104"/>
    <w:rsid w:val="004E1B19"/>
    <w:rsid w:val="004E2BE8"/>
    <w:rsid w:val="004E3AD5"/>
    <w:rsid w:val="004E44B3"/>
    <w:rsid w:val="004E5202"/>
    <w:rsid w:val="004F4AA6"/>
    <w:rsid w:val="004F6F39"/>
    <w:rsid w:val="004F757E"/>
    <w:rsid w:val="004F7E67"/>
    <w:rsid w:val="00500EFC"/>
    <w:rsid w:val="00502016"/>
    <w:rsid w:val="00502B2F"/>
    <w:rsid w:val="00502C85"/>
    <w:rsid w:val="00504343"/>
    <w:rsid w:val="0050579F"/>
    <w:rsid w:val="0050716C"/>
    <w:rsid w:val="0051223E"/>
    <w:rsid w:val="00513E2F"/>
    <w:rsid w:val="005159E7"/>
    <w:rsid w:val="00515EAE"/>
    <w:rsid w:val="00515FFC"/>
    <w:rsid w:val="00516318"/>
    <w:rsid w:val="005202CA"/>
    <w:rsid w:val="00522079"/>
    <w:rsid w:val="005224CE"/>
    <w:rsid w:val="005225E3"/>
    <w:rsid w:val="005257E1"/>
    <w:rsid w:val="00525D2E"/>
    <w:rsid w:val="0052776D"/>
    <w:rsid w:val="00531427"/>
    <w:rsid w:val="005321B4"/>
    <w:rsid w:val="00533E1F"/>
    <w:rsid w:val="005342A9"/>
    <w:rsid w:val="005364A2"/>
    <w:rsid w:val="005424A1"/>
    <w:rsid w:val="005437CD"/>
    <w:rsid w:val="00546A4D"/>
    <w:rsid w:val="00546C46"/>
    <w:rsid w:val="005528E8"/>
    <w:rsid w:val="00552B9C"/>
    <w:rsid w:val="00552E33"/>
    <w:rsid w:val="005534E1"/>
    <w:rsid w:val="00553B97"/>
    <w:rsid w:val="005540DD"/>
    <w:rsid w:val="005541FB"/>
    <w:rsid w:val="00555976"/>
    <w:rsid w:val="0055615F"/>
    <w:rsid w:val="00563F38"/>
    <w:rsid w:val="0056480D"/>
    <w:rsid w:val="0057578E"/>
    <w:rsid w:val="0058131D"/>
    <w:rsid w:val="00582B01"/>
    <w:rsid w:val="0058308F"/>
    <w:rsid w:val="00584AD4"/>
    <w:rsid w:val="0058682C"/>
    <w:rsid w:val="0059183D"/>
    <w:rsid w:val="00591C55"/>
    <w:rsid w:val="00592708"/>
    <w:rsid w:val="005936A3"/>
    <w:rsid w:val="005959AD"/>
    <w:rsid w:val="005977CE"/>
    <w:rsid w:val="005A154B"/>
    <w:rsid w:val="005A1FC3"/>
    <w:rsid w:val="005A3C13"/>
    <w:rsid w:val="005A3E6A"/>
    <w:rsid w:val="005A6F63"/>
    <w:rsid w:val="005A7D22"/>
    <w:rsid w:val="005B272E"/>
    <w:rsid w:val="005B3805"/>
    <w:rsid w:val="005B65F8"/>
    <w:rsid w:val="005B72A5"/>
    <w:rsid w:val="005B7BD4"/>
    <w:rsid w:val="005C2C1F"/>
    <w:rsid w:val="005C2CF2"/>
    <w:rsid w:val="005C44E4"/>
    <w:rsid w:val="005C56FF"/>
    <w:rsid w:val="005D1057"/>
    <w:rsid w:val="005D308F"/>
    <w:rsid w:val="005D41F6"/>
    <w:rsid w:val="005D5675"/>
    <w:rsid w:val="005D5ADE"/>
    <w:rsid w:val="005D5DD1"/>
    <w:rsid w:val="005D781E"/>
    <w:rsid w:val="005E10EB"/>
    <w:rsid w:val="005E1A59"/>
    <w:rsid w:val="005E2DFA"/>
    <w:rsid w:val="005E3795"/>
    <w:rsid w:val="005E3FA5"/>
    <w:rsid w:val="005E4A31"/>
    <w:rsid w:val="005E4A96"/>
    <w:rsid w:val="005E6918"/>
    <w:rsid w:val="005F0046"/>
    <w:rsid w:val="005F0542"/>
    <w:rsid w:val="005F3B5E"/>
    <w:rsid w:val="005F3EA1"/>
    <w:rsid w:val="005F602C"/>
    <w:rsid w:val="005F6339"/>
    <w:rsid w:val="005F6403"/>
    <w:rsid w:val="006008BA"/>
    <w:rsid w:val="00600DE7"/>
    <w:rsid w:val="00601A31"/>
    <w:rsid w:val="00603609"/>
    <w:rsid w:val="00603E56"/>
    <w:rsid w:val="00606357"/>
    <w:rsid w:val="00606CCF"/>
    <w:rsid w:val="006121D6"/>
    <w:rsid w:val="00612B36"/>
    <w:rsid w:val="00612E76"/>
    <w:rsid w:val="00615CCA"/>
    <w:rsid w:val="00616480"/>
    <w:rsid w:val="00617B13"/>
    <w:rsid w:val="006271D5"/>
    <w:rsid w:val="00630103"/>
    <w:rsid w:val="00631CEE"/>
    <w:rsid w:val="00631FA9"/>
    <w:rsid w:val="00631FFF"/>
    <w:rsid w:val="00634F89"/>
    <w:rsid w:val="00637269"/>
    <w:rsid w:val="00637FBE"/>
    <w:rsid w:val="00640E5C"/>
    <w:rsid w:val="006422DA"/>
    <w:rsid w:val="006467E6"/>
    <w:rsid w:val="006473A3"/>
    <w:rsid w:val="0064798B"/>
    <w:rsid w:val="00647C42"/>
    <w:rsid w:val="00650C68"/>
    <w:rsid w:val="00650D61"/>
    <w:rsid w:val="00652704"/>
    <w:rsid w:val="006542A8"/>
    <w:rsid w:val="00654EDF"/>
    <w:rsid w:val="0065721F"/>
    <w:rsid w:val="00657A6E"/>
    <w:rsid w:val="00657D53"/>
    <w:rsid w:val="006603D2"/>
    <w:rsid w:val="00661A7F"/>
    <w:rsid w:val="0066323E"/>
    <w:rsid w:val="00663640"/>
    <w:rsid w:val="00663BDE"/>
    <w:rsid w:val="0066584B"/>
    <w:rsid w:val="00666F08"/>
    <w:rsid w:val="00667107"/>
    <w:rsid w:val="0066719C"/>
    <w:rsid w:val="006733B6"/>
    <w:rsid w:val="006741C2"/>
    <w:rsid w:val="006752AA"/>
    <w:rsid w:val="006766E8"/>
    <w:rsid w:val="00676BEB"/>
    <w:rsid w:val="00677F34"/>
    <w:rsid w:val="00680914"/>
    <w:rsid w:val="00681F49"/>
    <w:rsid w:val="00682F37"/>
    <w:rsid w:val="00683238"/>
    <w:rsid w:val="006841F0"/>
    <w:rsid w:val="00685620"/>
    <w:rsid w:val="00685655"/>
    <w:rsid w:val="006861D5"/>
    <w:rsid w:val="00686764"/>
    <w:rsid w:val="00687B18"/>
    <w:rsid w:val="00690E57"/>
    <w:rsid w:val="0069563A"/>
    <w:rsid w:val="006968EE"/>
    <w:rsid w:val="00696BE5"/>
    <w:rsid w:val="006A14E2"/>
    <w:rsid w:val="006A26ED"/>
    <w:rsid w:val="006A4682"/>
    <w:rsid w:val="006A5C7F"/>
    <w:rsid w:val="006A5D00"/>
    <w:rsid w:val="006A61C2"/>
    <w:rsid w:val="006B2070"/>
    <w:rsid w:val="006B2439"/>
    <w:rsid w:val="006B2AC6"/>
    <w:rsid w:val="006B3AF0"/>
    <w:rsid w:val="006B4C3B"/>
    <w:rsid w:val="006B5BAF"/>
    <w:rsid w:val="006B773C"/>
    <w:rsid w:val="006C0F6E"/>
    <w:rsid w:val="006C1FCD"/>
    <w:rsid w:val="006C326B"/>
    <w:rsid w:val="006C329D"/>
    <w:rsid w:val="006C3349"/>
    <w:rsid w:val="006C5077"/>
    <w:rsid w:val="006C65D5"/>
    <w:rsid w:val="006E04C3"/>
    <w:rsid w:val="006E0C1C"/>
    <w:rsid w:val="006E18BB"/>
    <w:rsid w:val="006E2B51"/>
    <w:rsid w:val="006E402F"/>
    <w:rsid w:val="006E621E"/>
    <w:rsid w:val="006E6367"/>
    <w:rsid w:val="006E7A8C"/>
    <w:rsid w:val="006F07BD"/>
    <w:rsid w:val="006F1578"/>
    <w:rsid w:val="006F2453"/>
    <w:rsid w:val="006F417D"/>
    <w:rsid w:val="006F51C0"/>
    <w:rsid w:val="006F54C1"/>
    <w:rsid w:val="006F5D3D"/>
    <w:rsid w:val="006F6E64"/>
    <w:rsid w:val="006F73C0"/>
    <w:rsid w:val="006F7CE5"/>
    <w:rsid w:val="0070073A"/>
    <w:rsid w:val="007011AF"/>
    <w:rsid w:val="007014F2"/>
    <w:rsid w:val="00704D05"/>
    <w:rsid w:val="007051EF"/>
    <w:rsid w:val="00707125"/>
    <w:rsid w:val="007170AB"/>
    <w:rsid w:val="007219E8"/>
    <w:rsid w:val="0072339F"/>
    <w:rsid w:val="007253CA"/>
    <w:rsid w:val="00726879"/>
    <w:rsid w:val="00732581"/>
    <w:rsid w:val="007344B4"/>
    <w:rsid w:val="007363BB"/>
    <w:rsid w:val="00741D5F"/>
    <w:rsid w:val="00742C4D"/>
    <w:rsid w:val="00742FC9"/>
    <w:rsid w:val="0074353D"/>
    <w:rsid w:val="00743B2C"/>
    <w:rsid w:val="00745A15"/>
    <w:rsid w:val="00745CF9"/>
    <w:rsid w:val="00747774"/>
    <w:rsid w:val="00747E73"/>
    <w:rsid w:val="00750099"/>
    <w:rsid w:val="00751379"/>
    <w:rsid w:val="007524D5"/>
    <w:rsid w:val="00753519"/>
    <w:rsid w:val="00753599"/>
    <w:rsid w:val="0075566F"/>
    <w:rsid w:val="00757B0F"/>
    <w:rsid w:val="00760494"/>
    <w:rsid w:val="00760607"/>
    <w:rsid w:val="00760F2E"/>
    <w:rsid w:val="00761490"/>
    <w:rsid w:val="00762A28"/>
    <w:rsid w:val="00762C0D"/>
    <w:rsid w:val="00762F1D"/>
    <w:rsid w:val="007652CF"/>
    <w:rsid w:val="007656AE"/>
    <w:rsid w:val="00765FAE"/>
    <w:rsid w:val="00766E37"/>
    <w:rsid w:val="007673A7"/>
    <w:rsid w:val="00770004"/>
    <w:rsid w:val="007713C9"/>
    <w:rsid w:val="00771638"/>
    <w:rsid w:val="0077319B"/>
    <w:rsid w:val="00776528"/>
    <w:rsid w:val="007802E3"/>
    <w:rsid w:val="00780E02"/>
    <w:rsid w:val="0078213F"/>
    <w:rsid w:val="007827C4"/>
    <w:rsid w:val="007832FF"/>
    <w:rsid w:val="00786B3E"/>
    <w:rsid w:val="00793416"/>
    <w:rsid w:val="00796D11"/>
    <w:rsid w:val="00796D34"/>
    <w:rsid w:val="007A0F2E"/>
    <w:rsid w:val="007A1BC0"/>
    <w:rsid w:val="007A2DF7"/>
    <w:rsid w:val="007A2F9C"/>
    <w:rsid w:val="007A365A"/>
    <w:rsid w:val="007A4249"/>
    <w:rsid w:val="007A4E62"/>
    <w:rsid w:val="007A7279"/>
    <w:rsid w:val="007B3498"/>
    <w:rsid w:val="007B6FDD"/>
    <w:rsid w:val="007B7518"/>
    <w:rsid w:val="007C05DD"/>
    <w:rsid w:val="007C0DEC"/>
    <w:rsid w:val="007C1356"/>
    <w:rsid w:val="007C4499"/>
    <w:rsid w:val="007C4FA2"/>
    <w:rsid w:val="007C720B"/>
    <w:rsid w:val="007D4DFB"/>
    <w:rsid w:val="007D6447"/>
    <w:rsid w:val="007D66B3"/>
    <w:rsid w:val="007D69B3"/>
    <w:rsid w:val="007D718C"/>
    <w:rsid w:val="007D7A99"/>
    <w:rsid w:val="007E0474"/>
    <w:rsid w:val="007E5AA2"/>
    <w:rsid w:val="007E5E80"/>
    <w:rsid w:val="007F0B4E"/>
    <w:rsid w:val="007F1170"/>
    <w:rsid w:val="007F50BB"/>
    <w:rsid w:val="007F5B54"/>
    <w:rsid w:val="007F63FE"/>
    <w:rsid w:val="007F676E"/>
    <w:rsid w:val="0080013F"/>
    <w:rsid w:val="00803102"/>
    <w:rsid w:val="00806F8A"/>
    <w:rsid w:val="00810175"/>
    <w:rsid w:val="00810FF9"/>
    <w:rsid w:val="00811923"/>
    <w:rsid w:val="0081197F"/>
    <w:rsid w:val="00813BA5"/>
    <w:rsid w:val="00814EB5"/>
    <w:rsid w:val="00815D38"/>
    <w:rsid w:val="00816291"/>
    <w:rsid w:val="00816CE1"/>
    <w:rsid w:val="008175D6"/>
    <w:rsid w:val="00817DB4"/>
    <w:rsid w:val="00822936"/>
    <w:rsid w:val="00822D14"/>
    <w:rsid w:val="00824F8C"/>
    <w:rsid w:val="0082618A"/>
    <w:rsid w:val="00826B29"/>
    <w:rsid w:val="00831042"/>
    <w:rsid w:val="00831571"/>
    <w:rsid w:val="008347C5"/>
    <w:rsid w:val="00834CD8"/>
    <w:rsid w:val="0083682B"/>
    <w:rsid w:val="008400CF"/>
    <w:rsid w:val="0084037B"/>
    <w:rsid w:val="008404D9"/>
    <w:rsid w:val="00840C1B"/>
    <w:rsid w:val="00840FBE"/>
    <w:rsid w:val="008506E7"/>
    <w:rsid w:val="008515A6"/>
    <w:rsid w:val="00852BFD"/>
    <w:rsid w:val="008532C6"/>
    <w:rsid w:val="00853CF4"/>
    <w:rsid w:val="008542F0"/>
    <w:rsid w:val="00857C3F"/>
    <w:rsid w:val="00860650"/>
    <w:rsid w:val="008606AD"/>
    <w:rsid w:val="00860CEC"/>
    <w:rsid w:val="00861A1A"/>
    <w:rsid w:val="00862B31"/>
    <w:rsid w:val="00865212"/>
    <w:rsid w:val="008656FD"/>
    <w:rsid w:val="0086630F"/>
    <w:rsid w:val="00866657"/>
    <w:rsid w:val="00866E1E"/>
    <w:rsid w:val="00867EEB"/>
    <w:rsid w:val="0087071C"/>
    <w:rsid w:val="00872F33"/>
    <w:rsid w:val="00873726"/>
    <w:rsid w:val="00873969"/>
    <w:rsid w:val="00881027"/>
    <w:rsid w:val="008824DB"/>
    <w:rsid w:val="00882C3C"/>
    <w:rsid w:val="008834C9"/>
    <w:rsid w:val="00886C1B"/>
    <w:rsid w:val="0088704F"/>
    <w:rsid w:val="00887A37"/>
    <w:rsid w:val="0089122C"/>
    <w:rsid w:val="008927F8"/>
    <w:rsid w:val="00895403"/>
    <w:rsid w:val="00897481"/>
    <w:rsid w:val="00897FEA"/>
    <w:rsid w:val="008A21D7"/>
    <w:rsid w:val="008A3210"/>
    <w:rsid w:val="008A6BA0"/>
    <w:rsid w:val="008A7D56"/>
    <w:rsid w:val="008B2562"/>
    <w:rsid w:val="008B27D5"/>
    <w:rsid w:val="008B2A66"/>
    <w:rsid w:val="008B2EB1"/>
    <w:rsid w:val="008B3C93"/>
    <w:rsid w:val="008B505D"/>
    <w:rsid w:val="008C04F1"/>
    <w:rsid w:val="008C4493"/>
    <w:rsid w:val="008C76D0"/>
    <w:rsid w:val="008D20E8"/>
    <w:rsid w:val="008D458B"/>
    <w:rsid w:val="008D4DBC"/>
    <w:rsid w:val="008D56F3"/>
    <w:rsid w:val="008D6782"/>
    <w:rsid w:val="008D7B7C"/>
    <w:rsid w:val="008E1B52"/>
    <w:rsid w:val="008E3B18"/>
    <w:rsid w:val="008E4AF4"/>
    <w:rsid w:val="008E7564"/>
    <w:rsid w:val="008E7704"/>
    <w:rsid w:val="008F19B8"/>
    <w:rsid w:val="008F1BE6"/>
    <w:rsid w:val="009015D1"/>
    <w:rsid w:val="009044C7"/>
    <w:rsid w:val="00910177"/>
    <w:rsid w:val="009104DF"/>
    <w:rsid w:val="009117AD"/>
    <w:rsid w:val="00914224"/>
    <w:rsid w:val="00914EC1"/>
    <w:rsid w:val="0091553F"/>
    <w:rsid w:val="00916DC3"/>
    <w:rsid w:val="00921CA6"/>
    <w:rsid w:val="00921E3F"/>
    <w:rsid w:val="0092384B"/>
    <w:rsid w:val="00923E15"/>
    <w:rsid w:val="00923FEC"/>
    <w:rsid w:val="009246F6"/>
    <w:rsid w:val="00926DA9"/>
    <w:rsid w:val="00926DEC"/>
    <w:rsid w:val="00935AE3"/>
    <w:rsid w:val="00937694"/>
    <w:rsid w:val="00940230"/>
    <w:rsid w:val="009413EA"/>
    <w:rsid w:val="0094196D"/>
    <w:rsid w:val="00942218"/>
    <w:rsid w:val="009442E7"/>
    <w:rsid w:val="00946A16"/>
    <w:rsid w:val="0096073C"/>
    <w:rsid w:val="00961A57"/>
    <w:rsid w:val="00964147"/>
    <w:rsid w:val="00964A94"/>
    <w:rsid w:val="009652DE"/>
    <w:rsid w:val="00967B5B"/>
    <w:rsid w:val="0097003D"/>
    <w:rsid w:val="00970C02"/>
    <w:rsid w:val="00971CE6"/>
    <w:rsid w:val="00975164"/>
    <w:rsid w:val="009774BD"/>
    <w:rsid w:val="009818CB"/>
    <w:rsid w:val="00983625"/>
    <w:rsid w:val="009839F6"/>
    <w:rsid w:val="0098530A"/>
    <w:rsid w:val="00985A4E"/>
    <w:rsid w:val="00986B3A"/>
    <w:rsid w:val="00986D5C"/>
    <w:rsid w:val="009913DA"/>
    <w:rsid w:val="00991838"/>
    <w:rsid w:val="00993237"/>
    <w:rsid w:val="00995D3E"/>
    <w:rsid w:val="009B1EE0"/>
    <w:rsid w:val="009B2821"/>
    <w:rsid w:val="009B40D1"/>
    <w:rsid w:val="009B4A04"/>
    <w:rsid w:val="009B5772"/>
    <w:rsid w:val="009B5E5B"/>
    <w:rsid w:val="009C2CE1"/>
    <w:rsid w:val="009C55BF"/>
    <w:rsid w:val="009C5719"/>
    <w:rsid w:val="009C691C"/>
    <w:rsid w:val="009D0572"/>
    <w:rsid w:val="009D14AA"/>
    <w:rsid w:val="009D160F"/>
    <w:rsid w:val="009D2469"/>
    <w:rsid w:val="009E15D7"/>
    <w:rsid w:val="009E367E"/>
    <w:rsid w:val="009E41AC"/>
    <w:rsid w:val="009E6F94"/>
    <w:rsid w:val="009F0704"/>
    <w:rsid w:val="009F38C2"/>
    <w:rsid w:val="009F44EC"/>
    <w:rsid w:val="009F4872"/>
    <w:rsid w:val="009F5167"/>
    <w:rsid w:val="009F7319"/>
    <w:rsid w:val="009F7ACF"/>
    <w:rsid w:val="009F7B89"/>
    <w:rsid w:val="00A004A0"/>
    <w:rsid w:val="00A0241E"/>
    <w:rsid w:val="00A03E97"/>
    <w:rsid w:val="00A0491A"/>
    <w:rsid w:val="00A07C1E"/>
    <w:rsid w:val="00A129FA"/>
    <w:rsid w:val="00A15EDD"/>
    <w:rsid w:val="00A171A1"/>
    <w:rsid w:val="00A20E3F"/>
    <w:rsid w:val="00A23BC7"/>
    <w:rsid w:val="00A23EE5"/>
    <w:rsid w:val="00A25EDE"/>
    <w:rsid w:val="00A27655"/>
    <w:rsid w:val="00A4193D"/>
    <w:rsid w:val="00A41FA2"/>
    <w:rsid w:val="00A43FE6"/>
    <w:rsid w:val="00A559B4"/>
    <w:rsid w:val="00A62B29"/>
    <w:rsid w:val="00A62CC5"/>
    <w:rsid w:val="00A63D67"/>
    <w:rsid w:val="00A66A48"/>
    <w:rsid w:val="00A67177"/>
    <w:rsid w:val="00A70DF6"/>
    <w:rsid w:val="00A72047"/>
    <w:rsid w:val="00A721EA"/>
    <w:rsid w:val="00A75C8A"/>
    <w:rsid w:val="00A81209"/>
    <w:rsid w:val="00A81894"/>
    <w:rsid w:val="00A81E94"/>
    <w:rsid w:val="00A82A20"/>
    <w:rsid w:val="00A82E4C"/>
    <w:rsid w:val="00A848A8"/>
    <w:rsid w:val="00A84C09"/>
    <w:rsid w:val="00A87370"/>
    <w:rsid w:val="00A92AE6"/>
    <w:rsid w:val="00A92CC0"/>
    <w:rsid w:val="00A938F2"/>
    <w:rsid w:val="00A94A68"/>
    <w:rsid w:val="00A94FFB"/>
    <w:rsid w:val="00A951A1"/>
    <w:rsid w:val="00A95C77"/>
    <w:rsid w:val="00A96CAA"/>
    <w:rsid w:val="00AA104C"/>
    <w:rsid w:val="00AA18BA"/>
    <w:rsid w:val="00AA1A81"/>
    <w:rsid w:val="00AA20B5"/>
    <w:rsid w:val="00AA4324"/>
    <w:rsid w:val="00AA670D"/>
    <w:rsid w:val="00AB237B"/>
    <w:rsid w:val="00AB415D"/>
    <w:rsid w:val="00AB4E91"/>
    <w:rsid w:val="00AC142B"/>
    <w:rsid w:val="00AC242E"/>
    <w:rsid w:val="00AC36D8"/>
    <w:rsid w:val="00AC495B"/>
    <w:rsid w:val="00AC5C46"/>
    <w:rsid w:val="00AD09D8"/>
    <w:rsid w:val="00AD15C1"/>
    <w:rsid w:val="00AD27BC"/>
    <w:rsid w:val="00AD580B"/>
    <w:rsid w:val="00AD5B28"/>
    <w:rsid w:val="00AD5E02"/>
    <w:rsid w:val="00AD6F75"/>
    <w:rsid w:val="00AD7404"/>
    <w:rsid w:val="00AD755F"/>
    <w:rsid w:val="00AE0CBC"/>
    <w:rsid w:val="00AE0E18"/>
    <w:rsid w:val="00AE132D"/>
    <w:rsid w:val="00AE18EB"/>
    <w:rsid w:val="00AE228E"/>
    <w:rsid w:val="00AE3A94"/>
    <w:rsid w:val="00AF0D8F"/>
    <w:rsid w:val="00AF2045"/>
    <w:rsid w:val="00AF46AA"/>
    <w:rsid w:val="00AF549E"/>
    <w:rsid w:val="00AF5BF4"/>
    <w:rsid w:val="00AF6E06"/>
    <w:rsid w:val="00AF7734"/>
    <w:rsid w:val="00B0021E"/>
    <w:rsid w:val="00B00D4D"/>
    <w:rsid w:val="00B01F17"/>
    <w:rsid w:val="00B05560"/>
    <w:rsid w:val="00B05632"/>
    <w:rsid w:val="00B05687"/>
    <w:rsid w:val="00B07077"/>
    <w:rsid w:val="00B12676"/>
    <w:rsid w:val="00B13ABD"/>
    <w:rsid w:val="00B142CB"/>
    <w:rsid w:val="00B15F46"/>
    <w:rsid w:val="00B17447"/>
    <w:rsid w:val="00B17856"/>
    <w:rsid w:val="00B27131"/>
    <w:rsid w:val="00B277D3"/>
    <w:rsid w:val="00B27F53"/>
    <w:rsid w:val="00B3100D"/>
    <w:rsid w:val="00B32C0D"/>
    <w:rsid w:val="00B32C42"/>
    <w:rsid w:val="00B35572"/>
    <w:rsid w:val="00B365FD"/>
    <w:rsid w:val="00B402D9"/>
    <w:rsid w:val="00B418E0"/>
    <w:rsid w:val="00B45ACD"/>
    <w:rsid w:val="00B45B46"/>
    <w:rsid w:val="00B46510"/>
    <w:rsid w:val="00B521B2"/>
    <w:rsid w:val="00B535B9"/>
    <w:rsid w:val="00B55607"/>
    <w:rsid w:val="00B55676"/>
    <w:rsid w:val="00B55D0A"/>
    <w:rsid w:val="00B57F79"/>
    <w:rsid w:val="00B612A1"/>
    <w:rsid w:val="00B61FA5"/>
    <w:rsid w:val="00B629F4"/>
    <w:rsid w:val="00B62A6C"/>
    <w:rsid w:val="00B637F7"/>
    <w:rsid w:val="00B65589"/>
    <w:rsid w:val="00B657CA"/>
    <w:rsid w:val="00B74438"/>
    <w:rsid w:val="00B76A4B"/>
    <w:rsid w:val="00B76BA0"/>
    <w:rsid w:val="00B77384"/>
    <w:rsid w:val="00B8123C"/>
    <w:rsid w:val="00B82B1F"/>
    <w:rsid w:val="00B833E0"/>
    <w:rsid w:val="00B83E52"/>
    <w:rsid w:val="00B900EE"/>
    <w:rsid w:val="00B940DB"/>
    <w:rsid w:val="00B95451"/>
    <w:rsid w:val="00B9656B"/>
    <w:rsid w:val="00B977B0"/>
    <w:rsid w:val="00BA4167"/>
    <w:rsid w:val="00BB0DD2"/>
    <w:rsid w:val="00BB176C"/>
    <w:rsid w:val="00BB3E49"/>
    <w:rsid w:val="00BB3EC9"/>
    <w:rsid w:val="00BB4B97"/>
    <w:rsid w:val="00BC1B74"/>
    <w:rsid w:val="00BC20BF"/>
    <w:rsid w:val="00BC287F"/>
    <w:rsid w:val="00BD047B"/>
    <w:rsid w:val="00BD1D97"/>
    <w:rsid w:val="00BD389F"/>
    <w:rsid w:val="00BD691E"/>
    <w:rsid w:val="00BE0579"/>
    <w:rsid w:val="00BE16FF"/>
    <w:rsid w:val="00BE416F"/>
    <w:rsid w:val="00BE69E6"/>
    <w:rsid w:val="00BF1F63"/>
    <w:rsid w:val="00BF286C"/>
    <w:rsid w:val="00BF67E7"/>
    <w:rsid w:val="00BF6824"/>
    <w:rsid w:val="00C01B97"/>
    <w:rsid w:val="00C04116"/>
    <w:rsid w:val="00C05ABA"/>
    <w:rsid w:val="00C12A0D"/>
    <w:rsid w:val="00C14481"/>
    <w:rsid w:val="00C1661B"/>
    <w:rsid w:val="00C16740"/>
    <w:rsid w:val="00C16A94"/>
    <w:rsid w:val="00C16B89"/>
    <w:rsid w:val="00C171E1"/>
    <w:rsid w:val="00C17209"/>
    <w:rsid w:val="00C177C1"/>
    <w:rsid w:val="00C20F51"/>
    <w:rsid w:val="00C23F16"/>
    <w:rsid w:val="00C2427E"/>
    <w:rsid w:val="00C24E69"/>
    <w:rsid w:val="00C27BB9"/>
    <w:rsid w:val="00C340F7"/>
    <w:rsid w:val="00C345CD"/>
    <w:rsid w:val="00C36F17"/>
    <w:rsid w:val="00C372D7"/>
    <w:rsid w:val="00C418EA"/>
    <w:rsid w:val="00C42067"/>
    <w:rsid w:val="00C43A75"/>
    <w:rsid w:val="00C4529E"/>
    <w:rsid w:val="00C46406"/>
    <w:rsid w:val="00C51195"/>
    <w:rsid w:val="00C51640"/>
    <w:rsid w:val="00C517A1"/>
    <w:rsid w:val="00C55303"/>
    <w:rsid w:val="00C579B5"/>
    <w:rsid w:val="00C6447C"/>
    <w:rsid w:val="00C70ABA"/>
    <w:rsid w:val="00C719D0"/>
    <w:rsid w:val="00C72871"/>
    <w:rsid w:val="00C763E8"/>
    <w:rsid w:val="00C7730E"/>
    <w:rsid w:val="00C80507"/>
    <w:rsid w:val="00C80C6A"/>
    <w:rsid w:val="00C80E62"/>
    <w:rsid w:val="00C820D1"/>
    <w:rsid w:val="00C83E0C"/>
    <w:rsid w:val="00C8701C"/>
    <w:rsid w:val="00C9021F"/>
    <w:rsid w:val="00C9323F"/>
    <w:rsid w:val="00C93FF9"/>
    <w:rsid w:val="00C95228"/>
    <w:rsid w:val="00C95C30"/>
    <w:rsid w:val="00CA2072"/>
    <w:rsid w:val="00CA23C9"/>
    <w:rsid w:val="00CA5956"/>
    <w:rsid w:val="00CA614C"/>
    <w:rsid w:val="00CA7196"/>
    <w:rsid w:val="00CA746A"/>
    <w:rsid w:val="00CB1B77"/>
    <w:rsid w:val="00CB7630"/>
    <w:rsid w:val="00CB79B9"/>
    <w:rsid w:val="00CC00EC"/>
    <w:rsid w:val="00CC2CED"/>
    <w:rsid w:val="00CC3122"/>
    <w:rsid w:val="00CC4470"/>
    <w:rsid w:val="00CC593B"/>
    <w:rsid w:val="00CC5C27"/>
    <w:rsid w:val="00CC5E00"/>
    <w:rsid w:val="00CD0D0E"/>
    <w:rsid w:val="00CD3435"/>
    <w:rsid w:val="00CD4984"/>
    <w:rsid w:val="00CD5314"/>
    <w:rsid w:val="00CD5CEB"/>
    <w:rsid w:val="00CD638B"/>
    <w:rsid w:val="00CE194D"/>
    <w:rsid w:val="00CE1CBC"/>
    <w:rsid w:val="00CE5977"/>
    <w:rsid w:val="00CE645F"/>
    <w:rsid w:val="00CF1E98"/>
    <w:rsid w:val="00CF66F5"/>
    <w:rsid w:val="00CF6ED6"/>
    <w:rsid w:val="00CF7164"/>
    <w:rsid w:val="00CF79D5"/>
    <w:rsid w:val="00D009C7"/>
    <w:rsid w:val="00D01AB9"/>
    <w:rsid w:val="00D0464C"/>
    <w:rsid w:val="00D04B9D"/>
    <w:rsid w:val="00D10CE3"/>
    <w:rsid w:val="00D11BDC"/>
    <w:rsid w:val="00D13CE7"/>
    <w:rsid w:val="00D13E20"/>
    <w:rsid w:val="00D16C69"/>
    <w:rsid w:val="00D218AD"/>
    <w:rsid w:val="00D21924"/>
    <w:rsid w:val="00D27CFC"/>
    <w:rsid w:val="00D31952"/>
    <w:rsid w:val="00D34F50"/>
    <w:rsid w:val="00D37306"/>
    <w:rsid w:val="00D40818"/>
    <w:rsid w:val="00D41C2D"/>
    <w:rsid w:val="00D41DBE"/>
    <w:rsid w:val="00D4452D"/>
    <w:rsid w:val="00D51BF1"/>
    <w:rsid w:val="00D51FD2"/>
    <w:rsid w:val="00D52C8F"/>
    <w:rsid w:val="00D5644C"/>
    <w:rsid w:val="00D56C8F"/>
    <w:rsid w:val="00D579D8"/>
    <w:rsid w:val="00D60893"/>
    <w:rsid w:val="00D60DF7"/>
    <w:rsid w:val="00D620C0"/>
    <w:rsid w:val="00D65647"/>
    <w:rsid w:val="00D66E7D"/>
    <w:rsid w:val="00D73226"/>
    <w:rsid w:val="00D74521"/>
    <w:rsid w:val="00D754F8"/>
    <w:rsid w:val="00D77891"/>
    <w:rsid w:val="00D77E51"/>
    <w:rsid w:val="00D83973"/>
    <w:rsid w:val="00D85DC2"/>
    <w:rsid w:val="00D86B7F"/>
    <w:rsid w:val="00D873BC"/>
    <w:rsid w:val="00D911B3"/>
    <w:rsid w:val="00D920E0"/>
    <w:rsid w:val="00D93238"/>
    <w:rsid w:val="00D93AED"/>
    <w:rsid w:val="00D946A6"/>
    <w:rsid w:val="00D96F77"/>
    <w:rsid w:val="00DA1285"/>
    <w:rsid w:val="00DA3AA4"/>
    <w:rsid w:val="00DA3BAA"/>
    <w:rsid w:val="00DA5D51"/>
    <w:rsid w:val="00DA6416"/>
    <w:rsid w:val="00DA6C51"/>
    <w:rsid w:val="00DA752F"/>
    <w:rsid w:val="00DB0B8C"/>
    <w:rsid w:val="00DB3510"/>
    <w:rsid w:val="00DB44BC"/>
    <w:rsid w:val="00DB56C2"/>
    <w:rsid w:val="00DC0B93"/>
    <w:rsid w:val="00DC28A9"/>
    <w:rsid w:val="00DC427F"/>
    <w:rsid w:val="00DC78E7"/>
    <w:rsid w:val="00DD043E"/>
    <w:rsid w:val="00DD0BBB"/>
    <w:rsid w:val="00DD1764"/>
    <w:rsid w:val="00DD17B4"/>
    <w:rsid w:val="00DD1E65"/>
    <w:rsid w:val="00DD2538"/>
    <w:rsid w:val="00DD47FB"/>
    <w:rsid w:val="00DD5947"/>
    <w:rsid w:val="00DD6166"/>
    <w:rsid w:val="00DD7AFA"/>
    <w:rsid w:val="00DE0B6F"/>
    <w:rsid w:val="00DE0DEE"/>
    <w:rsid w:val="00DE21A3"/>
    <w:rsid w:val="00DE3393"/>
    <w:rsid w:val="00DE4E3D"/>
    <w:rsid w:val="00DE5A21"/>
    <w:rsid w:val="00DE7D3D"/>
    <w:rsid w:val="00DF2405"/>
    <w:rsid w:val="00DF7229"/>
    <w:rsid w:val="00DF7453"/>
    <w:rsid w:val="00E03AC0"/>
    <w:rsid w:val="00E0499B"/>
    <w:rsid w:val="00E1254E"/>
    <w:rsid w:val="00E129E0"/>
    <w:rsid w:val="00E1515F"/>
    <w:rsid w:val="00E1736D"/>
    <w:rsid w:val="00E1749F"/>
    <w:rsid w:val="00E17C8A"/>
    <w:rsid w:val="00E17E2F"/>
    <w:rsid w:val="00E207D0"/>
    <w:rsid w:val="00E211C1"/>
    <w:rsid w:val="00E2232D"/>
    <w:rsid w:val="00E26061"/>
    <w:rsid w:val="00E30466"/>
    <w:rsid w:val="00E318BA"/>
    <w:rsid w:val="00E33574"/>
    <w:rsid w:val="00E34406"/>
    <w:rsid w:val="00E370D7"/>
    <w:rsid w:val="00E37197"/>
    <w:rsid w:val="00E3779C"/>
    <w:rsid w:val="00E40FF6"/>
    <w:rsid w:val="00E41774"/>
    <w:rsid w:val="00E42989"/>
    <w:rsid w:val="00E42B4E"/>
    <w:rsid w:val="00E43567"/>
    <w:rsid w:val="00E43AE8"/>
    <w:rsid w:val="00E447D7"/>
    <w:rsid w:val="00E476DE"/>
    <w:rsid w:val="00E47C02"/>
    <w:rsid w:val="00E5152B"/>
    <w:rsid w:val="00E53020"/>
    <w:rsid w:val="00E5513C"/>
    <w:rsid w:val="00E55709"/>
    <w:rsid w:val="00E55C1E"/>
    <w:rsid w:val="00E565FA"/>
    <w:rsid w:val="00E5716A"/>
    <w:rsid w:val="00E57FA6"/>
    <w:rsid w:val="00E60781"/>
    <w:rsid w:val="00E6381A"/>
    <w:rsid w:val="00E669DD"/>
    <w:rsid w:val="00E711BF"/>
    <w:rsid w:val="00E72A40"/>
    <w:rsid w:val="00E731A6"/>
    <w:rsid w:val="00E73258"/>
    <w:rsid w:val="00E73B08"/>
    <w:rsid w:val="00E746AF"/>
    <w:rsid w:val="00E74B1B"/>
    <w:rsid w:val="00E75F79"/>
    <w:rsid w:val="00E76853"/>
    <w:rsid w:val="00E82943"/>
    <w:rsid w:val="00E83C60"/>
    <w:rsid w:val="00E84748"/>
    <w:rsid w:val="00E85CBC"/>
    <w:rsid w:val="00E85FDD"/>
    <w:rsid w:val="00E866F8"/>
    <w:rsid w:val="00E90DAE"/>
    <w:rsid w:val="00E91B04"/>
    <w:rsid w:val="00E935E8"/>
    <w:rsid w:val="00E93949"/>
    <w:rsid w:val="00E959A5"/>
    <w:rsid w:val="00EA09BB"/>
    <w:rsid w:val="00EA0CEC"/>
    <w:rsid w:val="00EA2E10"/>
    <w:rsid w:val="00EA5327"/>
    <w:rsid w:val="00EA6977"/>
    <w:rsid w:val="00EA795D"/>
    <w:rsid w:val="00EB2BE0"/>
    <w:rsid w:val="00EB2F4E"/>
    <w:rsid w:val="00EB46BE"/>
    <w:rsid w:val="00EB5DF3"/>
    <w:rsid w:val="00EB5FA9"/>
    <w:rsid w:val="00EC1498"/>
    <w:rsid w:val="00EC229B"/>
    <w:rsid w:val="00EC2A93"/>
    <w:rsid w:val="00EC5912"/>
    <w:rsid w:val="00EC6BAD"/>
    <w:rsid w:val="00EC71A5"/>
    <w:rsid w:val="00EC7737"/>
    <w:rsid w:val="00ED110E"/>
    <w:rsid w:val="00ED342A"/>
    <w:rsid w:val="00ED4148"/>
    <w:rsid w:val="00ED442F"/>
    <w:rsid w:val="00ED51A6"/>
    <w:rsid w:val="00ED565A"/>
    <w:rsid w:val="00ED69C6"/>
    <w:rsid w:val="00ED79E7"/>
    <w:rsid w:val="00EE0FF5"/>
    <w:rsid w:val="00EE1225"/>
    <w:rsid w:val="00EE5337"/>
    <w:rsid w:val="00EE636F"/>
    <w:rsid w:val="00EF057F"/>
    <w:rsid w:val="00EF0D71"/>
    <w:rsid w:val="00EF1D7A"/>
    <w:rsid w:val="00EF75CC"/>
    <w:rsid w:val="00F01A67"/>
    <w:rsid w:val="00F02124"/>
    <w:rsid w:val="00F0510A"/>
    <w:rsid w:val="00F06411"/>
    <w:rsid w:val="00F065D3"/>
    <w:rsid w:val="00F06C1E"/>
    <w:rsid w:val="00F0769F"/>
    <w:rsid w:val="00F119F5"/>
    <w:rsid w:val="00F17205"/>
    <w:rsid w:val="00F17381"/>
    <w:rsid w:val="00F206C2"/>
    <w:rsid w:val="00F20A0C"/>
    <w:rsid w:val="00F211EF"/>
    <w:rsid w:val="00F23C98"/>
    <w:rsid w:val="00F30AD7"/>
    <w:rsid w:val="00F32571"/>
    <w:rsid w:val="00F33D68"/>
    <w:rsid w:val="00F377BC"/>
    <w:rsid w:val="00F41421"/>
    <w:rsid w:val="00F4319B"/>
    <w:rsid w:val="00F4377C"/>
    <w:rsid w:val="00F4477B"/>
    <w:rsid w:val="00F4593D"/>
    <w:rsid w:val="00F4643A"/>
    <w:rsid w:val="00F470DA"/>
    <w:rsid w:val="00F477E0"/>
    <w:rsid w:val="00F5114E"/>
    <w:rsid w:val="00F51595"/>
    <w:rsid w:val="00F52743"/>
    <w:rsid w:val="00F53E57"/>
    <w:rsid w:val="00F54918"/>
    <w:rsid w:val="00F56A1D"/>
    <w:rsid w:val="00F56AEF"/>
    <w:rsid w:val="00F57A1D"/>
    <w:rsid w:val="00F60697"/>
    <w:rsid w:val="00F63FCB"/>
    <w:rsid w:val="00F64619"/>
    <w:rsid w:val="00F65234"/>
    <w:rsid w:val="00F66C1E"/>
    <w:rsid w:val="00F7370A"/>
    <w:rsid w:val="00F74846"/>
    <w:rsid w:val="00F7501C"/>
    <w:rsid w:val="00F76245"/>
    <w:rsid w:val="00F8295B"/>
    <w:rsid w:val="00F855DF"/>
    <w:rsid w:val="00F85B58"/>
    <w:rsid w:val="00F916C2"/>
    <w:rsid w:val="00F9518A"/>
    <w:rsid w:val="00FA1444"/>
    <w:rsid w:val="00FA171B"/>
    <w:rsid w:val="00FA180D"/>
    <w:rsid w:val="00FA5A8C"/>
    <w:rsid w:val="00FA7B55"/>
    <w:rsid w:val="00FB105F"/>
    <w:rsid w:val="00FB1D58"/>
    <w:rsid w:val="00FB2FAF"/>
    <w:rsid w:val="00FB487F"/>
    <w:rsid w:val="00FB6961"/>
    <w:rsid w:val="00FB7477"/>
    <w:rsid w:val="00FC16A9"/>
    <w:rsid w:val="00FC342E"/>
    <w:rsid w:val="00FC4428"/>
    <w:rsid w:val="00FC4688"/>
    <w:rsid w:val="00FC728E"/>
    <w:rsid w:val="00FC761F"/>
    <w:rsid w:val="00FC7C40"/>
    <w:rsid w:val="00FD03AB"/>
    <w:rsid w:val="00FD0E5B"/>
    <w:rsid w:val="00FD38F6"/>
    <w:rsid w:val="00FD4369"/>
    <w:rsid w:val="00FD483A"/>
    <w:rsid w:val="00FD5C01"/>
    <w:rsid w:val="00FE1B6F"/>
    <w:rsid w:val="00FE7708"/>
    <w:rsid w:val="00FF06F2"/>
    <w:rsid w:val="00FF0C1E"/>
    <w:rsid w:val="00FF0DEC"/>
    <w:rsid w:val="00FF1ACF"/>
    <w:rsid w:val="00FF348F"/>
    <w:rsid w:val="00FF5B6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7CD35"/>
  <w15:chartTrackingRefBased/>
  <w15:docId w15:val="{4BA8EDED-0755-455F-9E01-B5F4BB97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fr-FR"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1E"/>
    <w:pPr>
      <w:spacing w:after="0" w:line="240" w:lineRule="auto"/>
    </w:pPr>
    <w:rPr>
      <w:sz w:val="24"/>
      <w:szCs w:val="24"/>
    </w:rPr>
  </w:style>
  <w:style w:type="paragraph" w:styleId="Heading1">
    <w:name w:val="heading 1"/>
    <w:basedOn w:val="Normal"/>
    <w:next w:val="Normal"/>
    <w:link w:val="Heading1Char"/>
    <w:uiPriority w:val="1"/>
    <w:qFormat/>
    <w:rsid w:val="00A0241E"/>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1"/>
    <w:qFormat/>
    <w:rsid w:val="00A0241E"/>
    <w:pPr>
      <w:keepNext/>
      <w:spacing w:before="240" w:after="60"/>
      <w:outlineLvl w:val="1"/>
    </w:pPr>
    <w:rPr>
      <w:rFonts w:ascii="Arial" w:eastAsia="Times New Roman" w:hAnsi="Arial"/>
      <w:b/>
      <w:bCs/>
      <w:iCs/>
      <w:sz w:val="28"/>
      <w:szCs w:val="28"/>
    </w:rPr>
  </w:style>
  <w:style w:type="paragraph" w:styleId="Heading3">
    <w:name w:val="heading 3"/>
    <w:basedOn w:val="Normal"/>
    <w:next w:val="Normal"/>
    <w:link w:val="Heading3Char"/>
    <w:uiPriority w:val="1"/>
    <w:qFormat/>
    <w:rsid w:val="00A0241E"/>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uiPriority w:val="1"/>
    <w:qFormat/>
    <w:rsid w:val="008C04F1"/>
    <w:pPr>
      <w:keepNext/>
      <w:spacing w:before="240" w:after="60"/>
      <w:outlineLvl w:val="3"/>
    </w:pPr>
    <w:rPr>
      <w:rFonts w:asciiTheme="majorHAnsi" w:eastAsia="Times New Roman" w:hAnsiTheme="majorHAnsi"/>
      <w:b/>
      <w:bCs/>
      <w:szCs w:val="28"/>
    </w:rPr>
  </w:style>
  <w:style w:type="paragraph" w:styleId="Heading5">
    <w:name w:val="heading 5"/>
    <w:basedOn w:val="Normal"/>
    <w:next w:val="Normal"/>
    <w:link w:val="Heading5Char"/>
    <w:uiPriority w:val="1"/>
    <w:semiHidden/>
    <w:unhideWhenUsed/>
    <w:qFormat/>
    <w:rsid w:val="008C04F1"/>
    <w:pPr>
      <w:spacing w:before="240" w:after="60"/>
      <w:outlineLvl w:val="4"/>
    </w:pPr>
    <w:rPr>
      <w:rFonts w:asciiTheme="majorHAnsi" w:eastAsia="Times New Roman" w:hAnsiTheme="majorHAnsi"/>
      <w:b/>
      <w:bCs/>
      <w:iCs/>
      <w:sz w:val="22"/>
      <w:szCs w:val="26"/>
    </w:rPr>
  </w:style>
  <w:style w:type="paragraph" w:styleId="Heading6">
    <w:name w:val="heading 6"/>
    <w:basedOn w:val="Normal"/>
    <w:next w:val="Normal"/>
    <w:link w:val="Heading6Char"/>
    <w:uiPriority w:val="1"/>
    <w:semiHidden/>
    <w:unhideWhenUsed/>
    <w:qFormat/>
    <w:rsid w:val="00A0241E"/>
    <w:pPr>
      <w:spacing w:before="240" w:after="60"/>
      <w:outlineLvl w:val="5"/>
    </w:pPr>
    <w:rPr>
      <w:rFonts w:ascii="Arial" w:eastAsia="Times New Roman" w:hAnsi="Arial"/>
      <w:bCs/>
      <w:i/>
      <w:sz w:val="20"/>
      <w:szCs w:val="22"/>
    </w:rPr>
  </w:style>
  <w:style w:type="paragraph" w:styleId="Heading7">
    <w:name w:val="heading 7"/>
    <w:basedOn w:val="Normal"/>
    <w:next w:val="Normal"/>
    <w:link w:val="Heading7Char"/>
    <w:uiPriority w:val="1"/>
    <w:semiHidden/>
    <w:unhideWhenUsed/>
    <w:qFormat/>
    <w:rsid w:val="00A0241E"/>
    <w:pPr>
      <w:spacing w:before="240" w:after="60"/>
      <w:outlineLvl w:val="6"/>
    </w:pPr>
    <w:rPr>
      <w:rFonts w:ascii="Arial" w:eastAsia="Times New Roman" w:hAnsi="Arial"/>
      <w:i/>
      <w:sz w:val="20"/>
    </w:rPr>
  </w:style>
  <w:style w:type="paragraph" w:styleId="Heading8">
    <w:name w:val="heading 8"/>
    <w:basedOn w:val="Normal"/>
    <w:next w:val="Normal"/>
    <w:link w:val="Heading8Char"/>
    <w:uiPriority w:val="1"/>
    <w:semiHidden/>
    <w:unhideWhenUsed/>
    <w:qFormat/>
    <w:rsid w:val="00A0241E"/>
    <w:pPr>
      <w:spacing w:before="240" w:after="60"/>
      <w:outlineLvl w:val="7"/>
    </w:pPr>
    <w:rPr>
      <w:rFonts w:ascii="Arial" w:eastAsia="Times New Roman" w:hAnsi="Arial"/>
      <w:i/>
      <w:iCs/>
      <w:sz w:val="20"/>
    </w:rPr>
  </w:style>
  <w:style w:type="paragraph" w:styleId="Heading9">
    <w:name w:val="heading 9"/>
    <w:basedOn w:val="Normal"/>
    <w:next w:val="Normal"/>
    <w:link w:val="Heading9Char"/>
    <w:uiPriority w:val="1"/>
    <w:semiHidden/>
    <w:unhideWhenUsed/>
    <w:qFormat/>
    <w:rsid w:val="00A0241E"/>
    <w:pPr>
      <w:spacing w:before="240" w:after="60"/>
      <w:outlineLvl w:val="8"/>
    </w:pPr>
    <w:rPr>
      <w:rFonts w:ascii="Arial" w:eastAsia="Times New Roman" w:hAnsi="Arial"/>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125"/>
    <w:pPr>
      <w:tabs>
        <w:tab w:val="center" w:pos="4536"/>
        <w:tab w:val="right" w:pos="9072"/>
      </w:tabs>
    </w:pPr>
  </w:style>
  <w:style w:type="character" w:customStyle="1" w:styleId="HeaderChar">
    <w:name w:val="Header Char"/>
    <w:basedOn w:val="DefaultParagraphFont"/>
    <w:link w:val="Header"/>
    <w:uiPriority w:val="99"/>
    <w:rsid w:val="00707125"/>
  </w:style>
  <w:style w:type="paragraph" w:styleId="Footer">
    <w:name w:val="footer"/>
    <w:basedOn w:val="Normal"/>
    <w:link w:val="FooterChar"/>
    <w:uiPriority w:val="99"/>
    <w:unhideWhenUsed/>
    <w:rsid w:val="00707125"/>
    <w:pPr>
      <w:tabs>
        <w:tab w:val="center" w:pos="4536"/>
        <w:tab w:val="right" w:pos="9072"/>
      </w:tabs>
    </w:pPr>
  </w:style>
  <w:style w:type="character" w:customStyle="1" w:styleId="FooterChar">
    <w:name w:val="Footer Char"/>
    <w:basedOn w:val="DefaultParagraphFont"/>
    <w:link w:val="Footer"/>
    <w:uiPriority w:val="99"/>
    <w:rsid w:val="00707125"/>
  </w:style>
  <w:style w:type="paragraph" w:styleId="BalloonText">
    <w:name w:val="Balloon Text"/>
    <w:basedOn w:val="Normal"/>
    <w:link w:val="BalloonTextChar"/>
    <w:uiPriority w:val="99"/>
    <w:semiHidden/>
    <w:unhideWhenUsed/>
    <w:rsid w:val="00B05560"/>
    <w:rPr>
      <w:rFonts w:ascii="Tahoma" w:hAnsi="Tahoma" w:cs="Tahoma"/>
      <w:sz w:val="16"/>
      <w:szCs w:val="16"/>
    </w:rPr>
  </w:style>
  <w:style w:type="character" w:customStyle="1" w:styleId="BalloonTextChar">
    <w:name w:val="Balloon Text Char"/>
    <w:basedOn w:val="DefaultParagraphFont"/>
    <w:link w:val="BalloonText"/>
    <w:uiPriority w:val="99"/>
    <w:semiHidden/>
    <w:rsid w:val="00B05560"/>
    <w:rPr>
      <w:rFonts w:ascii="Tahoma" w:hAnsi="Tahoma" w:cs="Tahoma"/>
      <w:sz w:val="16"/>
      <w:szCs w:val="16"/>
    </w:rPr>
  </w:style>
  <w:style w:type="character" w:styleId="PlaceholderText">
    <w:name w:val="Placeholder Text"/>
    <w:basedOn w:val="DefaultParagraphFont"/>
    <w:uiPriority w:val="99"/>
    <w:semiHidden/>
    <w:rsid w:val="00E55C1E"/>
    <w:rPr>
      <w:color w:val="808080"/>
    </w:rPr>
  </w:style>
  <w:style w:type="character" w:customStyle="1" w:styleId="Heading1Char">
    <w:name w:val="Heading 1 Char"/>
    <w:basedOn w:val="DefaultParagraphFont"/>
    <w:link w:val="Heading1"/>
    <w:uiPriority w:val="1"/>
    <w:rsid w:val="00A0241E"/>
    <w:rPr>
      <w:rFonts w:ascii="Arial" w:eastAsia="Times New Roman" w:hAnsi="Arial"/>
      <w:b/>
      <w:bCs/>
      <w:kern w:val="32"/>
      <w:sz w:val="32"/>
      <w:szCs w:val="32"/>
    </w:rPr>
  </w:style>
  <w:style w:type="character" w:customStyle="1" w:styleId="Heading2Char">
    <w:name w:val="Heading 2 Char"/>
    <w:basedOn w:val="DefaultParagraphFont"/>
    <w:link w:val="Heading2"/>
    <w:uiPriority w:val="1"/>
    <w:rsid w:val="00A0241E"/>
    <w:rPr>
      <w:rFonts w:ascii="Arial" w:eastAsia="Times New Roman" w:hAnsi="Arial"/>
      <w:b/>
      <w:bCs/>
      <w:iCs/>
      <w:sz w:val="28"/>
      <w:szCs w:val="28"/>
    </w:rPr>
  </w:style>
  <w:style w:type="character" w:customStyle="1" w:styleId="Heading3Char">
    <w:name w:val="Heading 3 Char"/>
    <w:basedOn w:val="DefaultParagraphFont"/>
    <w:link w:val="Heading3"/>
    <w:uiPriority w:val="1"/>
    <w:rsid w:val="00A0241E"/>
    <w:rPr>
      <w:rFonts w:ascii="Arial" w:eastAsia="Times New Roman" w:hAnsi="Arial"/>
      <w:b/>
      <w:bCs/>
      <w:sz w:val="26"/>
      <w:szCs w:val="26"/>
    </w:rPr>
  </w:style>
  <w:style w:type="character" w:customStyle="1" w:styleId="Heading4Char">
    <w:name w:val="Heading 4 Char"/>
    <w:basedOn w:val="DefaultParagraphFont"/>
    <w:link w:val="Heading4"/>
    <w:uiPriority w:val="1"/>
    <w:rsid w:val="008C04F1"/>
    <w:rPr>
      <w:rFonts w:asciiTheme="majorHAnsi" w:eastAsia="Times New Roman" w:hAnsiTheme="majorHAnsi"/>
      <w:b/>
      <w:bCs/>
      <w:sz w:val="24"/>
      <w:szCs w:val="28"/>
      <w:lang w:val="fr-FR"/>
    </w:rPr>
  </w:style>
  <w:style w:type="character" w:customStyle="1" w:styleId="Heading5Char">
    <w:name w:val="Heading 5 Char"/>
    <w:basedOn w:val="DefaultParagraphFont"/>
    <w:link w:val="Heading5"/>
    <w:uiPriority w:val="1"/>
    <w:semiHidden/>
    <w:rsid w:val="008C04F1"/>
    <w:rPr>
      <w:rFonts w:asciiTheme="majorHAnsi" w:eastAsia="Times New Roman" w:hAnsiTheme="majorHAnsi"/>
      <w:b/>
      <w:bCs/>
      <w:iCs/>
      <w:szCs w:val="26"/>
      <w:lang w:val="fr-FR"/>
    </w:rPr>
  </w:style>
  <w:style w:type="character" w:customStyle="1" w:styleId="Heading6Char">
    <w:name w:val="Heading 6 Char"/>
    <w:basedOn w:val="DefaultParagraphFont"/>
    <w:link w:val="Heading6"/>
    <w:uiPriority w:val="1"/>
    <w:semiHidden/>
    <w:rsid w:val="00A0241E"/>
    <w:rPr>
      <w:rFonts w:ascii="Arial" w:eastAsia="Times New Roman" w:hAnsi="Arial"/>
      <w:bCs/>
      <w:i/>
      <w:sz w:val="20"/>
    </w:rPr>
  </w:style>
  <w:style w:type="character" w:customStyle="1" w:styleId="Heading7Char">
    <w:name w:val="Heading 7 Char"/>
    <w:basedOn w:val="DefaultParagraphFont"/>
    <w:link w:val="Heading7"/>
    <w:uiPriority w:val="1"/>
    <w:semiHidden/>
    <w:rsid w:val="00A0241E"/>
    <w:rPr>
      <w:rFonts w:ascii="Arial" w:eastAsia="Times New Roman" w:hAnsi="Arial"/>
      <w:i/>
      <w:sz w:val="20"/>
      <w:szCs w:val="24"/>
    </w:rPr>
  </w:style>
  <w:style w:type="character" w:customStyle="1" w:styleId="Heading8Char">
    <w:name w:val="Heading 8 Char"/>
    <w:basedOn w:val="DefaultParagraphFont"/>
    <w:link w:val="Heading8"/>
    <w:uiPriority w:val="1"/>
    <w:semiHidden/>
    <w:rsid w:val="00A0241E"/>
    <w:rPr>
      <w:rFonts w:ascii="Arial" w:eastAsia="Times New Roman" w:hAnsi="Arial"/>
      <w:i/>
      <w:iCs/>
      <w:sz w:val="20"/>
      <w:szCs w:val="24"/>
    </w:rPr>
  </w:style>
  <w:style w:type="character" w:customStyle="1" w:styleId="Heading9Char">
    <w:name w:val="Heading 9 Char"/>
    <w:basedOn w:val="DefaultParagraphFont"/>
    <w:link w:val="Heading9"/>
    <w:uiPriority w:val="1"/>
    <w:semiHidden/>
    <w:rsid w:val="00A0241E"/>
    <w:rPr>
      <w:rFonts w:ascii="Arial" w:eastAsia="Times New Roman" w:hAnsi="Arial"/>
      <w:i/>
      <w:sz w:val="20"/>
    </w:rPr>
  </w:style>
  <w:style w:type="paragraph" w:styleId="Title">
    <w:name w:val="Title"/>
    <w:basedOn w:val="Normal"/>
    <w:next w:val="Normal"/>
    <w:link w:val="TitleChar"/>
    <w:uiPriority w:val="10"/>
    <w:rsid w:val="008C04F1"/>
    <w:pPr>
      <w:spacing w:before="240" w:after="60"/>
      <w:jc w:val="center"/>
      <w:outlineLvl w:val="0"/>
    </w:pPr>
    <w:rPr>
      <w:rFonts w:asciiTheme="majorHAnsi" w:eastAsiaTheme="majorEastAsia" w:hAnsiTheme="majorHAnsi"/>
      <w:b/>
      <w:bCs/>
      <w:kern w:val="28"/>
      <w:sz w:val="44"/>
      <w:szCs w:val="32"/>
    </w:rPr>
  </w:style>
  <w:style w:type="character" w:customStyle="1" w:styleId="TitleChar">
    <w:name w:val="Title Char"/>
    <w:basedOn w:val="DefaultParagraphFont"/>
    <w:link w:val="Title"/>
    <w:uiPriority w:val="10"/>
    <w:rsid w:val="008C04F1"/>
    <w:rPr>
      <w:rFonts w:asciiTheme="majorHAnsi" w:eastAsiaTheme="majorEastAsia" w:hAnsiTheme="majorHAnsi"/>
      <w:b/>
      <w:bCs/>
      <w:kern w:val="28"/>
      <w:sz w:val="44"/>
      <w:szCs w:val="32"/>
      <w:lang w:val="fr-FR"/>
    </w:rPr>
  </w:style>
  <w:style w:type="paragraph" w:styleId="Subtitle">
    <w:name w:val="Subtitle"/>
    <w:basedOn w:val="Normal"/>
    <w:next w:val="Normal"/>
    <w:link w:val="SubtitleChar"/>
    <w:uiPriority w:val="11"/>
    <w:rsid w:val="00CE5977"/>
    <w:pPr>
      <w:spacing w:after="60"/>
      <w:jc w:val="center"/>
      <w:outlineLvl w:val="1"/>
    </w:pPr>
    <w:rPr>
      <w:rFonts w:ascii="Times New Roman" w:eastAsiaTheme="majorEastAsia" w:hAnsi="Times New Roman"/>
      <w:b/>
      <w:sz w:val="36"/>
    </w:rPr>
  </w:style>
  <w:style w:type="character" w:customStyle="1" w:styleId="SubtitleChar">
    <w:name w:val="Subtitle Char"/>
    <w:basedOn w:val="DefaultParagraphFont"/>
    <w:link w:val="Subtitle"/>
    <w:uiPriority w:val="11"/>
    <w:rsid w:val="00CE5977"/>
    <w:rPr>
      <w:rFonts w:ascii="Times New Roman" w:eastAsiaTheme="majorEastAsia" w:hAnsi="Times New Roman"/>
      <w:b/>
      <w:sz w:val="36"/>
      <w:szCs w:val="24"/>
    </w:rPr>
  </w:style>
  <w:style w:type="character" w:styleId="Strong">
    <w:name w:val="Strong"/>
    <w:basedOn w:val="DefaultParagraphFont"/>
    <w:uiPriority w:val="22"/>
    <w:qFormat/>
    <w:rsid w:val="00A0241E"/>
    <w:rPr>
      <w:b/>
      <w:bCs/>
    </w:rPr>
  </w:style>
  <w:style w:type="character" w:styleId="Emphasis">
    <w:name w:val="Emphasis"/>
    <w:basedOn w:val="DefaultParagraphFont"/>
    <w:uiPriority w:val="20"/>
    <w:qFormat/>
    <w:rsid w:val="00A0241E"/>
    <w:rPr>
      <w:rFonts w:asciiTheme="minorHAnsi" w:hAnsiTheme="minorHAnsi"/>
      <w:b/>
      <w:i/>
      <w:iCs/>
    </w:rPr>
  </w:style>
  <w:style w:type="paragraph" w:styleId="NoSpacing">
    <w:name w:val="No Spacing"/>
    <w:basedOn w:val="Normal"/>
    <w:link w:val="NoSpacingChar"/>
    <w:uiPriority w:val="1"/>
    <w:qFormat/>
    <w:rsid w:val="00A0241E"/>
    <w:rPr>
      <w:szCs w:val="32"/>
    </w:rPr>
  </w:style>
  <w:style w:type="paragraph" w:styleId="ListParagraph">
    <w:name w:val="List Paragraph"/>
    <w:basedOn w:val="Normal"/>
    <w:uiPriority w:val="34"/>
    <w:rsid w:val="00CE5977"/>
    <w:pPr>
      <w:ind w:left="720"/>
      <w:contextualSpacing/>
    </w:pPr>
  </w:style>
  <w:style w:type="paragraph" w:styleId="Quote">
    <w:name w:val="Quote"/>
    <w:basedOn w:val="Normal"/>
    <w:next w:val="Normal"/>
    <w:link w:val="QuoteChar"/>
    <w:uiPriority w:val="29"/>
    <w:rsid w:val="00CE5977"/>
    <w:rPr>
      <w:i/>
    </w:rPr>
  </w:style>
  <w:style w:type="character" w:customStyle="1" w:styleId="QuoteChar">
    <w:name w:val="Quote Char"/>
    <w:basedOn w:val="DefaultParagraphFont"/>
    <w:link w:val="Quote"/>
    <w:uiPriority w:val="29"/>
    <w:rsid w:val="00CE5977"/>
    <w:rPr>
      <w:i/>
      <w:sz w:val="24"/>
      <w:szCs w:val="24"/>
    </w:rPr>
  </w:style>
  <w:style w:type="paragraph" w:styleId="IntenseQuote">
    <w:name w:val="Intense Quote"/>
    <w:basedOn w:val="Normal"/>
    <w:next w:val="Normal"/>
    <w:link w:val="IntenseQuoteChar"/>
    <w:uiPriority w:val="30"/>
    <w:rsid w:val="00CE5977"/>
    <w:pPr>
      <w:ind w:left="720" w:right="720"/>
    </w:pPr>
    <w:rPr>
      <w:b/>
      <w:i/>
      <w:szCs w:val="22"/>
    </w:rPr>
  </w:style>
  <w:style w:type="character" w:customStyle="1" w:styleId="IntenseQuoteChar">
    <w:name w:val="Intense Quote Char"/>
    <w:basedOn w:val="DefaultParagraphFont"/>
    <w:link w:val="IntenseQuote"/>
    <w:uiPriority w:val="30"/>
    <w:rsid w:val="00CE5977"/>
    <w:rPr>
      <w:b/>
      <w:i/>
      <w:sz w:val="24"/>
    </w:rPr>
  </w:style>
  <w:style w:type="character" w:styleId="SubtleEmphasis">
    <w:name w:val="Subtle Emphasis"/>
    <w:uiPriority w:val="19"/>
    <w:qFormat/>
    <w:rsid w:val="00A0241E"/>
    <w:rPr>
      <w:i/>
      <w:color w:val="5A5A5A" w:themeColor="text1" w:themeTint="A5"/>
    </w:rPr>
  </w:style>
  <w:style w:type="character" w:styleId="IntenseEmphasis">
    <w:name w:val="Intense Emphasis"/>
    <w:basedOn w:val="DefaultParagraphFont"/>
    <w:uiPriority w:val="21"/>
    <w:qFormat/>
    <w:rsid w:val="00A0241E"/>
    <w:rPr>
      <w:b/>
      <w:i/>
      <w:sz w:val="24"/>
      <w:szCs w:val="24"/>
      <w:u w:val="single"/>
    </w:rPr>
  </w:style>
  <w:style w:type="character" w:styleId="SubtleReference">
    <w:name w:val="Subtle Reference"/>
    <w:basedOn w:val="DefaultParagraphFont"/>
    <w:uiPriority w:val="31"/>
    <w:rsid w:val="00CE5977"/>
    <w:rPr>
      <w:sz w:val="24"/>
      <w:szCs w:val="24"/>
      <w:u w:val="single"/>
    </w:rPr>
  </w:style>
  <w:style w:type="character" w:styleId="IntenseReference">
    <w:name w:val="Intense Reference"/>
    <w:basedOn w:val="DefaultParagraphFont"/>
    <w:uiPriority w:val="32"/>
    <w:rsid w:val="00CE5977"/>
    <w:rPr>
      <w:b/>
      <w:sz w:val="24"/>
      <w:u w:val="single"/>
    </w:rPr>
  </w:style>
  <w:style w:type="character" w:styleId="BookTitle">
    <w:name w:val="Book Title"/>
    <w:basedOn w:val="DefaultParagraphFont"/>
    <w:uiPriority w:val="33"/>
    <w:rsid w:val="00CE59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0241E"/>
    <w:pPr>
      <w:outlineLvl w:val="9"/>
    </w:pPr>
  </w:style>
  <w:style w:type="paragraph" w:customStyle="1" w:styleId="Numreradrubrik1">
    <w:name w:val="Numrerad rubrik 1"/>
    <w:next w:val="Normal"/>
    <w:uiPriority w:val="2"/>
    <w:qFormat/>
    <w:rsid w:val="00A0241E"/>
    <w:pPr>
      <w:keepNext/>
      <w:keepLines/>
      <w:numPr>
        <w:numId w:val="14"/>
      </w:numPr>
      <w:spacing w:before="240" w:after="60" w:line="240" w:lineRule="auto"/>
      <w:outlineLvl w:val="0"/>
    </w:pPr>
    <w:rPr>
      <w:rFonts w:asciiTheme="majorHAnsi" w:hAnsiTheme="majorHAnsi"/>
      <w:b/>
      <w:kern w:val="32"/>
      <w:sz w:val="32"/>
      <w:szCs w:val="28"/>
    </w:rPr>
  </w:style>
  <w:style w:type="paragraph" w:customStyle="1" w:styleId="Numreradrubrik2">
    <w:name w:val="Numrerad rubrik 2"/>
    <w:next w:val="Normal"/>
    <w:uiPriority w:val="2"/>
    <w:qFormat/>
    <w:rsid w:val="00A0241E"/>
    <w:pPr>
      <w:keepNext/>
      <w:keepLines/>
      <w:numPr>
        <w:ilvl w:val="1"/>
        <w:numId w:val="14"/>
      </w:numPr>
      <w:spacing w:before="240" w:after="60" w:line="240" w:lineRule="auto"/>
      <w:ind w:left="851"/>
      <w:outlineLvl w:val="1"/>
    </w:pPr>
    <w:rPr>
      <w:rFonts w:asciiTheme="majorHAnsi" w:hAnsiTheme="majorHAnsi"/>
      <w:b/>
      <w:kern w:val="32"/>
      <w:sz w:val="28"/>
      <w:szCs w:val="28"/>
    </w:rPr>
  </w:style>
  <w:style w:type="paragraph" w:customStyle="1" w:styleId="Numreradrubrik3">
    <w:name w:val="Numrerad rubrik 3"/>
    <w:next w:val="Normal"/>
    <w:uiPriority w:val="2"/>
    <w:qFormat/>
    <w:rsid w:val="00A0241E"/>
    <w:pPr>
      <w:keepNext/>
      <w:keepLines/>
      <w:numPr>
        <w:ilvl w:val="2"/>
        <w:numId w:val="14"/>
      </w:numPr>
      <w:spacing w:before="240" w:after="60" w:line="240" w:lineRule="auto"/>
      <w:outlineLvl w:val="2"/>
    </w:pPr>
    <w:rPr>
      <w:rFonts w:asciiTheme="majorHAnsi" w:hAnsiTheme="majorHAnsi"/>
      <w:b/>
      <w:sz w:val="24"/>
      <w:szCs w:val="28"/>
    </w:rPr>
  </w:style>
  <w:style w:type="paragraph" w:customStyle="1" w:styleId="Numreradrubrik4">
    <w:name w:val="Numrerad rubrik 4"/>
    <w:next w:val="Normal"/>
    <w:uiPriority w:val="2"/>
    <w:qFormat/>
    <w:rsid w:val="00A0241E"/>
    <w:pPr>
      <w:keepNext/>
      <w:keepLines/>
      <w:numPr>
        <w:ilvl w:val="3"/>
        <w:numId w:val="14"/>
      </w:numPr>
      <w:spacing w:before="240" w:after="60" w:line="240" w:lineRule="auto"/>
      <w:outlineLvl w:val="3"/>
    </w:pPr>
    <w:rPr>
      <w:rFonts w:asciiTheme="majorHAnsi" w:hAnsiTheme="majorHAnsi"/>
      <w:b/>
      <w:sz w:val="20"/>
      <w:szCs w:val="28"/>
    </w:rPr>
  </w:style>
  <w:style w:type="paragraph" w:customStyle="1" w:styleId="Numreradrubrik5">
    <w:name w:val="Numrerad rubrik 5"/>
    <w:next w:val="Normal"/>
    <w:uiPriority w:val="2"/>
    <w:semiHidden/>
    <w:unhideWhenUsed/>
    <w:rsid w:val="00DC0B93"/>
    <w:pPr>
      <w:keepNext/>
      <w:keepLines/>
      <w:numPr>
        <w:ilvl w:val="4"/>
        <w:numId w:val="14"/>
      </w:numPr>
      <w:spacing w:before="240" w:after="60" w:line="240" w:lineRule="auto"/>
      <w:outlineLvl w:val="4"/>
    </w:pPr>
    <w:rPr>
      <w:rFonts w:asciiTheme="majorHAnsi" w:hAnsiTheme="majorHAnsi"/>
      <w:b/>
      <w:i/>
      <w:sz w:val="20"/>
      <w:szCs w:val="28"/>
    </w:rPr>
  </w:style>
  <w:style w:type="paragraph" w:customStyle="1" w:styleId="Numreradrubrik6">
    <w:name w:val="Numrerad rubrik 6"/>
    <w:next w:val="Normal"/>
    <w:uiPriority w:val="2"/>
    <w:semiHidden/>
    <w:unhideWhenUsed/>
    <w:rsid w:val="00DC0B93"/>
    <w:pPr>
      <w:keepNext/>
      <w:keepLines/>
      <w:numPr>
        <w:ilvl w:val="5"/>
        <w:numId w:val="14"/>
      </w:numPr>
      <w:spacing w:before="120" w:after="60" w:line="240" w:lineRule="auto"/>
      <w:outlineLvl w:val="5"/>
    </w:pPr>
    <w:rPr>
      <w:rFonts w:asciiTheme="majorHAnsi" w:hAnsiTheme="majorHAnsi"/>
      <w:i/>
      <w:sz w:val="20"/>
      <w:szCs w:val="28"/>
    </w:rPr>
  </w:style>
  <w:style w:type="paragraph" w:customStyle="1" w:styleId="Numreradrubrik7">
    <w:name w:val="Numrerad rubrik 7"/>
    <w:next w:val="Normal"/>
    <w:uiPriority w:val="2"/>
    <w:semiHidden/>
    <w:unhideWhenUsed/>
    <w:rsid w:val="00DC0B93"/>
    <w:pPr>
      <w:keepNext/>
      <w:keepLines/>
      <w:numPr>
        <w:ilvl w:val="6"/>
        <w:numId w:val="14"/>
      </w:numPr>
      <w:spacing w:before="120" w:after="60" w:line="240" w:lineRule="auto"/>
      <w:outlineLvl w:val="6"/>
    </w:pPr>
    <w:rPr>
      <w:rFonts w:asciiTheme="majorHAnsi" w:hAnsiTheme="majorHAnsi"/>
      <w:i/>
      <w:sz w:val="20"/>
      <w:szCs w:val="28"/>
    </w:rPr>
  </w:style>
  <w:style w:type="paragraph" w:customStyle="1" w:styleId="Numreradrubrik8">
    <w:name w:val="Numrerad rubrik 8"/>
    <w:next w:val="Normal"/>
    <w:uiPriority w:val="2"/>
    <w:semiHidden/>
    <w:unhideWhenUsed/>
    <w:rsid w:val="00DC0B93"/>
    <w:pPr>
      <w:keepNext/>
      <w:keepLines/>
      <w:numPr>
        <w:ilvl w:val="7"/>
        <w:numId w:val="14"/>
      </w:numPr>
      <w:spacing w:before="120" w:after="60" w:line="240" w:lineRule="auto"/>
      <w:outlineLvl w:val="7"/>
    </w:pPr>
    <w:rPr>
      <w:rFonts w:asciiTheme="majorHAnsi" w:hAnsiTheme="majorHAnsi"/>
      <w:i/>
      <w:sz w:val="20"/>
      <w:szCs w:val="28"/>
    </w:rPr>
  </w:style>
  <w:style w:type="paragraph" w:customStyle="1" w:styleId="Numreradrubrik9">
    <w:name w:val="Numrerad rubrik 9"/>
    <w:next w:val="Normal"/>
    <w:uiPriority w:val="2"/>
    <w:semiHidden/>
    <w:unhideWhenUsed/>
    <w:rsid w:val="00DC0B93"/>
    <w:pPr>
      <w:keepNext/>
      <w:keepLines/>
      <w:numPr>
        <w:ilvl w:val="8"/>
        <w:numId w:val="14"/>
      </w:numPr>
      <w:spacing w:before="120" w:after="60" w:line="240" w:lineRule="auto"/>
      <w:outlineLvl w:val="8"/>
    </w:pPr>
    <w:rPr>
      <w:rFonts w:asciiTheme="majorHAnsi" w:hAnsiTheme="majorHAnsi"/>
      <w:i/>
      <w:sz w:val="20"/>
      <w:szCs w:val="28"/>
    </w:rPr>
  </w:style>
  <w:style w:type="table" w:styleId="TableGrid">
    <w:name w:val="Table Grid"/>
    <w:basedOn w:val="TableNormal"/>
    <w:uiPriority w:val="59"/>
    <w:rsid w:val="008737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9D160F"/>
    <w:pPr>
      <w:spacing w:before="120"/>
      <w:ind w:left="240"/>
    </w:pPr>
    <w:rPr>
      <w:rFonts w:cstheme="minorHAnsi"/>
      <w:iCs/>
      <w:sz w:val="20"/>
      <w:szCs w:val="20"/>
    </w:rPr>
  </w:style>
  <w:style w:type="paragraph" w:styleId="TOC1">
    <w:name w:val="toc 1"/>
    <w:basedOn w:val="Normal"/>
    <w:next w:val="Normal"/>
    <w:autoRedefine/>
    <w:uiPriority w:val="39"/>
    <w:unhideWhenUsed/>
    <w:rsid w:val="00C340F7"/>
    <w:pPr>
      <w:spacing w:before="240" w:after="120"/>
    </w:pPr>
    <w:rPr>
      <w:rFonts w:cstheme="minorHAnsi"/>
      <w:b/>
      <w:bCs/>
      <w:sz w:val="20"/>
      <w:szCs w:val="20"/>
    </w:rPr>
  </w:style>
  <w:style w:type="paragraph" w:styleId="TOC3">
    <w:name w:val="toc 3"/>
    <w:basedOn w:val="Normal"/>
    <w:next w:val="Normal"/>
    <w:autoRedefine/>
    <w:uiPriority w:val="39"/>
    <w:unhideWhenUsed/>
    <w:rsid w:val="00C340F7"/>
    <w:pPr>
      <w:ind w:left="480"/>
    </w:pPr>
    <w:rPr>
      <w:rFonts w:cstheme="minorHAnsi"/>
      <w:sz w:val="20"/>
      <w:szCs w:val="20"/>
    </w:rPr>
  </w:style>
  <w:style w:type="paragraph" w:styleId="TOC4">
    <w:name w:val="toc 4"/>
    <w:basedOn w:val="Normal"/>
    <w:next w:val="Normal"/>
    <w:autoRedefine/>
    <w:uiPriority w:val="39"/>
    <w:unhideWhenUsed/>
    <w:rsid w:val="00C340F7"/>
    <w:pPr>
      <w:ind w:left="720"/>
    </w:pPr>
    <w:rPr>
      <w:rFonts w:cstheme="minorHAnsi"/>
      <w:sz w:val="20"/>
      <w:szCs w:val="20"/>
    </w:rPr>
  </w:style>
  <w:style w:type="paragraph" w:styleId="TOC5">
    <w:name w:val="toc 5"/>
    <w:basedOn w:val="Normal"/>
    <w:next w:val="Normal"/>
    <w:autoRedefine/>
    <w:uiPriority w:val="39"/>
    <w:unhideWhenUsed/>
    <w:rsid w:val="00C340F7"/>
    <w:pPr>
      <w:ind w:left="960"/>
    </w:pPr>
    <w:rPr>
      <w:rFonts w:cstheme="minorHAnsi"/>
      <w:sz w:val="20"/>
      <w:szCs w:val="20"/>
    </w:rPr>
  </w:style>
  <w:style w:type="paragraph" w:styleId="TOC6">
    <w:name w:val="toc 6"/>
    <w:basedOn w:val="Normal"/>
    <w:next w:val="Normal"/>
    <w:autoRedefine/>
    <w:uiPriority w:val="39"/>
    <w:unhideWhenUsed/>
    <w:rsid w:val="00C340F7"/>
    <w:pPr>
      <w:ind w:left="1200"/>
    </w:pPr>
    <w:rPr>
      <w:rFonts w:cstheme="minorHAnsi"/>
      <w:sz w:val="20"/>
      <w:szCs w:val="20"/>
    </w:rPr>
  </w:style>
  <w:style w:type="paragraph" w:styleId="TOC7">
    <w:name w:val="toc 7"/>
    <w:basedOn w:val="Normal"/>
    <w:next w:val="Normal"/>
    <w:autoRedefine/>
    <w:uiPriority w:val="39"/>
    <w:unhideWhenUsed/>
    <w:rsid w:val="00C340F7"/>
    <w:pPr>
      <w:ind w:left="1440"/>
    </w:pPr>
    <w:rPr>
      <w:rFonts w:cstheme="minorHAnsi"/>
      <w:sz w:val="20"/>
      <w:szCs w:val="20"/>
    </w:rPr>
  </w:style>
  <w:style w:type="paragraph" w:styleId="TOC8">
    <w:name w:val="toc 8"/>
    <w:basedOn w:val="Normal"/>
    <w:next w:val="Normal"/>
    <w:autoRedefine/>
    <w:uiPriority w:val="39"/>
    <w:unhideWhenUsed/>
    <w:rsid w:val="00C340F7"/>
    <w:pPr>
      <w:ind w:left="1680"/>
    </w:pPr>
    <w:rPr>
      <w:rFonts w:cstheme="minorHAnsi"/>
      <w:sz w:val="20"/>
      <w:szCs w:val="20"/>
    </w:rPr>
  </w:style>
  <w:style w:type="paragraph" w:styleId="TOC9">
    <w:name w:val="toc 9"/>
    <w:basedOn w:val="Normal"/>
    <w:next w:val="Normal"/>
    <w:autoRedefine/>
    <w:uiPriority w:val="39"/>
    <w:unhideWhenUsed/>
    <w:rsid w:val="00C340F7"/>
    <w:pPr>
      <w:ind w:left="1920"/>
    </w:pPr>
    <w:rPr>
      <w:rFonts w:cstheme="minorHAnsi"/>
      <w:sz w:val="20"/>
      <w:szCs w:val="20"/>
    </w:rPr>
  </w:style>
  <w:style w:type="character" w:styleId="Hyperlink">
    <w:name w:val="Hyperlink"/>
    <w:basedOn w:val="DefaultParagraphFont"/>
    <w:uiPriority w:val="99"/>
    <w:unhideWhenUsed/>
    <w:rsid w:val="00C340F7"/>
    <w:rPr>
      <w:color w:val="0000FF" w:themeColor="hyperlink"/>
      <w:u w:val="single"/>
    </w:rPr>
  </w:style>
  <w:style w:type="paragraph" w:styleId="Caption">
    <w:name w:val="caption"/>
    <w:basedOn w:val="Normal"/>
    <w:next w:val="Normal"/>
    <w:uiPriority w:val="35"/>
    <w:semiHidden/>
    <w:unhideWhenUsed/>
    <w:rsid w:val="00322588"/>
    <w:pPr>
      <w:spacing w:after="200"/>
    </w:pPr>
    <w:rPr>
      <w:b/>
      <w:bCs/>
      <w:sz w:val="18"/>
      <w:szCs w:val="18"/>
    </w:rPr>
  </w:style>
  <w:style w:type="character" w:customStyle="1" w:styleId="NoSpacingChar">
    <w:name w:val="No Spacing Char"/>
    <w:basedOn w:val="DefaultParagraphFont"/>
    <w:link w:val="NoSpacing"/>
    <w:uiPriority w:val="1"/>
    <w:rsid w:val="00816CE1"/>
    <w:rPr>
      <w:sz w:val="24"/>
      <w:szCs w:val="32"/>
      <w:lang w:val="fr-FR"/>
    </w:rPr>
  </w:style>
  <w:style w:type="paragraph" w:customStyle="1" w:styleId="Frstasidansadressflt">
    <w:name w:val="Förstasidans adressfält"/>
    <w:basedOn w:val="Normal"/>
    <w:rsid w:val="00816CE1"/>
    <w:pPr>
      <w:spacing w:line="240" w:lineRule="exact"/>
    </w:pPr>
    <w:rPr>
      <w:rFonts w:ascii="Arial" w:eastAsia="Times New Roman" w:hAnsi="Arial"/>
      <w:sz w:val="14"/>
      <w:szCs w:val="20"/>
      <w:lang w:eastAsia="sv-SE" w:bidi="ar-SA"/>
    </w:rPr>
  </w:style>
  <w:style w:type="character" w:styleId="CommentReference">
    <w:name w:val="annotation reference"/>
    <w:basedOn w:val="DefaultParagraphFont"/>
    <w:uiPriority w:val="99"/>
    <w:semiHidden/>
    <w:unhideWhenUsed/>
    <w:rsid w:val="009C691C"/>
    <w:rPr>
      <w:sz w:val="16"/>
      <w:szCs w:val="16"/>
    </w:rPr>
  </w:style>
  <w:style w:type="paragraph" w:styleId="CommentText">
    <w:name w:val="annotation text"/>
    <w:basedOn w:val="Normal"/>
    <w:link w:val="CommentTextChar"/>
    <w:uiPriority w:val="99"/>
    <w:unhideWhenUsed/>
    <w:rsid w:val="009C691C"/>
    <w:rPr>
      <w:sz w:val="20"/>
      <w:szCs w:val="20"/>
    </w:rPr>
  </w:style>
  <w:style w:type="character" w:customStyle="1" w:styleId="CommentTextChar">
    <w:name w:val="Comment Text Char"/>
    <w:basedOn w:val="DefaultParagraphFont"/>
    <w:link w:val="CommentText"/>
    <w:uiPriority w:val="99"/>
    <w:rsid w:val="009C691C"/>
    <w:rPr>
      <w:sz w:val="20"/>
      <w:szCs w:val="20"/>
      <w:lang w:val="fr-FR"/>
    </w:rPr>
  </w:style>
  <w:style w:type="paragraph" w:styleId="CommentSubject">
    <w:name w:val="annotation subject"/>
    <w:basedOn w:val="CommentText"/>
    <w:next w:val="CommentText"/>
    <w:link w:val="CommentSubjectChar"/>
    <w:uiPriority w:val="99"/>
    <w:semiHidden/>
    <w:unhideWhenUsed/>
    <w:rsid w:val="009C691C"/>
    <w:rPr>
      <w:b/>
      <w:bCs/>
    </w:rPr>
  </w:style>
  <w:style w:type="character" w:customStyle="1" w:styleId="CommentSubjectChar">
    <w:name w:val="Comment Subject Char"/>
    <w:basedOn w:val="CommentTextChar"/>
    <w:link w:val="CommentSubject"/>
    <w:uiPriority w:val="99"/>
    <w:semiHidden/>
    <w:rsid w:val="009C691C"/>
    <w:rPr>
      <w:b/>
      <w:bCs/>
      <w:sz w:val="20"/>
      <w:szCs w:val="20"/>
      <w:lang w:val="fr-FR"/>
    </w:rPr>
  </w:style>
  <w:style w:type="character" w:styleId="UnresolvedMention">
    <w:name w:val="Unresolved Mention"/>
    <w:basedOn w:val="DefaultParagraphFont"/>
    <w:uiPriority w:val="99"/>
    <w:semiHidden/>
    <w:unhideWhenUsed/>
    <w:rsid w:val="00563F38"/>
    <w:rPr>
      <w:color w:val="605E5C"/>
      <w:shd w:val="clear" w:color="auto" w:fill="E1DFDD"/>
    </w:rPr>
  </w:style>
  <w:style w:type="paragraph" w:styleId="FootnoteText">
    <w:name w:val="footnote text"/>
    <w:basedOn w:val="Normal"/>
    <w:link w:val="FootnoteTextChar"/>
    <w:uiPriority w:val="99"/>
    <w:semiHidden/>
    <w:unhideWhenUsed/>
    <w:rsid w:val="00052BCF"/>
    <w:rPr>
      <w:sz w:val="20"/>
      <w:szCs w:val="20"/>
    </w:rPr>
  </w:style>
  <w:style w:type="character" w:customStyle="1" w:styleId="FootnoteTextChar">
    <w:name w:val="Footnote Text Char"/>
    <w:basedOn w:val="DefaultParagraphFont"/>
    <w:link w:val="FootnoteText"/>
    <w:uiPriority w:val="99"/>
    <w:semiHidden/>
    <w:rsid w:val="00052BCF"/>
    <w:rPr>
      <w:sz w:val="20"/>
      <w:szCs w:val="20"/>
      <w:lang w:val="fr-FR"/>
    </w:rPr>
  </w:style>
  <w:style w:type="character" w:styleId="FootnoteReference">
    <w:name w:val="footnote reference"/>
    <w:basedOn w:val="DefaultParagraphFont"/>
    <w:uiPriority w:val="99"/>
    <w:semiHidden/>
    <w:unhideWhenUsed/>
    <w:rsid w:val="00052BCF"/>
    <w:rPr>
      <w:vertAlign w:val="superscript"/>
    </w:rPr>
  </w:style>
  <w:style w:type="character" w:styleId="FollowedHyperlink">
    <w:name w:val="FollowedHyperlink"/>
    <w:basedOn w:val="DefaultParagraphFont"/>
    <w:uiPriority w:val="99"/>
    <w:semiHidden/>
    <w:unhideWhenUsed/>
    <w:rsid w:val="00267470"/>
    <w:rPr>
      <w:color w:val="800080" w:themeColor="followedHyperlink"/>
      <w:u w:val="single"/>
    </w:rPr>
  </w:style>
  <w:style w:type="paragraph" w:styleId="Revision">
    <w:name w:val="Revision"/>
    <w:hidden/>
    <w:uiPriority w:val="99"/>
    <w:semiHidden/>
    <w:rsid w:val="00E3779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88772">
      <w:bodyDiv w:val="1"/>
      <w:marLeft w:val="0"/>
      <w:marRight w:val="0"/>
      <w:marTop w:val="0"/>
      <w:marBottom w:val="0"/>
      <w:divBdr>
        <w:top w:val="none" w:sz="0" w:space="0" w:color="auto"/>
        <w:left w:val="none" w:sz="0" w:space="0" w:color="auto"/>
        <w:bottom w:val="none" w:sz="0" w:space="0" w:color="auto"/>
        <w:right w:val="none" w:sz="0" w:space="0" w:color="auto"/>
      </w:divBdr>
    </w:div>
    <w:div w:id="20165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or@lakemedelsverket.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LV tema">
      <a:dk1>
        <a:sysClr val="windowText" lastClr="000000"/>
      </a:dk1>
      <a:lt1>
        <a:sysClr val="window" lastClr="FFFFFF"/>
      </a:lt1>
      <a:dk2>
        <a:srgbClr val="1F497D"/>
      </a:dk2>
      <a:lt2>
        <a:srgbClr val="EEECE1"/>
      </a:lt2>
      <a:accent1>
        <a:srgbClr val="D18C00"/>
      </a:accent1>
      <a:accent2>
        <a:srgbClr val="1F5BA5"/>
      </a:accent2>
      <a:accent3>
        <a:srgbClr val="778AA2"/>
      </a:accent3>
      <a:accent4>
        <a:srgbClr val="757C14"/>
      </a:accent4>
      <a:accent5>
        <a:srgbClr val="9D969B"/>
      </a:accent5>
      <a:accent6>
        <a:srgbClr val="5A0F5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A7F1-8971-4D87-87DF-32614CA3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6860</Words>
  <Characters>39102</Characters>
  <Application>Microsoft Office Word</Application>
  <DocSecurity>0</DocSecurity>
  <Lines>325</Lines>
  <Paragraphs>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Isgren Therese</dc:creator>
  <cp:keywords/>
  <dc:description/>
  <cp:lastModifiedBy>Dimitris Dimitriadis</cp:lastModifiedBy>
  <cp:revision>4</cp:revision>
  <cp:lastPrinted>2008-03-04T14:06:00Z</cp:lastPrinted>
  <dcterms:created xsi:type="dcterms:W3CDTF">2021-06-28T07:23:00Z</dcterms:created>
  <dcterms:modified xsi:type="dcterms:W3CDTF">2021-07-12T15:38:00Z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09001be6847e232e</vt:lpwstr>
  </property>
  <property fmtid="{D5CDD505-2E9C-101B-9397-08002B2CF9AE}" pid="3" name="product_name">
    <vt:lpwstr>d2</vt:lpwstr>
  </property>
</Properties>
</file>