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59" w:rsidRPr="003A38BA" w:rsidRDefault="006D5959" w:rsidP="006D5959">
      <w:pPr>
        <w:jc w:val="center"/>
        <w:rPr>
          <w:b/>
          <w:sz w:val="32"/>
        </w:rPr>
      </w:pPr>
    </w:p>
    <w:p w:rsidR="006D5959" w:rsidRPr="003A38BA" w:rsidRDefault="006D5959" w:rsidP="006D5959">
      <w:pPr>
        <w:jc w:val="center"/>
        <w:rPr>
          <w:b/>
          <w:sz w:val="32"/>
        </w:rPr>
      </w:pPr>
    </w:p>
    <w:p w:rsidR="001B12A8" w:rsidRPr="00EE13A3" w:rsidRDefault="001B12A8" w:rsidP="001B12A8">
      <w:pPr>
        <w:ind w:left="0" w:firstLine="0"/>
        <w:jc w:val="center"/>
        <w:rPr>
          <w:rFonts w:ascii="Courier New" w:hAnsi="Courier New"/>
          <w:sz w:val="20"/>
        </w:rPr>
      </w:pPr>
      <w:r>
        <w:rPr>
          <w:rFonts w:ascii="Courier New" w:hAnsi="Courier New"/>
          <w:sz w:val="20"/>
        </w:rPr>
        <w:t>1. ------IND- 2017 0262 D-- ES- ------ 20190626 --- --- FINAL</w:t>
      </w:r>
    </w:p>
    <w:p w:rsidR="002A210D" w:rsidRPr="003A38BA" w:rsidRDefault="002A210D" w:rsidP="006D5959">
      <w:pPr>
        <w:jc w:val="cente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jc w:val="center"/>
        <w:rPr>
          <w:sz w:val="40"/>
        </w:rPr>
      </w:pPr>
      <w:r>
        <w:rPr>
          <w:b/>
          <w:sz w:val="40"/>
        </w:rPr>
        <w:t>Condiciones técnicas de ensayo para sistemas de señalización</w:t>
      </w:r>
    </w:p>
    <w:p w:rsidR="006D5959" w:rsidRPr="003A38BA" w:rsidRDefault="006D5959" w:rsidP="006D5959">
      <w:pPr>
        <w:rPr>
          <w:b/>
          <w:sz w:val="40"/>
        </w:rPr>
      </w:pPr>
    </w:p>
    <w:p w:rsidR="006D5959" w:rsidRPr="003A38BA" w:rsidRDefault="00C32DCC" w:rsidP="006D5959">
      <w:pPr>
        <w:jc w:val="center"/>
        <w:rPr>
          <w:b/>
          <w:sz w:val="40"/>
          <w:szCs w:val="40"/>
        </w:rPr>
      </w:pPr>
      <w:r>
        <w:rPr>
          <w:b/>
          <w:sz w:val="40"/>
        </w:rPr>
        <w:t xml:space="preserve">TP M </w:t>
      </w:r>
    </w:p>
    <w:p w:rsidR="006D5959" w:rsidRPr="003A38BA" w:rsidRDefault="006D5959" w:rsidP="00B032BC">
      <w:pPr>
        <w:jc w:val="center"/>
        <w:rPr>
          <w:b/>
          <w:sz w:val="40"/>
          <w:szCs w:val="40"/>
        </w:rPr>
      </w:pPr>
    </w:p>
    <w:p w:rsidR="006D5959" w:rsidRPr="003A38BA" w:rsidRDefault="00EB1650" w:rsidP="006D5959">
      <w:pPr>
        <w:jc w:val="center"/>
        <w:rPr>
          <w:sz w:val="36"/>
          <w:szCs w:val="36"/>
        </w:rPr>
      </w:pPr>
      <w:r>
        <w:rPr>
          <w:b/>
          <w:sz w:val="36"/>
        </w:rPr>
        <w:t>2018</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EB1650" w:rsidRPr="003A38BA" w:rsidRDefault="00EB1650" w:rsidP="00EB1650">
      <w:pPr>
        <w:jc w:val="center"/>
        <w:rPr>
          <w:sz w:val="32"/>
        </w:rPr>
      </w:pPr>
      <w:r>
        <w:rPr>
          <w:sz w:val="32"/>
        </w:rPr>
        <w:t>Elaboradas por el Instituto Federal de Caminos y Carreteras</w:t>
      </w:r>
    </w:p>
    <w:p w:rsidR="006D5959" w:rsidRPr="003A38BA" w:rsidRDefault="00EB1650" w:rsidP="00EB1650">
      <w:pPr>
        <w:jc w:val="center"/>
        <w:rPr>
          <w:sz w:val="32"/>
        </w:rPr>
      </w:pPr>
      <w:r>
        <w:rPr>
          <w:sz w:val="32"/>
        </w:rPr>
        <w:t>Bergisch Gladbach</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6D5959">
      <w:pPr>
        <w:jc w:val="center"/>
        <w:rPr>
          <w:sz w:val="32"/>
        </w:rPr>
      </w:pPr>
      <w:bookmarkStart w:id="0" w:name="_Toc382970342"/>
      <w:bookmarkStart w:id="1" w:name="_Toc382970502"/>
      <w:bookmarkStart w:id="2" w:name="_Toc382971511"/>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497E24" w:rsidP="006D5959">
      <w:pPr>
        <w:jc w:val="center"/>
        <w:rPr>
          <w:sz w:val="32"/>
        </w:rPr>
      </w:pPr>
      <w:bookmarkStart w:id="3" w:name="_Toc382970343"/>
      <w:bookmarkStart w:id="4" w:name="_Toc382970503"/>
      <w:bookmarkStart w:id="5" w:name="_Toc382971512"/>
      <w:bookmarkEnd w:id="0"/>
      <w:bookmarkEnd w:id="1"/>
      <w:bookmarkEnd w:id="2"/>
      <w:r>
        <w:rPr>
          <w:sz w:val="32"/>
        </w:rPr>
        <w:t>Edición de 2018</w:t>
      </w:r>
    </w:p>
    <w:p w:rsidR="006D5959" w:rsidRPr="003A38BA" w:rsidRDefault="006D5959" w:rsidP="008C55C5">
      <w:pPr>
        <w:pageBreakBefore/>
        <w:spacing w:before="8400" w:line="300" w:lineRule="exact"/>
        <w:ind w:left="0" w:firstLine="0"/>
        <w:rPr>
          <w:b/>
          <w:sz w:val="24"/>
        </w:rPr>
      </w:pPr>
      <w:r>
        <w:rPr>
          <w:b/>
          <w:sz w:val="24"/>
        </w:rPr>
        <w:lastRenderedPageBreak/>
        <w:t>Observación preliminar</w:t>
      </w:r>
      <w:bookmarkEnd w:id="3"/>
      <w:bookmarkEnd w:id="4"/>
      <w:bookmarkEnd w:id="5"/>
    </w:p>
    <w:p w:rsidR="006D5959" w:rsidRPr="003A38BA" w:rsidRDefault="006D5959" w:rsidP="006D5959"/>
    <w:p w:rsidR="006D5959" w:rsidRPr="003A38BA" w:rsidRDefault="00CC1B26" w:rsidP="00CC1B26">
      <w:pPr>
        <w:ind w:left="0" w:firstLine="0"/>
        <w:jc w:val="both"/>
      </w:pPr>
      <w:r>
        <w:t>Las «Condiciones técnicas de ensayo para sistemas de señalización» fueron elaboradas por el Instituto Federal de Caminos y Carreteras por orden del Ministerio Federal de Transporte e Infraestructuras Digitales (BMVI) y concertadas con los Estados federados, así como con los expertos en señalización de los Estados federados. Antes de la publicación por la Sociedad alemana de estudio para la señalización vial (DSGS e.V.) se pidió la opinión de la industria.</w:t>
      </w:r>
    </w:p>
    <w:p w:rsidR="00CC1B26" w:rsidRPr="003A38BA" w:rsidRDefault="003E1828" w:rsidP="004A2F9C">
      <w:pPr>
        <w:ind w:left="0" w:firstLine="0"/>
        <w:jc w:val="both"/>
      </w:pPr>
      <w:r>
        <w:t>Se han tenido en consideración las obligaciones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p w:rsidR="006D5959" w:rsidRPr="003A38BA" w:rsidRDefault="006D5959" w:rsidP="006D5959">
      <w:pPr>
        <w:jc w:val="center"/>
        <w:rPr>
          <w:b/>
          <w:sz w:val="28"/>
        </w:rPr>
        <w:sectPr w:rsidR="006D5959" w:rsidRPr="003A38BA">
          <w:headerReference w:type="even" r:id="rId8"/>
          <w:headerReference w:type="default" r:id="rId9"/>
          <w:footerReference w:type="even" r:id="rId10"/>
          <w:headerReference w:type="first" r:id="rId11"/>
          <w:footnotePr>
            <w:numRestart w:val="eachSect"/>
          </w:footnotePr>
          <w:pgSz w:w="11907" w:h="16840"/>
          <w:pgMar w:top="1134" w:right="992" w:bottom="1134" w:left="1418" w:header="720" w:footer="720" w:gutter="0"/>
          <w:pgNumType w:fmt="upperRoman" w:start="1"/>
          <w:cols w:space="720"/>
          <w:titlePg/>
        </w:sectPr>
      </w:pPr>
    </w:p>
    <w:sdt>
      <w:sdtPr>
        <w:rPr>
          <w:rFonts w:asciiTheme="minorHAnsi" w:eastAsiaTheme="minorHAnsi" w:hAnsiTheme="minorHAnsi" w:cstheme="minorBidi"/>
          <w:b w:val="0"/>
          <w:bCs w:val="0"/>
          <w:noProof/>
          <w:color w:val="auto"/>
          <w:sz w:val="22"/>
          <w:szCs w:val="22"/>
        </w:rPr>
        <w:id w:val="2540518"/>
        <w:docPartObj>
          <w:docPartGallery w:val="Table of Contents"/>
          <w:docPartUnique/>
        </w:docPartObj>
      </w:sdtPr>
      <w:sdtEndPr>
        <w:rPr>
          <w:sz w:val="24"/>
          <w:szCs w:val="24"/>
        </w:rPr>
      </w:sdtEndPr>
      <w:sdtContent>
        <w:p w:rsidR="002100A4" w:rsidRPr="003A38BA" w:rsidRDefault="002100A4">
          <w:pPr>
            <w:pStyle w:val="TOCHeading"/>
          </w:pPr>
          <w:r>
            <w:t>Contenido</w:t>
          </w:r>
        </w:p>
        <w:p w:rsidR="00BD7B44" w:rsidRDefault="004939B5">
          <w:pPr>
            <w:pStyle w:val="TOC1"/>
            <w:rPr>
              <w:rFonts w:asciiTheme="minorHAnsi" w:eastAsiaTheme="minorEastAsia" w:hAnsiTheme="minorHAnsi" w:cstheme="minorBidi"/>
              <w:b w:val="0"/>
              <w:sz w:val="22"/>
              <w:szCs w:val="22"/>
              <w:lang w:val="en-US" w:eastAsia="en-US" w:bidi="ar-SA"/>
            </w:rPr>
          </w:pPr>
          <w:r w:rsidRPr="003A38BA">
            <w:rPr>
              <w:rFonts w:asciiTheme="minorHAnsi" w:hAnsiTheme="minorHAnsi"/>
              <w:b w:val="0"/>
              <w:sz w:val="24"/>
              <w:szCs w:val="24"/>
            </w:rPr>
            <w:fldChar w:fldCharType="begin"/>
          </w:r>
          <w:r w:rsidR="002100A4" w:rsidRPr="003A38BA">
            <w:rPr>
              <w:rFonts w:asciiTheme="minorHAnsi" w:hAnsiTheme="minorHAnsi"/>
              <w:b w:val="0"/>
              <w:sz w:val="24"/>
              <w:szCs w:val="24"/>
            </w:rPr>
            <w:instrText xml:space="preserve"> TOC \o "1-3" \h \z \u </w:instrText>
          </w:r>
          <w:r w:rsidRPr="003A38BA">
            <w:rPr>
              <w:rFonts w:asciiTheme="minorHAnsi" w:hAnsiTheme="minorHAnsi"/>
              <w:b w:val="0"/>
              <w:sz w:val="24"/>
              <w:szCs w:val="24"/>
            </w:rPr>
            <w:fldChar w:fldCharType="separate"/>
          </w:r>
          <w:hyperlink w:anchor="_Toc12476327" w:history="1">
            <w:r w:rsidR="00BD7B44" w:rsidRPr="008A635F">
              <w:rPr>
                <w:rStyle w:val="Hyperlink"/>
                <w:rFonts w:eastAsiaTheme="majorEastAsia"/>
              </w:rPr>
              <w:t>1.</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Generalidades</w:t>
            </w:r>
            <w:r w:rsidR="00BD7B44">
              <w:rPr>
                <w:webHidden/>
              </w:rPr>
              <w:tab/>
            </w:r>
            <w:r w:rsidR="00BD7B44">
              <w:rPr>
                <w:webHidden/>
              </w:rPr>
              <w:fldChar w:fldCharType="begin"/>
            </w:r>
            <w:r w:rsidR="00BD7B44">
              <w:rPr>
                <w:webHidden/>
              </w:rPr>
              <w:instrText xml:space="preserve"> PAGEREF _Toc12476327 \h </w:instrText>
            </w:r>
            <w:r w:rsidR="00BD7B44">
              <w:rPr>
                <w:webHidden/>
              </w:rPr>
            </w:r>
            <w:r w:rsidR="00BD7B44">
              <w:rPr>
                <w:webHidden/>
              </w:rPr>
              <w:fldChar w:fldCharType="separate"/>
            </w:r>
            <w:r w:rsidR="00BD7B44">
              <w:rPr>
                <w:webHidden/>
              </w:rPr>
              <w:t>5</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28" w:history="1">
            <w:r w:rsidR="00BD7B44" w:rsidRPr="008A635F">
              <w:rPr>
                <w:rStyle w:val="Hyperlink"/>
                <w:rFonts w:eastAsiaTheme="majorEastAsia"/>
              </w:rPr>
              <w:t>2.</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Referencias normativas</w:t>
            </w:r>
            <w:r w:rsidR="00BD7B44">
              <w:rPr>
                <w:webHidden/>
              </w:rPr>
              <w:tab/>
            </w:r>
            <w:r w:rsidR="00BD7B44">
              <w:rPr>
                <w:webHidden/>
              </w:rPr>
              <w:fldChar w:fldCharType="begin"/>
            </w:r>
            <w:r w:rsidR="00BD7B44">
              <w:rPr>
                <w:webHidden/>
              </w:rPr>
              <w:instrText xml:space="preserve"> PAGEREF _Toc12476328 \h </w:instrText>
            </w:r>
            <w:r w:rsidR="00BD7B44">
              <w:rPr>
                <w:webHidden/>
              </w:rPr>
            </w:r>
            <w:r w:rsidR="00BD7B44">
              <w:rPr>
                <w:webHidden/>
              </w:rPr>
              <w:fldChar w:fldCharType="separate"/>
            </w:r>
            <w:r w:rsidR="00BD7B44">
              <w:rPr>
                <w:webHidden/>
              </w:rPr>
              <w:t>5</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29" w:history="1">
            <w:r w:rsidR="00BD7B44" w:rsidRPr="008A635F">
              <w:rPr>
                <w:rStyle w:val="Hyperlink"/>
                <w:rFonts w:eastAsiaTheme="majorEastAsia"/>
              </w:rPr>
              <w:t>3.</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Términos y definiciones</w:t>
            </w:r>
            <w:r w:rsidR="00BD7B44">
              <w:rPr>
                <w:webHidden/>
              </w:rPr>
              <w:tab/>
            </w:r>
            <w:r w:rsidR="00BD7B44">
              <w:rPr>
                <w:webHidden/>
              </w:rPr>
              <w:fldChar w:fldCharType="begin"/>
            </w:r>
            <w:r w:rsidR="00BD7B44">
              <w:rPr>
                <w:webHidden/>
              </w:rPr>
              <w:instrText xml:space="preserve"> PAGEREF _Toc12476329 \h </w:instrText>
            </w:r>
            <w:r w:rsidR="00BD7B44">
              <w:rPr>
                <w:webHidden/>
              </w:rPr>
            </w:r>
            <w:r w:rsidR="00BD7B44">
              <w:rPr>
                <w:webHidden/>
              </w:rPr>
              <w:fldChar w:fldCharType="separate"/>
            </w:r>
            <w:r w:rsidR="00BD7B44">
              <w:rPr>
                <w:webHidden/>
              </w:rPr>
              <w:t>6</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30" w:history="1">
            <w:r w:rsidR="00BD7B44" w:rsidRPr="008A635F">
              <w:rPr>
                <w:rStyle w:val="Hyperlink"/>
                <w:rFonts w:eastAsiaTheme="majorEastAsia"/>
              </w:rPr>
              <w:t>4.</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Ensayos de carga de sistemas de señalización</w:t>
            </w:r>
            <w:r w:rsidR="00BD7B44">
              <w:rPr>
                <w:webHidden/>
              </w:rPr>
              <w:tab/>
            </w:r>
            <w:r w:rsidR="00BD7B44">
              <w:rPr>
                <w:webHidden/>
              </w:rPr>
              <w:fldChar w:fldCharType="begin"/>
            </w:r>
            <w:r w:rsidR="00BD7B44">
              <w:rPr>
                <w:webHidden/>
              </w:rPr>
              <w:instrText xml:space="preserve"> PAGEREF _Toc12476330 \h </w:instrText>
            </w:r>
            <w:r w:rsidR="00BD7B44">
              <w:rPr>
                <w:webHidden/>
              </w:rPr>
            </w:r>
            <w:r w:rsidR="00BD7B44">
              <w:rPr>
                <w:webHidden/>
              </w:rPr>
              <w:fldChar w:fldCharType="separate"/>
            </w:r>
            <w:r w:rsidR="00BD7B44">
              <w:rPr>
                <w:webHidden/>
              </w:rPr>
              <w:t>6</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31" w:history="1">
            <w:r w:rsidR="00BD7B44" w:rsidRPr="008A635F">
              <w:rPr>
                <w:rStyle w:val="Hyperlink"/>
                <w:rFonts w:eastAsiaTheme="majorEastAsia" w:cs="Arial"/>
              </w:rPr>
              <w:t>4.1.</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Mesa giratoria</w:t>
            </w:r>
            <w:r w:rsidR="00BD7B44">
              <w:rPr>
                <w:webHidden/>
              </w:rPr>
              <w:tab/>
            </w:r>
            <w:r w:rsidR="00BD7B44">
              <w:rPr>
                <w:webHidden/>
              </w:rPr>
              <w:fldChar w:fldCharType="begin"/>
            </w:r>
            <w:r w:rsidR="00BD7B44">
              <w:rPr>
                <w:webHidden/>
              </w:rPr>
              <w:instrText xml:space="preserve"> PAGEREF _Toc12476331 \h </w:instrText>
            </w:r>
            <w:r w:rsidR="00BD7B44">
              <w:rPr>
                <w:webHidden/>
              </w:rPr>
            </w:r>
            <w:r w:rsidR="00BD7B44">
              <w:rPr>
                <w:webHidden/>
              </w:rPr>
              <w:fldChar w:fldCharType="separate"/>
            </w:r>
            <w:r w:rsidR="00BD7B44">
              <w:rPr>
                <w:webHidden/>
              </w:rPr>
              <w:t>6</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32" w:history="1">
            <w:r w:rsidR="00BD7B44" w:rsidRPr="008A635F">
              <w:rPr>
                <w:rStyle w:val="Hyperlink"/>
                <w:rFonts w:eastAsiaTheme="majorEastAsia" w:cs="Arial"/>
              </w:rPr>
              <w:t>4.1.1.</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Ruedas</w:t>
            </w:r>
            <w:r w:rsidR="00BD7B44">
              <w:rPr>
                <w:webHidden/>
              </w:rPr>
              <w:tab/>
            </w:r>
            <w:r w:rsidR="00BD7B44">
              <w:rPr>
                <w:webHidden/>
              </w:rPr>
              <w:fldChar w:fldCharType="begin"/>
            </w:r>
            <w:r w:rsidR="00BD7B44">
              <w:rPr>
                <w:webHidden/>
              </w:rPr>
              <w:instrText xml:space="preserve"> PAGEREF _Toc12476332 \h </w:instrText>
            </w:r>
            <w:r w:rsidR="00BD7B44">
              <w:rPr>
                <w:webHidden/>
              </w:rPr>
            </w:r>
            <w:r w:rsidR="00BD7B44">
              <w:rPr>
                <w:webHidden/>
              </w:rPr>
              <w:fldChar w:fldCharType="separate"/>
            </w:r>
            <w:r w:rsidR="00BD7B44">
              <w:rPr>
                <w:webHidden/>
              </w:rPr>
              <w:t>6</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33" w:history="1">
            <w:r w:rsidR="00BD7B44" w:rsidRPr="008A635F">
              <w:rPr>
                <w:rStyle w:val="Hyperlink"/>
                <w:rFonts w:eastAsiaTheme="majorEastAsia" w:cs="Arial"/>
              </w:rPr>
              <w:t>4.1.2.</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Probetas</w:t>
            </w:r>
            <w:r w:rsidR="00BD7B44">
              <w:rPr>
                <w:webHidden/>
              </w:rPr>
              <w:tab/>
            </w:r>
            <w:r w:rsidR="00BD7B44">
              <w:rPr>
                <w:webHidden/>
              </w:rPr>
              <w:fldChar w:fldCharType="begin"/>
            </w:r>
            <w:r w:rsidR="00BD7B44">
              <w:rPr>
                <w:webHidden/>
              </w:rPr>
              <w:instrText xml:space="preserve"> PAGEREF _Toc12476333 \h </w:instrText>
            </w:r>
            <w:r w:rsidR="00BD7B44">
              <w:rPr>
                <w:webHidden/>
              </w:rPr>
            </w:r>
            <w:r w:rsidR="00BD7B44">
              <w:rPr>
                <w:webHidden/>
              </w:rPr>
              <w:fldChar w:fldCharType="separate"/>
            </w:r>
            <w:r w:rsidR="00BD7B44">
              <w:rPr>
                <w:webHidden/>
              </w:rPr>
              <w:t>7</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34" w:history="1">
            <w:r w:rsidR="00BD7B44" w:rsidRPr="008A635F">
              <w:rPr>
                <w:rStyle w:val="Hyperlink"/>
                <w:rFonts w:eastAsiaTheme="majorEastAsia"/>
              </w:rPr>
              <w:t>4.1.3.</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Sistema de limpieza</w:t>
            </w:r>
            <w:r w:rsidR="00BD7B44">
              <w:rPr>
                <w:webHidden/>
              </w:rPr>
              <w:tab/>
            </w:r>
            <w:r w:rsidR="00BD7B44">
              <w:rPr>
                <w:webHidden/>
              </w:rPr>
              <w:fldChar w:fldCharType="begin"/>
            </w:r>
            <w:r w:rsidR="00BD7B44">
              <w:rPr>
                <w:webHidden/>
              </w:rPr>
              <w:instrText xml:space="preserve"> PAGEREF _Toc12476334 \h </w:instrText>
            </w:r>
            <w:r w:rsidR="00BD7B44">
              <w:rPr>
                <w:webHidden/>
              </w:rPr>
            </w:r>
            <w:r w:rsidR="00BD7B44">
              <w:rPr>
                <w:webHidden/>
              </w:rPr>
              <w:fldChar w:fldCharType="separate"/>
            </w:r>
            <w:r w:rsidR="00BD7B44">
              <w:rPr>
                <w:webHidden/>
              </w:rPr>
              <w:t>7</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35" w:history="1">
            <w:r w:rsidR="00BD7B44" w:rsidRPr="008A635F">
              <w:rPr>
                <w:rStyle w:val="Hyperlink"/>
                <w:rFonts w:eastAsiaTheme="majorEastAsia"/>
              </w:rPr>
              <w:t>4.2.</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Preparación de las probetas</w:t>
            </w:r>
            <w:r w:rsidR="00BD7B44">
              <w:rPr>
                <w:webHidden/>
              </w:rPr>
              <w:tab/>
            </w:r>
            <w:r w:rsidR="00BD7B44">
              <w:rPr>
                <w:webHidden/>
              </w:rPr>
              <w:fldChar w:fldCharType="begin"/>
            </w:r>
            <w:r w:rsidR="00BD7B44">
              <w:rPr>
                <w:webHidden/>
              </w:rPr>
              <w:instrText xml:space="preserve"> PAGEREF _Toc12476335 \h </w:instrText>
            </w:r>
            <w:r w:rsidR="00BD7B44">
              <w:rPr>
                <w:webHidden/>
              </w:rPr>
            </w:r>
            <w:r w:rsidR="00BD7B44">
              <w:rPr>
                <w:webHidden/>
              </w:rPr>
              <w:fldChar w:fldCharType="separate"/>
            </w:r>
            <w:r w:rsidR="00BD7B44">
              <w:rPr>
                <w:webHidden/>
              </w:rPr>
              <w:t>7</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36" w:history="1">
            <w:r w:rsidR="00BD7B44" w:rsidRPr="008A635F">
              <w:rPr>
                <w:rStyle w:val="Hyperlink"/>
                <w:rFonts w:eastAsiaTheme="majorEastAsia"/>
              </w:rPr>
              <w:t>4.2.1.</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Aplicación</w:t>
            </w:r>
            <w:r w:rsidR="00BD7B44">
              <w:rPr>
                <w:webHidden/>
              </w:rPr>
              <w:tab/>
            </w:r>
            <w:r w:rsidR="00BD7B44">
              <w:rPr>
                <w:webHidden/>
              </w:rPr>
              <w:fldChar w:fldCharType="begin"/>
            </w:r>
            <w:r w:rsidR="00BD7B44">
              <w:rPr>
                <w:webHidden/>
              </w:rPr>
              <w:instrText xml:space="preserve"> PAGEREF _Toc12476336 \h </w:instrText>
            </w:r>
            <w:r w:rsidR="00BD7B44">
              <w:rPr>
                <w:webHidden/>
              </w:rPr>
            </w:r>
            <w:r w:rsidR="00BD7B44">
              <w:rPr>
                <w:webHidden/>
              </w:rPr>
              <w:fldChar w:fldCharType="separate"/>
            </w:r>
            <w:r w:rsidR="00BD7B44">
              <w:rPr>
                <w:webHidden/>
              </w:rPr>
              <w:t>7</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37" w:history="1">
            <w:r w:rsidR="00BD7B44" w:rsidRPr="008A635F">
              <w:rPr>
                <w:rStyle w:val="Hyperlink"/>
                <w:rFonts w:eastAsiaTheme="majorEastAsia"/>
              </w:rPr>
              <w:t>4.2.2.</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Mediciones relativas a la aplicación</w:t>
            </w:r>
            <w:r w:rsidR="00BD7B44">
              <w:rPr>
                <w:webHidden/>
              </w:rPr>
              <w:tab/>
            </w:r>
            <w:r w:rsidR="00BD7B44">
              <w:rPr>
                <w:webHidden/>
              </w:rPr>
              <w:fldChar w:fldCharType="begin"/>
            </w:r>
            <w:r w:rsidR="00BD7B44">
              <w:rPr>
                <w:webHidden/>
              </w:rPr>
              <w:instrText xml:space="preserve"> PAGEREF _Toc12476337 \h </w:instrText>
            </w:r>
            <w:r w:rsidR="00BD7B44">
              <w:rPr>
                <w:webHidden/>
              </w:rPr>
            </w:r>
            <w:r w:rsidR="00BD7B44">
              <w:rPr>
                <w:webHidden/>
              </w:rPr>
              <w:fldChar w:fldCharType="separate"/>
            </w:r>
            <w:r w:rsidR="00BD7B44">
              <w:rPr>
                <w:webHidden/>
              </w:rPr>
              <w:t>9</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38" w:history="1">
            <w:r w:rsidR="00BD7B44" w:rsidRPr="008A635F">
              <w:rPr>
                <w:rStyle w:val="Hyperlink"/>
                <w:rFonts w:eastAsiaTheme="majorEastAsia" w:cs="Arial"/>
              </w:rPr>
              <w:t>4.2.3.</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Muestreo</w:t>
            </w:r>
            <w:r w:rsidR="00BD7B44">
              <w:rPr>
                <w:webHidden/>
              </w:rPr>
              <w:tab/>
            </w:r>
            <w:r w:rsidR="00BD7B44">
              <w:rPr>
                <w:webHidden/>
              </w:rPr>
              <w:fldChar w:fldCharType="begin"/>
            </w:r>
            <w:r w:rsidR="00BD7B44">
              <w:rPr>
                <w:webHidden/>
              </w:rPr>
              <w:instrText xml:space="preserve"> PAGEREF _Toc12476338 \h </w:instrText>
            </w:r>
            <w:r w:rsidR="00BD7B44">
              <w:rPr>
                <w:webHidden/>
              </w:rPr>
            </w:r>
            <w:r w:rsidR="00BD7B44">
              <w:rPr>
                <w:webHidden/>
              </w:rPr>
              <w:fldChar w:fldCharType="separate"/>
            </w:r>
            <w:r w:rsidR="00BD7B44">
              <w:rPr>
                <w:webHidden/>
              </w:rPr>
              <w:t>9</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39" w:history="1">
            <w:r w:rsidR="00BD7B44" w:rsidRPr="008A635F">
              <w:rPr>
                <w:rStyle w:val="Hyperlink"/>
                <w:rFonts w:eastAsiaTheme="majorEastAsia" w:cs="Arial"/>
              </w:rPr>
              <w:t>4.2.4.</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Tiempo de acondicionamiento</w:t>
            </w:r>
            <w:r w:rsidR="00BD7B44">
              <w:rPr>
                <w:webHidden/>
              </w:rPr>
              <w:tab/>
            </w:r>
            <w:r w:rsidR="00BD7B44">
              <w:rPr>
                <w:webHidden/>
              </w:rPr>
              <w:fldChar w:fldCharType="begin"/>
            </w:r>
            <w:r w:rsidR="00BD7B44">
              <w:rPr>
                <w:webHidden/>
              </w:rPr>
              <w:instrText xml:space="preserve"> PAGEREF _Toc12476339 \h </w:instrText>
            </w:r>
            <w:r w:rsidR="00BD7B44">
              <w:rPr>
                <w:webHidden/>
              </w:rPr>
            </w:r>
            <w:r w:rsidR="00BD7B44">
              <w:rPr>
                <w:webHidden/>
              </w:rPr>
              <w:fldChar w:fldCharType="separate"/>
            </w:r>
            <w:r w:rsidR="00BD7B44">
              <w:rPr>
                <w:webHidden/>
              </w:rPr>
              <w:t>10</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40" w:history="1">
            <w:r w:rsidR="00BD7B44" w:rsidRPr="008A635F">
              <w:rPr>
                <w:rStyle w:val="Hyperlink"/>
                <w:rFonts w:eastAsiaTheme="majorEastAsia"/>
              </w:rPr>
              <w:t>4.2.5.</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Sentido de aplicación</w:t>
            </w:r>
            <w:r w:rsidR="00BD7B44">
              <w:rPr>
                <w:webHidden/>
              </w:rPr>
              <w:tab/>
            </w:r>
            <w:r w:rsidR="00BD7B44">
              <w:rPr>
                <w:webHidden/>
              </w:rPr>
              <w:fldChar w:fldCharType="begin"/>
            </w:r>
            <w:r w:rsidR="00BD7B44">
              <w:rPr>
                <w:webHidden/>
              </w:rPr>
              <w:instrText xml:space="preserve"> PAGEREF _Toc12476340 \h </w:instrText>
            </w:r>
            <w:r w:rsidR="00BD7B44">
              <w:rPr>
                <w:webHidden/>
              </w:rPr>
            </w:r>
            <w:r w:rsidR="00BD7B44">
              <w:rPr>
                <w:webHidden/>
              </w:rPr>
              <w:fldChar w:fldCharType="separate"/>
            </w:r>
            <w:r w:rsidR="00BD7B44">
              <w:rPr>
                <w:webHidden/>
              </w:rPr>
              <w:t>10</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41" w:history="1">
            <w:r w:rsidR="00BD7B44" w:rsidRPr="008A635F">
              <w:rPr>
                <w:rStyle w:val="Hyperlink"/>
                <w:rFonts w:eastAsiaTheme="majorEastAsia" w:cs="Arial"/>
              </w:rPr>
              <w:t>4.3.</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Muestra de referencia</w:t>
            </w:r>
            <w:r w:rsidR="00BD7B44">
              <w:rPr>
                <w:webHidden/>
              </w:rPr>
              <w:tab/>
            </w:r>
            <w:r w:rsidR="00BD7B44">
              <w:rPr>
                <w:webHidden/>
              </w:rPr>
              <w:fldChar w:fldCharType="begin"/>
            </w:r>
            <w:r w:rsidR="00BD7B44">
              <w:rPr>
                <w:webHidden/>
              </w:rPr>
              <w:instrText xml:space="preserve"> PAGEREF _Toc12476341 \h </w:instrText>
            </w:r>
            <w:r w:rsidR="00BD7B44">
              <w:rPr>
                <w:webHidden/>
              </w:rPr>
            </w:r>
            <w:r w:rsidR="00BD7B44">
              <w:rPr>
                <w:webHidden/>
              </w:rPr>
              <w:fldChar w:fldCharType="separate"/>
            </w:r>
            <w:r w:rsidR="00BD7B44">
              <w:rPr>
                <w:webHidden/>
              </w:rPr>
              <w:t>10</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42" w:history="1">
            <w:r w:rsidR="00BD7B44" w:rsidRPr="008A635F">
              <w:rPr>
                <w:rStyle w:val="Hyperlink"/>
                <w:rFonts w:eastAsiaTheme="majorEastAsia"/>
              </w:rPr>
              <w:t>4.4.</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Ejecución del ensayo</w:t>
            </w:r>
            <w:r w:rsidR="00BD7B44">
              <w:rPr>
                <w:webHidden/>
              </w:rPr>
              <w:tab/>
            </w:r>
            <w:r w:rsidR="00BD7B44">
              <w:rPr>
                <w:webHidden/>
              </w:rPr>
              <w:fldChar w:fldCharType="begin"/>
            </w:r>
            <w:r w:rsidR="00BD7B44">
              <w:rPr>
                <w:webHidden/>
              </w:rPr>
              <w:instrText xml:space="preserve"> PAGEREF _Toc12476342 \h </w:instrText>
            </w:r>
            <w:r w:rsidR="00BD7B44">
              <w:rPr>
                <w:webHidden/>
              </w:rPr>
            </w:r>
            <w:r w:rsidR="00BD7B44">
              <w:rPr>
                <w:webHidden/>
              </w:rPr>
              <w:fldChar w:fldCharType="separate"/>
            </w:r>
            <w:r w:rsidR="00BD7B44">
              <w:rPr>
                <w:webHidden/>
              </w:rPr>
              <w:t>10</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43" w:history="1">
            <w:r w:rsidR="00BD7B44" w:rsidRPr="008A635F">
              <w:rPr>
                <w:rStyle w:val="Hyperlink"/>
                <w:rFonts w:eastAsiaTheme="majorEastAsia" w:cs="Arial"/>
              </w:rPr>
              <w:t>4.4.1.</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Condiciones de ensayo</w:t>
            </w:r>
            <w:r w:rsidR="00BD7B44">
              <w:rPr>
                <w:webHidden/>
              </w:rPr>
              <w:tab/>
            </w:r>
            <w:r w:rsidR="00BD7B44">
              <w:rPr>
                <w:webHidden/>
              </w:rPr>
              <w:fldChar w:fldCharType="begin"/>
            </w:r>
            <w:r w:rsidR="00BD7B44">
              <w:rPr>
                <w:webHidden/>
              </w:rPr>
              <w:instrText xml:space="preserve"> PAGEREF _Toc12476343 \h </w:instrText>
            </w:r>
            <w:r w:rsidR="00BD7B44">
              <w:rPr>
                <w:webHidden/>
              </w:rPr>
            </w:r>
            <w:r w:rsidR="00BD7B44">
              <w:rPr>
                <w:webHidden/>
              </w:rPr>
              <w:fldChar w:fldCharType="separate"/>
            </w:r>
            <w:r w:rsidR="00BD7B44">
              <w:rPr>
                <w:webHidden/>
              </w:rPr>
              <w:t>10</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44" w:history="1">
            <w:r w:rsidR="00BD7B44" w:rsidRPr="008A635F">
              <w:rPr>
                <w:rStyle w:val="Hyperlink"/>
                <w:rFonts w:eastAsiaTheme="majorEastAsia"/>
              </w:rPr>
              <w:t>4.4.2.</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Mediciones relativas al equipamiento y a las condiciones de ensayo</w:t>
            </w:r>
            <w:r w:rsidR="00BD7B44">
              <w:rPr>
                <w:webHidden/>
              </w:rPr>
              <w:tab/>
            </w:r>
            <w:r w:rsidR="00BD7B44">
              <w:rPr>
                <w:webHidden/>
              </w:rPr>
              <w:fldChar w:fldCharType="begin"/>
            </w:r>
            <w:r w:rsidR="00BD7B44">
              <w:rPr>
                <w:webHidden/>
              </w:rPr>
              <w:instrText xml:space="preserve"> PAGEREF _Toc12476344 \h </w:instrText>
            </w:r>
            <w:r w:rsidR="00BD7B44">
              <w:rPr>
                <w:webHidden/>
              </w:rPr>
            </w:r>
            <w:r w:rsidR="00BD7B44">
              <w:rPr>
                <w:webHidden/>
              </w:rPr>
              <w:fldChar w:fldCharType="separate"/>
            </w:r>
            <w:r w:rsidR="00BD7B44">
              <w:rPr>
                <w:webHidden/>
              </w:rPr>
              <w:t>11</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45" w:history="1">
            <w:r w:rsidR="00BD7B44" w:rsidRPr="008A635F">
              <w:rPr>
                <w:rStyle w:val="Hyperlink"/>
                <w:rFonts w:eastAsiaTheme="majorEastAsia"/>
              </w:rPr>
              <w:t>4.4.3.</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Mediciones de las propiedades técnicas de circulación de los sistemas de señalización</w:t>
            </w:r>
            <w:r w:rsidR="00BD7B44">
              <w:rPr>
                <w:webHidden/>
              </w:rPr>
              <w:tab/>
            </w:r>
            <w:r w:rsidR="00BD7B44">
              <w:rPr>
                <w:webHidden/>
              </w:rPr>
              <w:fldChar w:fldCharType="begin"/>
            </w:r>
            <w:r w:rsidR="00BD7B44">
              <w:rPr>
                <w:webHidden/>
              </w:rPr>
              <w:instrText xml:space="preserve"> PAGEREF _Toc12476345 \h </w:instrText>
            </w:r>
            <w:r w:rsidR="00BD7B44">
              <w:rPr>
                <w:webHidden/>
              </w:rPr>
            </w:r>
            <w:r w:rsidR="00BD7B44">
              <w:rPr>
                <w:webHidden/>
              </w:rPr>
              <w:fldChar w:fldCharType="separate"/>
            </w:r>
            <w:r w:rsidR="00BD7B44">
              <w:rPr>
                <w:webHidden/>
              </w:rPr>
              <w:t>12</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46" w:history="1">
            <w:r w:rsidR="00BD7B44" w:rsidRPr="008A635F">
              <w:rPr>
                <w:rStyle w:val="Hyperlink"/>
                <w:rFonts w:eastAsiaTheme="majorEastAsia"/>
              </w:rPr>
              <w:t>4.4.4.</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Evaluación de los ensayos</w:t>
            </w:r>
            <w:r w:rsidR="00BD7B44">
              <w:rPr>
                <w:webHidden/>
              </w:rPr>
              <w:tab/>
            </w:r>
            <w:r w:rsidR="00BD7B44">
              <w:rPr>
                <w:webHidden/>
              </w:rPr>
              <w:fldChar w:fldCharType="begin"/>
            </w:r>
            <w:r w:rsidR="00BD7B44">
              <w:rPr>
                <w:webHidden/>
              </w:rPr>
              <w:instrText xml:space="preserve"> PAGEREF _Toc12476346 \h </w:instrText>
            </w:r>
            <w:r w:rsidR="00BD7B44">
              <w:rPr>
                <w:webHidden/>
              </w:rPr>
            </w:r>
            <w:r w:rsidR="00BD7B44">
              <w:rPr>
                <w:webHidden/>
              </w:rPr>
              <w:fldChar w:fldCharType="separate"/>
            </w:r>
            <w:r w:rsidR="00BD7B44">
              <w:rPr>
                <w:webHidden/>
              </w:rPr>
              <w:t>12</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47" w:history="1">
            <w:r w:rsidR="00BD7B44" w:rsidRPr="008A635F">
              <w:rPr>
                <w:rStyle w:val="Hyperlink"/>
                <w:rFonts w:eastAsiaTheme="majorEastAsia"/>
              </w:rPr>
              <w:t>4.4.5.</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Control de los ensayos (reproducibilidad)</w:t>
            </w:r>
            <w:r w:rsidR="00BD7B44">
              <w:rPr>
                <w:webHidden/>
              </w:rPr>
              <w:tab/>
            </w:r>
            <w:r w:rsidR="00BD7B44">
              <w:rPr>
                <w:webHidden/>
              </w:rPr>
              <w:fldChar w:fldCharType="begin"/>
            </w:r>
            <w:r w:rsidR="00BD7B44">
              <w:rPr>
                <w:webHidden/>
              </w:rPr>
              <w:instrText xml:space="preserve"> PAGEREF _Toc12476347 \h </w:instrText>
            </w:r>
            <w:r w:rsidR="00BD7B44">
              <w:rPr>
                <w:webHidden/>
              </w:rPr>
            </w:r>
            <w:r w:rsidR="00BD7B44">
              <w:rPr>
                <w:webHidden/>
              </w:rPr>
              <w:fldChar w:fldCharType="separate"/>
            </w:r>
            <w:r w:rsidR="00BD7B44">
              <w:rPr>
                <w:webHidden/>
              </w:rPr>
              <w:t>13</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48" w:history="1">
            <w:r w:rsidR="00BD7B44" w:rsidRPr="008A635F">
              <w:rPr>
                <w:rStyle w:val="Hyperlink"/>
                <w:rFonts w:eastAsiaTheme="majorEastAsia"/>
              </w:rPr>
              <w:t>5.</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Ensayos físico-químicos de los materiales de señalización y coformulantes (ensayo de prototipo)</w:t>
            </w:r>
            <w:r w:rsidR="00BD7B44">
              <w:rPr>
                <w:webHidden/>
              </w:rPr>
              <w:tab/>
            </w:r>
            <w:r w:rsidR="00BD7B44">
              <w:rPr>
                <w:webHidden/>
              </w:rPr>
              <w:fldChar w:fldCharType="begin"/>
            </w:r>
            <w:r w:rsidR="00BD7B44">
              <w:rPr>
                <w:webHidden/>
              </w:rPr>
              <w:instrText xml:space="preserve"> PAGEREF _Toc12476348 \h </w:instrText>
            </w:r>
            <w:r w:rsidR="00BD7B44">
              <w:rPr>
                <w:webHidden/>
              </w:rPr>
            </w:r>
            <w:r w:rsidR="00BD7B44">
              <w:rPr>
                <w:webHidden/>
              </w:rPr>
              <w:fldChar w:fldCharType="separate"/>
            </w:r>
            <w:r w:rsidR="00BD7B44">
              <w:rPr>
                <w:webHidden/>
              </w:rPr>
              <w:t>13</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49" w:history="1">
            <w:r w:rsidR="00BD7B44" w:rsidRPr="008A635F">
              <w:rPr>
                <w:rStyle w:val="Hyperlink"/>
                <w:rFonts w:eastAsiaTheme="majorEastAsia"/>
              </w:rPr>
              <w:t>5.1.</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Generalidades</w:t>
            </w:r>
            <w:r w:rsidR="00BD7B44">
              <w:rPr>
                <w:webHidden/>
              </w:rPr>
              <w:tab/>
            </w:r>
            <w:r w:rsidR="00BD7B44">
              <w:rPr>
                <w:webHidden/>
              </w:rPr>
              <w:fldChar w:fldCharType="begin"/>
            </w:r>
            <w:r w:rsidR="00BD7B44">
              <w:rPr>
                <w:webHidden/>
              </w:rPr>
              <w:instrText xml:space="preserve"> PAGEREF _Toc12476349 \h </w:instrText>
            </w:r>
            <w:r w:rsidR="00BD7B44">
              <w:rPr>
                <w:webHidden/>
              </w:rPr>
            </w:r>
            <w:r w:rsidR="00BD7B44">
              <w:rPr>
                <w:webHidden/>
              </w:rPr>
              <w:fldChar w:fldCharType="separate"/>
            </w:r>
            <w:r w:rsidR="00BD7B44">
              <w:rPr>
                <w:webHidden/>
              </w:rPr>
              <w:t>13</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50" w:history="1">
            <w:r w:rsidR="00BD7B44" w:rsidRPr="008A635F">
              <w:rPr>
                <w:rStyle w:val="Hyperlink"/>
                <w:rFonts w:eastAsiaTheme="majorEastAsia"/>
              </w:rPr>
              <w:t>5.2.</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Muestreo</w:t>
            </w:r>
            <w:r w:rsidR="00BD7B44">
              <w:rPr>
                <w:webHidden/>
              </w:rPr>
              <w:tab/>
            </w:r>
            <w:r w:rsidR="00BD7B44">
              <w:rPr>
                <w:webHidden/>
              </w:rPr>
              <w:fldChar w:fldCharType="begin"/>
            </w:r>
            <w:r w:rsidR="00BD7B44">
              <w:rPr>
                <w:webHidden/>
              </w:rPr>
              <w:instrText xml:space="preserve"> PAGEREF _Toc12476350 \h </w:instrText>
            </w:r>
            <w:r w:rsidR="00BD7B44">
              <w:rPr>
                <w:webHidden/>
              </w:rPr>
            </w:r>
            <w:r w:rsidR="00BD7B44">
              <w:rPr>
                <w:webHidden/>
              </w:rPr>
              <w:fldChar w:fldCharType="separate"/>
            </w:r>
            <w:r w:rsidR="00BD7B44">
              <w:rPr>
                <w:webHidden/>
              </w:rPr>
              <w:t>14</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51" w:history="1">
            <w:r w:rsidR="00BD7B44" w:rsidRPr="008A635F">
              <w:rPr>
                <w:rStyle w:val="Hyperlink"/>
                <w:rFonts w:eastAsiaTheme="majorEastAsia"/>
              </w:rPr>
              <w:t>5.3.</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Ensayo de prototipo de sistemas de señalización no prefabricados</w:t>
            </w:r>
            <w:r w:rsidR="00BD7B44">
              <w:rPr>
                <w:webHidden/>
              </w:rPr>
              <w:tab/>
            </w:r>
            <w:r w:rsidR="00BD7B44">
              <w:rPr>
                <w:webHidden/>
              </w:rPr>
              <w:fldChar w:fldCharType="begin"/>
            </w:r>
            <w:r w:rsidR="00BD7B44">
              <w:rPr>
                <w:webHidden/>
              </w:rPr>
              <w:instrText xml:space="preserve"> PAGEREF _Toc12476351 \h </w:instrText>
            </w:r>
            <w:r w:rsidR="00BD7B44">
              <w:rPr>
                <w:webHidden/>
              </w:rPr>
            </w:r>
            <w:r w:rsidR="00BD7B44">
              <w:rPr>
                <w:webHidden/>
              </w:rPr>
              <w:fldChar w:fldCharType="separate"/>
            </w:r>
            <w:r w:rsidR="00BD7B44">
              <w:rPr>
                <w:webHidden/>
              </w:rPr>
              <w:t>15</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52" w:history="1">
            <w:r w:rsidR="00BD7B44" w:rsidRPr="008A635F">
              <w:rPr>
                <w:rStyle w:val="Hyperlink"/>
                <w:rFonts w:eastAsiaTheme="majorEastAsia"/>
              </w:rPr>
              <w:t>5.3.1.</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Determinación de las fracciones orgánicas e inorgánicas</w:t>
            </w:r>
            <w:r w:rsidR="00BD7B44">
              <w:rPr>
                <w:webHidden/>
              </w:rPr>
              <w:tab/>
            </w:r>
            <w:r w:rsidR="00BD7B44">
              <w:rPr>
                <w:webHidden/>
              </w:rPr>
              <w:fldChar w:fldCharType="begin"/>
            </w:r>
            <w:r w:rsidR="00BD7B44">
              <w:rPr>
                <w:webHidden/>
              </w:rPr>
              <w:instrText xml:space="preserve"> PAGEREF _Toc12476352 \h </w:instrText>
            </w:r>
            <w:r w:rsidR="00BD7B44">
              <w:rPr>
                <w:webHidden/>
              </w:rPr>
            </w:r>
            <w:r w:rsidR="00BD7B44">
              <w:rPr>
                <w:webHidden/>
              </w:rPr>
              <w:fldChar w:fldCharType="separate"/>
            </w:r>
            <w:r w:rsidR="00BD7B44">
              <w:rPr>
                <w:webHidden/>
              </w:rPr>
              <w:t>15</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53" w:history="1">
            <w:r w:rsidR="00BD7B44" w:rsidRPr="008A635F">
              <w:rPr>
                <w:rStyle w:val="Hyperlink"/>
                <w:rFonts w:eastAsiaTheme="majorEastAsia"/>
              </w:rPr>
              <w:t>5.3.2.</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Determinación de los compuestos orgánicos volátiles y de monómeros/oligómeros</w:t>
            </w:r>
            <w:r w:rsidR="00BD7B44">
              <w:rPr>
                <w:webHidden/>
              </w:rPr>
              <w:tab/>
            </w:r>
            <w:r w:rsidR="00BD7B44">
              <w:rPr>
                <w:webHidden/>
              </w:rPr>
              <w:fldChar w:fldCharType="begin"/>
            </w:r>
            <w:r w:rsidR="00BD7B44">
              <w:rPr>
                <w:webHidden/>
              </w:rPr>
              <w:instrText xml:space="preserve"> PAGEREF _Toc12476353 \h </w:instrText>
            </w:r>
            <w:r w:rsidR="00BD7B44">
              <w:rPr>
                <w:webHidden/>
              </w:rPr>
            </w:r>
            <w:r w:rsidR="00BD7B44">
              <w:rPr>
                <w:webHidden/>
              </w:rPr>
              <w:fldChar w:fldCharType="separate"/>
            </w:r>
            <w:r w:rsidR="00BD7B44">
              <w:rPr>
                <w:webHidden/>
              </w:rPr>
              <w:t>15</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54" w:history="1">
            <w:r w:rsidR="00BD7B44" w:rsidRPr="008A635F">
              <w:rPr>
                <w:rStyle w:val="Hyperlink"/>
                <w:rFonts w:eastAsiaTheme="majorEastAsia"/>
              </w:rPr>
              <w:t>5.3.3.</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Determinación del contenido de dióxido de titanio en los residuos inorgánicos</w:t>
            </w:r>
            <w:r w:rsidR="00BD7B44">
              <w:rPr>
                <w:webHidden/>
              </w:rPr>
              <w:tab/>
            </w:r>
            <w:r w:rsidR="00BD7B44">
              <w:rPr>
                <w:webHidden/>
              </w:rPr>
              <w:fldChar w:fldCharType="begin"/>
            </w:r>
            <w:r w:rsidR="00BD7B44">
              <w:rPr>
                <w:webHidden/>
              </w:rPr>
              <w:instrText xml:space="preserve"> PAGEREF _Toc12476354 \h </w:instrText>
            </w:r>
            <w:r w:rsidR="00BD7B44">
              <w:rPr>
                <w:webHidden/>
              </w:rPr>
            </w:r>
            <w:r w:rsidR="00BD7B44">
              <w:rPr>
                <w:webHidden/>
              </w:rPr>
              <w:fldChar w:fldCharType="separate"/>
            </w:r>
            <w:r w:rsidR="00BD7B44">
              <w:rPr>
                <w:webHidden/>
              </w:rPr>
              <w:t>15</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55" w:history="1">
            <w:r w:rsidR="00BD7B44" w:rsidRPr="008A635F">
              <w:rPr>
                <w:rStyle w:val="Hyperlink"/>
                <w:rFonts w:eastAsiaTheme="majorEastAsia"/>
              </w:rPr>
              <w:t>5.3.4.</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Determinación de las fracciones de cuerpos de premezcla</w:t>
            </w:r>
            <w:r w:rsidR="00BD7B44">
              <w:rPr>
                <w:webHidden/>
              </w:rPr>
              <w:tab/>
            </w:r>
            <w:r w:rsidR="00BD7B44">
              <w:rPr>
                <w:webHidden/>
              </w:rPr>
              <w:fldChar w:fldCharType="begin"/>
            </w:r>
            <w:r w:rsidR="00BD7B44">
              <w:rPr>
                <w:webHidden/>
              </w:rPr>
              <w:instrText xml:space="preserve"> PAGEREF _Toc12476355 \h </w:instrText>
            </w:r>
            <w:r w:rsidR="00BD7B44">
              <w:rPr>
                <w:webHidden/>
              </w:rPr>
            </w:r>
            <w:r w:rsidR="00BD7B44">
              <w:rPr>
                <w:webHidden/>
              </w:rPr>
              <w:fldChar w:fldCharType="separate"/>
            </w:r>
            <w:r w:rsidR="00BD7B44">
              <w:rPr>
                <w:webHidden/>
              </w:rPr>
              <w:t>15</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56" w:history="1">
            <w:r w:rsidR="00BD7B44" w:rsidRPr="008A635F">
              <w:rPr>
                <w:rStyle w:val="Hyperlink"/>
                <w:rFonts w:eastAsiaTheme="majorEastAsia"/>
              </w:rPr>
              <w:t>5.3.5.</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Determinación del punto de reblandecimiento según Wilhelmi</w:t>
            </w:r>
            <w:r w:rsidR="00BD7B44">
              <w:rPr>
                <w:webHidden/>
              </w:rPr>
              <w:tab/>
            </w:r>
            <w:r w:rsidR="00BD7B44">
              <w:rPr>
                <w:webHidden/>
              </w:rPr>
              <w:fldChar w:fldCharType="begin"/>
            </w:r>
            <w:r w:rsidR="00BD7B44">
              <w:rPr>
                <w:webHidden/>
              </w:rPr>
              <w:instrText xml:space="preserve"> PAGEREF _Toc12476356 \h </w:instrText>
            </w:r>
            <w:r w:rsidR="00BD7B44">
              <w:rPr>
                <w:webHidden/>
              </w:rPr>
            </w:r>
            <w:r w:rsidR="00BD7B44">
              <w:rPr>
                <w:webHidden/>
              </w:rPr>
              <w:fldChar w:fldCharType="separate"/>
            </w:r>
            <w:r w:rsidR="00BD7B44">
              <w:rPr>
                <w:webHidden/>
              </w:rPr>
              <w:t>16</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57" w:history="1">
            <w:r w:rsidR="00BD7B44" w:rsidRPr="008A635F">
              <w:rPr>
                <w:rStyle w:val="Hyperlink"/>
                <w:rFonts w:eastAsiaTheme="majorEastAsia"/>
              </w:rPr>
              <w:t>5.3.6.</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Resistencia a la penetración</w:t>
            </w:r>
            <w:r w:rsidR="00BD7B44">
              <w:rPr>
                <w:webHidden/>
              </w:rPr>
              <w:tab/>
            </w:r>
            <w:r w:rsidR="00BD7B44">
              <w:rPr>
                <w:webHidden/>
              </w:rPr>
              <w:fldChar w:fldCharType="begin"/>
            </w:r>
            <w:r w:rsidR="00BD7B44">
              <w:rPr>
                <w:webHidden/>
              </w:rPr>
              <w:instrText xml:space="preserve"> PAGEREF _Toc12476357 \h </w:instrText>
            </w:r>
            <w:r w:rsidR="00BD7B44">
              <w:rPr>
                <w:webHidden/>
              </w:rPr>
            </w:r>
            <w:r w:rsidR="00BD7B44">
              <w:rPr>
                <w:webHidden/>
              </w:rPr>
              <w:fldChar w:fldCharType="separate"/>
            </w:r>
            <w:r w:rsidR="00BD7B44">
              <w:rPr>
                <w:webHidden/>
              </w:rPr>
              <w:t>16</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58" w:history="1">
            <w:r w:rsidR="00BD7B44" w:rsidRPr="008A635F">
              <w:rPr>
                <w:rStyle w:val="Hyperlink"/>
                <w:rFonts w:eastAsiaTheme="majorEastAsia"/>
              </w:rPr>
              <w:t>5.3.7.</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Ensayo de presencia de plomo y cadmio en sistemas de señalización temporales</w:t>
            </w:r>
            <w:r w:rsidR="00BD7B44">
              <w:rPr>
                <w:webHidden/>
              </w:rPr>
              <w:tab/>
            </w:r>
            <w:r w:rsidR="00BD7B44">
              <w:rPr>
                <w:webHidden/>
              </w:rPr>
              <w:fldChar w:fldCharType="begin"/>
            </w:r>
            <w:r w:rsidR="00BD7B44">
              <w:rPr>
                <w:webHidden/>
              </w:rPr>
              <w:instrText xml:space="preserve"> PAGEREF _Toc12476358 \h </w:instrText>
            </w:r>
            <w:r w:rsidR="00BD7B44">
              <w:rPr>
                <w:webHidden/>
              </w:rPr>
            </w:r>
            <w:r w:rsidR="00BD7B44">
              <w:rPr>
                <w:webHidden/>
              </w:rPr>
              <w:fldChar w:fldCharType="separate"/>
            </w:r>
            <w:r w:rsidR="00BD7B44">
              <w:rPr>
                <w:webHidden/>
              </w:rPr>
              <w:t>16</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59" w:history="1">
            <w:r w:rsidR="00BD7B44" w:rsidRPr="008A635F">
              <w:rPr>
                <w:rStyle w:val="Hyperlink"/>
                <w:rFonts w:eastAsiaTheme="majorEastAsia"/>
              </w:rPr>
              <w:t>5.4.</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Ensayo de prototipo de láminas de señalización (procedimiento de identificación)</w:t>
            </w:r>
            <w:r w:rsidR="00BD7B44">
              <w:rPr>
                <w:webHidden/>
              </w:rPr>
              <w:tab/>
            </w:r>
            <w:r w:rsidR="00BD7B44">
              <w:rPr>
                <w:webHidden/>
              </w:rPr>
              <w:fldChar w:fldCharType="begin"/>
            </w:r>
            <w:r w:rsidR="00BD7B44">
              <w:rPr>
                <w:webHidden/>
              </w:rPr>
              <w:instrText xml:space="preserve"> PAGEREF _Toc12476359 \h </w:instrText>
            </w:r>
            <w:r w:rsidR="00BD7B44">
              <w:rPr>
                <w:webHidden/>
              </w:rPr>
            </w:r>
            <w:r w:rsidR="00BD7B44">
              <w:rPr>
                <w:webHidden/>
              </w:rPr>
              <w:fldChar w:fldCharType="separate"/>
            </w:r>
            <w:r w:rsidR="00BD7B44">
              <w:rPr>
                <w:webHidden/>
              </w:rPr>
              <w:t>16</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60" w:history="1">
            <w:r w:rsidR="00BD7B44" w:rsidRPr="008A635F">
              <w:rPr>
                <w:rStyle w:val="Hyperlink"/>
                <w:rFonts w:eastAsiaTheme="majorEastAsia"/>
              </w:rPr>
              <w:t>5.4.1.</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Muestras de retención de láminas</w:t>
            </w:r>
            <w:r w:rsidR="00BD7B44">
              <w:rPr>
                <w:webHidden/>
              </w:rPr>
              <w:tab/>
            </w:r>
            <w:r w:rsidR="00BD7B44">
              <w:rPr>
                <w:webHidden/>
              </w:rPr>
              <w:fldChar w:fldCharType="begin"/>
            </w:r>
            <w:r w:rsidR="00BD7B44">
              <w:rPr>
                <w:webHidden/>
              </w:rPr>
              <w:instrText xml:space="preserve"> PAGEREF _Toc12476360 \h </w:instrText>
            </w:r>
            <w:r w:rsidR="00BD7B44">
              <w:rPr>
                <w:webHidden/>
              </w:rPr>
            </w:r>
            <w:r w:rsidR="00BD7B44">
              <w:rPr>
                <w:webHidden/>
              </w:rPr>
              <w:fldChar w:fldCharType="separate"/>
            </w:r>
            <w:r w:rsidR="00BD7B44">
              <w:rPr>
                <w:webHidden/>
              </w:rPr>
              <w:t>16</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61" w:history="1">
            <w:r w:rsidR="00BD7B44" w:rsidRPr="008A635F">
              <w:rPr>
                <w:rStyle w:val="Hyperlink"/>
                <w:rFonts w:eastAsiaTheme="majorEastAsia"/>
              </w:rPr>
              <w:t>5.4.2.</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Análisis de imagen de las láminas señalización vial</w:t>
            </w:r>
            <w:r w:rsidR="00BD7B44">
              <w:rPr>
                <w:webHidden/>
              </w:rPr>
              <w:tab/>
            </w:r>
            <w:r w:rsidR="00BD7B44">
              <w:rPr>
                <w:webHidden/>
              </w:rPr>
              <w:fldChar w:fldCharType="begin"/>
            </w:r>
            <w:r w:rsidR="00BD7B44">
              <w:rPr>
                <w:webHidden/>
              </w:rPr>
              <w:instrText xml:space="preserve"> PAGEREF _Toc12476361 \h </w:instrText>
            </w:r>
            <w:r w:rsidR="00BD7B44">
              <w:rPr>
                <w:webHidden/>
              </w:rPr>
            </w:r>
            <w:r w:rsidR="00BD7B44">
              <w:rPr>
                <w:webHidden/>
              </w:rPr>
              <w:fldChar w:fldCharType="separate"/>
            </w:r>
            <w:r w:rsidR="00BD7B44">
              <w:rPr>
                <w:webHidden/>
              </w:rPr>
              <w:t>16</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62" w:history="1">
            <w:r w:rsidR="00BD7B44" w:rsidRPr="008A635F">
              <w:rPr>
                <w:rStyle w:val="Hyperlink"/>
                <w:rFonts w:eastAsiaTheme="majorEastAsia"/>
              </w:rPr>
              <w:t>5.4.3.</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Análisis termogravimétrico de láminas de señalización</w:t>
            </w:r>
            <w:r w:rsidR="00BD7B44">
              <w:rPr>
                <w:webHidden/>
              </w:rPr>
              <w:tab/>
            </w:r>
            <w:r w:rsidR="00BD7B44">
              <w:rPr>
                <w:webHidden/>
              </w:rPr>
              <w:fldChar w:fldCharType="begin"/>
            </w:r>
            <w:r w:rsidR="00BD7B44">
              <w:rPr>
                <w:webHidden/>
              </w:rPr>
              <w:instrText xml:space="preserve"> PAGEREF _Toc12476362 \h </w:instrText>
            </w:r>
            <w:r w:rsidR="00BD7B44">
              <w:rPr>
                <w:webHidden/>
              </w:rPr>
            </w:r>
            <w:r w:rsidR="00BD7B44">
              <w:rPr>
                <w:webHidden/>
              </w:rPr>
              <w:fldChar w:fldCharType="separate"/>
            </w:r>
            <w:r w:rsidR="00BD7B44">
              <w:rPr>
                <w:webHidden/>
              </w:rPr>
              <w:t>17</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63" w:history="1">
            <w:r w:rsidR="00BD7B44" w:rsidRPr="008A635F">
              <w:rPr>
                <w:rStyle w:val="Hyperlink"/>
                <w:rFonts w:eastAsiaTheme="majorEastAsia"/>
              </w:rPr>
              <w:t>5.4.4.</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Análisis de la capa adhesiva de las láminas</w:t>
            </w:r>
            <w:r w:rsidR="00BD7B44">
              <w:rPr>
                <w:webHidden/>
              </w:rPr>
              <w:tab/>
            </w:r>
            <w:r w:rsidR="00BD7B44">
              <w:rPr>
                <w:webHidden/>
              </w:rPr>
              <w:fldChar w:fldCharType="begin"/>
            </w:r>
            <w:r w:rsidR="00BD7B44">
              <w:rPr>
                <w:webHidden/>
              </w:rPr>
              <w:instrText xml:space="preserve"> PAGEREF _Toc12476363 \h </w:instrText>
            </w:r>
            <w:r w:rsidR="00BD7B44">
              <w:rPr>
                <w:webHidden/>
              </w:rPr>
            </w:r>
            <w:r w:rsidR="00BD7B44">
              <w:rPr>
                <w:webHidden/>
              </w:rPr>
              <w:fldChar w:fldCharType="separate"/>
            </w:r>
            <w:r w:rsidR="00BD7B44">
              <w:rPr>
                <w:webHidden/>
              </w:rPr>
              <w:t>17</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64" w:history="1">
            <w:r w:rsidR="00BD7B44" w:rsidRPr="008A635F">
              <w:rPr>
                <w:rStyle w:val="Hyperlink"/>
                <w:rFonts w:eastAsiaTheme="majorEastAsia"/>
              </w:rPr>
              <w:t>5.4.5.</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Análisis de productos de imprimación bituminosos</w:t>
            </w:r>
            <w:r w:rsidR="00BD7B44">
              <w:rPr>
                <w:webHidden/>
              </w:rPr>
              <w:tab/>
            </w:r>
            <w:r w:rsidR="00BD7B44">
              <w:rPr>
                <w:webHidden/>
              </w:rPr>
              <w:fldChar w:fldCharType="begin"/>
            </w:r>
            <w:r w:rsidR="00BD7B44">
              <w:rPr>
                <w:webHidden/>
              </w:rPr>
              <w:instrText xml:space="preserve"> PAGEREF _Toc12476364 \h </w:instrText>
            </w:r>
            <w:r w:rsidR="00BD7B44">
              <w:rPr>
                <w:webHidden/>
              </w:rPr>
            </w:r>
            <w:r w:rsidR="00BD7B44">
              <w:rPr>
                <w:webHidden/>
              </w:rPr>
              <w:fldChar w:fldCharType="separate"/>
            </w:r>
            <w:r w:rsidR="00BD7B44">
              <w:rPr>
                <w:webHidden/>
              </w:rPr>
              <w:t>17</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65" w:history="1">
            <w:r w:rsidR="00BD7B44" w:rsidRPr="008A635F">
              <w:rPr>
                <w:rStyle w:val="Hyperlink"/>
                <w:rFonts w:eastAsiaTheme="majorEastAsia"/>
              </w:rPr>
              <w:t>5.5.</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Ensayo de prototipo de coformulantes</w:t>
            </w:r>
            <w:r w:rsidR="00BD7B44">
              <w:rPr>
                <w:webHidden/>
              </w:rPr>
              <w:tab/>
            </w:r>
            <w:r w:rsidR="00BD7B44">
              <w:rPr>
                <w:webHidden/>
              </w:rPr>
              <w:fldChar w:fldCharType="begin"/>
            </w:r>
            <w:r w:rsidR="00BD7B44">
              <w:rPr>
                <w:webHidden/>
              </w:rPr>
              <w:instrText xml:space="preserve"> PAGEREF _Toc12476365 \h </w:instrText>
            </w:r>
            <w:r w:rsidR="00BD7B44">
              <w:rPr>
                <w:webHidden/>
              </w:rPr>
            </w:r>
            <w:r w:rsidR="00BD7B44">
              <w:rPr>
                <w:webHidden/>
              </w:rPr>
              <w:fldChar w:fldCharType="separate"/>
            </w:r>
            <w:r w:rsidR="00BD7B44">
              <w:rPr>
                <w:webHidden/>
              </w:rPr>
              <w:t>17</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66" w:history="1">
            <w:r w:rsidR="00BD7B44" w:rsidRPr="008A635F">
              <w:rPr>
                <w:rStyle w:val="Hyperlink"/>
                <w:rFonts w:eastAsiaTheme="majorEastAsia"/>
              </w:rPr>
              <w:t>5.5.1.</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Análisis de microesferas reflectantes y áridos antideslizantes (sistemas de materiales de premezclado y postmezclado)</w:t>
            </w:r>
            <w:r w:rsidR="00BD7B44">
              <w:rPr>
                <w:webHidden/>
              </w:rPr>
              <w:tab/>
            </w:r>
            <w:r w:rsidR="00BD7B44">
              <w:rPr>
                <w:webHidden/>
              </w:rPr>
              <w:fldChar w:fldCharType="begin"/>
            </w:r>
            <w:r w:rsidR="00BD7B44">
              <w:rPr>
                <w:webHidden/>
              </w:rPr>
              <w:instrText xml:space="preserve"> PAGEREF _Toc12476366 \h </w:instrText>
            </w:r>
            <w:r w:rsidR="00BD7B44">
              <w:rPr>
                <w:webHidden/>
              </w:rPr>
            </w:r>
            <w:r w:rsidR="00BD7B44">
              <w:rPr>
                <w:webHidden/>
              </w:rPr>
              <w:fldChar w:fldCharType="separate"/>
            </w:r>
            <w:r w:rsidR="00BD7B44">
              <w:rPr>
                <w:webHidden/>
              </w:rPr>
              <w:t>17</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67" w:history="1">
            <w:r w:rsidR="00BD7B44" w:rsidRPr="008A635F">
              <w:rPr>
                <w:rStyle w:val="Hyperlink"/>
                <w:rFonts w:eastAsiaTheme="majorEastAsia"/>
              </w:rPr>
              <w:t>5.5.2.</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Análisis del revestimiento de cuerpos reflectantes y áridos antideslizantes</w:t>
            </w:r>
            <w:r w:rsidR="00BD7B44">
              <w:rPr>
                <w:webHidden/>
              </w:rPr>
              <w:tab/>
            </w:r>
            <w:r w:rsidR="00BD7B44">
              <w:rPr>
                <w:webHidden/>
              </w:rPr>
              <w:fldChar w:fldCharType="begin"/>
            </w:r>
            <w:r w:rsidR="00BD7B44">
              <w:rPr>
                <w:webHidden/>
              </w:rPr>
              <w:instrText xml:space="preserve"> PAGEREF _Toc12476367 \h </w:instrText>
            </w:r>
            <w:r w:rsidR="00BD7B44">
              <w:rPr>
                <w:webHidden/>
              </w:rPr>
            </w:r>
            <w:r w:rsidR="00BD7B44">
              <w:rPr>
                <w:webHidden/>
              </w:rPr>
              <w:fldChar w:fldCharType="separate"/>
            </w:r>
            <w:r w:rsidR="00BD7B44">
              <w:rPr>
                <w:webHidden/>
              </w:rPr>
              <w:t>18</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68" w:history="1">
            <w:r w:rsidR="00BD7B44" w:rsidRPr="008A635F">
              <w:rPr>
                <w:rStyle w:val="Hyperlink"/>
                <w:rFonts w:eastAsiaTheme="majorEastAsia"/>
              </w:rPr>
              <w:t>5.5.3.</w:t>
            </w:r>
            <w:r w:rsidR="00BD7B44">
              <w:rPr>
                <w:rFonts w:asciiTheme="minorHAnsi" w:eastAsiaTheme="minorEastAsia" w:hAnsiTheme="minorHAnsi" w:cstheme="minorBidi"/>
                <w:b w:val="0"/>
                <w:sz w:val="22"/>
                <w:szCs w:val="22"/>
                <w:lang w:val="en-US" w:eastAsia="en-US" w:bidi="ar-SA"/>
              </w:rPr>
              <w:tab/>
            </w:r>
            <w:r w:rsidR="00BD7B44" w:rsidRPr="008A635F">
              <w:rPr>
                <w:rStyle w:val="Hyperlink"/>
                <w:rFonts w:eastAsiaTheme="majorEastAsia"/>
              </w:rPr>
              <w:t>Análisis del resto de coformulantes</w:t>
            </w:r>
            <w:r w:rsidR="00BD7B44">
              <w:rPr>
                <w:webHidden/>
              </w:rPr>
              <w:tab/>
            </w:r>
            <w:r w:rsidR="00BD7B44">
              <w:rPr>
                <w:webHidden/>
              </w:rPr>
              <w:fldChar w:fldCharType="begin"/>
            </w:r>
            <w:r w:rsidR="00BD7B44">
              <w:rPr>
                <w:webHidden/>
              </w:rPr>
              <w:instrText xml:space="preserve"> PAGEREF _Toc12476368 \h </w:instrText>
            </w:r>
            <w:r w:rsidR="00BD7B44">
              <w:rPr>
                <w:webHidden/>
              </w:rPr>
            </w:r>
            <w:r w:rsidR="00BD7B44">
              <w:rPr>
                <w:webHidden/>
              </w:rPr>
              <w:fldChar w:fldCharType="separate"/>
            </w:r>
            <w:r w:rsidR="00BD7B44">
              <w:rPr>
                <w:webHidden/>
              </w:rPr>
              <w:t>18</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69" w:history="1">
            <w:r w:rsidR="00BD7B44" w:rsidRPr="008A635F">
              <w:rPr>
                <w:rStyle w:val="Hyperlink"/>
                <w:rFonts w:eastAsiaTheme="majorEastAsia"/>
              </w:rPr>
              <w:t>Anexo A</w:t>
            </w:r>
            <w:r w:rsidR="00BD7B44">
              <w:rPr>
                <w:webHidden/>
              </w:rPr>
              <w:tab/>
            </w:r>
            <w:r w:rsidR="00BD7B44">
              <w:rPr>
                <w:webHidden/>
              </w:rPr>
              <w:fldChar w:fldCharType="begin"/>
            </w:r>
            <w:r w:rsidR="00BD7B44">
              <w:rPr>
                <w:webHidden/>
              </w:rPr>
              <w:instrText xml:space="preserve"> PAGEREF _Toc12476369 \h </w:instrText>
            </w:r>
            <w:r w:rsidR="00BD7B44">
              <w:rPr>
                <w:webHidden/>
              </w:rPr>
            </w:r>
            <w:r w:rsidR="00BD7B44">
              <w:rPr>
                <w:webHidden/>
              </w:rPr>
              <w:fldChar w:fldCharType="separate"/>
            </w:r>
            <w:r w:rsidR="00BD7B44">
              <w:rPr>
                <w:webHidden/>
              </w:rPr>
              <w:t>19</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70" w:history="1">
            <w:r w:rsidR="00BD7B44" w:rsidRPr="008A635F">
              <w:rPr>
                <w:rStyle w:val="Hyperlink"/>
                <w:rFonts w:eastAsiaTheme="majorEastAsia"/>
              </w:rPr>
              <w:t>Anexo B</w:t>
            </w:r>
            <w:r w:rsidR="00BD7B44">
              <w:rPr>
                <w:webHidden/>
              </w:rPr>
              <w:tab/>
            </w:r>
            <w:r w:rsidR="00BD7B44">
              <w:rPr>
                <w:webHidden/>
              </w:rPr>
              <w:fldChar w:fldCharType="begin"/>
            </w:r>
            <w:r w:rsidR="00BD7B44">
              <w:rPr>
                <w:webHidden/>
              </w:rPr>
              <w:instrText xml:space="preserve"> PAGEREF _Toc12476370 \h </w:instrText>
            </w:r>
            <w:r w:rsidR="00BD7B44">
              <w:rPr>
                <w:webHidden/>
              </w:rPr>
            </w:r>
            <w:r w:rsidR="00BD7B44">
              <w:rPr>
                <w:webHidden/>
              </w:rPr>
              <w:fldChar w:fldCharType="separate"/>
            </w:r>
            <w:r w:rsidR="00BD7B44">
              <w:rPr>
                <w:webHidden/>
              </w:rPr>
              <w:t>22</w:t>
            </w:r>
            <w:r w:rsidR="00BD7B44">
              <w:rPr>
                <w:webHidden/>
              </w:rPr>
              <w:fldChar w:fldCharType="end"/>
            </w:r>
          </w:hyperlink>
        </w:p>
        <w:p w:rsidR="00BD7B44" w:rsidRDefault="003406C9">
          <w:pPr>
            <w:pStyle w:val="TOC1"/>
            <w:rPr>
              <w:rFonts w:asciiTheme="minorHAnsi" w:eastAsiaTheme="minorEastAsia" w:hAnsiTheme="minorHAnsi" w:cstheme="minorBidi"/>
              <w:b w:val="0"/>
              <w:sz w:val="22"/>
              <w:szCs w:val="22"/>
              <w:lang w:val="en-US" w:eastAsia="en-US" w:bidi="ar-SA"/>
            </w:rPr>
          </w:pPr>
          <w:hyperlink w:anchor="_Toc12476371" w:history="1">
            <w:r w:rsidR="00BD7B44" w:rsidRPr="008A635F">
              <w:rPr>
                <w:rStyle w:val="Hyperlink"/>
                <w:rFonts w:eastAsiaTheme="majorEastAsia"/>
              </w:rPr>
              <w:t>Anexo C</w:t>
            </w:r>
            <w:r w:rsidR="00BD7B44">
              <w:rPr>
                <w:webHidden/>
              </w:rPr>
              <w:tab/>
            </w:r>
            <w:r w:rsidR="00BD7B44">
              <w:rPr>
                <w:webHidden/>
              </w:rPr>
              <w:fldChar w:fldCharType="begin"/>
            </w:r>
            <w:r w:rsidR="00BD7B44">
              <w:rPr>
                <w:webHidden/>
              </w:rPr>
              <w:instrText xml:space="preserve"> PAGEREF _Toc12476371 \h </w:instrText>
            </w:r>
            <w:r w:rsidR="00BD7B44">
              <w:rPr>
                <w:webHidden/>
              </w:rPr>
            </w:r>
            <w:r w:rsidR="00BD7B44">
              <w:rPr>
                <w:webHidden/>
              </w:rPr>
              <w:fldChar w:fldCharType="separate"/>
            </w:r>
            <w:r w:rsidR="00BD7B44">
              <w:rPr>
                <w:webHidden/>
              </w:rPr>
              <w:t>25</w:t>
            </w:r>
            <w:r w:rsidR="00BD7B44">
              <w:rPr>
                <w:webHidden/>
              </w:rPr>
              <w:fldChar w:fldCharType="end"/>
            </w:r>
          </w:hyperlink>
        </w:p>
        <w:p w:rsidR="00491D31" w:rsidRDefault="004939B5">
          <w:pPr>
            <w:pStyle w:val="TOC1"/>
            <w:rPr>
              <w:rFonts w:asciiTheme="minorHAnsi" w:eastAsiaTheme="minorEastAsia" w:hAnsiTheme="minorHAnsi" w:cstheme="minorBidi"/>
              <w:b w:val="0"/>
              <w:sz w:val="22"/>
              <w:szCs w:val="22"/>
            </w:rPr>
          </w:pPr>
          <w:r w:rsidRPr="003A38BA">
            <w:rPr>
              <w:sz w:val="24"/>
              <w:szCs w:val="24"/>
            </w:rPr>
            <w:fldChar w:fldCharType="end"/>
          </w:r>
        </w:p>
      </w:sdtContent>
    </w:sdt>
    <w:p w:rsidR="006D5959" w:rsidRPr="003A38BA" w:rsidRDefault="006D5959" w:rsidP="006D5959">
      <w:pPr>
        <w:spacing w:after="200" w:line="276" w:lineRule="auto"/>
        <w:rPr>
          <w:rFonts w:cs="Arial"/>
          <w:sz w:val="24"/>
          <w:szCs w:val="24"/>
        </w:rPr>
      </w:pPr>
    </w:p>
    <w:p w:rsidR="006D5959" w:rsidRPr="003A38BA" w:rsidRDefault="006D5959">
      <w:pPr>
        <w:rPr>
          <w:rFonts w:cs="Arial"/>
          <w:sz w:val="24"/>
          <w:szCs w:val="24"/>
          <w:highlight w:val="lightGray"/>
        </w:rPr>
      </w:pPr>
      <w:r>
        <w:br w:type="page"/>
      </w:r>
    </w:p>
    <w:p w:rsidR="00F9526A" w:rsidRPr="003A38BA" w:rsidRDefault="00F9526A" w:rsidP="007C21AF">
      <w:pPr>
        <w:pStyle w:val="Heading1"/>
        <w:numPr>
          <w:ilvl w:val="0"/>
          <w:numId w:val="5"/>
        </w:numPr>
        <w:jc w:val="both"/>
        <w:rPr>
          <w:sz w:val="24"/>
          <w:szCs w:val="24"/>
        </w:rPr>
      </w:pPr>
      <w:bookmarkStart w:id="6" w:name="_Toc2194156"/>
      <w:bookmarkStart w:id="7" w:name="_Toc12476327"/>
      <w:r>
        <w:rPr>
          <w:sz w:val="24"/>
        </w:rPr>
        <w:lastRenderedPageBreak/>
        <w:t>Generalidades</w:t>
      </w:r>
      <w:bookmarkEnd w:id="6"/>
      <w:bookmarkEnd w:id="7"/>
    </w:p>
    <w:p w:rsidR="00532584" w:rsidRPr="003A38BA" w:rsidRDefault="00F9526A" w:rsidP="007C21AF">
      <w:pPr>
        <w:spacing w:after="120"/>
        <w:ind w:left="0" w:firstLine="0"/>
        <w:jc w:val="both"/>
      </w:pPr>
      <w:r>
        <w:t>Las Condiciones técnicas de ensayo para sistemas de señalización (TP M) contienen los requisitos aplicables a los ensayos de idoneidad de la señalización permanente (blanca) y temporal (amarilla) producida con sistemas de señalización. Las disposiciones de estas TP M se basan en la norma de ensayo DIN EN 13197. Precisan esta norma en algunos puntos y establecen cuáles de los posibles parámetros de acuerdo con DIN EN 13197 deben aplicarse en Alemania. Siempre que en las distintas secciones no se haga distinción, las disposiciones se aplicarán tanto a la señalización permanente como a la temporal.</w:t>
      </w:r>
    </w:p>
    <w:p w:rsidR="00A2285F" w:rsidRPr="003A38BA" w:rsidRDefault="00A2285F" w:rsidP="007C21AF">
      <w:pPr>
        <w:spacing w:after="120"/>
        <w:ind w:left="0" w:firstLine="0"/>
        <w:jc w:val="both"/>
      </w:pPr>
      <w:r>
        <w:t xml:space="preserve">Las sustancias de señalización y coformulantes utilizados para la señalización deberán cumplir las «Condiciones técnicas de suministro para materiales de señalización (TL M)». Asimismo, la señalización deberá cumplir las «Condiciones técnicas contractuales complementarias y directrices para señalización vial (ZTV M)». </w:t>
      </w:r>
    </w:p>
    <w:p w:rsidR="00BE1620" w:rsidRPr="003A38BA" w:rsidRDefault="00BE1620" w:rsidP="007C21AF">
      <w:pPr>
        <w:spacing w:after="120"/>
        <w:ind w:left="0" w:firstLine="0"/>
        <w:jc w:val="both"/>
      </w:pPr>
      <w:r>
        <w:t>Los materiales de construcción y las mezclas de materiales de construcción para señalización vial fabricados o comercializados legalmente en otro Estado miembro de la Unión Europea o en Turquía, o fabricados legalmente en un Estado de la AELC firmante del Acuerdo EEE, se admitirán en Alemania si garantizan un nivel de protección de forma permanente que se corresponda con el definido en las «Condiciones técnicas contractuales complementarias y directrices para señalización vial (ZTV M)» y en las «Condiciones técnicas de suministro para materiales de señalización (TL M)».</w:t>
      </w:r>
    </w:p>
    <w:p w:rsidR="002A210D" w:rsidRPr="003A38BA" w:rsidRDefault="002A210D" w:rsidP="007C21AF">
      <w:pPr>
        <w:pStyle w:val="Heading1"/>
        <w:numPr>
          <w:ilvl w:val="0"/>
          <w:numId w:val="5"/>
        </w:numPr>
        <w:jc w:val="both"/>
        <w:rPr>
          <w:sz w:val="24"/>
          <w:szCs w:val="24"/>
        </w:rPr>
      </w:pPr>
      <w:bookmarkStart w:id="8" w:name="_Toc2194157"/>
      <w:bookmarkStart w:id="9" w:name="_Toc12476328"/>
      <w:r>
        <w:rPr>
          <w:sz w:val="24"/>
        </w:rPr>
        <w:t>Referencias normativas</w:t>
      </w:r>
      <w:bookmarkEnd w:id="8"/>
      <w:bookmarkEnd w:id="9"/>
    </w:p>
    <w:p w:rsidR="002A210D" w:rsidRPr="003A38BA" w:rsidRDefault="002A210D" w:rsidP="007C21AF">
      <w:pPr>
        <w:ind w:left="0" w:firstLine="0"/>
        <w:jc w:val="both"/>
      </w:pPr>
      <w:r>
        <w:t xml:space="preserve">Los siguientes documentos citados son obligatorios para la aplicación de este documento. Para las normativas con fecha, solo será válida la edición a la que se hace referencia. Para las normativas sin fecha, se considerará válida la última edición del documento al que se hace referencia. </w:t>
      </w:r>
    </w:p>
    <w:p w:rsidR="001E3D7B" w:rsidRPr="003A38BA" w:rsidRDefault="001E3D7B" w:rsidP="007C21AF">
      <w:pPr>
        <w:ind w:left="0" w:firstLine="0"/>
        <w:jc w:val="both"/>
        <w:rPr>
          <w:i/>
        </w:rPr>
      </w:pPr>
    </w:p>
    <w:p w:rsidR="00D74A8B" w:rsidRPr="003A38BA" w:rsidRDefault="008D2005" w:rsidP="007C21AF">
      <w:pPr>
        <w:spacing w:after="120"/>
        <w:ind w:left="0" w:firstLine="0"/>
        <w:jc w:val="both"/>
        <w:rPr>
          <w:i/>
        </w:rPr>
      </w:pPr>
      <w:r>
        <w:rPr>
          <w:i/>
        </w:rPr>
        <w:t xml:space="preserve">DIN EN 1423 Materiales para señalización vial horizontal. Materiales de postmezclado. Microesferas de vidrio, áridos antideslizantes y mezclas de ambos. </w:t>
      </w:r>
    </w:p>
    <w:p w:rsidR="004C32A6" w:rsidRPr="003A38BA" w:rsidRDefault="008D2005" w:rsidP="007C21AF">
      <w:pPr>
        <w:spacing w:after="120"/>
        <w:ind w:left="0" w:firstLine="0"/>
        <w:jc w:val="both"/>
        <w:rPr>
          <w:i/>
        </w:rPr>
      </w:pPr>
      <w:r>
        <w:rPr>
          <w:i/>
        </w:rPr>
        <w:t>DIN EN 1424 Materiales para señalización vial horizontal. Microesferas de vidrio de premezclado.</w:t>
      </w:r>
    </w:p>
    <w:p w:rsidR="00D74A8B" w:rsidRPr="003A38BA" w:rsidRDefault="008D2005" w:rsidP="007C21AF">
      <w:pPr>
        <w:spacing w:after="120"/>
        <w:ind w:left="0" w:firstLine="0"/>
        <w:jc w:val="both"/>
        <w:rPr>
          <w:i/>
        </w:rPr>
      </w:pPr>
      <w:r>
        <w:rPr>
          <w:i/>
        </w:rPr>
        <w:t>DIN EN 1436 Materiales para señalización vial horizontal. Comportamiento de las marcas viales aplicadas sobre la calzada.</w:t>
      </w:r>
    </w:p>
    <w:p w:rsidR="00D74A8B" w:rsidRPr="003A38BA" w:rsidRDefault="008D2005" w:rsidP="007C21AF">
      <w:pPr>
        <w:spacing w:after="120"/>
        <w:ind w:left="0" w:firstLine="0"/>
        <w:jc w:val="both"/>
        <w:rPr>
          <w:i/>
        </w:rPr>
      </w:pPr>
      <w:r>
        <w:rPr>
          <w:i/>
        </w:rPr>
        <w:t>DIN EN 1790:2013 Materiales para señalización vial horizontal. Marcas viales prefabricadas.</w:t>
      </w:r>
    </w:p>
    <w:p w:rsidR="00D74A8B" w:rsidRPr="003A38BA" w:rsidRDefault="008D2005" w:rsidP="007C21AF">
      <w:pPr>
        <w:spacing w:after="120"/>
        <w:ind w:left="0" w:firstLine="0"/>
        <w:jc w:val="both"/>
        <w:rPr>
          <w:i/>
        </w:rPr>
      </w:pPr>
      <w:r>
        <w:rPr>
          <w:i/>
        </w:rPr>
        <w:t>DIN EN 1871:2000 Materiales para señalización vial. Pinturas, termoplásticos y materiales plásticos en frío. Propiedades físicas.</w:t>
      </w:r>
    </w:p>
    <w:p w:rsidR="00D74A8B" w:rsidRPr="003A38BA" w:rsidRDefault="008D2005" w:rsidP="007C21AF">
      <w:pPr>
        <w:spacing w:after="120"/>
        <w:ind w:left="0" w:firstLine="0"/>
        <w:jc w:val="both"/>
        <w:rPr>
          <w:i/>
        </w:rPr>
      </w:pPr>
      <w:r>
        <w:rPr>
          <w:i/>
        </w:rPr>
        <w:t>DIN EN 12802:2011 Materiales para señalización vial horizontal. Métodos de laboratorio para la identificación.</w:t>
      </w:r>
    </w:p>
    <w:p w:rsidR="001E5919" w:rsidRPr="003A38BA" w:rsidRDefault="007A6695" w:rsidP="007C21AF">
      <w:pPr>
        <w:spacing w:after="120"/>
        <w:ind w:left="0" w:firstLine="0"/>
        <w:jc w:val="both"/>
        <w:rPr>
          <w:i/>
        </w:rPr>
      </w:pPr>
      <w:r>
        <w:rPr>
          <w:i/>
        </w:rPr>
        <w:t>DIN EN 13036-1 Características superficiales de carreteras y aeropuertos. Métodos de ensayo. Parte 1: Medición de la profundidad de la macrotextura superficial del pavimento mediante el método volumétrico.</w:t>
      </w:r>
    </w:p>
    <w:p w:rsidR="00D74A8B" w:rsidRPr="003A38BA" w:rsidRDefault="008D2005" w:rsidP="007C21AF">
      <w:pPr>
        <w:spacing w:after="120"/>
        <w:ind w:left="0" w:firstLine="0"/>
        <w:jc w:val="both"/>
        <w:rPr>
          <w:i/>
        </w:rPr>
      </w:pPr>
      <w:r>
        <w:rPr>
          <w:i/>
        </w:rPr>
        <w:t>DIN EN 13197:2014 Materiales para señalización vial horizontal. Simulador de desgaste.</w:t>
      </w:r>
    </w:p>
    <w:p w:rsidR="008D2005" w:rsidRPr="00A37E2F" w:rsidRDefault="008D2005" w:rsidP="007C21AF">
      <w:pPr>
        <w:spacing w:after="120"/>
        <w:ind w:left="0" w:firstLine="0"/>
        <w:jc w:val="both"/>
        <w:rPr>
          <w:bCs/>
          <w:i/>
        </w:rPr>
      </w:pPr>
      <w:r>
        <w:rPr>
          <w:i/>
        </w:rPr>
        <w:t xml:space="preserve">DIN EN ISO 11885:2009 Calidad del agua. Determinación de elementos seleccionados por espectrometría de emisión óptica de plasma acoplado inductivamente (ICP-OES). </w:t>
      </w:r>
    </w:p>
    <w:p w:rsidR="008D2005" w:rsidRPr="003A38BA" w:rsidRDefault="008D2005" w:rsidP="007C21AF">
      <w:pPr>
        <w:spacing w:after="120"/>
        <w:ind w:left="0" w:firstLine="0"/>
        <w:jc w:val="both"/>
        <w:rPr>
          <w:i/>
        </w:rPr>
      </w:pPr>
      <w:r>
        <w:rPr>
          <w:i/>
        </w:rPr>
        <w:t>ISO 2811-1:2011 Pinturas y barnices. Determinación de la densidad. Parte 1: Método del picnómetro.</w:t>
      </w:r>
    </w:p>
    <w:p w:rsidR="008D2005" w:rsidRPr="003A38BA" w:rsidRDefault="008D2005" w:rsidP="007C21AF">
      <w:pPr>
        <w:spacing w:after="120"/>
        <w:ind w:left="0" w:firstLine="0"/>
        <w:jc w:val="both"/>
        <w:rPr>
          <w:i/>
        </w:rPr>
      </w:pPr>
      <w:r>
        <w:rPr>
          <w:i/>
        </w:rPr>
        <w:t>ISO 11466 Calidad del suelo. Extracción de elementos traza solubles en agua regia.</w:t>
      </w:r>
    </w:p>
    <w:p w:rsidR="00D74A8B" w:rsidRPr="003A38BA" w:rsidRDefault="008D2005" w:rsidP="007C21AF">
      <w:pPr>
        <w:spacing w:after="120"/>
        <w:ind w:left="0" w:firstLine="0"/>
        <w:jc w:val="both"/>
        <w:rPr>
          <w:i/>
        </w:rPr>
      </w:pPr>
      <w:r>
        <w:rPr>
          <w:i/>
        </w:rPr>
        <w:t>TL M Condiciones técnicas de suministro para materiales de señalización.</w:t>
      </w:r>
    </w:p>
    <w:p w:rsidR="00D74A8B" w:rsidRPr="003A38BA" w:rsidRDefault="00D74A8B" w:rsidP="007C21AF">
      <w:pPr>
        <w:spacing w:after="120"/>
        <w:ind w:left="0" w:firstLine="0"/>
        <w:jc w:val="both"/>
        <w:rPr>
          <w:i/>
        </w:rPr>
      </w:pPr>
      <w:r>
        <w:rPr>
          <w:i/>
        </w:rPr>
        <w:t>ZTV M Condiciones técnicas contractuales complementarias y directrices para señalización vial.</w:t>
      </w:r>
    </w:p>
    <w:p w:rsidR="00FC4346" w:rsidRPr="003A38BA" w:rsidRDefault="00FC4346" w:rsidP="007C21AF">
      <w:pPr>
        <w:pStyle w:val="Heading1"/>
        <w:numPr>
          <w:ilvl w:val="0"/>
          <w:numId w:val="5"/>
        </w:numPr>
        <w:jc w:val="both"/>
        <w:rPr>
          <w:sz w:val="24"/>
          <w:szCs w:val="24"/>
        </w:rPr>
      </w:pPr>
      <w:bookmarkStart w:id="10" w:name="_Toc2194158"/>
      <w:bookmarkStart w:id="11" w:name="_Toc12476329"/>
      <w:r>
        <w:rPr>
          <w:sz w:val="24"/>
        </w:rPr>
        <w:lastRenderedPageBreak/>
        <w:t>Términos y definiciones</w:t>
      </w:r>
      <w:bookmarkEnd w:id="10"/>
      <w:bookmarkEnd w:id="11"/>
    </w:p>
    <w:p w:rsidR="003000D1" w:rsidRPr="003A38BA" w:rsidRDefault="003000D1" w:rsidP="007C21AF">
      <w:pPr>
        <w:spacing w:after="120"/>
        <w:ind w:left="0" w:firstLine="0"/>
        <w:jc w:val="both"/>
      </w:pPr>
      <w:r>
        <w:t>Las definiciones de sustancias de señalización y coformulantes se extraerán de las TL M.</w:t>
      </w:r>
    </w:p>
    <w:p w:rsidR="00FC4346" w:rsidRPr="003A38BA" w:rsidRDefault="005E003F" w:rsidP="007C21AF">
      <w:pPr>
        <w:spacing w:after="120"/>
        <w:ind w:left="0" w:firstLine="0"/>
        <w:jc w:val="both"/>
      </w:pPr>
      <w:r>
        <w:t xml:space="preserve">Los </w:t>
      </w:r>
      <w:r>
        <w:rPr>
          <w:b/>
        </w:rPr>
        <w:t>sistemas de señalización</w:t>
      </w:r>
      <w:r>
        <w:t xml:space="preserve"> constan de sustancias de señalización y los correspondientes coformulantes y se aplican para el ensayo de aptitud en probetas especiales.</w:t>
      </w:r>
    </w:p>
    <w:p w:rsidR="009E5CB3" w:rsidRPr="003A38BA" w:rsidRDefault="008D2830" w:rsidP="007C21AF">
      <w:pPr>
        <w:spacing w:after="120"/>
        <w:ind w:left="0" w:firstLine="0"/>
        <w:jc w:val="both"/>
      </w:pPr>
      <w:r>
        <w:t xml:space="preserve">El </w:t>
      </w:r>
      <w:r>
        <w:rPr>
          <w:b/>
        </w:rPr>
        <w:t>ensayo de aptitud</w:t>
      </w:r>
      <w:r>
        <w:t xml:space="preserve"> de sistemas de señalización consiste en un </w:t>
      </w:r>
      <w:r>
        <w:rPr>
          <w:b/>
        </w:rPr>
        <w:t>ensayo de carga</w:t>
      </w:r>
      <w:r>
        <w:t xml:space="preserve"> en la mesa giratoria y en un </w:t>
      </w:r>
      <w:r>
        <w:rPr>
          <w:b/>
        </w:rPr>
        <w:t>ensayo físico-químico</w:t>
      </w:r>
      <w:r>
        <w:t xml:space="preserve"> (ensayo de prototipo).</w:t>
      </w:r>
    </w:p>
    <w:p w:rsidR="00C427EB" w:rsidRPr="003A38BA" w:rsidRDefault="00C427EB" w:rsidP="007C21AF">
      <w:pPr>
        <w:spacing w:after="120"/>
        <w:ind w:left="0" w:firstLine="0"/>
        <w:jc w:val="both"/>
      </w:pPr>
      <w:r>
        <w:t xml:space="preserve">EL </w:t>
      </w:r>
      <w:r>
        <w:rPr>
          <w:b/>
        </w:rPr>
        <w:t>solicitante</w:t>
      </w:r>
      <w:r>
        <w:t xml:space="preserve"> es aquel que solicita el ensayo de aptitud y que se indica como contacto responsable ante el laboratorio de ensayo acreditado.</w:t>
      </w:r>
    </w:p>
    <w:p w:rsidR="00C427EB" w:rsidRPr="003A38BA" w:rsidRDefault="00C427EB" w:rsidP="007C21AF">
      <w:pPr>
        <w:spacing w:after="120"/>
        <w:ind w:left="0" w:firstLine="0"/>
        <w:jc w:val="both"/>
      </w:pPr>
      <w:r>
        <w:t xml:space="preserve">El </w:t>
      </w:r>
      <w:r>
        <w:rPr>
          <w:b/>
        </w:rPr>
        <w:t>productor de la sustancia</w:t>
      </w:r>
      <w:r>
        <w:t xml:space="preserve"> es aquel que produce y comercializa las sustancias de señalización.</w:t>
      </w:r>
    </w:p>
    <w:p w:rsidR="00C427EB" w:rsidRPr="003A38BA" w:rsidRDefault="00C427EB" w:rsidP="007C21AF">
      <w:pPr>
        <w:spacing w:after="120"/>
        <w:ind w:left="0" w:firstLine="0"/>
        <w:jc w:val="both"/>
      </w:pPr>
      <w:r>
        <w:t xml:space="preserve">El </w:t>
      </w:r>
      <w:r>
        <w:rPr>
          <w:b/>
        </w:rPr>
        <w:t>productor de los materiales de postmezclado</w:t>
      </w:r>
      <w:r>
        <w:t xml:space="preserve"> es aquel que produce y comercializa los materiales de postmezclado.</w:t>
      </w:r>
    </w:p>
    <w:p w:rsidR="00C427EB" w:rsidRPr="003A38BA" w:rsidRDefault="009A49D5" w:rsidP="007C21AF">
      <w:pPr>
        <w:spacing w:after="120"/>
        <w:ind w:left="0" w:firstLine="0"/>
        <w:jc w:val="both"/>
      </w:pPr>
      <w:r>
        <w:t xml:space="preserve">Un </w:t>
      </w:r>
      <w:r>
        <w:rPr>
          <w:b/>
        </w:rPr>
        <w:t>certificado de ensayo</w:t>
      </w:r>
      <w:r>
        <w:t xml:space="preserve"> se emitirá siempre que se cumplan los requisitos mínimos nacionales y europeos.</w:t>
      </w:r>
    </w:p>
    <w:p w:rsidR="00C427EB" w:rsidRPr="003A38BA" w:rsidRDefault="009A49D5" w:rsidP="007C21AF">
      <w:pPr>
        <w:spacing w:after="120"/>
        <w:ind w:left="0" w:firstLine="0"/>
        <w:jc w:val="both"/>
      </w:pPr>
      <w:r>
        <w:t xml:space="preserve">Una </w:t>
      </w:r>
      <w:r>
        <w:rPr>
          <w:b/>
        </w:rPr>
        <w:t>confirmación del ensayo</w:t>
      </w:r>
      <w:r>
        <w:t xml:space="preserve"> se emitirá siempre que se cumplan los requisitos mínimos europeos.</w:t>
      </w:r>
    </w:p>
    <w:p w:rsidR="00D518B6" w:rsidRPr="003A38BA" w:rsidRDefault="007B7AA0" w:rsidP="007C21AF">
      <w:pPr>
        <w:spacing w:after="120"/>
        <w:ind w:left="0" w:firstLine="0"/>
        <w:jc w:val="both"/>
      </w:pPr>
      <w:r>
        <w:t xml:space="preserve">La abreviatura </w:t>
      </w:r>
      <w:r>
        <w:rPr>
          <w:b/>
        </w:rPr>
        <w:t>NPD (no performance determined)</w:t>
      </w:r>
      <w:r>
        <w:t xml:space="preserve"> significa que no se declara ningún rendimiento para las respectivas propiedades de los sistemas de señalización.</w:t>
      </w:r>
    </w:p>
    <w:p w:rsidR="000B6380" w:rsidRPr="003A38BA" w:rsidRDefault="00EC3056" w:rsidP="007C21AF">
      <w:pPr>
        <w:pStyle w:val="Heading1"/>
        <w:numPr>
          <w:ilvl w:val="0"/>
          <w:numId w:val="5"/>
        </w:numPr>
        <w:jc w:val="both"/>
        <w:rPr>
          <w:sz w:val="24"/>
          <w:szCs w:val="24"/>
        </w:rPr>
      </w:pPr>
      <w:bookmarkStart w:id="12" w:name="_Toc2194159"/>
      <w:bookmarkStart w:id="13" w:name="_Toc12476330"/>
      <w:r>
        <w:rPr>
          <w:sz w:val="24"/>
        </w:rPr>
        <w:t>Ensayos de carga de sistemas de señalización</w:t>
      </w:r>
      <w:bookmarkEnd w:id="12"/>
      <w:bookmarkEnd w:id="13"/>
    </w:p>
    <w:p w:rsidR="00B057A1" w:rsidRPr="003A38BA" w:rsidRDefault="004C2F96" w:rsidP="007C21AF">
      <w:pPr>
        <w:pStyle w:val="Heading1"/>
        <w:numPr>
          <w:ilvl w:val="1"/>
          <w:numId w:val="5"/>
        </w:numPr>
        <w:jc w:val="both"/>
        <w:rPr>
          <w:rFonts w:ascii="Arial" w:hAnsi="Arial" w:cs="Arial"/>
          <w:sz w:val="24"/>
          <w:szCs w:val="24"/>
        </w:rPr>
      </w:pPr>
      <w:bookmarkStart w:id="14" w:name="_Toc2194160"/>
      <w:bookmarkStart w:id="15" w:name="_Toc12476331"/>
      <w:r>
        <w:rPr>
          <w:sz w:val="24"/>
        </w:rPr>
        <w:t>Mesa giratoria</w:t>
      </w:r>
      <w:bookmarkEnd w:id="14"/>
      <w:bookmarkEnd w:id="15"/>
    </w:p>
    <w:p w:rsidR="00F9526A" w:rsidRPr="003A38BA" w:rsidRDefault="00F9526A" w:rsidP="007C21AF">
      <w:pPr>
        <w:spacing w:after="120"/>
        <w:ind w:left="0" w:firstLine="0"/>
        <w:jc w:val="both"/>
      </w:pPr>
      <w:r>
        <w:t>La mesa giratoria consiste en una placa giratoria dispuesta en horizontal con un diámetro exterior de 6,4 m. La velocidad periférica es regulable de forma continua hasta un máximo de 120 km/h. El giro puede tener lugar en ambas direcciones. El borde de la placa giratoria está equipado con carcasas dispuestas de forma radial para fijar las probetas. Las medidas de las carcasas resultan del tamaño de las probetas (véase la sección 4.1.2). La placa giratoria se encuentra en un espacio totalmente climatizado y cerradizo.</w:t>
      </w:r>
    </w:p>
    <w:p w:rsidR="004C2F96" w:rsidRPr="003A38BA" w:rsidRDefault="004C2F96" w:rsidP="007C21AF">
      <w:pPr>
        <w:pStyle w:val="Heading1"/>
        <w:numPr>
          <w:ilvl w:val="2"/>
          <w:numId w:val="5"/>
        </w:numPr>
        <w:ind w:left="1440" w:hanging="720"/>
        <w:jc w:val="both"/>
        <w:rPr>
          <w:rFonts w:ascii="Arial" w:hAnsi="Arial" w:cs="Arial"/>
          <w:sz w:val="24"/>
          <w:szCs w:val="24"/>
        </w:rPr>
      </w:pPr>
      <w:bookmarkStart w:id="16" w:name="_Toc2194161"/>
      <w:bookmarkStart w:id="17" w:name="_Toc12476332"/>
      <w:r>
        <w:rPr>
          <w:sz w:val="24"/>
        </w:rPr>
        <w:t>Ruedas</w:t>
      </w:r>
      <w:bookmarkEnd w:id="16"/>
      <w:bookmarkEnd w:id="17"/>
    </w:p>
    <w:p w:rsidR="00B2761F" w:rsidRPr="003A38BA" w:rsidRDefault="00B2761F" w:rsidP="007C21AF">
      <w:pPr>
        <w:spacing w:after="120"/>
        <w:ind w:left="0" w:firstLine="0"/>
        <w:jc w:val="both"/>
      </w:pPr>
      <w:r>
        <w:t>La carga de las probetas se produce por la rodadura repetida de un número determinado de ruedas. El número de ruedas, el tipo de neumáticos, la carga por rueda, la presión de los neumáticos, la inclinación y el deslizamiento influyen en la carga de las probetas.</w:t>
      </w:r>
    </w:p>
    <w:p w:rsidR="004F79C9" w:rsidRPr="003A38BA" w:rsidRDefault="00637513" w:rsidP="007C21AF">
      <w:pPr>
        <w:spacing w:after="120"/>
        <w:ind w:left="0" w:firstLine="0"/>
        <w:jc w:val="both"/>
      </w:pPr>
      <w:r>
        <w:t>La carga se realizará fundamentalmente según DIN EN 13197 con dos pares de ruedas. Las ruedas de los pares de ruedas están dispuestas frente a frente. Si con cuatro pares de ruedas se alcanzan resultados similares, también podrá realizarse el ensayo con cuatro pares de ruedas en vez de con dos pares de ruedas. Podrá suponerse una comparabilidad de los resultados cuando la visibilidad diurna y nocturna no presente un desvío superior al 15%, como máximo, y la adherencia no presente un desvío superior a ± 5 unidades SRT entre sí.</w:t>
      </w:r>
    </w:p>
    <w:p w:rsidR="0093336E" w:rsidRPr="003A38BA" w:rsidRDefault="002210B7" w:rsidP="007C21AF">
      <w:pPr>
        <w:spacing w:after="120"/>
        <w:ind w:left="0" w:firstLine="0"/>
        <w:jc w:val="both"/>
      </w:pPr>
      <w:r>
        <w:t xml:space="preserve">Cada ensayo comenzará con neumáticos nuevos. Se emplearán neumáticos de turismos de uso comercial. Los neumáticos deberán presentar unas dimensiones mínimas de 205/60, con el fin obtener un ancho de rodadura de al menos 150 mm. Siempre que el tipo de neumático empleado ya no pueda utilizarse, deberán realizarse ensayos comparativos para garantizar que con el nuevo tipo de neumático se alcancen resultados comparables. Para la evaluación de la comparabilidad serán aplicables los mismos límites que para el uso de cuatro pares de ruedas. </w:t>
      </w:r>
    </w:p>
    <w:p w:rsidR="007B668F" w:rsidRPr="003A38BA" w:rsidRDefault="003000D1" w:rsidP="0023536B">
      <w:pPr>
        <w:keepNext/>
        <w:spacing w:after="120"/>
        <w:ind w:left="0" w:firstLine="0"/>
        <w:jc w:val="both"/>
      </w:pPr>
      <w:r>
        <w:lastRenderedPageBreak/>
        <w:t xml:space="preserve">La mesa giratoria deberá cumplir las siguientes condiciones técnicas: </w:t>
      </w:r>
    </w:p>
    <w:p w:rsidR="00F9526A" w:rsidRPr="003A38BA" w:rsidRDefault="00886145" w:rsidP="007C21AF">
      <w:pPr>
        <w:spacing w:after="120"/>
        <w:ind w:left="0" w:firstLine="0"/>
        <w:jc w:val="both"/>
      </w:pPr>
      <w:r>
        <w:t>La carga por rueda puede ser de entre 0 N y 4 000 N. La presión de los neumáticos podrá ser de entre 0 MPa y 0,3 MPa. Las condiciones para el ensayo de aptitud de sistemas de señalización se indican en el cuadro 3. El sistema de fijación de las ruedas deberá permitir la configuración del deslizamiento con una tolerancia de ± 10’ y de la inclinación con una tolerancia de ± 1°. Antes del comienzo de un nuevo ensayo, deberá controlarse la configuración del deslizamiento y de la inclinación, así como la presión de los neumáticos. Tras cada interrupción prolongada del ensayo, deberán controlarse y, cuando resulte pertinente, corregirse los parámetros.</w:t>
      </w:r>
    </w:p>
    <w:p w:rsidR="00C145F2" w:rsidRPr="003A38BA" w:rsidRDefault="004C2F96" w:rsidP="007C21AF">
      <w:pPr>
        <w:pStyle w:val="Heading1"/>
        <w:numPr>
          <w:ilvl w:val="2"/>
          <w:numId w:val="5"/>
        </w:numPr>
        <w:ind w:left="1440" w:hanging="720"/>
        <w:jc w:val="both"/>
        <w:rPr>
          <w:rFonts w:ascii="Arial" w:hAnsi="Arial" w:cs="Arial"/>
          <w:sz w:val="24"/>
          <w:szCs w:val="24"/>
        </w:rPr>
      </w:pPr>
      <w:bookmarkStart w:id="18" w:name="_Toc2194162"/>
      <w:bookmarkStart w:id="19" w:name="_Toc12476333"/>
      <w:r>
        <w:rPr>
          <w:sz w:val="24"/>
        </w:rPr>
        <w:t>Probetas</w:t>
      </w:r>
      <w:bookmarkEnd w:id="18"/>
      <w:bookmarkEnd w:id="19"/>
    </w:p>
    <w:p w:rsidR="008E7BF5" w:rsidRPr="003A38BA" w:rsidRDefault="0029168C" w:rsidP="007C21AF">
      <w:pPr>
        <w:spacing w:after="120"/>
        <w:ind w:left="0" w:firstLine="0"/>
        <w:jc w:val="both"/>
      </w:pPr>
      <w:r>
        <w:t xml:space="preserve">Los sistemas de señalización que deberán someterse a ensayo se aplican en probetas especiales. Las probetas deberán poseer una rigidez adecuada para que el estado de la superficie durante el ensayo no se altere y para permitir su manipulación a temperaturas de hasta 50 °C sin deformaciones o roturas manifiestas. Para la producción de probetas se emplea un material bituminoso (por ejemplo, mástico asfáltico). La rugosidad de la superficie de las probetas se determinará de acuerdo con los procedimientos descritos en la norma DIN EN 13036-1. La rugosidad superficial es de ≤ 0,6 mm y corresponde a la clase RG 1 de DIN EN 13197. Las dimensiones de las probetas serán las siguientes: </w:t>
      </w:r>
    </w:p>
    <w:p w:rsidR="008E7BF5" w:rsidRPr="003A38BA" w:rsidRDefault="008E7BF5" w:rsidP="007C21AF">
      <w:pPr>
        <w:ind w:left="2160" w:hanging="744"/>
        <w:jc w:val="both"/>
      </w:pPr>
      <w:r>
        <w:t>Longitud:</w:t>
      </w:r>
      <w:r>
        <w:tab/>
        <w:t>397 mm (± 2 mm)</w:t>
      </w:r>
    </w:p>
    <w:p w:rsidR="008E7BF5" w:rsidRPr="003A38BA" w:rsidRDefault="008E7BF5" w:rsidP="007C21AF">
      <w:pPr>
        <w:ind w:left="2160" w:hanging="744"/>
        <w:jc w:val="both"/>
      </w:pPr>
      <w:r>
        <w:t>Anchura:</w:t>
      </w:r>
      <w:r>
        <w:tab/>
        <w:t>198 mm (± 2 mm)</w:t>
      </w:r>
    </w:p>
    <w:p w:rsidR="00DA60F8" w:rsidRPr="003A38BA" w:rsidRDefault="007B668F" w:rsidP="007C21AF">
      <w:pPr>
        <w:ind w:left="2160" w:hanging="744"/>
        <w:jc w:val="both"/>
      </w:pPr>
      <w:r>
        <w:t>Grosor:</w:t>
      </w:r>
      <w:r>
        <w:tab/>
      </w:r>
      <w:r w:rsidR="00F96B7C">
        <w:tab/>
      </w:r>
      <w:r>
        <w:t>48 mm (± 2 mm).</w:t>
      </w:r>
    </w:p>
    <w:p w:rsidR="008E7BF5" w:rsidRPr="003A38BA" w:rsidRDefault="008E7BF5" w:rsidP="007C21AF">
      <w:pPr>
        <w:ind w:left="708" w:firstLine="708"/>
        <w:jc w:val="both"/>
      </w:pPr>
    </w:p>
    <w:p w:rsidR="00C145F2" w:rsidRPr="003A38BA" w:rsidRDefault="00C145F2" w:rsidP="007C21AF">
      <w:pPr>
        <w:spacing w:after="120"/>
        <w:ind w:left="0" w:firstLine="0"/>
        <w:jc w:val="both"/>
      </w:pPr>
      <w:r>
        <w:t>La fijación de las probetas en la carcasa garantiza que los lados superiores de las probetas se encuentren a la misma altura que la parte exterior de la carcasa, con el fin de evitar saltos. Deberá existir una superficie de rodadura uniforme sin deslizamiento o vibraciones y las probetas deberán permanecer inamovibles en su carcasa.</w:t>
      </w:r>
    </w:p>
    <w:p w:rsidR="00234C80" w:rsidRPr="003A38BA" w:rsidRDefault="00234C80" w:rsidP="007C21AF">
      <w:pPr>
        <w:pStyle w:val="Heading1"/>
        <w:numPr>
          <w:ilvl w:val="2"/>
          <w:numId w:val="5"/>
        </w:numPr>
        <w:ind w:left="1440" w:hanging="720"/>
        <w:jc w:val="both"/>
        <w:rPr>
          <w:sz w:val="24"/>
          <w:szCs w:val="24"/>
        </w:rPr>
      </w:pPr>
      <w:bookmarkStart w:id="20" w:name="_Toc2194163"/>
      <w:bookmarkStart w:id="21" w:name="_Toc12476334"/>
      <w:r>
        <w:rPr>
          <w:sz w:val="24"/>
        </w:rPr>
        <w:t>Sistema de limpieza</w:t>
      </w:r>
      <w:bookmarkEnd w:id="20"/>
      <w:bookmarkEnd w:id="21"/>
    </w:p>
    <w:p w:rsidR="00234C80" w:rsidRPr="003A38BA" w:rsidRDefault="00234C80" w:rsidP="007C21AF">
      <w:pPr>
        <w:spacing w:after="120"/>
        <w:ind w:left="0" w:firstLine="0"/>
        <w:jc w:val="both"/>
      </w:pPr>
      <w:r>
        <w:t>Durante el ensayo, las partículas sueltas se eliminan de la placa giratoria mediante aire comprimido, con el objetivo de evitar una influencia mutua de las muestras.</w:t>
      </w:r>
    </w:p>
    <w:p w:rsidR="00921E13" w:rsidRPr="003A38BA" w:rsidRDefault="00921E13" w:rsidP="007C21AF">
      <w:pPr>
        <w:spacing w:after="120"/>
        <w:ind w:left="0" w:firstLine="0"/>
        <w:jc w:val="both"/>
      </w:pPr>
      <w:r>
        <w:t>Además, los neumáticos pueden refrigerarse durante el ensayo con agua pulverizada. La refrigeración de los neumáticos se requerirá siempre para termoplásticos.</w:t>
      </w:r>
    </w:p>
    <w:p w:rsidR="004C2F96" w:rsidRPr="003A38BA" w:rsidRDefault="000D70C0" w:rsidP="007C21AF">
      <w:pPr>
        <w:pStyle w:val="Heading1"/>
        <w:numPr>
          <w:ilvl w:val="1"/>
          <w:numId w:val="5"/>
        </w:numPr>
        <w:jc w:val="both"/>
        <w:rPr>
          <w:sz w:val="24"/>
          <w:szCs w:val="24"/>
        </w:rPr>
      </w:pPr>
      <w:bookmarkStart w:id="22" w:name="_Toc2194164"/>
      <w:bookmarkStart w:id="23" w:name="_Toc12476335"/>
      <w:r>
        <w:rPr>
          <w:sz w:val="24"/>
        </w:rPr>
        <w:t>Preparación de las probetas</w:t>
      </w:r>
      <w:bookmarkEnd w:id="22"/>
      <w:bookmarkEnd w:id="23"/>
    </w:p>
    <w:p w:rsidR="000D70C0" w:rsidRPr="003A38BA" w:rsidRDefault="000D70C0" w:rsidP="007C21AF">
      <w:pPr>
        <w:pStyle w:val="Heading1"/>
        <w:numPr>
          <w:ilvl w:val="2"/>
          <w:numId w:val="5"/>
        </w:numPr>
        <w:ind w:left="1440" w:hanging="720"/>
        <w:jc w:val="both"/>
        <w:rPr>
          <w:sz w:val="24"/>
          <w:szCs w:val="24"/>
        </w:rPr>
      </w:pPr>
      <w:bookmarkStart w:id="24" w:name="_Toc2194165"/>
      <w:bookmarkStart w:id="25" w:name="_Toc12476336"/>
      <w:r>
        <w:rPr>
          <w:sz w:val="24"/>
        </w:rPr>
        <w:t>Aplicación</w:t>
      </w:r>
      <w:bookmarkEnd w:id="24"/>
      <w:bookmarkEnd w:id="25"/>
    </w:p>
    <w:p w:rsidR="00F9526A" w:rsidRPr="003A38BA" w:rsidRDefault="00232406" w:rsidP="007C21AF">
      <w:pPr>
        <w:spacing w:after="120"/>
        <w:ind w:left="0" w:firstLine="0"/>
        <w:jc w:val="both"/>
      </w:pPr>
      <w:r>
        <w:t>Existen diversos factores en el marco de la aplicación que influyen en el ensayo: principalmente, el tipo de aplicación y la cantidad aplicada, el sentido de la aplicación y las condiciones de secado o endurecimiento.</w:t>
      </w:r>
    </w:p>
    <w:p w:rsidR="008A7AD1" w:rsidRPr="003A38BA" w:rsidRDefault="008A7AD1" w:rsidP="007C21AF">
      <w:pPr>
        <w:spacing w:after="120"/>
        <w:ind w:left="0" w:firstLine="0"/>
        <w:jc w:val="both"/>
      </w:pPr>
      <w:r>
        <w:t>El sistema de señalización se aplicará, por principio, de la forma prevista para la aplicación en la práctica. El solicitante deberá indicar todos los datos pertinentes para la aplicación, incluidos todos los componentes necesarios y sus respectivas cantidades, así como el tipo de aplicación. El procedimiento de aplicación (denominación detallada según el cuadro 1), así como todos los datos determinados durante la aplicación, se documentarán en el protocolo de aplicación. La aplicación se realizará bajo la supervisión de un laboratorio de ensayo acreditado o por una entidad autorizada por el laboratorio de ensayo acreditado. Si así lo desea, el solicitante podrá estar presenta en la aplicación.</w:t>
      </w:r>
    </w:p>
    <w:p w:rsidR="00921E13" w:rsidRPr="003A38BA" w:rsidRDefault="00921E13" w:rsidP="007C21AF">
      <w:pPr>
        <w:spacing w:after="120"/>
        <w:ind w:left="0" w:firstLine="0"/>
        <w:jc w:val="both"/>
      </w:pPr>
      <w:r>
        <w:t xml:space="preserve">Estudios revelan que los sistemas reactivos formados por 2 o 3 componentes (proporción de la fórmula de 98:2 o 1:1) alcanzan resultados comparables con respecto a las propiedades técnicas de </w:t>
      </w:r>
      <w:r>
        <w:lastRenderedPageBreak/>
        <w:t xml:space="preserve">circulación y que pueden aplicarse, teniendo en cuenta las indicaciones del productor, con cualquiera de las dos relaciones de mezcla. La relación de mezcla no se indicará en el certificado de ensayo, siempre que el productor de la sustancia, antes del ensayo, confirme por escrito que el material de señalización puede aplicarse sin diferencias en la composición química, tanto con una proporción de la fórmula de 98:2 como con una proporción de la fórmula de 1:1. El componente 98 del material de dos componentes corresponde a la mezcla de los componentes A y B del material de tres componentes con una relación de mezcla (en función de la proporción de la fórmula) de 1:1. De esto se excluyen los sistemas con microesferas reflectantes (denominadas microesferas reactivas). </w:t>
      </w:r>
    </w:p>
    <w:p w:rsidR="000D70C0" w:rsidRPr="003A38BA" w:rsidRDefault="003E3497" w:rsidP="007C21AF">
      <w:pPr>
        <w:pStyle w:val="Subtitle"/>
        <w:ind w:left="1440" w:hanging="1440"/>
        <w:jc w:val="both"/>
        <w:rPr>
          <w:spacing w:val="0"/>
          <w:sz w:val="22"/>
          <w:szCs w:val="22"/>
        </w:rPr>
      </w:pPr>
      <w:r>
        <w:rPr>
          <w:spacing w:val="0"/>
          <w:sz w:val="22"/>
        </w:rPr>
        <w:t>Cuadro 1:</w:t>
      </w:r>
      <w:r>
        <w:tab/>
      </w:r>
      <w:r>
        <w:rPr>
          <w:spacing w:val="0"/>
          <w:sz w:val="22"/>
        </w:rPr>
        <w:t>Denominación simplificada de las técnicas de aplicación en función del grupo de sustancia utilizado</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5103"/>
        <w:gridCol w:w="1701"/>
      </w:tblGrid>
      <w:tr w:rsidR="00D82DF7" w:rsidRPr="003A38BA" w:rsidTr="003E3497">
        <w:tc>
          <w:tcPr>
            <w:tcW w:w="2425" w:type="dxa"/>
            <w:shd w:val="clear" w:color="000000" w:fill="D8D8D8"/>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color w:val="000000"/>
                <w:sz w:val="20"/>
              </w:rPr>
              <w:t xml:space="preserve">Denominación simplificada de las técnicas de aplicación </w:t>
            </w:r>
          </w:p>
        </w:tc>
        <w:tc>
          <w:tcPr>
            <w:tcW w:w="5103" w:type="dxa"/>
            <w:shd w:val="clear" w:color="000000" w:fill="D8D8D8"/>
            <w:noWrap/>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color w:val="000000"/>
                <w:sz w:val="20"/>
              </w:rPr>
              <w:t>Denominaciones detalladas en el protocolo de aplicación</w:t>
            </w:r>
            <w:r>
              <w:rPr>
                <w:rStyle w:val="FootnoteReference"/>
                <w:rFonts w:ascii="Calibri" w:hAnsi="Calibri"/>
                <w:b/>
                <w:color w:val="000000"/>
                <w:sz w:val="20"/>
              </w:rPr>
              <w:footnoteReference w:id="1"/>
            </w:r>
          </w:p>
        </w:tc>
        <w:tc>
          <w:tcPr>
            <w:tcW w:w="1701" w:type="dxa"/>
            <w:shd w:val="clear" w:color="000000" w:fill="D8D8D8"/>
            <w:noWrap/>
            <w:vAlign w:val="center"/>
            <w:hideMark/>
          </w:tcPr>
          <w:p w:rsidR="00D82DF7" w:rsidRPr="003A38BA" w:rsidRDefault="00D82DF7" w:rsidP="00D82DF7">
            <w:pPr>
              <w:ind w:left="0" w:firstLine="0"/>
              <w:jc w:val="center"/>
              <w:rPr>
                <w:rFonts w:ascii="Calibri" w:eastAsia="Times New Roman" w:hAnsi="Calibri" w:cs="Times New Roman"/>
                <w:b/>
                <w:bCs/>
                <w:color w:val="000000"/>
                <w:sz w:val="20"/>
                <w:szCs w:val="20"/>
              </w:rPr>
            </w:pPr>
            <w:r>
              <w:rPr>
                <w:rFonts w:ascii="Calibri" w:hAnsi="Calibri"/>
                <w:b/>
                <w:color w:val="000000"/>
                <w:sz w:val="20"/>
              </w:rPr>
              <w:t>Grupo de sustancias</w:t>
            </w: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Técnica de pulverización</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i/>
                <w:color w:val="000000"/>
                <w:sz w:val="20"/>
              </w:rPr>
              <w:t>Airless</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Pinturas, plástico de pulverización en frío, termoplásticos</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Aire comprimido</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i/>
                <w:color w:val="000000"/>
                <w:sz w:val="20"/>
              </w:rPr>
              <w:t>On-Line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i/>
                <w:color w:val="000000"/>
                <w:sz w:val="20"/>
              </w:rPr>
              <w:t>Airless</w:t>
            </w:r>
            <w:r>
              <w:rPr>
                <w:rFonts w:ascii="Calibri" w:hAnsi="Calibri"/>
                <w:color w:val="000000"/>
                <w:sz w:val="20"/>
              </w:rPr>
              <w:t xml:space="preserve"> con microesferas mixtas</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Termopulverización</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Aire atomizado dependiente del recorrido</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Aire atomizado con mezcla exterior - endurecedor de líquidos</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Aglomerados regulares</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i/>
                <w:color w:val="000000"/>
                <w:sz w:val="20"/>
              </w:rPr>
              <w:t>Multi-dot-line</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Plástico de aplicación en frío, termoplástico</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Puntos regulares</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Termoextrusoras</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i/>
                <w:color w:val="000000"/>
                <w:sz w:val="20"/>
              </w:rPr>
              <w:t>Spotflex</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Extrusora/señalizador especial</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Sistema Visidot</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Aglomerados irregulares</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Extrusora</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Plástico de aplicación en frío, termoplástico</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Resortes de chapa de acero pretensados (sistema Feichtner)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Chapa de acero</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Rodillo de púas</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Técnica de centrifugación</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Línea continua</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Propulsión manual</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Plástico de aplicación en frío, termoplástico</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Extrusora</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Línea continua con superficie estructurada</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Propulsión manual + rodillo texturizado</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Plástico de aplicación en frío</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Rodillo</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Laminado</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Primera capa (imprimación), laminado</w:t>
            </w:r>
          </w:p>
        </w:tc>
        <w:tc>
          <w:tcPr>
            <w:tcW w:w="1701"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Láminas</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Sin imprimación, laminado</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Bitumen plus, laminado</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Asphalt plus, laminado</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6E1AD5" w:rsidRPr="003A38BA" w:rsidTr="003E3497">
        <w:tc>
          <w:tcPr>
            <w:tcW w:w="2425" w:type="dxa"/>
            <w:vMerge w:val="restart"/>
            <w:shd w:val="clear" w:color="auto" w:fill="auto"/>
            <w:vAlign w:val="center"/>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rPr>
              <w:t>Sistema de señalización prefabricado</w:t>
            </w: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rPr>
              <w:t>Sistema de señalización prefabricado fusible al soplete</w:t>
            </w:r>
          </w:p>
        </w:tc>
        <w:tc>
          <w:tcPr>
            <w:tcW w:w="1701" w:type="dxa"/>
            <w:vMerge w:val="restart"/>
            <w:shd w:val="clear" w:color="auto" w:fill="auto"/>
            <w:noWrap/>
            <w:vAlign w:val="center"/>
            <w:hideMark/>
          </w:tcPr>
          <w:p w:rsidR="006E1AD5" w:rsidRPr="003A38BA" w:rsidRDefault="006E1AD5" w:rsidP="0023536B">
            <w:pPr>
              <w:ind w:left="0" w:firstLine="0"/>
              <w:jc w:val="center"/>
              <w:rPr>
                <w:rFonts w:ascii="Calibri" w:eastAsia="Times New Roman" w:hAnsi="Calibri" w:cs="Times New Roman"/>
                <w:color w:val="000000"/>
                <w:sz w:val="20"/>
                <w:szCs w:val="20"/>
              </w:rPr>
            </w:pPr>
            <w:r>
              <w:rPr>
                <w:rFonts w:ascii="Calibri" w:hAnsi="Calibri"/>
                <w:color w:val="000000"/>
                <w:sz w:val="20"/>
              </w:rPr>
              <w:t>Termoplástico, eventualmente, en el futuro también plástico de aplicación en frío</w:t>
            </w:r>
          </w:p>
        </w:tc>
      </w:tr>
      <w:tr w:rsidR="006E1AD5" w:rsidRPr="003A38BA" w:rsidTr="003E3497">
        <w:tc>
          <w:tcPr>
            <w:tcW w:w="2425" w:type="dxa"/>
            <w:vMerge/>
            <w:vAlign w:val="center"/>
            <w:hideMark/>
          </w:tcPr>
          <w:p w:rsidR="006E1AD5" w:rsidRPr="003A38BA" w:rsidRDefault="006E1AD5" w:rsidP="00D82DF7">
            <w:pPr>
              <w:ind w:left="0" w:firstLine="0"/>
              <w:rPr>
                <w:rFonts w:ascii="Calibri" w:eastAsia="Times New Roman" w:hAnsi="Calibri" w:cs="Times New Roman"/>
                <w:color w:val="000000"/>
                <w:sz w:val="20"/>
                <w:szCs w:val="20"/>
              </w:rPr>
            </w:pP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rPr>
              <w:t>Sistema de señalización prefabricado fusible al soplete con puntos termoplásticos adicionales</w:t>
            </w:r>
          </w:p>
        </w:tc>
        <w:tc>
          <w:tcPr>
            <w:tcW w:w="1701" w:type="dxa"/>
            <w:vMerge/>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p>
        </w:tc>
      </w:tr>
    </w:tbl>
    <w:p w:rsidR="00EB1650" w:rsidRPr="003A38BA" w:rsidRDefault="00EB1650" w:rsidP="007C21AF">
      <w:pPr>
        <w:spacing w:after="120"/>
        <w:ind w:left="0" w:firstLine="0"/>
        <w:jc w:val="both"/>
      </w:pPr>
      <w:r>
        <w:t xml:space="preserve">A diferencia de la denominación detallada del procedimiento de aplicación en el protocolo de aplicación, en el certificado de ensayo o en la confirmación del ensayo se indican las denominaciones simplificadas de las técnicas de aplicación del cuadro 1. </w:t>
      </w:r>
    </w:p>
    <w:p w:rsidR="00260651" w:rsidRPr="003A38BA" w:rsidRDefault="00260651" w:rsidP="007C21AF">
      <w:pPr>
        <w:spacing w:after="120"/>
        <w:ind w:left="0" w:firstLine="0"/>
        <w:jc w:val="both"/>
      </w:pPr>
      <w:r>
        <w:lastRenderedPageBreak/>
        <w:t xml:space="preserve">Los sistemas de señalización se aplicarán en 4 probetas. En caso de que deba determinarse el tiempo de secado, será necesaria una quinta probeta. Una probeta servirá como muestra de retención y definirá el estado nuevo. En la mesa giratoria se ruedan tres probetas. </w:t>
      </w:r>
    </w:p>
    <w:p w:rsidR="00B2761F" w:rsidRPr="00A37E2F" w:rsidRDefault="00B2761F" w:rsidP="007C21AF">
      <w:pPr>
        <w:pStyle w:val="Heading1"/>
        <w:numPr>
          <w:ilvl w:val="2"/>
          <w:numId w:val="5"/>
        </w:numPr>
        <w:ind w:left="1440" w:hanging="720"/>
        <w:jc w:val="both"/>
        <w:rPr>
          <w:rFonts w:asciiTheme="minorHAnsi" w:hAnsiTheme="minorHAnsi"/>
          <w:sz w:val="24"/>
          <w:szCs w:val="24"/>
        </w:rPr>
      </w:pPr>
      <w:bookmarkStart w:id="26" w:name="_Toc2194166"/>
      <w:bookmarkStart w:id="27" w:name="_Toc12476337"/>
      <w:r>
        <w:rPr>
          <w:rFonts w:asciiTheme="minorHAnsi" w:hAnsiTheme="minorHAnsi"/>
          <w:sz w:val="24"/>
        </w:rPr>
        <w:t>Mediciones relativas a la aplicación</w:t>
      </w:r>
      <w:bookmarkEnd w:id="26"/>
      <w:bookmarkEnd w:id="27"/>
    </w:p>
    <w:p w:rsidR="000D70C0" w:rsidRPr="003A38BA" w:rsidRDefault="000D70C0" w:rsidP="007C21AF">
      <w:pPr>
        <w:spacing w:after="120"/>
        <w:ind w:left="0" w:firstLine="0"/>
        <w:jc w:val="both"/>
      </w:pPr>
      <w:r>
        <w:t xml:space="preserve">La señalización deberá aplicarse a una temperatura ambiente de entre +10 °C y +35 °C y a una humedad relativa del aire máxima del 80 %. La temperatura ambiente y la humedad relativa del aire deberán determinarse y documentarse justo antes del comienzo de la aplicación. </w:t>
      </w:r>
    </w:p>
    <w:p w:rsidR="000503D0" w:rsidRPr="003A38BA" w:rsidRDefault="004F79C9" w:rsidP="007C21AF">
      <w:pPr>
        <w:spacing w:after="120"/>
        <w:ind w:left="0" w:firstLine="0"/>
        <w:jc w:val="both"/>
      </w:pPr>
      <w:r>
        <w:t>El tiempo de secado hasta conseguir la capacidad de soporte de la rodadura deberá determinarse para la pintura y los plásticos en frío, clasificarse en función de las clases mencionadas en el cuadro 2 y documentarse junto con las condiciones climáticas (temperatura ambiente, temperatura de la superficie de las probetas y humedad relativa del aire). Para las señalizaciones termoplásticas, el tiempo de secado se clasificará fundamentalmente en la clase T2 (≤10 min). La capacidad de soporte de la rodadura de una señalización existe cuando no surgen deformaciones del material de señalización durante el proceso de rodadura. El tiempo de secado</w:t>
      </w:r>
      <w:r>
        <w:rPr>
          <w:rStyle w:val="FootnoteReference"/>
        </w:rPr>
        <w:footnoteReference w:id="2"/>
      </w:r>
      <w:r>
        <w:t xml:space="preserve"> se determinará de conformidad con DIN EN 13197, anexo A. </w:t>
      </w:r>
    </w:p>
    <w:p w:rsidR="000503D0" w:rsidRPr="003A38BA" w:rsidRDefault="003E3497" w:rsidP="007C21AF">
      <w:pPr>
        <w:pStyle w:val="Subtitle"/>
        <w:ind w:left="1440" w:hanging="1440"/>
        <w:jc w:val="both"/>
        <w:rPr>
          <w:spacing w:val="0"/>
        </w:rPr>
      </w:pPr>
      <w:r>
        <w:t>Cuadro 2:</w:t>
      </w:r>
      <w:r>
        <w:tab/>
        <w:t>Clases de capacidad de soporte de la rodadura</w:t>
      </w:r>
    </w:p>
    <w:tbl>
      <w:tblPr>
        <w:tblStyle w:val="TableGrid"/>
        <w:tblW w:w="0" w:type="auto"/>
        <w:tblInd w:w="108" w:type="dxa"/>
        <w:tblLook w:val="04A0" w:firstRow="1" w:lastRow="0" w:firstColumn="1" w:lastColumn="0" w:noHBand="0" w:noVBand="1"/>
      </w:tblPr>
      <w:tblGrid>
        <w:gridCol w:w="2209"/>
        <w:gridCol w:w="1524"/>
        <w:gridCol w:w="1005"/>
        <w:gridCol w:w="1006"/>
        <w:gridCol w:w="1007"/>
        <w:gridCol w:w="1007"/>
      </w:tblGrid>
      <w:tr w:rsidR="00921E13" w:rsidRPr="003A38BA" w:rsidTr="00EB1650">
        <w:tc>
          <w:tcPr>
            <w:tcW w:w="2209" w:type="dxa"/>
          </w:tcPr>
          <w:p w:rsidR="00921E13" w:rsidRPr="003A38BA" w:rsidRDefault="00921E13" w:rsidP="00A503EF">
            <w:pPr>
              <w:spacing w:after="120"/>
              <w:ind w:left="0" w:firstLine="0"/>
            </w:pPr>
            <w:r>
              <w:t>Clase de capacidad de soporte de la rodadura</w:t>
            </w:r>
          </w:p>
        </w:tc>
        <w:tc>
          <w:tcPr>
            <w:tcW w:w="1040" w:type="dxa"/>
          </w:tcPr>
          <w:p w:rsidR="00921E13" w:rsidRPr="003A38BA" w:rsidRDefault="00921E13" w:rsidP="000503D0">
            <w:pPr>
              <w:spacing w:after="120"/>
              <w:ind w:left="0" w:firstLine="0"/>
              <w:jc w:val="center"/>
            </w:pPr>
            <w:r>
              <w:t>T0</w:t>
            </w:r>
          </w:p>
        </w:tc>
        <w:tc>
          <w:tcPr>
            <w:tcW w:w="1005" w:type="dxa"/>
          </w:tcPr>
          <w:p w:rsidR="00921E13" w:rsidRPr="003A38BA" w:rsidRDefault="00921E13" w:rsidP="000503D0">
            <w:pPr>
              <w:spacing w:after="120"/>
              <w:ind w:left="0" w:firstLine="0"/>
              <w:jc w:val="center"/>
            </w:pPr>
            <w:r>
              <w:t>T1</w:t>
            </w:r>
          </w:p>
        </w:tc>
        <w:tc>
          <w:tcPr>
            <w:tcW w:w="1006" w:type="dxa"/>
          </w:tcPr>
          <w:p w:rsidR="00921E13" w:rsidRPr="003A38BA" w:rsidRDefault="00921E13" w:rsidP="000503D0">
            <w:pPr>
              <w:spacing w:after="120"/>
              <w:ind w:left="0" w:firstLine="0"/>
              <w:jc w:val="center"/>
            </w:pPr>
            <w:r>
              <w:t>T2</w:t>
            </w:r>
          </w:p>
        </w:tc>
        <w:tc>
          <w:tcPr>
            <w:tcW w:w="1007" w:type="dxa"/>
          </w:tcPr>
          <w:p w:rsidR="00921E13" w:rsidRPr="003A38BA" w:rsidRDefault="00921E13" w:rsidP="000503D0">
            <w:pPr>
              <w:spacing w:after="120"/>
              <w:ind w:left="0" w:firstLine="0"/>
              <w:jc w:val="center"/>
            </w:pPr>
            <w:r>
              <w:t>T3</w:t>
            </w:r>
          </w:p>
        </w:tc>
        <w:tc>
          <w:tcPr>
            <w:tcW w:w="1007" w:type="dxa"/>
          </w:tcPr>
          <w:p w:rsidR="00921E13" w:rsidRPr="003A38BA" w:rsidRDefault="00921E13" w:rsidP="000503D0">
            <w:pPr>
              <w:spacing w:after="120"/>
              <w:ind w:left="0" w:firstLine="0"/>
              <w:jc w:val="center"/>
            </w:pPr>
            <w:r>
              <w:t>T4</w:t>
            </w:r>
          </w:p>
        </w:tc>
      </w:tr>
      <w:tr w:rsidR="00921E13" w:rsidRPr="003A38BA" w:rsidTr="00EB1650">
        <w:tc>
          <w:tcPr>
            <w:tcW w:w="2209" w:type="dxa"/>
          </w:tcPr>
          <w:p w:rsidR="00921E13" w:rsidRPr="003A38BA" w:rsidRDefault="00CD0A25" w:rsidP="00CD0A25">
            <w:pPr>
              <w:spacing w:after="120"/>
              <w:ind w:left="0" w:firstLine="0"/>
            </w:pPr>
            <w:r>
              <w:t>Tiempo de secado en minutos</w:t>
            </w:r>
          </w:p>
        </w:tc>
        <w:tc>
          <w:tcPr>
            <w:tcW w:w="1040" w:type="dxa"/>
          </w:tcPr>
          <w:p w:rsidR="00921E13" w:rsidRPr="003A38BA" w:rsidRDefault="00921E13" w:rsidP="000503D0">
            <w:pPr>
              <w:spacing w:after="120"/>
              <w:ind w:left="0" w:firstLine="0"/>
              <w:jc w:val="center"/>
            </w:pPr>
            <w:r>
              <w:t>Sin determinación de rendimiento</w:t>
            </w:r>
          </w:p>
        </w:tc>
        <w:tc>
          <w:tcPr>
            <w:tcW w:w="1005" w:type="dxa"/>
          </w:tcPr>
          <w:p w:rsidR="00921E13" w:rsidRPr="003A38BA" w:rsidRDefault="00921E13" w:rsidP="000503D0">
            <w:pPr>
              <w:spacing w:after="120"/>
              <w:ind w:left="0" w:firstLine="0"/>
              <w:jc w:val="center"/>
            </w:pPr>
            <w:r>
              <w:t>≤1</w:t>
            </w:r>
          </w:p>
        </w:tc>
        <w:tc>
          <w:tcPr>
            <w:tcW w:w="1006" w:type="dxa"/>
          </w:tcPr>
          <w:p w:rsidR="00921E13" w:rsidRPr="003A38BA" w:rsidRDefault="00921E13" w:rsidP="000503D0">
            <w:pPr>
              <w:spacing w:after="120"/>
              <w:ind w:left="0" w:firstLine="0"/>
              <w:jc w:val="center"/>
            </w:pPr>
            <w:r>
              <w:t>≤10</w:t>
            </w:r>
          </w:p>
        </w:tc>
        <w:tc>
          <w:tcPr>
            <w:tcW w:w="1007" w:type="dxa"/>
          </w:tcPr>
          <w:p w:rsidR="00921E13" w:rsidRPr="003A38BA" w:rsidRDefault="00921E13" w:rsidP="000503D0">
            <w:pPr>
              <w:spacing w:after="120"/>
              <w:ind w:left="0" w:firstLine="0"/>
              <w:jc w:val="center"/>
            </w:pPr>
            <w:r>
              <w:t>≤20</w:t>
            </w:r>
          </w:p>
        </w:tc>
        <w:tc>
          <w:tcPr>
            <w:tcW w:w="1007" w:type="dxa"/>
          </w:tcPr>
          <w:p w:rsidR="00921E13" w:rsidRPr="003A38BA" w:rsidRDefault="00921E13" w:rsidP="000503D0">
            <w:pPr>
              <w:spacing w:after="120"/>
              <w:ind w:left="0" w:firstLine="0"/>
              <w:jc w:val="center"/>
            </w:pPr>
            <w:r>
              <w:t>≤30</w:t>
            </w:r>
          </w:p>
        </w:tc>
      </w:tr>
    </w:tbl>
    <w:p w:rsidR="000503D0" w:rsidRPr="003A38BA" w:rsidRDefault="000503D0" w:rsidP="00A503EF">
      <w:pPr>
        <w:spacing w:after="120"/>
        <w:ind w:left="0" w:firstLine="0"/>
      </w:pPr>
    </w:p>
    <w:p w:rsidR="004F79C9" w:rsidRPr="003A38BA" w:rsidRDefault="004F79C9" w:rsidP="007C21AF">
      <w:pPr>
        <w:spacing w:after="120"/>
        <w:ind w:left="0" w:firstLine="0"/>
        <w:jc w:val="both"/>
      </w:pPr>
      <w:r>
        <w:t>Durante la aplicación de un sistema de señalización deberán determinarse las cantidades de aplicación del material realmente aplicadas en la probeta, así como todos los coformulantes.</w:t>
      </w:r>
    </w:p>
    <w:p w:rsidR="00B53040" w:rsidRPr="003A38BA" w:rsidRDefault="00B53040" w:rsidP="007C21AF">
      <w:pPr>
        <w:spacing w:after="120"/>
        <w:ind w:left="0" w:firstLine="0"/>
        <w:jc w:val="both"/>
      </w:pPr>
      <w:r>
        <w:t>La cantidad de aplicación de una sustancia de señalización se indicará a través del grosor de la capa. El grosor de la capa se determinará de conformidad con DIN EN 13197, anexo C. En algunos casos, la determinación de la cantidad de aplicación podrá realizarse mediante pesajes sucesivos de las probetas tras la aplicación de los distintos componentes (material, material de postmezclado). El grosor de la capa se determinará a partir de la cantidad de aplicación eficaz. La cantidad de aplicación en el caso de los aglomerados se determinará mediante el pesaje de la cantidad de material sin material de postmezclado. En el caso de los sistemas de capa fina, generalmente es más práctico medir el espesor de la lámina húmeda con un peine de medición calibrado y conectado a tierra.</w:t>
      </w:r>
    </w:p>
    <w:p w:rsidR="004F79C9" w:rsidRPr="003A38BA" w:rsidRDefault="004F79C9" w:rsidP="007C21AF">
      <w:pPr>
        <w:spacing w:after="120"/>
        <w:ind w:left="0" w:firstLine="0"/>
        <w:jc w:val="both"/>
      </w:pPr>
      <w:r>
        <w:t>Los resultados deberán documentarse en el protocolo de aplicación.</w:t>
      </w:r>
    </w:p>
    <w:p w:rsidR="000766A6" w:rsidRPr="003A38BA" w:rsidRDefault="000766A6" w:rsidP="007C21AF">
      <w:pPr>
        <w:pStyle w:val="Heading1"/>
        <w:numPr>
          <w:ilvl w:val="2"/>
          <w:numId w:val="5"/>
        </w:numPr>
        <w:ind w:left="1440" w:hanging="720"/>
        <w:jc w:val="both"/>
        <w:rPr>
          <w:rFonts w:ascii="Arial" w:hAnsi="Arial" w:cs="Arial"/>
          <w:sz w:val="24"/>
          <w:szCs w:val="24"/>
        </w:rPr>
      </w:pPr>
      <w:bookmarkStart w:id="28" w:name="_Toc2194167"/>
      <w:bookmarkStart w:id="29" w:name="_Toc12476338"/>
      <w:r>
        <w:rPr>
          <w:sz w:val="24"/>
        </w:rPr>
        <w:t>Muestreo</w:t>
      </w:r>
      <w:bookmarkEnd w:id="28"/>
      <w:bookmarkEnd w:id="29"/>
    </w:p>
    <w:p w:rsidR="000766A6" w:rsidRPr="003A38BA" w:rsidRDefault="000766A6" w:rsidP="007C21AF">
      <w:pPr>
        <w:spacing w:after="120"/>
        <w:ind w:left="0" w:firstLine="0"/>
        <w:jc w:val="both"/>
      </w:pPr>
      <w:r>
        <w:t>Para fines de identificación, durante la aplicación, se recogen muestras de todos los materiales de señalización, de todos los componentes de un material compuesto por varios componentes, así como de los coformulantes. Las muestras se someterán a análisis físico-químicos para la identificación del sistema de señalización.</w:t>
      </w:r>
    </w:p>
    <w:p w:rsidR="00260651" w:rsidRPr="003A38BA" w:rsidRDefault="00260651" w:rsidP="007C21AF">
      <w:pPr>
        <w:pStyle w:val="Heading1"/>
        <w:numPr>
          <w:ilvl w:val="2"/>
          <w:numId w:val="5"/>
        </w:numPr>
        <w:ind w:left="1440" w:hanging="720"/>
        <w:jc w:val="both"/>
        <w:rPr>
          <w:rFonts w:ascii="Arial" w:hAnsi="Arial" w:cs="Arial"/>
          <w:sz w:val="24"/>
          <w:szCs w:val="24"/>
        </w:rPr>
      </w:pPr>
      <w:bookmarkStart w:id="30" w:name="_Toc2194168"/>
      <w:bookmarkStart w:id="31" w:name="_Toc12476339"/>
      <w:r>
        <w:rPr>
          <w:sz w:val="24"/>
        </w:rPr>
        <w:lastRenderedPageBreak/>
        <w:t>Tiempo de acondicionamiento</w:t>
      </w:r>
      <w:bookmarkEnd w:id="30"/>
      <w:bookmarkEnd w:id="31"/>
    </w:p>
    <w:p w:rsidR="00260651" w:rsidRPr="003A38BA" w:rsidRDefault="00C8360F" w:rsidP="007C21AF">
      <w:pPr>
        <w:spacing w:after="120"/>
        <w:ind w:left="0" w:firstLine="0"/>
        <w:jc w:val="both"/>
      </w:pPr>
      <w:r>
        <w:t>Las pinturas con disolventes solo podrán someterse por primera vez a rodadura en la mesa giratoria, como pronto, 8 días después de la aplicación y deberán someterse a rodadura en la mesa giratoria a más tardar 12 días tras la aplicación. El período para dispersiones deberá durar una semana más que para la pintura con disolventes. Todos los demás sistemas de señalización podrán someterse por primera vez a rodadura, como pronto, 48 horas después de la aplicación.</w:t>
      </w:r>
    </w:p>
    <w:p w:rsidR="005517CE" w:rsidRPr="003A38BA" w:rsidRDefault="005517CE" w:rsidP="007C21AF">
      <w:pPr>
        <w:spacing w:after="120"/>
        <w:ind w:left="0" w:firstLine="0"/>
        <w:jc w:val="both"/>
      </w:pPr>
      <w:r>
        <w:t xml:space="preserve">Las probetas preparadas deberán almacenarse en una sala climatizada a una temperatura de 20 °C ± 5 °C y a una humedad relativa del aire máxima de entre el 45 % y el 75 % para el secado o el endurecimiento. </w:t>
      </w:r>
    </w:p>
    <w:p w:rsidR="005517CE" w:rsidRPr="003A38BA" w:rsidRDefault="005517CE" w:rsidP="007C21AF">
      <w:pPr>
        <w:pStyle w:val="Heading1"/>
        <w:numPr>
          <w:ilvl w:val="2"/>
          <w:numId w:val="5"/>
        </w:numPr>
        <w:ind w:left="1440" w:hanging="720"/>
        <w:jc w:val="both"/>
        <w:rPr>
          <w:sz w:val="24"/>
          <w:szCs w:val="24"/>
        </w:rPr>
      </w:pPr>
      <w:bookmarkStart w:id="32" w:name="_Toc2194169"/>
      <w:bookmarkStart w:id="33" w:name="_Toc12476340"/>
      <w:r>
        <w:rPr>
          <w:sz w:val="24"/>
        </w:rPr>
        <w:t>Sentido de aplicación</w:t>
      </w:r>
      <w:bookmarkEnd w:id="32"/>
      <w:bookmarkEnd w:id="33"/>
    </w:p>
    <w:p w:rsidR="005517CE" w:rsidRPr="003A38BA" w:rsidRDefault="005517CE" w:rsidP="007C21AF">
      <w:pPr>
        <w:spacing w:after="120"/>
        <w:ind w:left="0" w:firstLine="0"/>
        <w:jc w:val="both"/>
      </w:pPr>
      <w:r>
        <w:t xml:space="preserve">Durante la aplicación en las probetas deberá tenerse en cuenta que las probetas deberán disponerse en la mesa giratoria de manera que los sistemas de señalización se sometan a rodadura tanto en el sentido de la aplicación como en sentido contrario. </w:t>
      </w:r>
    </w:p>
    <w:p w:rsidR="006D5959" w:rsidRPr="003A38BA" w:rsidRDefault="006D5959" w:rsidP="007C21AF">
      <w:pPr>
        <w:pStyle w:val="Heading1"/>
        <w:numPr>
          <w:ilvl w:val="1"/>
          <w:numId w:val="5"/>
        </w:numPr>
        <w:jc w:val="both"/>
        <w:rPr>
          <w:rFonts w:ascii="Arial" w:hAnsi="Arial" w:cs="Arial"/>
          <w:sz w:val="24"/>
          <w:szCs w:val="24"/>
        </w:rPr>
      </w:pPr>
      <w:bookmarkStart w:id="34" w:name="_Toc2194170"/>
      <w:bookmarkStart w:id="35" w:name="_Toc12476341"/>
      <w:r>
        <w:rPr>
          <w:sz w:val="24"/>
        </w:rPr>
        <w:t>Muestra de referencia</w:t>
      </w:r>
      <w:bookmarkEnd w:id="34"/>
      <w:bookmarkEnd w:id="35"/>
    </w:p>
    <w:p w:rsidR="00EB7D09" w:rsidRPr="003A38BA" w:rsidRDefault="006D5959" w:rsidP="007C21AF">
      <w:pPr>
        <w:spacing w:after="120"/>
        <w:ind w:left="0" w:firstLine="0"/>
        <w:jc w:val="both"/>
      </w:pPr>
      <w:r>
        <w:t xml:space="preserve">Para garantizar un proceso de ensayo correcto, en cada ensayo se deberá incluir, para el control, una probeta revestida con un sistema de señalización normalizado (muestra de referencia). El material de señalización, así como las instrucciones de aplicación para la muestra de referencia deberán estar establecidos. </w:t>
      </w:r>
    </w:p>
    <w:p w:rsidR="006D5959" w:rsidRPr="003A38BA" w:rsidRDefault="006D5959" w:rsidP="007C21AF">
      <w:pPr>
        <w:spacing w:after="120"/>
        <w:ind w:left="0" w:firstLine="0"/>
        <w:jc w:val="both"/>
      </w:pPr>
      <w:r>
        <w:t xml:space="preserve">Los resultados obtenidos en cada ensayo con la muestra de referencia sirven para la garantía de la calidad (véase la sección 4.4.5). </w:t>
      </w:r>
    </w:p>
    <w:p w:rsidR="00B2761F" w:rsidRPr="003A38BA" w:rsidRDefault="00B2761F" w:rsidP="007C21AF">
      <w:pPr>
        <w:pStyle w:val="Heading1"/>
        <w:numPr>
          <w:ilvl w:val="1"/>
          <w:numId w:val="5"/>
        </w:numPr>
        <w:jc w:val="both"/>
        <w:rPr>
          <w:sz w:val="24"/>
          <w:szCs w:val="24"/>
        </w:rPr>
      </w:pPr>
      <w:bookmarkStart w:id="36" w:name="_Toc2194171"/>
      <w:bookmarkStart w:id="37" w:name="_Toc12476342"/>
      <w:r>
        <w:rPr>
          <w:sz w:val="24"/>
        </w:rPr>
        <w:t>Ejecución del ensayo</w:t>
      </w:r>
      <w:bookmarkEnd w:id="36"/>
      <w:bookmarkEnd w:id="37"/>
    </w:p>
    <w:p w:rsidR="00D1262E" w:rsidRPr="003A38BA" w:rsidRDefault="00AD7468" w:rsidP="007C21AF">
      <w:pPr>
        <w:spacing w:after="120"/>
        <w:ind w:left="0" w:firstLine="0"/>
        <w:jc w:val="both"/>
      </w:pPr>
      <w:r>
        <w:t>Las probetas preparadas no podrán someterse a rodadura hasta que se haya cumplido el tiempo de acondicionamiento establecido. Las probetas que no estén totalmente secas o endurecidas, de forma que pudieran afectar a otras probetas, no podrán someterse a ensayo. Para cubrir la superficie de medición exigida de, como mínimo, 800 cm</w:t>
      </w:r>
      <w:r>
        <w:rPr>
          <w:vertAlign w:val="superscript"/>
        </w:rPr>
        <w:t>2</w:t>
      </w:r>
      <w:r>
        <w:t xml:space="preserve">, deberán utilizarse al menos tres probetas, respectivamente aplicadas con un ancho de línea mínimo de 20 cm. La disposición de las probetas en la mesa giratoria se realizará de acuerdo con el principio de aleatoriedad. Durante el proceso, las tres probetas de un sistema de señalización no se separan sino que se disponen unas al lado de las otras. </w:t>
      </w:r>
    </w:p>
    <w:p w:rsidR="00B2761F" w:rsidRPr="003A38BA" w:rsidRDefault="008C64DB" w:rsidP="007C21AF">
      <w:pPr>
        <w:spacing w:after="120"/>
        <w:ind w:left="0" w:firstLine="0"/>
        <w:jc w:val="both"/>
      </w:pPr>
      <w:r>
        <w:t>En el ensayo de termoplásticos se requerirá una disposición sistemática. Las probetas se dispondrán de forma que la rueda pueda rodar alternativamente sobre un grupo de probetas y un grupo del mismo tamaño de placas vacías. De la circunferencia de la rueda y de la dimensión de las probetas o de las placas vacías resulta que cada dos sistemas de señalización, formados por tres probetas cada uno, se disponen uno al lado del otro. Después siguen seis placas vacías antes de que se dispongan los dos sistemas de señalización siguientes.</w:t>
      </w:r>
    </w:p>
    <w:p w:rsidR="006D5959" w:rsidRPr="003A38BA" w:rsidRDefault="006D5959" w:rsidP="007C21AF">
      <w:pPr>
        <w:pStyle w:val="Heading1"/>
        <w:numPr>
          <w:ilvl w:val="2"/>
          <w:numId w:val="5"/>
        </w:numPr>
        <w:ind w:left="1440" w:hanging="720"/>
        <w:jc w:val="both"/>
        <w:rPr>
          <w:rFonts w:ascii="Arial" w:hAnsi="Arial" w:cs="Arial"/>
          <w:sz w:val="24"/>
          <w:szCs w:val="24"/>
        </w:rPr>
      </w:pPr>
      <w:bookmarkStart w:id="38" w:name="_Toc2194172"/>
      <w:bookmarkStart w:id="39" w:name="_Toc12476343"/>
      <w:r>
        <w:rPr>
          <w:sz w:val="24"/>
        </w:rPr>
        <w:t>Condiciones de ensayo</w:t>
      </w:r>
      <w:bookmarkEnd w:id="38"/>
      <w:bookmarkEnd w:id="39"/>
    </w:p>
    <w:p w:rsidR="00AD7468" w:rsidRPr="003A38BA" w:rsidRDefault="00AD7468" w:rsidP="007C21AF">
      <w:pPr>
        <w:spacing w:after="120"/>
        <w:ind w:left="0" w:firstLine="0"/>
        <w:jc w:val="both"/>
      </w:pPr>
      <w:r>
        <w:t>Las condiciones de ensayo y los ciclos de ensayo se definen en los cuadros 3 y 4.</w:t>
      </w:r>
    </w:p>
    <w:p w:rsidR="004D7F92" w:rsidRPr="003A38BA" w:rsidRDefault="004D7F92" w:rsidP="007C21AF">
      <w:pPr>
        <w:spacing w:after="120"/>
        <w:ind w:left="0" w:firstLine="0"/>
        <w:jc w:val="both"/>
      </w:pPr>
      <w:r>
        <w:t>El número de muestras sometidas a ensayo simultáneamente para pinturas, láminas y plásticos de aplicación en frío se limita por el número de carcasas de la placa giratoria. Para los sistemas de señalización termoplásticos el número se limita siempre a doce muestras.</w:t>
      </w:r>
    </w:p>
    <w:p w:rsidR="004D7F92" w:rsidRPr="003A38BA" w:rsidRDefault="004D7F92" w:rsidP="007C21AF">
      <w:pPr>
        <w:spacing w:after="120"/>
        <w:ind w:left="0" w:firstLine="0"/>
        <w:jc w:val="both"/>
      </w:pPr>
      <w:r>
        <w:t>Las señalizaciones de diferentes materiales de señalización nunca se someten a ensayo de forma simultánea. Se distinguirá entre: pintura (pintura con disolventes, dispersión), plástico de aplicación en frío, lámina con base de aluminio, lámina con otra base, termoplástico.</w:t>
      </w:r>
    </w:p>
    <w:p w:rsidR="00C34F3E" w:rsidRPr="003A38BA" w:rsidRDefault="003E3497" w:rsidP="00A11530">
      <w:pPr>
        <w:pStyle w:val="Subtitle"/>
        <w:keepNext/>
        <w:ind w:left="1440" w:hanging="1440"/>
        <w:jc w:val="both"/>
        <w:rPr>
          <w:spacing w:val="0"/>
        </w:rPr>
      </w:pPr>
      <w:r>
        <w:lastRenderedPageBreak/>
        <w:t>Cuadro 3:</w:t>
      </w:r>
      <w:r>
        <w:tab/>
        <w:t>Condiciones de ensayo</w:t>
      </w:r>
    </w:p>
    <w:tbl>
      <w:tblPr>
        <w:tblStyle w:val="TableGrid"/>
        <w:tblW w:w="0" w:type="auto"/>
        <w:tblLook w:val="04A0" w:firstRow="1" w:lastRow="0" w:firstColumn="1" w:lastColumn="0" w:noHBand="0" w:noVBand="1"/>
      </w:tblPr>
      <w:tblGrid>
        <w:gridCol w:w="4606"/>
        <w:gridCol w:w="4606"/>
      </w:tblGrid>
      <w:tr w:rsidR="00AD7468" w:rsidRPr="003A38BA" w:rsidTr="00AD7468">
        <w:tc>
          <w:tcPr>
            <w:tcW w:w="4606" w:type="dxa"/>
          </w:tcPr>
          <w:p w:rsidR="00AD7468" w:rsidRPr="003A38BA" w:rsidRDefault="00AD7468" w:rsidP="00A503EF">
            <w:pPr>
              <w:spacing w:after="120"/>
              <w:ind w:left="0" w:firstLine="0"/>
            </w:pPr>
            <w:r>
              <w:t>Número de ruedas de ensayo</w:t>
            </w:r>
          </w:p>
        </w:tc>
        <w:tc>
          <w:tcPr>
            <w:tcW w:w="4606" w:type="dxa"/>
          </w:tcPr>
          <w:p w:rsidR="00AD7468" w:rsidRPr="003A38BA" w:rsidRDefault="00AD7468" w:rsidP="00A503EF">
            <w:pPr>
              <w:spacing w:after="120"/>
              <w:ind w:left="0" w:firstLine="0"/>
            </w:pPr>
            <w:r>
              <w:t>4</w:t>
            </w:r>
            <w:r>
              <w:rPr>
                <w:vertAlign w:val="superscript"/>
              </w:rPr>
              <w:t xml:space="preserve"> </w:t>
            </w:r>
            <w:r>
              <w:t>u 8 independientemente del material de ensayo (véase la sección 4.1.1)</w:t>
            </w:r>
          </w:p>
        </w:tc>
      </w:tr>
      <w:tr w:rsidR="00AD7468" w:rsidRPr="003A38BA" w:rsidTr="00AD7468">
        <w:tc>
          <w:tcPr>
            <w:tcW w:w="4606" w:type="dxa"/>
          </w:tcPr>
          <w:p w:rsidR="00AD7468" w:rsidRPr="003A38BA" w:rsidRDefault="00AD7468" w:rsidP="00A503EF">
            <w:pPr>
              <w:spacing w:after="120"/>
              <w:ind w:left="0" w:firstLine="0"/>
            </w:pPr>
            <w:r>
              <w:t>Tipo del neumático de ensayo</w:t>
            </w:r>
          </w:p>
        </w:tc>
        <w:tc>
          <w:tcPr>
            <w:tcW w:w="4606" w:type="dxa"/>
          </w:tcPr>
          <w:p w:rsidR="00AD7468" w:rsidRPr="003A38BA" w:rsidRDefault="00AD7468" w:rsidP="00A503EF">
            <w:pPr>
              <w:spacing w:after="120"/>
              <w:ind w:left="0" w:firstLine="0"/>
            </w:pPr>
            <w:r>
              <w:t>Neumáticos de uso comercial autorizados según la sección 4.1.1</w:t>
            </w:r>
          </w:p>
          <w:p w:rsidR="00AD7468" w:rsidRPr="003A38BA" w:rsidRDefault="00AD7468" w:rsidP="00A503EF">
            <w:pPr>
              <w:spacing w:after="120"/>
              <w:ind w:left="0" w:firstLine="0"/>
            </w:pPr>
            <w:r>
              <w:t>Neumáticos nuevos para cada ensayo</w:t>
            </w:r>
            <w:r>
              <w:rPr>
                <w:rStyle w:val="FootnoteReference"/>
              </w:rPr>
              <w:footnoteReference w:id="3"/>
            </w:r>
          </w:p>
        </w:tc>
      </w:tr>
      <w:tr w:rsidR="00AD7468" w:rsidRPr="003A38BA" w:rsidTr="00AD7468">
        <w:tc>
          <w:tcPr>
            <w:tcW w:w="4606" w:type="dxa"/>
          </w:tcPr>
          <w:p w:rsidR="00AD7468" w:rsidRPr="003A38BA" w:rsidRDefault="00AD7468" w:rsidP="00A503EF">
            <w:pPr>
              <w:spacing w:after="120"/>
              <w:ind w:left="0" w:firstLine="0"/>
            </w:pPr>
            <w:r>
              <w:t>Presión de los neumáticos</w:t>
            </w:r>
          </w:p>
        </w:tc>
        <w:tc>
          <w:tcPr>
            <w:tcW w:w="4606" w:type="dxa"/>
          </w:tcPr>
          <w:p w:rsidR="00AD7468" w:rsidRPr="003A38BA" w:rsidRDefault="00AD7468" w:rsidP="00A503EF">
            <w:pPr>
              <w:spacing w:after="120"/>
              <w:ind w:left="0" w:firstLine="0"/>
            </w:pPr>
            <w:r>
              <w:t>0,25 ± 0,02 MPa</w:t>
            </w:r>
          </w:p>
        </w:tc>
      </w:tr>
      <w:tr w:rsidR="00AD7468" w:rsidRPr="003A38BA" w:rsidTr="00AD7468">
        <w:tc>
          <w:tcPr>
            <w:tcW w:w="4606" w:type="dxa"/>
          </w:tcPr>
          <w:p w:rsidR="00AD7468" w:rsidRPr="003A38BA" w:rsidRDefault="00AD7468" w:rsidP="00A503EF">
            <w:pPr>
              <w:spacing w:after="120"/>
              <w:ind w:left="0" w:firstLine="0"/>
            </w:pPr>
            <w:r>
              <w:t>Carga por rueda</w:t>
            </w:r>
          </w:p>
        </w:tc>
        <w:tc>
          <w:tcPr>
            <w:tcW w:w="4606" w:type="dxa"/>
          </w:tcPr>
          <w:p w:rsidR="00AD7468" w:rsidRPr="003A38BA" w:rsidRDefault="00AD7468" w:rsidP="00A503EF">
            <w:pPr>
              <w:spacing w:after="120"/>
              <w:ind w:left="0" w:firstLine="0"/>
            </w:pPr>
            <w:r>
              <w:t>3 000 ± 300 N</w:t>
            </w:r>
          </w:p>
        </w:tc>
      </w:tr>
      <w:tr w:rsidR="00AD7468" w:rsidRPr="003A38BA" w:rsidTr="00AD7468">
        <w:tc>
          <w:tcPr>
            <w:tcW w:w="4606" w:type="dxa"/>
          </w:tcPr>
          <w:p w:rsidR="00AD7468" w:rsidRPr="003A38BA" w:rsidRDefault="00AD7468" w:rsidP="00A503EF">
            <w:pPr>
              <w:spacing w:after="120"/>
              <w:ind w:left="0" w:firstLine="0"/>
            </w:pPr>
            <w:r>
              <w:t>Inclinación</w:t>
            </w:r>
          </w:p>
        </w:tc>
        <w:tc>
          <w:tcPr>
            <w:tcW w:w="4606" w:type="dxa"/>
          </w:tcPr>
          <w:p w:rsidR="00AD7468" w:rsidRPr="003A38BA" w:rsidRDefault="00AD7468" w:rsidP="00921E13">
            <w:pPr>
              <w:spacing w:after="120"/>
              <w:ind w:left="0" w:firstLine="0"/>
            </w:pPr>
            <w:r>
              <w:t>0° hasta una desviación máxima de ± 1°</w:t>
            </w:r>
          </w:p>
        </w:tc>
      </w:tr>
      <w:tr w:rsidR="00AD7468" w:rsidRPr="003A38BA" w:rsidTr="00AD7468">
        <w:tc>
          <w:tcPr>
            <w:tcW w:w="4606" w:type="dxa"/>
          </w:tcPr>
          <w:p w:rsidR="00AD7468" w:rsidRPr="003A38BA" w:rsidRDefault="00AD7468" w:rsidP="00A503EF">
            <w:pPr>
              <w:spacing w:after="120"/>
              <w:ind w:left="0" w:firstLine="0"/>
            </w:pPr>
            <w:r>
              <w:t>Deslizamiento</w:t>
            </w:r>
          </w:p>
        </w:tc>
        <w:tc>
          <w:tcPr>
            <w:tcW w:w="4606" w:type="dxa"/>
          </w:tcPr>
          <w:p w:rsidR="00AD7468" w:rsidRPr="003A38BA" w:rsidRDefault="00AD7468" w:rsidP="00A503EF">
            <w:pPr>
              <w:spacing w:after="120"/>
              <w:ind w:left="0" w:firstLine="0"/>
            </w:pPr>
            <w:r>
              <w:t>Por cada rueda alternativamente +1° (± 10‘)/-1° (± 10‘)</w:t>
            </w:r>
          </w:p>
        </w:tc>
      </w:tr>
      <w:tr w:rsidR="00AD7468" w:rsidRPr="003A38BA" w:rsidTr="00AD7468">
        <w:tc>
          <w:tcPr>
            <w:tcW w:w="4606" w:type="dxa"/>
          </w:tcPr>
          <w:p w:rsidR="00AD7468" w:rsidRPr="003A38BA" w:rsidRDefault="00AD7468" w:rsidP="00A503EF">
            <w:pPr>
              <w:spacing w:after="120"/>
              <w:ind w:left="0" w:firstLine="0"/>
            </w:pPr>
            <w:r>
              <w:t>Velocidad</w:t>
            </w:r>
          </w:p>
        </w:tc>
        <w:tc>
          <w:tcPr>
            <w:tcW w:w="4606" w:type="dxa"/>
          </w:tcPr>
          <w:p w:rsidR="00AD7468" w:rsidRPr="003A38BA" w:rsidRDefault="00AD7468" w:rsidP="00A503EF">
            <w:pPr>
              <w:spacing w:after="120"/>
              <w:ind w:left="0" w:firstLine="0"/>
            </w:pPr>
            <w:r>
              <w:t>15 km/h ± 1 km/h con riego</w:t>
            </w:r>
          </w:p>
          <w:p w:rsidR="00AD7468" w:rsidRPr="003A38BA" w:rsidRDefault="00AD7468" w:rsidP="00A503EF">
            <w:pPr>
              <w:spacing w:after="120"/>
              <w:ind w:left="0" w:firstLine="0"/>
            </w:pPr>
            <w:r>
              <w:t>60 km/h ± 3 km/h</w:t>
            </w:r>
          </w:p>
        </w:tc>
      </w:tr>
      <w:tr w:rsidR="00AD7468" w:rsidRPr="003A38BA" w:rsidTr="00AD7468">
        <w:tc>
          <w:tcPr>
            <w:tcW w:w="4606" w:type="dxa"/>
          </w:tcPr>
          <w:p w:rsidR="00AD7468" w:rsidRPr="003A38BA" w:rsidRDefault="00AD7468" w:rsidP="00A503EF">
            <w:pPr>
              <w:spacing w:after="120"/>
              <w:ind w:left="0" w:firstLine="0"/>
            </w:pPr>
            <w:r>
              <w:t>Dirección de giro</w:t>
            </w:r>
          </w:p>
        </w:tc>
        <w:tc>
          <w:tcPr>
            <w:tcW w:w="4606" w:type="dxa"/>
          </w:tcPr>
          <w:p w:rsidR="00AD7468" w:rsidRPr="003A38BA" w:rsidRDefault="00AD7468" w:rsidP="00BF3220">
            <w:pPr>
              <w:spacing w:after="120"/>
              <w:ind w:left="0" w:firstLine="0"/>
            </w:pPr>
            <w:r>
              <w:t>50 % en cada dirección</w:t>
            </w:r>
          </w:p>
        </w:tc>
      </w:tr>
      <w:tr w:rsidR="00AD7468" w:rsidRPr="003A38BA" w:rsidTr="00AD7468">
        <w:tc>
          <w:tcPr>
            <w:tcW w:w="4606" w:type="dxa"/>
          </w:tcPr>
          <w:p w:rsidR="00AD7468" w:rsidRPr="003A38BA" w:rsidRDefault="0043206D" w:rsidP="00A503EF">
            <w:pPr>
              <w:spacing w:after="120"/>
              <w:ind w:left="0" w:firstLine="0"/>
            </w:pPr>
            <w:r>
              <w:t>Intervalos de medición</w:t>
            </w:r>
          </w:p>
        </w:tc>
        <w:tc>
          <w:tcPr>
            <w:tcW w:w="4606" w:type="dxa"/>
          </w:tcPr>
          <w:p w:rsidR="00AD7468" w:rsidRPr="003A38BA" w:rsidRDefault="0043206D" w:rsidP="00A503EF">
            <w:pPr>
              <w:spacing w:after="120"/>
              <w:ind w:left="0" w:firstLine="0"/>
            </w:pPr>
            <w:r>
              <w:t>0; 0,01; 0,1; 0,2; 0,5; 1,0; 2,0; 3,0 y 4,0 x 10</w:t>
            </w:r>
            <w:r>
              <w:rPr>
                <w:vertAlign w:val="superscript"/>
              </w:rPr>
              <w:t>6</w:t>
            </w:r>
          </w:p>
        </w:tc>
      </w:tr>
      <w:tr w:rsidR="0043206D" w:rsidRPr="003A38BA" w:rsidTr="00AD7468">
        <w:tc>
          <w:tcPr>
            <w:tcW w:w="4606" w:type="dxa"/>
          </w:tcPr>
          <w:p w:rsidR="0043206D" w:rsidRPr="003A38BA" w:rsidRDefault="0043206D" w:rsidP="00A503EF">
            <w:pPr>
              <w:spacing w:after="120"/>
              <w:ind w:left="0" w:firstLine="0"/>
            </w:pPr>
            <w:r>
              <w:t>Temperatura ambiente</w:t>
            </w:r>
          </w:p>
        </w:tc>
        <w:tc>
          <w:tcPr>
            <w:tcW w:w="4606" w:type="dxa"/>
          </w:tcPr>
          <w:p w:rsidR="0043206D" w:rsidRPr="003A38BA" w:rsidRDefault="0043206D" w:rsidP="00A503EF">
            <w:pPr>
              <w:spacing w:after="120"/>
              <w:ind w:left="0" w:firstLine="0"/>
            </w:pPr>
            <w:r>
              <w:t>5 °C a 10 °C</w:t>
            </w:r>
          </w:p>
        </w:tc>
      </w:tr>
    </w:tbl>
    <w:p w:rsidR="00AD7468" w:rsidRPr="003A38BA" w:rsidRDefault="00AD7468" w:rsidP="00D9642C">
      <w:pPr>
        <w:spacing w:after="120"/>
        <w:ind w:left="0" w:firstLine="0"/>
      </w:pPr>
    </w:p>
    <w:p w:rsidR="00D9642C" w:rsidRPr="003A38BA" w:rsidRDefault="00D9642C" w:rsidP="00A11530">
      <w:pPr>
        <w:pStyle w:val="Subtitle"/>
        <w:keepNext/>
        <w:ind w:left="1440" w:hanging="1440"/>
        <w:jc w:val="both"/>
        <w:rPr>
          <w:spacing w:val="0"/>
        </w:rPr>
      </w:pPr>
      <w:r>
        <w:t>Cuadro 4:</w:t>
      </w:r>
      <w:r>
        <w:tab/>
        <w:t>Ciclos de medición</w:t>
      </w:r>
    </w:p>
    <w:tbl>
      <w:tblPr>
        <w:tblStyle w:val="TableGrid"/>
        <w:tblW w:w="0" w:type="auto"/>
        <w:tblLook w:val="04A0" w:firstRow="1" w:lastRow="0" w:firstColumn="1" w:lastColumn="0" w:noHBand="0" w:noVBand="1"/>
      </w:tblPr>
      <w:tblGrid>
        <w:gridCol w:w="1316"/>
        <w:gridCol w:w="1316"/>
        <w:gridCol w:w="1316"/>
        <w:gridCol w:w="1316"/>
        <w:gridCol w:w="1316"/>
        <w:gridCol w:w="1316"/>
        <w:gridCol w:w="1316"/>
      </w:tblGrid>
      <w:tr w:rsidR="00C34F3E" w:rsidRPr="003A38BA" w:rsidTr="00C34F3E">
        <w:tc>
          <w:tcPr>
            <w:tcW w:w="1316" w:type="dxa"/>
          </w:tcPr>
          <w:p w:rsidR="00C34F3E" w:rsidRPr="003A38BA" w:rsidRDefault="00C34F3E" w:rsidP="00A503EF">
            <w:pPr>
              <w:spacing w:after="120"/>
              <w:ind w:left="0" w:firstLine="0"/>
              <w:rPr>
                <w:b/>
                <w:sz w:val="18"/>
                <w:szCs w:val="18"/>
              </w:rPr>
            </w:pPr>
            <w:r>
              <w:rPr>
                <w:b/>
                <w:sz w:val="18"/>
              </w:rPr>
              <w:t>Ciclo de medición</w:t>
            </w:r>
          </w:p>
        </w:tc>
        <w:tc>
          <w:tcPr>
            <w:tcW w:w="1316" w:type="dxa"/>
          </w:tcPr>
          <w:p w:rsidR="00C34F3E" w:rsidRPr="003A38BA" w:rsidRDefault="00C34F3E" w:rsidP="00A503EF">
            <w:pPr>
              <w:spacing w:after="120"/>
              <w:ind w:left="0" w:firstLine="0"/>
              <w:rPr>
                <w:b/>
                <w:sz w:val="18"/>
                <w:szCs w:val="18"/>
              </w:rPr>
            </w:pPr>
            <w:r>
              <w:rPr>
                <w:b/>
                <w:sz w:val="18"/>
              </w:rPr>
              <w:t>Rodaduras del ciclo de medición</w:t>
            </w:r>
          </w:p>
        </w:tc>
        <w:tc>
          <w:tcPr>
            <w:tcW w:w="1316" w:type="dxa"/>
          </w:tcPr>
          <w:p w:rsidR="00C34F3E" w:rsidRPr="003A38BA" w:rsidRDefault="00C34F3E" w:rsidP="00A503EF">
            <w:pPr>
              <w:spacing w:after="120"/>
              <w:ind w:left="0" w:firstLine="0"/>
              <w:rPr>
                <w:b/>
                <w:sz w:val="18"/>
                <w:szCs w:val="18"/>
              </w:rPr>
            </w:pPr>
            <w:r>
              <w:rPr>
                <w:b/>
                <w:sz w:val="18"/>
              </w:rPr>
              <w:t>Rodaduras con riego en el inicio</w:t>
            </w:r>
          </w:p>
        </w:tc>
        <w:tc>
          <w:tcPr>
            <w:tcW w:w="1316" w:type="dxa"/>
          </w:tcPr>
          <w:p w:rsidR="00C34F3E" w:rsidRPr="003A38BA" w:rsidRDefault="00C34F3E" w:rsidP="00A503EF">
            <w:pPr>
              <w:spacing w:after="120"/>
              <w:ind w:left="0" w:firstLine="0"/>
              <w:rPr>
                <w:b/>
                <w:sz w:val="18"/>
                <w:szCs w:val="18"/>
              </w:rPr>
            </w:pPr>
            <w:r>
              <w:rPr>
                <w:b/>
                <w:sz w:val="18"/>
              </w:rPr>
              <w:t>Rodaduras en estado seco</w:t>
            </w:r>
          </w:p>
        </w:tc>
        <w:tc>
          <w:tcPr>
            <w:tcW w:w="1316" w:type="dxa"/>
          </w:tcPr>
          <w:p w:rsidR="00C34F3E" w:rsidRPr="003A38BA" w:rsidRDefault="00C34F3E" w:rsidP="00A503EF">
            <w:pPr>
              <w:spacing w:after="120"/>
              <w:ind w:left="0" w:firstLine="0"/>
              <w:rPr>
                <w:b/>
                <w:sz w:val="18"/>
                <w:szCs w:val="18"/>
              </w:rPr>
            </w:pPr>
            <w:r>
              <w:rPr>
                <w:b/>
                <w:sz w:val="18"/>
              </w:rPr>
              <w:t>Rodaduras con riego al final *)</w:t>
            </w:r>
          </w:p>
        </w:tc>
        <w:tc>
          <w:tcPr>
            <w:tcW w:w="1316" w:type="dxa"/>
          </w:tcPr>
          <w:p w:rsidR="00C34F3E" w:rsidRPr="003A38BA" w:rsidRDefault="00C34F3E" w:rsidP="00A503EF">
            <w:pPr>
              <w:spacing w:after="120"/>
              <w:ind w:left="0" w:firstLine="0"/>
              <w:rPr>
                <w:b/>
                <w:sz w:val="18"/>
                <w:szCs w:val="18"/>
              </w:rPr>
            </w:pPr>
            <w:r>
              <w:rPr>
                <w:b/>
                <w:sz w:val="18"/>
              </w:rPr>
              <w:t xml:space="preserve">Rodaduras hasta la alteración del sentido de rotación </w:t>
            </w:r>
          </w:p>
        </w:tc>
        <w:tc>
          <w:tcPr>
            <w:tcW w:w="1316" w:type="dxa"/>
          </w:tcPr>
          <w:p w:rsidR="00C34F3E" w:rsidRPr="003A38BA" w:rsidRDefault="00C34F3E" w:rsidP="00A503EF">
            <w:pPr>
              <w:spacing w:after="120"/>
              <w:ind w:left="0" w:firstLine="0"/>
              <w:rPr>
                <w:b/>
                <w:sz w:val="18"/>
                <w:szCs w:val="18"/>
              </w:rPr>
            </w:pPr>
            <w:r>
              <w:rPr>
                <w:b/>
                <w:sz w:val="18"/>
              </w:rPr>
              <w:t>Total de rodaduras</w:t>
            </w:r>
          </w:p>
        </w:tc>
      </w:tr>
      <w:tr w:rsidR="00C34F3E" w:rsidRPr="003A38BA" w:rsidTr="00C34F3E">
        <w:tc>
          <w:tcPr>
            <w:tcW w:w="1316" w:type="dxa"/>
          </w:tcPr>
          <w:p w:rsidR="00C34F3E" w:rsidRPr="003A38BA" w:rsidRDefault="00EB7D09" w:rsidP="00C34F3E">
            <w:pPr>
              <w:spacing w:after="120"/>
              <w:ind w:left="0" w:firstLine="0"/>
              <w:jc w:val="center"/>
            </w:pPr>
            <w:r>
              <w:t>1</w:t>
            </w:r>
          </w:p>
        </w:tc>
        <w:tc>
          <w:tcPr>
            <w:tcW w:w="1316" w:type="dxa"/>
          </w:tcPr>
          <w:p w:rsidR="00C34F3E" w:rsidRPr="003A38BA" w:rsidRDefault="00EB7D09" w:rsidP="00C34F3E">
            <w:pPr>
              <w:spacing w:after="120"/>
              <w:ind w:left="0" w:firstLine="0"/>
              <w:jc w:val="center"/>
            </w:pPr>
            <w:r>
              <w:t>10 000</w:t>
            </w:r>
          </w:p>
        </w:tc>
        <w:tc>
          <w:tcPr>
            <w:tcW w:w="1316" w:type="dxa"/>
          </w:tcPr>
          <w:p w:rsidR="00C34F3E" w:rsidRPr="003A38BA" w:rsidRDefault="00EB7D09" w:rsidP="00C34F3E">
            <w:pPr>
              <w:spacing w:after="120"/>
              <w:ind w:left="0" w:firstLine="0"/>
              <w:jc w:val="center"/>
            </w:pPr>
            <w:r>
              <w:t>1 750</w:t>
            </w:r>
          </w:p>
        </w:tc>
        <w:tc>
          <w:tcPr>
            <w:tcW w:w="1316" w:type="dxa"/>
          </w:tcPr>
          <w:p w:rsidR="00C34F3E" w:rsidRPr="003A38BA" w:rsidRDefault="00EB7D09" w:rsidP="00C34F3E">
            <w:pPr>
              <w:spacing w:after="120"/>
              <w:ind w:left="0" w:firstLine="0"/>
              <w:jc w:val="center"/>
            </w:pPr>
            <w:r>
              <w:t>6 500</w:t>
            </w:r>
          </w:p>
        </w:tc>
        <w:tc>
          <w:tcPr>
            <w:tcW w:w="1316" w:type="dxa"/>
          </w:tcPr>
          <w:p w:rsidR="00C34F3E" w:rsidRPr="003A38BA" w:rsidRDefault="00EB7D09" w:rsidP="00C34F3E">
            <w:pPr>
              <w:spacing w:after="120"/>
              <w:ind w:left="0" w:firstLine="0"/>
              <w:jc w:val="center"/>
            </w:pPr>
            <w:r>
              <w:t>1 750</w:t>
            </w:r>
          </w:p>
        </w:tc>
        <w:tc>
          <w:tcPr>
            <w:tcW w:w="1316" w:type="dxa"/>
          </w:tcPr>
          <w:p w:rsidR="00C34F3E" w:rsidRPr="003A38BA" w:rsidRDefault="00EB7D09" w:rsidP="00C34F3E">
            <w:pPr>
              <w:spacing w:after="120"/>
              <w:ind w:left="0" w:firstLine="0"/>
              <w:jc w:val="center"/>
            </w:pPr>
            <w:r>
              <w:t>5 000</w:t>
            </w:r>
          </w:p>
        </w:tc>
        <w:tc>
          <w:tcPr>
            <w:tcW w:w="1316" w:type="dxa"/>
          </w:tcPr>
          <w:p w:rsidR="00C34F3E" w:rsidRPr="003A38BA" w:rsidRDefault="00EB7D09" w:rsidP="00C34F3E">
            <w:pPr>
              <w:spacing w:after="120"/>
              <w:ind w:left="0" w:firstLine="0"/>
              <w:jc w:val="center"/>
            </w:pPr>
            <w:r>
              <w:t>10 000</w:t>
            </w:r>
          </w:p>
        </w:tc>
      </w:tr>
      <w:tr w:rsidR="00C34F3E" w:rsidRPr="003A38BA" w:rsidTr="00C34F3E">
        <w:tc>
          <w:tcPr>
            <w:tcW w:w="1316" w:type="dxa"/>
          </w:tcPr>
          <w:p w:rsidR="00C34F3E" w:rsidRPr="003A38BA" w:rsidRDefault="00EB7D09" w:rsidP="003114C1">
            <w:pPr>
              <w:spacing w:after="120"/>
              <w:ind w:left="0" w:firstLine="0"/>
              <w:jc w:val="center"/>
            </w:pPr>
            <w:r>
              <w:t xml:space="preserve">2 </w:t>
            </w:r>
          </w:p>
        </w:tc>
        <w:tc>
          <w:tcPr>
            <w:tcW w:w="1316" w:type="dxa"/>
          </w:tcPr>
          <w:p w:rsidR="00C34F3E" w:rsidRPr="003A38BA" w:rsidRDefault="003114C1" w:rsidP="00C34F3E">
            <w:pPr>
              <w:spacing w:after="120"/>
              <w:ind w:left="0" w:firstLine="0"/>
              <w:jc w:val="center"/>
            </w:pPr>
            <w:r>
              <w:t>90 000</w:t>
            </w:r>
          </w:p>
        </w:tc>
        <w:tc>
          <w:tcPr>
            <w:tcW w:w="1316" w:type="dxa"/>
          </w:tcPr>
          <w:p w:rsidR="00C34F3E" w:rsidRPr="003A38BA" w:rsidRDefault="00EB7D09" w:rsidP="00C34F3E">
            <w:pPr>
              <w:spacing w:after="120"/>
              <w:ind w:left="0" w:firstLine="0"/>
              <w:jc w:val="center"/>
            </w:pPr>
            <w:r>
              <w:t>-</w:t>
            </w:r>
          </w:p>
        </w:tc>
        <w:tc>
          <w:tcPr>
            <w:tcW w:w="1316" w:type="dxa"/>
          </w:tcPr>
          <w:p w:rsidR="00C34F3E" w:rsidRPr="003A38BA" w:rsidRDefault="003114C1" w:rsidP="00C34F3E">
            <w:pPr>
              <w:spacing w:after="120"/>
              <w:ind w:left="0" w:firstLine="0"/>
              <w:jc w:val="center"/>
            </w:pPr>
            <w:r>
              <w:t>88 250</w:t>
            </w:r>
          </w:p>
        </w:tc>
        <w:tc>
          <w:tcPr>
            <w:tcW w:w="1316" w:type="dxa"/>
          </w:tcPr>
          <w:p w:rsidR="00C34F3E" w:rsidRPr="003A38BA" w:rsidRDefault="003114C1" w:rsidP="00C34F3E">
            <w:pPr>
              <w:spacing w:after="120"/>
              <w:ind w:left="0" w:firstLine="0"/>
              <w:jc w:val="center"/>
            </w:pPr>
            <w:r>
              <w:t>1 750</w:t>
            </w:r>
          </w:p>
        </w:tc>
        <w:tc>
          <w:tcPr>
            <w:tcW w:w="1316" w:type="dxa"/>
          </w:tcPr>
          <w:p w:rsidR="00C34F3E" w:rsidRPr="003A38BA" w:rsidRDefault="003114C1" w:rsidP="00C34F3E">
            <w:pPr>
              <w:spacing w:after="120"/>
              <w:ind w:left="0" w:firstLine="0"/>
              <w:jc w:val="center"/>
            </w:pPr>
            <w:r>
              <w:t>25 000</w:t>
            </w:r>
          </w:p>
        </w:tc>
        <w:tc>
          <w:tcPr>
            <w:tcW w:w="1316" w:type="dxa"/>
          </w:tcPr>
          <w:p w:rsidR="00C34F3E" w:rsidRPr="003A38BA" w:rsidRDefault="003114C1" w:rsidP="00C34F3E">
            <w:pPr>
              <w:spacing w:after="120"/>
              <w:ind w:left="0" w:firstLine="0"/>
              <w:jc w:val="center"/>
            </w:pPr>
            <w:r>
              <w:t>100 000</w:t>
            </w:r>
          </w:p>
        </w:tc>
      </w:tr>
      <w:tr w:rsidR="003114C1" w:rsidRPr="003A38BA" w:rsidTr="00C34F3E">
        <w:tc>
          <w:tcPr>
            <w:tcW w:w="1316" w:type="dxa"/>
          </w:tcPr>
          <w:p w:rsidR="003114C1" w:rsidRPr="003A38BA" w:rsidRDefault="003114C1" w:rsidP="00C34F3E">
            <w:pPr>
              <w:spacing w:after="120"/>
              <w:ind w:left="0" w:firstLine="0"/>
              <w:jc w:val="center"/>
            </w:pPr>
            <w:r>
              <w:t>3</w:t>
            </w:r>
          </w:p>
        </w:tc>
        <w:tc>
          <w:tcPr>
            <w:tcW w:w="1316" w:type="dxa"/>
          </w:tcPr>
          <w:p w:rsidR="003114C1" w:rsidRPr="003A38BA" w:rsidRDefault="003114C1" w:rsidP="003114C1">
            <w:pPr>
              <w:spacing w:after="120"/>
              <w:ind w:left="0" w:firstLine="0"/>
              <w:jc w:val="center"/>
            </w:pPr>
            <w:r>
              <w:t>100 000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96 500</w:t>
            </w:r>
          </w:p>
        </w:tc>
        <w:tc>
          <w:tcPr>
            <w:tcW w:w="1316" w:type="dxa"/>
          </w:tcPr>
          <w:p w:rsidR="003114C1" w:rsidRPr="003A38BA" w:rsidRDefault="003114C1" w:rsidP="003114C1">
            <w:pPr>
              <w:spacing w:after="120"/>
              <w:ind w:left="0" w:firstLine="0"/>
              <w:jc w:val="center"/>
            </w:pPr>
            <w:r>
              <w:t>3 500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200 000</w:t>
            </w:r>
          </w:p>
        </w:tc>
      </w:tr>
      <w:tr w:rsidR="003114C1" w:rsidRPr="003A38BA" w:rsidTr="00C34F3E">
        <w:tc>
          <w:tcPr>
            <w:tcW w:w="1316" w:type="dxa"/>
          </w:tcPr>
          <w:p w:rsidR="003114C1" w:rsidRPr="003A38BA" w:rsidRDefault="003114C1" w:rsidP="00C34F3E">
            <w:pPr>
              <w:spacing w:after="120"/>
              <w:ind w:left="0" w:firstLine="0"/>
              <w:jc w:val="center"/>
            </w:pPr>
            <w:r>
              <w:t>4</w:t>
            </w:r>
          </w:p>
        </w:tc>
        <w:tc>
          <w:tcPr>
            <w:tcW w:w="1316" w:type="dxa"/>
          </w:tcPr>
          <w:p w:rsidR="003114C1" w:rsidRPr="003A38BA" w:rsidRDefault="003114C1" w:rsidP="003114C1">
            <w:pPr>
              <w:spacing w:after="120"/>
              <w:ind w:left="0" w:firstLine="0"/>
              <w:jc w:val="center"/>
            </w:pPr>
            <w:r>
              <w:t>300 000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290 000</w:t>
            </w:r>
          </w:p>
        </w:tc>
        <w:tc>
          <w:tcPr>
            <w:tcW w:w="1316" w:type="dxa"/>
          </w:tcPr>
          <w:p w:rsidR="003114C1" w:rsidRPr="003A38BA" w:rsidRDefault="003114C1" w:rsidP="003114C1">
            <w:pPr>
              <w:spacing w:after="120"/>
              <w:ind w:left="0" w:firstLine="0"/>
              <w:jc w:val="center"/>
            </w:pPr>
            <w:r>
              <w:t>10 000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500 000</w:t>
            </w:r>
          </w:p>
        </w:tc>
      </w:tr>
      <w:tr w:rsidR="003114C1" w:rsidRPr="003A38BA" w:rsidTr="00C34F3E">
        <w:tc>
          <w:tcPr>
            <w:tcW w:w="1316" w:type="dxa"/>
          </w:tcPr>
          <w:p w:rsidR="003114C1" w:rsidRPr="003A38BA" w:rsidRDefault="003114C1" w:rsidP="00C34F3E">
            <w:pPr>
              <w:spacing w:after="120"/>
              <w:ind w:left="0" w:firstLine="0"/>
              <w:jc w:val="center"/>
            </w:pPr>
            <w:r>
              <w:t>5</w:t>
            </w:r>
          </w:p>
        </w:tc>
        <w:tc>
          <w:tcPr>
            <w:tcW w:w="1316" w:type="dxa"/>
          </w:tcPr>
          <w:p w:rsidR="003114C1" w:rsidRPr="003A38BA" w:rsidRDefault="003114C1" w:rsidP="003114C1">
            <w:pPr>
              <w:spacing w:after="120"/>
              <w:ind w:left="0" w:firstLine="0"/>
              <w:jc w:val="center"/>
            </w:pPr>
            <w:r>
              <w:t>500 000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490 000</w:t>
            </w:r>
          </w:p>
        </w:tc>
        <w:tc>
          <w:tcPr>
            <w:tcW w:w="1316" w:type="dxa"/>
          </w:tcPr>
          <w:p w:rsidR="003114C1" w:rsidRPr="003A38BA" w:rsidRDefault="003114C1" w:rsidP="003114C1">
            <w:pPr>
              <w:spacing w:after="120"/>
              <w:ind w:left="0" w:firstLine="0"/>
              <w:jc w:val="center"/>
            </w:pPr>
            <w:r>
              <w:t>10 000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1 000 000</w:t>
            </w:r>
          </w:p>
        </w:tc>
      </w:tr>
      <w:tr w:rsidR="003114C1" w:rsidRPr="003A38BA" w:rsidTr="00C34F3E">
        <w:tc>
          <w:tcPr>
            <w:tcW w:w="1316" w:type="dxa"/>
          </w:tcPr>
          <w:p w:rsidR="003114C1" w:rsidRPr="003A38BA" w:rsidRDefault="003114C1" w:rsidP="00C34F3E">
            <w:pPr>
              <w:spacing w:after="120"/>
              <w:ind w:left="0" w:firstLine="0"/>
              <w:jc w:val="center"/>
            </w:pPr>
            <w:r>
              <w:t>6</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2 000 000</w:t>
            </w:r>
          </w:p>
        </w:tc>
      </w:tr>
      <w:tr w:rsidR="003114C1" w:rsidRPr="003A38BA" w:rsidTr="00C34F3E">
        <w:tc>
          <w:tcPr>
            <w:tcW w:w="1316" w:type="dxa"/>
          </w:tcPr>
          <w:p w:rsidR="003114C1" w:rsidRPr="003A38BA" w:rsidRDefault="003114C1" w:rsidP="00C34F3E">
            <w:pPr>
              <w:spacing w:after="120"/>
              <w:ind w:left="0" w:firstLine="0"/>
              <w:jc w:val="center"/>
            </w:pPr>
            <w:r>
              <w:t>7</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3 000 000</w:t>
            </w:r>
          </w:p>
        </w:tc>
      </w:tr>
      <w:tr w:rsidR="003114C1" w:rsidRPr="003A38BA" w:rsidTr="00C34F3E">
        <w:tc>
          <w:tcPr>
            <w:tcW w:w="1316" w:type="dxa"/>
          </w:tcPr>
          <w:p w:rsidR="003114C1" w:rsidRPr="003A38BA" w:rsidRDefault="003114C1" w:rsidP="00EB7D09">
            <w:pPr>
              <w:spacing w:after="120"/>
              <w:ind w:left="0" w:firstLine="0"/>
              <w:jc w:val="center"/>
            </w:pPr>
            <w:r>
              <w:t>8</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4 000 000</w:t>
            </w:r>
          </w:p>
        </w:tc>
      </w:tr>
      <w:tr w:rsidR="003114C1" w:rsidRPr="003A38BA" w:rsidTr="00234C80">
        <w:tc>
          <w:tcPr>
            <w:tcW w:w="9212" w:type="dxa"/>
            <w:gridSpan w:val="7"/>
          </w:tcPr>
          <w:p w:rsidR="003114C1" w:rsidRPr="003A38BA" w:rsidRDefault="003114C1" w:rsidP="00C94718">
            <w:pPr>
              <w:spacing w:after="120"/>
              <w:ind w:left="0" w:firstLine="0"/>
            </w:pPr>
            <w:r>
              <w:t xml:space="preserve">*) Para el riego deberá utilizarse únicamente agua sin aditivos de ningún tipo. En el ensayo de sistemas de señalización termoplásticos, el número de rodaduras se aumenta en un 50 %. El número de rodaduras en estado seco se adapta correspondientemente. </w:t>
            </w:r>
          </w:p>
        </w:tc>
      </w:tr>
    </w:tbl>
    <w:p w:rsidR="00B2761F" w:rsidRPr="003A38BA" w:rsidRDefault="00B2761F" w:rsidP="007C21AF">
      <w:pPr>
        <w:pStyle w:val="Heading1"/>
        <w:numPr>
          <w:ilvl w:val="2"/>
          <w:numId w:val="5"/>
        </w:numPr>
        <w:ind w:left="1440" w:hanging="720"/>
        <w:jc w:val="both"/>
        <w:rPr>
          <w:sz w:val="24"/>
          <w:szCs w:val="24"/>
        </w:rPr>
      </w:pPr>
      <w:bookmarkStart w:id="40" w:name="_Toc2194173"/>
      <w:bookmarkStart w:id="41" w:name="_Toc12476344"/>
      <w:r>
        <w:rPr>
          <w:sz w:val="24"/>
        </w:rPr>
        <w:t>Mediciones relativas al equipamiento y a las condiciones de ensayo</w:t>
      </w:r>
      <w:bookmarkEnd w:id="40"/>
      <w:bookmarkEnd w:id="41"/>
    </w:p>
    <w:p w:rsidR="009759A4" w:rsidRPr="003A38BA" w:rsidRDefault="00061E4E" w:rsidP="007C21AF">
      <w:pPr>
        <w:spacing w:after="120"/>
        <w:ind w:left="0" w:firstLine="0"/>
        <w:jc w:val="both"/>
      </w:pPr>
      <w:r>
        <w:t>La presión de los neumáticos, la inclinación y el ángulo de articulación deberán comprobarse de acuerdo con la sección 4.1.1 y, cuando sea necesario, corregirse.</w:t>
      </w:r>
    </w:p>
    <w:p w:rsidR="00061E4E" w:rsidRPr="003A38BA" w:rsidRDefault="00061E4E" w:rsidP="007C21AF">
      <w:pPr>
        <w:spacing w:after="120"/>
        <w:ind w:left="0" w:firstLine="0"/>
        <w:jc w:val="both"/>
      </w:pPr>
      <w:r>
        <w:lastRenderedPageBreak/>
        <w:t>La temperatura ambiente, la temperatura de la superficie de la placa de ensayo, la carga por rueda, la velocidad y el número de rodaduras deberán supervisarse y registrarse continuamente durante el ensayo.</w:t>
      </w:r>
    </w:p>
    <w:p w:rsidR="00B2761F" w:rsidRPr="003A38BA" w:rsidRDefault="00B2761F" w:rsidP="007C21AF">
      <w:pPr>
        <w:pStyle w:val="Heading1"/>
        <w:numPr>
          <w:ilvl w:val="2"/>
          <w:numId w:val="5"/>
        </w:numPr>
        <w:ind w:left="1440" w:hanging="720"/>
        <w:jc w:val="both"/>
        <w:rPr>
          <w:sz w:val="24"/>
          <w:szCs w:val="24"/>
        </w:rPr>
      </w:pPr>
      <w:bookmarkStart w:id="42" w:name="_Toc2194174"/>
      <w:bookmarkStart w:id="43" w:name="_Toc12476345"/>
      <w:r>
        <w:rPr>
          <w:sz w:val="24"/>
        </w:rPr>
        <w:t>Mediciones de las propiedades técnicas de circulación de los sistemas de señalización</w:t>
      </w:r>
      <w:bookmarkEnd w:id="42"/>
      <w:bookmarkEnd w:id="43"/>
    </w:p>
    <w:p w:rsidR="00DF3B72" w:rsidRPr="003A38BA" w:rsidRDefault="00DF3B72" w:rsidP="007C21AF">
      <w:pPr>
        <w:spacing w:after="120"/>
        <w:ind w:left="0" w:firstLine="0"/>
        <w:jc w:val="both"/>
      </w:pPr>
      <w:r>
        <w:t>Las propiedades técnicas de circulación de los sistemas de señalización se determinarán continuamente durante el ensayo de aptitud. Las mediciones se llevarán a cabo según las disposiciones de DIN EN 1436.</w:t>
      </w:r>
    </w:p>
    <w:p w:rsidR="00D9642C" w:rsidRPr="003A38BA" w:rsidRDefault="00D9642C" w:rsidP="007C21AF">
      <w:pPr>
        <w:spacing w:after="120"/>
        <w:ind w:left="0" w:firstLine="0"/>
        <w:jc w:val="both"/>
      </w:pPr>
      <w:r>
        <w:t>Se determinarán la visibilidad diurna sobre la base del coeficiente de luminancia con iluminación difusa Qd y las coordenadas cromáticas (x, y) del espacio de color, la visibilidad nocturna en estado seco sobre la base del coeficiente de luminancia con retrorreflexión RL(seco), la visibilidad en estado mojado sobre la base del coeficiente de luminancia con retrorreflexión RL(mojado) con señalización del tipo II, la adherencia en unidades SRT y el desgaste en porcentaje.</w:t>
      </w:r>
    </w:p>
    <w:p w:rsidR="001D17DA" w:rsidRPr="003A38BA" w:rsidRDefault="001D17DA" w:rsidP="007C21AF">
      <w:pPr>
        <w:spacing w:after="120"/>
        <w:ind w:left="0" w:firstLine="0"/>
        <w:jc w:val="both"/>
      </w:pPr>
      <w:r>
        <w:t xml:space="preserve">La determinación del coeficiente de luminancia con retrorreflexión RL(mojado) se realizará con un 2 % de inclinación transversal de las placas de ensayo. </w:t>
      </w:r>
    </w:p>
    <w:p w:rsidR="00A13538" w:rsidRPr="003A38BA" w:rsidRDefault="00A13538" w:rsidP="007C21AF">
      <w:pPr>
        <w:spacing w:after="120"/>
        <w:ind w:left="0" w:firstLine="0"/>
        <w:jc w:val="both"/>
      </w:pPr>
      <w:r>
        <w:t>En cuanto al desgaste, se determinará la proporción de la superficie cubierta por señalización en estado rodado con respecto a la misma superficie en estado no rodado. La Ficha informativa para señalizaciones de aglomerados revisada (actualmente en fase de proyecto) contiene indicaciones precisas al respecto.</w:t>
      </w:r>
    </w:p>
    <w:p w:rsidR="00D9642C" w:rsidRPr="003A38BA" w:rsidRDefault="00D9642C" w:rsidP="007C21AF">
      <w:pPr>
        <w:spacing w:after="120"/>
        <w:ind w:left="0" w:firstLine="0"/>
        <w:jc w:val="both"/>
      </w:pPr>
      <w:r>
        <w:t>Las mediciones se realizarán en las tres placas de ensayo y como resultado se indicará el correspondiente valor medio calculado. La superficie cubierta por las mediciones en las tres placas de ensayo deberá ser de al menos 400 cm².</w:t>
      </w:r>
    </w:p>
    <w:p w:rsidR="008B4E60" w:rsidRPr="003A38BA" w:rsidRDefault="00D9642C" w:rsidP="007C21AF">
      <w:pPr>
        <w:spacing w:after="120"/>
        <w:ind w:left="0" w:firstLine="0"/>
        <w:jc w:val="both"/>
      </w:pPr>
      <w:r>
        <w:t>Las mediciones se llevarán a cabo antes del comienzo de las rodaduras y tras la finalización de un ciclo de medición. Para las propiedades técnicas de luminosidad se medirá el estado nuevo tras 10 000 rodaduras. La medición de las propiedades técnicas de luminosidad antes del comienzo de las rodaduras tiene fines exclusivamente informativos y no es relevante para el resultado del ensayo.</w:t>
      </w:r>
    </w:p>
    <w:p w:rsidR="00D9642C" w:rsidRPr="003A38BA" w:rsidRDefault="001D17DA" w:rsidP="007C21AF">
      <w:pPr>
        <w:spacing w:after="120"/>
        <w:ind w:left="0" w:firstLine="0"/>
        <w:jc w:val="both"/>
      </w:pPr>
      <w:r>
        <w:t>En la medición de la adhesión se medirá el estado nuevo antes del comienzo de las rodaduras. La división de los ciclos de medición se orienta, entre otros aspectos, por las clases de circulación y podrá deducirse del cuadro 5. El ciclo de medición 1 finaliza tras 10 000 rodaduras.</w:t>
      </w:r>
    </w:p>
    <w:p w:rsidR="003114C1" w:rsidRPr="003A38BA" w:rsidRDefault="003E3497" w:rsidP="00A11530">
      <w:pPr>
        <w:pStyle w:val="Subtitle"/>
        <w:keepNext/>
        <w:ind w:left="1440" w:hanging="1440"/>
        <w:jc w:val="both"/>
        <w:rPr>
          <w:spacing w:val="0"/>
        </w:rPr>
      </w:pPr>
      <w:r>
        <w:t>Cuadro 5:</w:t>
      </w:r>
      <w:r>
        <w:tab/>
        <w:t>Atribución de las clases de circulación a los ciclos de medición</w:t>
      </w:r>
    </w:p>
    <w:tbl>
      <w:tblPr>
        <w:tblStyle w:val="TableGrid"/>
        <w:tblW w:w="0" w:type="auto"/>
        <w:tblInd w:w="357" w:type="dxa"/>
        <w:tblLook w:val="04A0" w:firstRow="1" w:lastRow="0" w:firstColumn="1" w:lastColumn="0" w:noHBand="0" w:noVBand="1"/>
      </w:tblPr>
      <w:tblGrid>
        <w:gridCol w:w="2965"/>
        <w:gridCol w:w="2984"/>
        <w:gridCol w:w="2982"/>
      </w:tblGrid>
      <w:tr w:rsidR="003114C1" w:rsidRPr="003A38BA" w:rsidTr="003114C1">
        <w:tc>
          <w:tcPr>
            <w:tcW w:w="2965" w:type="dxa"/>
          </w:tcPr>
          <w:p w:rsidR="003114C1" w:rsidRPr="003A38BA" w:rsidRDefault="003114C1" w:rsidP="003114C1">
            <w:pPr>
              <w:ind w:left="0" w:firstLine="0"/>
              <w:jc w:val="center"/>
            </w:pPr>
            <w:r>
              <w:t>Ciclo de medición</w:t>
            </w:r>
          </w:p>
        </w:tc>
        <w:tc>
          <w:tcPr>
            <w:tcW w:w="2984" w:type="dxa"/>
          </w:tcPr>
          <w:p w:rsidR="003114C1" w:rsidRPr="003A38BA" w:rsidRDefault="003114C1" w:rsidP="003114C1">
            <w:pPr>
              <w:ind w:left="0" w:firstLine="0"/>
              <w:jc w:val="center"/>
            </w:pPr>
            <w:r>
              <w:t>Clase de circulación</w:t>
            </w:r>
          </w:p>
        </w:tc>
        <w:tc>
          <w:tcPr>
            <w:tcW w:w="2982" w:type="dxa"/>
          </w:tcPr>
          <w:p w:rsidR="003114C1" w:rsidRPr="003A38BA" w:rsidRDefault="003114C1" w:rsidP="003114C1">
            <w:pPr>
              <w:ind w:left="0" w:firstLine="0"/>
              <w:jc w:val="center"/>
            </w:pPr>
            <w:r>
              <w:t>Número de rodaduras</w:t>
            </w:r>
          </w:p>
        </w:tc>
      </w:tr>
      <w:tr w:rsidR="003114C1" w:rsidRPr="003A38BA" w:rsidTr="003114C1">
        <w:tc>
          <w:tcPr>
            <w:tcW w:w="2965" w:type="dxa"/>
          </w:tcPr>
          <w:p w:rsidR="003114C1" w:rsidRPr="003A38BA" w:rsidRDefault="003114C1" w:rsidP="003114C1">
            <w:pPr>
              <w:ind w:left="0" w:firstLine="0"/>
              <w:jc w:val="center"/>
            </w:pPr>
            <w:r>
              <w:t>1</w:t>
            </w:r>
          </w:p>
        </w:tc>
        <w:tc>
          <w:tcPr>
            <w:tcW w:w="2984" w:type="dxa"/>
          </w:tcPr>
          <w:p w:rsidR="003114C1" w:rsidRPr="003A38BA" w:rsidRDefault="003114C1" w:rsidP="003114C1">
            <w:pPr>
              <w:ind w:left="0" w:firstLine="0"/>
              <w:jc w:val="center"/>
            </w:pPr>
            <w:r>
              <w:t>P0</w:t>
            </w:r>
          </w:p>
        </w:tc>
        <w:tc>
          <w:tcPr>
            <w:tcW w:w="2982" w:type="dxa"/>
          </w:tcPr>
          <w:p w:rsidR="003114C1" w:rsidRPr="003A38BA" w:rsidRDefault="003114C1" w:rsidP="003114C1">
            <w:pPr>
              <w:ind w:left="0" w:firstLine="0"/>
              <w:jc w:val="center"/>
            </w:pPr>
            <w:r>
              <w:t>&lt;50 000</w:t>
            </w:r>
          </w:p>
        </w:tc>
      </w:tr>
      <w:tr w:rsidR="003114C1" w:rsidRPr="003A38BA" w:rsidTr="003114C1">
        <w:tc>
          <w:tcPr>
            <w:tcW w:w="2965" w:type="dxa"/>
          </w:tcPr>
          <w:p w:rsidR="003114C1" w:rsidRPr="003A38BA" w:rsidRDefault="003114C1" w:rsidP="003114C1">
            <w:pPr>
              <w:ind w:left="0" w:firstLine="0"/>
              <w:jc w:val="center"/>
            </w:pPr>
            <w:r>
              <w:t>2</w:t>
            </w:r>
          </w:p>
        </w:tc>
        <w:tc>
          <w:tcPr>
            <w:tcW w:w="2984" w:type="dxa"/>
          </w:tcPr>
          <w:p w:rsidR="003114C1" w:rsidRPr="003A38BA" w:rsidRDefault="003114C1" w:rsidP="003114C1">
            <w:pPr>
              <w:ind w:left="0" w:firstLine="0"/>
              <w:jc w:val="center"/>
            </w:pPr>
            <w:r>
              <w:t>P2</w:t>
            </w:r>
          </w:p>
        </w:tc>
        <w:tc>
          <w:tcPr>
            <w:tcW w:w="2982" w:type="dxa"/>
          </w:tcPr>
          <w:p w:rsidR="003114C1" w:rsidRPr="003A38BA" w:rsidRDefault="003114C1" w:rsidP="003114C1">
            <w:pPr>
              <w:ind w:left="0" w:firstLine="0"/>
              <w:jc w:val="center"/>
            </w:pPr>
            <w:r>
              <w:t>100 000</w:t>
            </w:r>
          </w:p>
        </w:tc>
      </w:tr>
      <w:tr w:rsidR="003114C1" w:rsidRPr="003A38BA" w:rsidTr="003114C1">
        <w:tc>
          <w:tcPr>
            <w:tcW w:w="2965" w:type="dxa"/>
          </w:tcPr>
          <w:p w:rsidR="003114C1" w:rsidRPr="003A38BA" w:rsidRDefault="003114C1" w:rsidP="003114C1">
            <w:pPr>
              <w:ind w:left="0" w:firstLine="0"/>
              <w:jc w:val="center"/>
            </w:pPr>
            <w:r>
              <w:t>3</w:t>
            </w:r>
          </w:p>
        </w:tc>
        <w:tc>
          <w:tcPr>
            <w:tcW w:w="2984" w:type="dxa"/>
          </w:tcPr>
          <w:p w:rsidR="003114C1" w:rsidRPr="003A38BA" w:rsidRDefault="003114C1" w:rsidP="003114C1">
            <w:pPr>
              <w:ind w:left="0" w:firstLine="0"/>
              <w:jc w:val="center"/>
            </w:pPr>
            <w:r>
              <w:t>P3</w:t>
            </w:r>
          </w:p>
        </w:tc>
        <w:tc>
          <w:tcPr>
            <w:tcW w:w="2982" w:type="dxa"/>
          </w:tcPr>
          <w:p w:rsidR="003114C1" w:rsidRPr="003A38BA" w:rsidRDefault="003114C1" w:rsidP="003114C1">
            <w:pPr>
              <w:ind w:left="0" w:firstLine="0"/>
              <w:jc w:val="center"/>
            </w:pPr>
            <w:r>
              <w:t>200 000</w:t>
            </w:r>
          </w:p>
        </w:tc>
      </w:tr>
      <w:tr w:rsidR="003114C1" w:rsidRPr="003A38BA" w:rsidTr="003114C1">
        <w:tc>
          <w:tcPr>
            <w:tcW w:w="2965" w:type="dxa"/>
          </w:tcPr>
          <w:p w:rsidR="003114C1" w:rsidRPr="003A38BA" w:rsidRDefault="003114C1" w:rsidP="003114C1">
            <w:pPr>
              <w:ind w:left="0" w:firstLine="0"/>
              <w:jc w:val="center"/>
            </w:pPr>
            <w:r>
              <w:t>4</w:t>
            </w:r>
          </w:p>
        </w:tc>
        <w:tc>
          <w:tcPr>
            <w:tcW w:w="2984" w:type="dxa"/>
          </w:tcPr>
          <w:p w:rsidR="003114C1" w:rsidRPr="003A38BA" w:rsidRDefault="003114C1" w:rsidP="003114C1">
            <w:pPr>
              <w:ind w:left="0" w:firstLine="0"/>
              <w:jc w:val="center"/>
            </w:pPr>
            <w:r>
              <w:t>P4</w:t>
            </w:r>
          </w:p>
        </w:tc>
        <w:tc>
          <w:tcPr>
            <w:tcW w:w="2982" w:type="dxa"/>
          </w:tcPr>
          <w:p w:rsidR="003114C1" w:rsidRPr="003A38BA" w:rsidRDefault="003114C1" w:rsidP="003114C1">
            <w:pPr>
              <w:ind w:left="0" w:firstLine="0"/>
              <w:jc w:val="center"/>
            </w:pPr>
            <w:r>
              <w:t>500 000</w:t>
            </w:r>
          </w:p>
        </w:tc>
      </w:tr>
      <w:tr w:rsidR="003114C1" w:rsidRPr="003A38BA" w:rsidTr="003114C1">
        <w:tc>
          <w:tcPr>
            <w:tcW w:w="2965" w:type="dxa"/>
          </w:tcPr>
          <w:p w:rsidR="003114C1" w:rsidRPr="003A38BA" w:rsidRDefault="003114C1" w:rsidP="003114C1">
            <w:pPr>
              <w:ind w:left="0" w:firstLine="0"/>
              <w:jc w:val="center"/>
            </w:pPr>
            <w:r>
              <w:t>5</w:t>
            </w:r>
          </w:p>
        </w:tc>
        <w:tc>
          <w:tcPr>
            <w:tcW w:w="2984" w:type="dxa"/>
          </w:tcPr>
          <w:p w:rsidR="003114C1" w:rsidRPr="003A38BA" w:rsidRDefault="003114C1" w:rsidP="003114C1">
            <w:pPr>
              <w:ind w:left="0" w:firstLine="0"/>
              <w:jc w:val="center"/>
            </w:pPr>
            <w:r>
              <w:t>P5</w:t>
            </w:r>
          </w:p>
        </w:tc>
        <w:tc>
          <w:tcPr>
            <w:tcW w:w="2982" w:type="dxa"/>
          </w:tcPr>
          <w:p w:rsidR="003114C1" w:rsidRPr="003A38BA" w:rsidRDefault="003114C1" w:rsidP="003114C1">
            <w:pPr>
              <w:ind w:left="0" w:firstLine="0"/>
              <w:jc w:val="center"/>
            </w:pPr>
            <w:r>
              <w:t>1 000 000</w:t>
            </w:r>
          </w:p>
        </w:tc>
      </w:tr>
      <w:tr w:rsidR="003114C1" w:rsidRPr="003A38BA" w:rsidTr="003114C1">
        <w:tc>
          <w:tcPr>
            <w:tcW w:w="2965" w:type="dxa"/>
          </w:tcPr>
          <w:p w:rsidR="003114C1" w:rsidRPr="003A38BA" w:rsidRDefault="003114C1" w:rsidP="003114C1">
            <w:pPr>
              <w:ind w:left="0" w:firstLine="0"/>
              <w:jc w:val="center"/>
            </w:pPr>
            <w:r>
              <w:t>6</w:t>
            </w:r>
          </w:p>
        </w:tc>
        <w:tc>
          <w:tcPr>
            <w:tcW w:w="2984" w:type="dxa"/>
          </w:tcPr>
          <w:p w:rsidR="003114C1" w:rsidRPr="003A38BA" w:rsidRDefault="003114C1" w:rsidP="003114C1">
            <w:pPr>
              <w:ind w:left="0" w:firstLine="0"/>
              <w:jc w:val="center"/>
            </w:pPr>
            <w:r>
              <w:t>P6</w:t>
            </w:r>
          </w:p>
        </w:tc>
        <w:tc>
          <w:tcPr>
            <w:tcW w:w="2982" w:type="dxa"/>
          </w:tcPr>
          <w:p w:rsidR="003114C1" w:rsidRPr="003A38BA" w:rsidRDefault="003114C1" w:rsidP="003114C1">
            <w:pPr>
              <w:ind w:left="0" w:firstLine="0"/>
              <w:jc w:val="center"/>
            </w:pPr>
            <w:r>
              <w:t>2 000 000</w:t>
            </w:r>
          </w:p>
        </w:tc>
      </w:tr>
      <w:tr w:rsidR="003114C1" w:rsidRPr="003A38BA" w:rsidTr="003114C1">
        <w:tc>
          <w:tcPr>
            <w:tcW w:w="2965" w:type="dxa"/>
          </w:tcPr>
          <w:p w:rsidR="003114C1" w:rsidRPr="003A38BA" w:rsidRDefault="003114C1" w:rsidP="003114C1">
            <w:pPr>
              <w:ind w:left="0" w:firstLine="0"/>
              <w:jc w:val="center"/>
            </w:pPr>
            <w:r>
              <w:t>7</w:t>
            </w:r>
          </w:p>
        </w:tc>
        <w:tc>
          <w:tcPr>
            <w:tcW w:w="2984" w:type="dxa"/>
          </w:tcPr>
          <w:p w:rsidR="003114C1" w:rsidRPr="003A38BA" w:rsidRDefault="003114C1" w:rsidP="003114C1">
            <w:pPr>
              <w:ind w:left="0" w:firstLine="0"/>
              <w:jc w:val="center"/>
            </w:pPr>
            <w:r>
              <w:t>-</w:t>
            </w:r>
          </w:p>
        </w:tc>
        <w:tc>
          <w:tcPr>
            <w:tcW w:w="2982" w:type="dxa"/>
          </w:tcPr>
          <w:p w:rsidR="003114C1" w:rsidRPr="003A38BA" w:rsidRDefault="003114C1" w:rsidP="003114C1">
            <w:pPr>
              <w:ind w:left="0" w:firstLine="0"/>
              <w:jc w:val="center"/>
            </w:pPr>
            <w:r>
              <w:t>3 000 000</w:t>
            </w:r>
          </w:p>
        </w:tc>
      </w:tr>
      <w:tr w:rsidR="003114C1" w:rsidRPr="003A38BA" w:rsidTr="003114C1">
        <w:tc>
          <w:tcPr>
            <w:tcW w:w="2965" w:type="dxa"/>
          </w:tcPr>
          <w:p w:rsidR="003114C1" w:rsidRPr="003A38BA" w:rsidRDefault="003114C1" w:rsidP="003114C1">
            <w:pPr>
              <w:ind w:left="0" w:firstLine="0"/>
              <w:jc w:val="center"/>
            </w:pPr>
            <w:r>
              <w:t>8</w:t>
            </w:r>
          </w:p>
        </w:tc>
        <w:tc>
          <w:tcPr>
            <w:tcW w:w="2984" w:type="dxa"/>
          </w:tcPr>
          <w:p w:rsidR="003114C1" w:rsidRPr="003A38BA" w:rsidRDefault="003114C1" w:rsidP="003114C1">
            <w:pPr>
              <w:ind w:left="0" w:firstLine="0"/>
              <w:jc w:val="center"/>
            </w:pPr>
            <w:r>
              <w:t>P7</w:t>
            </w:r>
          </w:p>
        </w:tc>
        <w:tc>
          <w:tcPr>
            <w:tcW w:w="2982" w:type="dxa"/>
          </w:tcPr>
          <w:p w:rsidR="003114C1" w:rsidRPr="003A38BA" w:rsidRDefault="003114C1" w:rsidP="003114C1">
            <w:pPr>
              <w:ind w:left="0" w:firstLine="0"/>
              <w:jc w:val="center"/>
            </w:pPr>
            <w:r>
              <w:t>4 000 000</w:t>
            </w:r>
          </w:p>
        </w:tc>
      </w:tr>
    </w:tbl>
    <w:p w:rsidR="00993CFC" w:rsidRPr="003A38BA" w:rsidRDefault="00993CFC" w:rsidP="007C21AF">
      <w:pPr>
        <w:pStyle w:val="Heading1"/>
        <w:numPr>
          <w:ilvl w:val="2"/>
          <w:numId w:val="5"/>
        </w:numPr>
        <w:ind w:left="1440" w:hanging="720"/>
        <w:jc w:val="both"/>
        <w:rPr>
          <w:sz w:val="24"/>
          <w:szCs w:val="24"/>
        </w:rPr>
      </w:pPr>
      <w:bookmarkStart w:id="44" w:name="_Toc2194175"/>
      <w:bookmarkStart w:id="45" w:name="_Toc12476346"/>
      <w:r>
        <w:rPr>
          <w:sz w:val="24"/>
        </w:rPr>
        <w:t>Evaluación de los ensayos</w:t>
      </w:r>
      <w:bookmarkEnd w:id="44"/>
      <w:bookmarkEnd w:id="45"/>
    </w:p>
    <w:p w:rsidR="00993CFC" w:rsidRPr="003A38BA" w:rsidRDefault="00993CFC" w:rsidP="007C21AF">
      <w:pPr>
        <w:spacing w:after="120"/>
        <w:ind w:left="0" w:firstLine="0"/>
        <w:jc w:val="both"/>
      </w:pPr>
      <w:r>
        <w:t xml:space="preserve">Los resultados del ensayo de aptitud se resumirán en un cuadro de valores de medición. Si se cumplen los requisitos mínimos de acuerdo con las ZTV M para el estado nuevo y usado, así como los requisitos de las TL M, podrá emitirse un certificado de ensayo (véase el anexo A). Para los requisitos mínimos de acuerdo con las ZTV M se eligieron clases superiores según DIN EN 1436 para las propiedades técnicas de luminosidad. Si no se alcanzan los requisitos mínimos de acuerdo con las ZTV M o no se cumplen los requisitos de las TL M, pero sí se cumplen los requisitos mínimos según </w:t>
      </w:r>
      <w:r>
        <w:lastRenderedPageBreak/>
        <w:t>DIN EN 1436, podrá emitirse una confirmación del ensayo (véase el anexo A). En el caso de una confirmación según DIN EN 1436 es posible, a diferencia de un certificado de ensayo según las ZTV M, no especificar un rendimiento para una o varias propiedades, si así lo pide el solicitante.</w:t>
      </w:r>
    </w:p>
    <w:p w:rsidR="00617E85" w:rsidRPr="003A38BA" w:rsidRDefault="00617E85" w:rsidP="007C21AF">
      <w:pPr>
        <w:spacing w:after="120"/>
        <w:ind w:left="0" w:firstLine="0"/>
        <w:jc w:val="both"/>
      </w:pPr>
      <w:r>
        <w:t>Sobre la base de las comparaciones cruzadas de valores de medida de la adherencia de campos de ensayo y de la mesa giratoria, para la evaluación de la adhesión se establecieron requisitos divergentes para la mesa giratoria. A un valor SRT determinado en el ensayo en la mesa giratoria se suman 5 puntos para que la clase S1 más baja ya se califique como cumplida con un valor SRT de 40. No obstante, esta reglamentación no será aplicable a la medición de la adherencia en el estado nuevo antes del inicio de las rodaduras. En este caso, será necesario un valor SRT de 45.</w:t>
      </w:r>
    </w:p>
    <w:p w:rsidR="00D9642C" w:rsidRPr="003A38BA" w:rsidRDefault="00D9642C" w:rsidP="007C21AF">
      <w:pPr>
        <w:pStyle w:val="Heading1"/>
        <w:numPr>
          <w:ilvl w:val="2"/>
          <w:numId w:val="5"/>
        </w:numPr>
        <w:ind w:left="1440" w:hanging="720"/>
        <w:jc w:val="both"/>
        <w:rPr>
          <w:sz w:val="24"/>
          <w:szCs w:val="24"/>
        </w:rPr>
      </w:pPr>
      <w:bookmarkStart w:id="46" w:name="_Toc2194176"/>
      <w:bookmarkStart w:id="47" w:name="_Toc12476347"/>
      <w:r>
        <w:rPr>
          <w:sz w:val="24"/>
        </w:rPr>
        <w:t>Control de los ensayos (reproducibilidad)</w:t>
      </w:r>
      <w:bookmarkEnd w:id="46"/>
      <w:bookmarkEnd w:id="47"/>
    </w:p>
    <w:p w:rsidR="00D9642C" w:rsidRPr="003A38BA" w:rsidRDefault="00D9642C" w:rsidP="007C21AF">
      <w:pPr>
        <w:spacing w:after="120"/>
        <w:ind w:left="0" w:firstLine="0"/>
        <w:jc w:val="both"/>
      </w:pPr>
      <w:r>
        <w:t xml:space="preserve">Para garantizar un proceso de ensayo correcto, en cada ensayo se deberá incluir, para el control, una muestra de referencia. </w:t>
      </w:r>
    </w:p>
    <w:p w:rsidR="00D9642C" w:rsidRPr="003A38BA" w:rsidRDefault="00946519" w:rsidP="007C21AF">
      <w:pPr>
        <w:spacing w:after="120"/>
        <w:ind w:left="0" w:firstLine="0"/>
        <w:jc w:val="both"/>
      </w:pPr>
      <w:r>
        <w:t>En cada muestra de referencia deberán medirse, asimismo, en el marco del ensayo de aptitud, todas las propiedades que figuran en la sección 4.4.3. Los resultados de medición no deberán presentar desviaciones de los resultados de la medición original para la muestra seleccionada, teniendo en cuenta las tolerancias indicadas a continuación:</w:t>
      </w:r>
    </w:p>
    <w:p w:rsidR="00946519" w:rsidRPr="003A38BA" w:rsidRDefault="00946519" w:rsidP="007C21AF">
      <w:pPr>
        <w:spacing w:after="120"/>
        <w:ind w:left="0" w:firstLine="0"/>
        <w:jc w:val="both"/>
      </w:pPr>
      <w:r>
        <w:t>15 % para la visibilidad diurna,</w:t>
      </w:r>
    </w:p>
    <w:p w:rsidR="00946519" w:rsidRPr="003A38BA" w:rsidRDefault="00946519" w:rsidP="007C21AF">
      <w:pPr>
        <w:spacing w:after="120"/>
        <w:ind w:left="0" w:firstLine="0"/>
        <w:jc w:val="both"/>
      </w:pPr>
      <w:r>
        <w:t>15 % para la visibilidad nocturna tras 100 000 rodaduras,</w:t>
      </w:r>
    </w:p>
    <w:p w:rsidR="00DF3B72" w:rsidRPr="003A38BA" w:rsidRDefault="00946519" w:rsidP="007C21AF">
      <w:pPr>
        <w:spacing w:after="120"/>
        <w:ind w:left="0" w:firstLine="0"/>
        <w:jc w:val="both"/>
      </w:pPr>
      <w:r>
        <w:t>± 5 unidades SRT para la adherencia.</w:t>
      </w:r>
    </w:p>
    <w:p w:rsidR="00993CFC" w:rsidRPr="003A38BA" w:rsidRDefault="00F653D9" w:rsidP="007C21AF">
      <w:pPr>
        <w:spacing w:after="120"/>
        <w:ind w:left="0" w:firstLine="0"/>
        <w:jc w:val="both"/>
      </w:pPr>
      <w:r>
        <w:t>Si la desviación es superior, deberán analizarse las condiciones del ensayo, así como el propio material de referencia, para que pueda presuponerse un proceso de ensayo correcto.</w:t>
      </w:r>
    </w:p>
    <w:p w:rsidR="00536458" w:rsidRPr="003A38BA" w:rsidRDefault="00536458" w:rsidP="007C21AF">
      <w:pPr>
        <w:pStyle w:val="Heading1"/>
        <w:numPr>
          <w:ilvl w:val="0"/>
          <w:numId w:val="5"/>
        </w:numPr>
        <w:jc w:val="both"/>
        <w:rPr>
          <w:sz w:val="24"/>
          <w:szCs w:val="24"/>
        </w:rPr>
      </w:pPr>
      <w:bookmarkStart w:id="48" w:name="_Toc353893698"/>
      <w:bookmarkStart w:id="49" w:name="_Toc2194177"/>
      <w:bookmarkStart w:id="50" w:name="_Toc12476348"/>
      <w:r>
        <w:rPr>
          <w:sz w:val="24"/>
        </w:rPr>
        <w:t>Ensayos físico-químicos de los materiales de señalización y coformulantes (ensayo de prototipo)</w:t>
      </w:r>
      <w:bookmarkEnd w:id="48"/>
      <w:bookmarkEnd w:id="49"/>
      <w:bookmarkEnd w:id="50"/>
    </w:p>
    <w:p w:rsidR="00536458" w:rsidRPr="003A38BA" w:rsidRDefault="00536458" w:rsidP="007C21AF">
      <w:pPr>
        <w:pStyle w:val="Heading1"/>
        <w:numPr>
          <w:ilvl w:val="1"/>
          <w:numId w:val="5"/>
        </w:numPr>
        <w:jc w:val="both"/>
        <w:rPr>
          <w:sz w:val="24"/>
          <w:szCs w:val="24"/>
        </w:rPr>
      </w:pPr>
      <w:bookmarkStart w:id="51" w:name="_Toc86465553"/>
      <w:bookmarkStart w:id="52" w:name="_Toc115598045"/>
      <w:bookmarkStart w:id="53" w:name="_Toc120375499"/>
      <w:bookmarkStart w:id="54" w:name="_Toc150173015"/>
      <w:bookmarkStart w:id="55" w:name="_Toc150819913"/>
      <w:bookmarkStart w:id="56" w:name="_Toc353893699"/>
      <w:bookmarkStart w:id="57" w:name="_Toc2194178"/>
      <w:bookmarkStart w:id="58" w:name="_Toc12476349"/>
      <w:r>
        <w:rPr>
          <w:sz w:val="24"/>
        </w:rPr>
        <w:t>Generalidades</w:t>
      </w:r>
      <w:bookmarkEnd w:id="51"/>
      <w:bookmarkEnd w:id="52"/>
      <w:bookmarkEnd w:id="53"/>
      <w:bookmarkEnd w:id="54"/>
      <w:bookmarkEnd w:id="55"/>
      <w:bookmarkEnd w:id="56"/>
      <w:bookmarkEnd w:id="57"/>
      <w:bookmarkEnd w:id="58"/>
    </w:p>
    <w:p w:rsidR="00536458" w:rsidRPr="003A38BA" w:rsidRDefault="00536458" w:rsidP="007C21AF">
      <w:pPr>
        <w:spacing w:after="120"/>
        <w:ind w:left="0" w:firstLine="0"/>
        <w:jc w:val="both"/>
      </w:pPr>
      <w:r>
        <w:t>Los ensayos de prototipo sirven para la garantía de la calidad y el control de la presencia de sustancias peligrosas prohibidas en las sustancias de señalización. Al mismo tiempo, el ensayo de prototipo sirve de base para posteriores ensayos de igualdad de muestras. La norma DIN EN 1871 establece los requisitos físico-químicos aplicables a las sustancias de señalización como componentes de sistemas de señalización. Los requisitos aplicables al material de postmezclado y las microesferas de vidrio de premezclado se orientan por DIN EN 1423 y DIN EN 1424. Los ensayos para la identificación de sustancias y láminas de señalización se describen en las normas DIN EN 12802 y DIN EN 1790.</w:t>
      </w:r>
    </w:p>
    <w:p w:rsidR="00536458" w:rsidRPr="003A38BA" w:rsidRDefault="00536458" w:rsidP="007C21AF">
      <w:pPr>
        <w:spacing w:after="120"/>
        <w:ind w:left="0" w:firstLine="0"/>
        <w:jc w:val="both"/>
      </w:pPr>
      <w:r>
        <w:t xml:space="preserve">Los análisis de prototipo que deberán realizarse en el ensayo de aptitud de sistemas de señalización se indican en el cuatro 7. Las desviaciones necesarias para los procedimientos existentes se describen en la sección 5.3. </w:t>
      </w:r>
    </w:p>
    <w:p w:rsidR="00536458" w:rsidRPr="003A38BA" w:rsidRDefault="00536458" w:rsidP="007C21AF">
      <w:pPr>
        <w:pStyle w:val="Subtitle"/>
        <w:keepNext/>
        <w:ind w:left="1440" w:hanging="1440"/>
        <w:jc w:val="both"/>
        <w:rPr>
          <w:spacing w:val="0"/>
        </w:rPr>
      </w:pPr>
      <w:r>
        <w:t>Cuadro 7: Resumen de los procedimientos de ensayo normalizados</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992"/>
        <w:gridCol w:w="992"/>
        <w:gridCol w:w="1134"/>
        <w:gridCol w:w="993"/>
        <w:gridCol w:w="1417"/>
      </w:tblGrid>
      <w:tr w:rsidR="00536458" w:rsidRPr="003A38BA" w:rsidTr="003E3497">
        <w:tc>
          <w:tcPr>
            <w:tcW w:w="2197" w:type="dxa"/>
            <w:tcBorders>
              <w:top w:val="single" w:sz="12" w:space="0" w:color="auto"/>
              <w:left w:val="single" w:sz="12" w:space="0" w:color="auto"/>
              <w:bottom w:val="single" w:sz="12" w:space="0" w:color="auto"/>
              <w:right w:val="nil"/>
            </w:tcBorders>
          </w:tcPr>
          <w:p w:rsidR="00536458" w:rsidRPr="003A38BA" w:rsidRDefault="00536458" w:rsidP="00536458">
            <w:pPr>
              <w:pStyle w:val="Tab-Kopf"/>
              <w:rPr>
                <w:sz w:val="22"/>
                <w:szCs w:val="22"/>
              </w:rPr>
            </w:pPr>
            <w:r>
              <w:rPr>
                <w:sz w:val="22"/>
              </w:rPr>
              <w:t>Parámetros</w:t>
            </w:r>
          </w:p>
        </w:tc>
        <w:tc>
          <w:tcPr>
            <w:tcW w:w="1559" w:type="dxa"/>
            <w:tcBorders>
              <w:top w:val="single" w:sz="12" w:space="0" w:color="auto"/>
              <w:left w:val="single" w:sz="4" w:space="0" w:color="auto"/>
              <w:bottom w:val="single" w:sz="12" w:space="0" w:color="auto"/>
            </w:tcBorders>
          </w:tcPr>
          <w:p w:rsidR="00536458" w:rsidRPr="003A38BA" w:rsidRDefault="00536458" w:rsidP="00536458">
            <w:pPr>
              <w:pStyle w:val="Tab-Kopf"/>
              <w:rPr>
                <w:sz w:val="22"/>
                <w:szCs w:val="22"/>
              </w:rPr>
            </w:pPr>
            <w:r>
              <w:rPr>
                <w:sz w:val="22"/>
              </w:rPr>
              <w:t>Pintura con disolventes (imprimación)</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Dispersiones</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Sustancias reactivas</w:t>
            </w:r>
          </w:p>
        </w:tc>
        <w:tc>
          <w:tcPr>
            <w:tcW w:w="1134"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Sustancias termoplásticas</w:t>
            </w:r>
          </w:p>
        </w:tc>
        <w:tc>
          <w:tcPr>
            <w:tcW w:w="993"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Láminas</w:t>
            </w:r>
          </w:p>
        </w:tc>
        <w:tc>
          <w:tcPr>
            <w:tcW w:w="1417" w:type="dxa"/>
            <w:tcBorders>
              <w:top w:val="single" w:sz="12" w:space="0" w:color="auto"/>
              <w:bottom w:val="single" w:sz="12" w:space="0" w:color="auto"/>
              <w:right w:val="single" w:sz="12" w:space="0" w:color="auto"/>
            </w:tcBorders>
          </w:tcPr>
          <w:p w:rsidR="00536458" w:rsidRPr="003A38BA" w:rsidRDefault="00536458" w:rsidP="00536458">
            <w:pPr>
              <w:pStyle w:val="Tab-Kopf"/>
              <w:rPr>
                <w:kern w:val="0"/>
                <w:sz w:val="22"/>
                <w:szCs w:val="22"/>
              </w:rPr>
            </w:pPr>
            <w:r>
              <w:rPr>
                <w:kern w:val="0"/>
                <w:sz w:val="22"/>
              </w:rPr>
              <w:t>Referencia</w:t>
            </w:r>
          </w:p>
        </w:tc>
      </w:tr>
      <w:tr w:rsidR="00536458" w:rsidRPr="003A38BA" w:rsidTr="003E3497">
        <w:tc>
          <w:tcPr>
            <w:tcW w:w="2197" w:type="dxa"/>
            <w:tcBorders>
              <w:top w:val="single" w:sz="12" w:space="0" w:color="auto"/>
              <w:left w:val="single" w:sz="12" w:space="0" w:color="auto"/>
            </w:tcBorders>
          </w:tcPr>
          <w:p w:rsidR="00536458" w:rsidRPr="003A38BA" w:rsidRDefault="00536458" w:rsidP="00536458">
            <w:pPr>
              <w:spacing w:line="280" w:lineRule="exact"/>
              <w:ind w:left="0" w:firstLine="0"/>
            </w:pPr>
            <w:r>
              <w:t>Densidad</w:t>
            </w:r>
          </w:p>
        </w:tc>
        <w:tc>
          <w:tcPr>
            <w:tcW w:w="1559" w:type="dxa"/>
            <w:tcBorders>
              <w:top w:val="single" w:sz="12" w:space="0" w:color="auto"/>
            </w:tcBorders>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tcBorders>
              <w:top w:val="single" w:sz="12" w:space="0" w:color="auto"/>
            </w:tcBorders>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tcBorders>
              <w:top w:val="single" w:sz="12" w:space="0" w:color="auto"/>
            </w:tcBorders>
            <w:vAlign w:val="center"/>
          </w:tcPr>
          <w:p w:rsidR="00536458" w:rsidRPr="003A38BA" w:rsidRDefault="00536458" w:rsidP="0088418C">
            <w:pPr>
              <w:spacing w:after="80" w:line="300" w:lineRule="exact"/>
              <w:jc w:val="center"/>
              <w:rPr>
                <w:rFonts w:ascii="Arial" w:hAnsi="Arial" w:cs="Arial"/>
                <w:bCs/>
                <w:sz w:val="20"/>
                <w:szCs w:val="20"/>
              </w:rPr>
            </w:pPr>
          </w:p>
        </w:tc>
        <w:tc>
          <w:tcPr>
            <w:tcW w:w="993"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top w:val="single" w:sz="12" w:space="0" w:color="auto"/>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rPr>
              <w:t>ISO – 2811-1</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Componentes volátiles</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 xml:space="preserve">Fracción de </w:t>
            </w:r>
            <w:r>
              <w:lastRenderedPageBreak/>
              <w:t>aglutinantes</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lastRenderedPageBreak/>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Contenido de dióxido de titanio</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pStyle w:val="Header"/>
              <w:tabs>
                <w:tab w:val="clear" w:pos="4536"/>
                <w:tab w:val="clear" w:pos="9072"/>
              </w:tabs>
              <w:spacing w:before="60" w:after="60" w:line="240" w:lineRule="exact"/>
              <w:rPr>
                <w:rFonts w:asciiTheme="minorHAnsi" w:hAnsiTheme="minorHAnsi"/>
                <w:sz w:val="22"/>
                <w:szCs w:val="22"/>
              </w:rPr>
            </w:pPr>
            <w:r>
              <w:rPr>
                <w:rFonts w:asciiTheme="minorHAnsi" w:hAnsiTheme="minorHAnsi"/>
                <w:sz w:val="22"/>
              </w:rPr>
              <w:t>Fracción de cuerpos de premezcla</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Análisis de los materiales de postmezclado</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1423, 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Análisis de presencia de plomo y cadmio</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r>
              <w:rPr>
                <w:rFonts w:ascii="Arial" w:hAnsi="Arial"/>
                <w:sz w:val="20"/>
                <w:vertAlign w:val="superscript"/>
              </w:rPr>
              <w:t>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r>
              <w:rPr>
                <w:rFonts w:ascii="Arial" w:hAnsi="Arial"/>
                <w:sz w:val="20"/>
                <w:vertAlign w:val="superscript"/>
              </w:rPr>
              <w:t>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r>
              <w:rPr>
                <w:rFonts w:ascii="Arial" w:hAnsi="Arial"/>
                <w:sz w:val="20"/>
                <w:vertAlign w:val="superscript"/>
              </w:rPr>
              <w:t>1)</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r>
              <w:rPr>
                <w:rFonts w:ascii="Arial" w:hAnsi="Arial"/>
                <w:sz w:val="20"/>
                <w:vertAlign w:val="superscript"/>
              </w:rPr>
              <w:t>1)</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r>
              <w:rPr>
                <w:rFonts w:ascii="Arial" w:hAnsi="Arial"/>
                <w:sz w:val="20"/>
                <w:vertAlign w:val="superscript"/>
              </w:rPr>
              <w:t>1)</w:t>
            </w:r>
          </w:p>
        </w:tc>
        <w:tc>
          <w:tcPr>
            <w:tcW w:w="1417" w:type="dxa"/>
            <w:tcBorders>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rPr>
              <w:t>ISO 11466</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Residuos de incineración</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Espectro de infrarrojos del aglutinante</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r>
              <w:rPr>
                <w:b/>
                <w:vertAlign w:val="superscript"/>
              </w:rPr>
              <w:t>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Espectro de infrarrojos de los pigmentos y materiales de relleno</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Determinación de COV/monómeros/oligómeros</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Análisis de la capa adhesiva</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Termograma</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Análisis de imagen</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3" w:type="dxa"/>
            <w:vAlign w:val="center"/>
          </w:tcPr>
          <w:p w:rsidR="00536458" w:rsidRPr="003A38BA" w:rsidRDefault="0088418C" w:rsidP="0088418C">
            <w:pPr>
              <w:spacing w:before="60" w:after="60" w:line="260" w:lineRule="exact"/>
              <w:jc w:val="center"/>
              <w:rPr>
                <w:rFonts w:ascii="Arial" w:hAnsi="Arial" w:cs="Arial"/>
                <w:sz w:val="20"/>
                <w:szCs w:val="20"/>
              </w:rPr>
            </w:pPr>
            <w:r>
              <w:rPr>
                <w:rFonts w:ascii="Arial" w:hAnsi="Arial"/>
                <w:sz w:val="20"/>
              </w:rPr>
              <w:t>x</w:t>
            </w:r>
          </w:p>
        </w:tc>
        <w:tc>
          <w:tcPr>
            <w:tcW w:w="1417" w:type="dxa"/>
            <w:tcBorders>
              <w:right w:val="single" w:sz="12" w:space="0" w:color="auto"/>
            </w:tcBorders>
          </w:tcPr>
          <w:p w:rsidR="00536458" w:rsidRPr="003A38BA" w:rsidRDefault="00C32DCC" w:rsidP="00536458">
            <w:pPr>
              <w:spacing w:line="280" w:lineRule="exact"/>
            </w:pPr>
            <w:r>
              <w:t>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Punto de reblandecimiento según Wilhelmi</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BD23B3" w:rsidP="0088418C">
            <w:pPr>
              <w:spacing w:before="60" w:after="60" w:line="26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1871</w:t>
            </w:r>
          </w:p>
        </w:tc>
      </w:tr>
      <w:tr w:rsidR="00DF4A21" w:rsidRPr="003A38BA" w:rsidTr="003E3497">
        <w:tc>
          <w:tcPr>
            <w:tcW w:w="2197" w:type="dxa"/>
            <w:tcBorders>
              <w:left w:val="single" w:sz="12" w:space="0" w:color="auto"/>
              <w:bottom w:val="single" w:sz="12" w:space="0" w:color="auto"/>
            </w:tcBorders>
          </w:tcPr>
          <w:p w:rsidR="00DF4A21" w:rsidRPr="003A38BA" w:rsidRDefault="00DF4A21" w:rsidP="00536458">
            <w:pPr>
              <w:spacing w:before="60" w:after="60" w:line="260" w:lineRule="exact"/>
              <w:ind w:left="0" w:firstLine="0"/>
            </w:pPr>
            <w:r>
              <w:t xml:space="preserve">Ensayo de penetración </w:t>
            </w:r>
          </w:p>
        </w:tc>
        <w:tc>
          <w:tcPr>
            <w:tcW w:w="1559"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1134"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r>
              <w:rPr>
                <w:rFonts w:ascii="Arial" w:hAnsi="Arial"/>
                <w:sz w:val="20"/>
              </w:rPr>
              <w:t>x</w:t>
            </w:r>
          </w:p>
        </w:tc>
        <w:tc>
          <w:tcPr>
            <w:tcW w:w="993"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1417" w:type="dxa"/>
            <w:tcBorders>
              <w:bottom w:val="single" w:sz="12" w:space="0" w:color="auto"/>
              <w:right w:val="single" w:sz="12" w:space="0" w:color="auto"/>
            </w:tcBorders>
          </w:tcPr>
          <w:p w:rsidR="00DF4A21" w:rsidRPr="003A38BA" w:rsidRDefault="00DF4A21" w:rsidP="00536458">
            <w:pPr>
              <w:spacing w:line="280" w:lineRule="exact"/>
            </w:pPr>
            <w:r>
              <w:t>DIN EN 1871</w:t>
            </w:r>
          </w:p>
        </w:tc>
      </w:tr>
    </w:tbl>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En caso de ser necesario, en sustancias para señalización temporal.</w:t>
      </w:r>
    </w:p>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En el caso de dispersiones, el aglutinante deberá extraerse con tetrahidrofurano (THF), para evitar precipitaciones.</w:t>
      </w:r>
    </w:p>
    <w:p w:rsidR="00536458" w:rsidRPr="003A38BA" w:rsidRDefault="00536458" w:rsidP="007C21AF">
      <w:pPr>
        <w:pStyle w:val="Heading1"/>
        <w:numPr>
          <w:ilvl w:val="1"/>
          <w:numId w:val="5"/>
        </w:numPr>
        <w:jc w:val="both"/>
        <w:rPr>
          <w:sz w:val="24"/>
          <w:szCs w:val="24"/>
        </w:rPr>
      </w:pPr>
      <w:bookmarkStart w:id="59" w:name="_Toc150157103"/>
      <w:bookmarkStart w:id="60" w:name="_Toc150172942"/>
      <w:bookmarkStart w:id="61" w:name="_Toc150173017"/>
      <w:bookmarkStart w:id="62" w:name="_Toc150174570"/>
      <w:bookmarkStart w:id="63" w:name="_Toc150819423"/>
      <w:bookmarkStart w:id="64" w:name="_Toc150819855"/>
      <w:bookmarkStart w:id="65" w:name="_Toc150819915"/>
      <w:bookmarkStart w:id="66" w:name="_Toc297110226"/>
      <w:bookmarkStart w:id="67" w:name="_Toc297110277"/>
      <w:bookmarkStart w:id="68" w:name="_Toc86465554"/>
      <w:bookmarkStart w:id="69" w:name="_Toc115598046"/>
      <w:bookmarkStart w:id="70" w:name="_Toc120375500"/>
      <w:bookmarkStart w:id="71" w:name="_Toc150173018"/>
      <w:bookmarkStart w:id="72" w:name="_Toc150819916"/>
      <w:bookmarkStart w:id="73" w:name="_Toc353893700"/>
      <w:bookmarkStart w:id="74" w:name="_Toc2194179"/>
      <w:bookmarkStart w:id="75" w:name="_Toc12476350"/>
      <w:bookmarkEnd w:id="59"/>
      <w:bookmarkEnd w:id="60"/>
      <w:bookmarkEnd w:id="61"/>
      <w:bookmarkEnd w:id="62"/>
      <w:bookmarkEnd w:id="63"/>
      <w:bookmarkEnd w:id="64"/>
      <w:bookmarkEnd w:id="65"/>
      <w:bookmarkEnd w:id="66"/>
      <w:bookmarkEnd w:id="67"/>
      <w:r>
        <w:rPr>
          <w:sz w:val="24"/>
        </w:rPr>
        <w:t>Muestreo</w:t>
      </w:r>
      <w:bookmarkEnd w:id="68"/>
      <w:bookmarkEnd w:id="69"/>
      <w:bookmarkEnd w:id="70"/>
      <w:bookmarkEnd w:id="71"/>
      <w:bookmarkEnd w:id="72"/>
      <w:bookmarkEnd w:id="73"/>
      <w:bookmarkEnd w:id="74"/>
      <w:bookmarkEnd w:id="75"/>
    </w:p>
    <w:p w:rsidR="00E54343" w:rsidRPr="003A38BA" w:rsidRDefault="00E54343" w:rsidP="007C21AF">
      <w:pPr>
        <w:spacing w:after="120"/>
        <w:ind w:left="0" w:firstLine="0"/>
        <w:jc w:val="both"/>
      </w:pPr>
      <w:bookmarkStart w:id="76" w:name="_Toc150157105"/>
      <w:bookmarkStart w:id="77" w:name="_Toc150172944"/>
      <w:bookmarkStart w:id="78" w:name="_Toc150173019"/>
      <w:bookmarkStart w:id="79" w:name="_Toc150174572"/>
      <w:bookmarkStart w:id="80" w:name="_Toc150819425"/>
      <w:bookmarkStart w:id="81" w:name="_Toc150819857"/>
      <w:bookmarkStart w:id="82" w:name="_Toc150819917"/>
      <w:bookmarkEnd w:id="76"/>
      <w:bookmarkEnd w:id="77"/>
      <w:bookmarkEnd w:id="78"/>
      <w:bookmarkEnd w:id="79"/>
      <w:bookmarkEnd w:id="80"/>
      <w:bookmarkEnd w:id="81"/>
      <w:bookmarkEnd w:id="82"/>
      <w:r>
        <w:t>En el marco del ensayo de aptitud, el solicitante confirma por escrito que las sustancias y los coformulantes puestos a disposición para la aplicación son representativos para la producción. Es el responsable de asegurar que las cantidades de muestra (véase la sección 4.2.3) presentadas para el ensayo de prototipo son suficientes.</w:t>
      </w:r>
    </w:p>
    <w:p w:rsidR="00536458" w:rsidRPr="003A38BA" w:rsidRDefault="00536458" w:rsidP="007C21AF">
      <w:pPr>
        <w:spacing w:after="120"/>
        <w:ind w:left="0" w:firstLine="0"/>
        <w:jc w:val="both"/>
      </w:pPr>
      <w:r>
        <w:t>Los recipientes de muestreo deberán cerrarse herméticamente tras su llenado y protegerse frente a la manipulación a través de un sellado adecuado. Los recipientes de muestreo adecuados son, por ejemplo, latas de 1 l con tapas de presión o recipientes de plástico con tapón de rosca, estancos al gas, de polietileno o polipropileno. Las pérdidas de solventes pueden evitarse si los recipientes de muestreo se llenan lo máximo posible y, tras cerrarlos, se viran una vez. En el caso de las sustancias de señalización a base de agua, es necesario el uso de recipientes de plástico estancos al gas o de latas revestidas internamente con tapa a presión.</w:t>
      </w:r>
    </w:p>
    <w:p w:rsidR="00536458" w:rsidRPr="003A38BA" w:rsidRDefault="00536458" w:rsidP="007C21AF">
      <w:pPr>
        <w:spacing w:after="120"/>
        <w:ind w:left="0" w:firstLine="0"/>
        <w:jc w:val="both"/>
      </w:pPr>
      <w:r>
        <w:t xml:space="preserve">Las muestras deberán etiquetarse claramente. </w:t>
      </w:r>
    </w:p>
    <w:p w:rsidR="00536458" w:rsidRPr="003A38BA" w:rsidRDefault="007F44BC" w:rsidP="007C21AF">
      <w:pPr>
        <w:pStyle w:val="Heading1"/>
        <w:numPr>
          <w:ilvl w:val="1"/>
          <w:numId w:val="5"/>
        </w:numPr>
        <w:jc w:val="both"/>
        <w:rPr>
          <w:sz w:val="24"/>
          <w:szCs w:val="24"/>
        </w:rPr>
      </w:pPr>
      <w:bookmarkStart w:id="83" w:name="_Toc297110228"/>
      <w:bookmarkStart w:id="84" w:name="_Toc297110279"/>
      <w:bookmarkStart w:id="85" w:name="_Toc2194180"/>
      <w:bookmarkStart w:id="86" w:name="_Toc12476351"/>
      <w:bookmarkStart w:id="87" w:name="_Toc84303240"/>
      <w:bookmarkStart w:id="88" w:name="_Toc86465557"/>
      <w:bookmarkStart w:id="89" w:name="_Toc115598049"/>
      <w:bookmarkEnd w:id="83"/>
      <w:bookmarkEnd w:id="84"/>
      <w:r>
        <w:rPr>
          <w:sz w:val="24"/>
        </w:rPr>
        <w:lastRenderedPageBreak/>
        <w:t>Ensayo de prototipo de sistemas de señalización no prefabricados</w:t>
      </w:r>
      <w:bookmarkEnd w:id="85"/>
      <w:bookmarkEnd w:id="86"/>
    </w:p>
    <w:bookmarkEnd w:id="87"/>
    <w:bookmarkEnd w:id="88"/>
    <w:bookmarkEnd w:id="89"/>
    <w:p w:rsidR="00536458" w:rsidRPr="003A38BA" w:rsidRDefault="00536458" w:rsidP="007C21AF">
      <w:pPr>
        <w:ind w:left="0" w:firstLine="0"/>
        <w:jc w:val="both"/>
      </w:pPr>
      <w:r>
        <w:t>Las características distintivas de un sistema de señalización son presentadas por el solicitante junto con la solicitud de un ensayo de aptitud y son registradas, comprobadas y documentadas, en el ensayo de prototipo, con el fin de permitir una identificación en el marco de un ensayo de control posterior de conformidad con las ZTV M. Los procedimientos de ensayo de prototipo se describen a continuación.</w:t>
      </w:r>
    </w:p>
    <w:p w:rsidR="00536458" w:rsidRPr="003A38BA" w:rsidRDefault="00536458" w:rsidP="007C21AF">
      <w:pPr>
        <w:pStyle w:val="Heading1"/>
        <w:numPr>
          <w:ilvl w:val="2"/>
          <w:numId w:val="5"/>
        </w:numPr>
        <w:ind w:left="1440" w:hanging="872"/>
        <w:jc w:val="both"/>
        <w:rPr>
          <w:sz w:val="24"/>
          <w:szCs w:val="24"/>
        </w:rPr>
      </w:pPr>
      <w:bookmarkStart w:id="90" w:name="_Toc2194181"/>
      <w:bookmarkStart w:id="91" w:name="_Toc12476352"/>
      <w:bookmarkStart w:id="92" w:name="_Toc84303245"/>
      <w:bookmarkStart w:id="93" w:name="_Toc86465562"/>
      <w:bookmarkStart w:id="94" w:name="_Toc115598053"/>
      <w:bookmarkStart w:id="95" w:name="_Toc150174577"/>
      <w:bookmarkStart w:id="96" w:name="_Toc273346566"/>
      <w:bookmarkStart w:id="97" w:name="_Toc353893703"/>
      <w:r>
        <w:rPr>
          <w:sz w:val="24"/>
        </w:rPr>
        <w:t>Determinación de las fracciones orgánicas e inorgánicas</w:t>
      </w:r>
      <w:bookmarkEnd w:id="90"/>
      <w:bookmarkEnd w:id="91"/>
    </w:p>
    <w:p w:rsidR="00536458" w:rsidRPr="003A38BA" w:rsidRDefault="00536458" w:rsidP="007C21AF">
      <w:pPr>
        <w:ind w:left="0" w:firstLine="0"/>
        <w:jc w:val="both"/>
      </w:pPr>
      <w:r>
        <w:t>La fracción de materia volátil de pinturas de señalización y de los productos de imprimación se determinará de acuerdo con DIN EN 12802 mediante el pesaje de los residuos obtenidos tras tres horas de condicionamiento térmico a 105 °C en la estufa de secado con recirculación de aire. Estos residuos se reutilizan para la medición de la fracción de aglutinantes y de la fracción de componentes inorgánicos. Tras un tratamiento de cuatro horas a 4 450 °C en el horno de mufla, los aglutinantes orgánicos se descomponen totalmente. Los residuos restantes corresponden a la fracción inorgánica. La determinación de las fracciones másicas respectivas se realiza a través de pesajes antes y después del tratamiento térmico. Los residuos inorgánicos obtenidos se utilizan para identificar pigmentos y materiales de relleno y para determinar el contenido de dióxido de titanio.</w:t>
      </w:r>
    </w:p>
    <w:p w:rsidR="00536458" w:rsidRPr="003A38BA" w:rsidRDefault="00536458" w:rsidP="007C21AF">
      <w:pPr>
        <w:pStyle w:val="Heading1"/>
        <w:numPr>
          <w:ilvl w:val="2"/>
          <w:numId w:val="5"/>
        </w:numPr>
        <w:ind w:left="1440" w:hanging="872"/>
        <w:jc w:val="both"/>
        <w:rPr>
          <w:sz w:val="24"/>
          <w:szCs w:val="24"/>
        </w:rPr>
      </w:pPr>
      <w:bookmarkStart w:id="98" w:name="_Toc2194182"/>
      <w:bookmarkStart w:id="99" w:name="_Toc12476353"/>
      <w:r>
        <w:rPr>
          <w:sz w:val="24"/>
        </w:rPr>
        <w:t>Determinación de los compuesto</w:t>
      </w:r>
      <w:bookmarkEnd w:id="92"/>
      <w:r>
        <w:rPr>
          <w:sz w:val="24"/>
        </w:rPr>
        <w:t>s orgánicos volátiles y de monómeros/oligómeros</w:t>
      </w:r>
      <w:bookmarkEnd w:id="93"/>
      <w:bookmarkEnd w:id="94"/>
      <w:bookmarkEnd w:id="95"/>
      <w:bookmarkEnd w:id="96"/>
      <w:bookmarkEnd w:id="97"/>
      <w:bookmarkEnd w:id="98"/>
      <w:bookmarkEnd w:id="99"/>
    </w:p>
    <w:p w:rsidR="00667BC9" w:rsidRPr="003A38BA" w:rsidRDefault="00536458" w:rsidP="007C21AF">
      <w:pPr>
        <w:ind w:left="0" w:firstLine="0"/>
        <w:jc w:val="both"/>
      </w:pPr>
      <w:r>
        <w:t xml:space="preserve">La determinación de los componentes orgánicos volátiles en sustancias de señalización y coformulantes se realizará con cromatografía de gases, de acuerdo con la norma EN 12802, mediante un detector selectivo de masa (GC-MS). </w:t>
      </w:r>
    </w:p>
    <w:p w:rsidR="00667BC9" w:rsidRPr="003A38BA" w:rsidRDefault="00667BC9" w:rsidP="007C21AF">
      <w:pPr>
        <w:ind w:left="0" w:firstLine="0"/>
        <w:jc w:val="both"/>
      </w:pPr>
      <w:r>
        <w:t xml:space="preserve">En virtud de las TL M, serán aplicables los requisitos siguientes: </w:t>
      </w:r>
    </w:p>
    <w:p w:rsidR="00536458" w:rsidRPr="003A38BA" w:rsidRDefault="00536458" w:rsidP="007C21AF">
      <w:pPr>
        <w:ind w:left="0" w:firstLine="0"/>
        <w:jc w:val="both"/>
      </w:pPr>
      <w:r>
        <w:t xml:space="preserve">Las sustancias de señalización podrán contener como máximo un 25 por cierto de peso de solventes orgánicos volátiles. </w:t>
      </w:r>
    </w:p>
    <w:p w:rsidR="00536458" w:rsidRPr="003A38BA" w:rsidRDefault="00536458" w:rsidP="007C21AF">
      <w:pPr>
        <w:ind w:left="0" w:firstLine="0"/>
        <w:jc w:val="both"/>
      </w:pPr>
      <w:r>
        <w:t>Los solventes, clasificados como tóxicos (muy tóxicos, categoría 1, 2 o 3) o peligrosos en el sistema GHS (mutágenos, cancerígenos, muy tóxicos, tóxicos para la reproducción, tóxicos para los órganos, categoría 1, 1A o 1B), solo podrán estar presentes en fracciones de un total de &lt;0,1 por ciento de peso.</w:t>
      </w:r>
    </w:p>
    <w:p w:rsidR="00536458" w:rsidRPr="003A38BA" w:rsidRDefault="00536458" w:rsidP="007C21AF">
      <w:pPr>
        <w:ind w:left="0" w:firstLine="0"/>
        <w:jc w:val="both"/>
      </w:pPr>
      <w:r>
        <w:t>Las fracciones de solventes clasificados como nocivos (muy nocivos, categoría 4, o peligrosos, categoría 2): mutágenos, cancerígenos, muy tóxicos, tóxicos para la reproducción, tóxicos para los órganos) no podrán superar, en total, el 1,0 por ciento de peso. Esto será aplicable independientemente de si estas sustancias existan como impurezas o aditivos.</w:t>
      </w:r>
    </w:p>
    <w:p w:rsidR="00536458" w:rsidRPr="003A38BA" w:rsidRDefault="00536458" w:rsidP="007C21AF">
      <w:pPr>
        <w:pStyle w:val="Heading1"/>
        <w:numPr>
          <w:ilvl w:val="2"/>
          <w:numId w:val="5"/>
        </w:numPr>
        <w:ind w:left="1440" w:hanging="872"/>
        <w:jc w:val="both"/>
        <w:rPr>
          <w:sz w:val="24"/>
          <w:szCs w:val="24"/>
        </w:rPr>
      </w:pPr>
      <w:bookmarkStart w:id="100" w:name="_Toc84303246"/>
      <w:bookmarkStart w:id="101" w:name="_Toc86465563"/>
      <w:bookmarkStart w:id="102" w:name="_Toc115598054"/>
      <w:bookmarkStart w:id="103" w:name="_Toc150174578"/>
      <w:bookmarkStart w:id="104" w:name="_Toc273346567"/>
      <w:bookmarkStart w:id="105" w:name="_Toc353893704"/>
      <w:bookmarkStart w:id="106" w:name="_Toc2194183"/>
      <w:bookmarkStart w:id="107" w:name="_Toc12476354"/>
      <w:r>
        <w:rPr>
          <w:sz w:val="24"/>
        </w:rPr>
        <w:t>Determinación del contenido de dióxido de titanio en los residuos inorgánicos</w:t>
      </w:r>
      <w:bookmarkEnd w:id="100"/>
      <w:bookmarkEnd w:id="101"/>
      <w:bookmarkEnd w:id="102"/>
      <w:bookmarkEnd w:id="103"/>
      <w:bookmarkEnd w:id="104"/>
      <w:bookmarkEnd w:id="105"/>
      <w:bookmarkEnd w:id="106"/>
      <w:bookmarkEnd w:id="107"/>
    </w:p>
    <w:p w:rsidR="00536458" w:rsidRPr="003A38BA" w:rsidRDefault="00536458" w:rsidP="007C21AF">
      <w:pPr>
        <w:ind w:left="0" w:firstLine="0"/>
        <w:jc w:val="both"/>
      </w:pPr>
      <w:r>
        <w:t xml:space="preserve">El contenido de dióxido de titanio se determinará a partir de los residuos inorgánicos obtenidos tras la incineración de las sustancias de señalización a 450 °C. </w:t>
      </w:r>
    </w:p>
    <w:p w:rsidR="00DF4A21" w:rsidRPr="003A38BA" w:rsidRDefault="00536458" w:rsidP="007C21AF">
      <w:pPr>
        <w:ind w:left="0" w:firstLine="0"/>
        <w:jc w:val="both"/>
      </w:pPr>
      <w:r>
        <w:t xml:space="preserve">La determinación se realizará de acuerdo con el procedimiento descrito en DIN EN 12802. Tras la digestión del material de muestra en ácido sulfúrico concentrado y la reducción con aluminio, tendrá lugar la valoración redox con alumbre de hierro (III). En vez de la detección visual del punto final se aplica la detección potenciométrica del punto final. </w:t>
      </w:r>
    </w:p>
    <w:p w:rsidR="00536458" w:rsidRPr="003A38BA" w:rsidRDefault="00536458" w:rsidP="007C21AF">
      <w:pPr>
        <w:pStyle w:val="Heading1"/>
        <w:numPr>
          <w:ilvl w:val="2"/>
          <w:numId w:val="5"/>
        </w:numPr>
        <w:ind w:left="1440" w:hanging="872"/>
        <w:jc w:val="both"/>
        <w:rPr>
          <w:sz w:val="24"/>
          <w:szCs w:val="24"/>
        </w:rPr>
      </w:pPr>
      <w:bookmarkStart w:id="108" w:name="_Toc84303247"/>
      <w:bookmarkStart w:id="109" w:name="_Toc86465564"/>
      <w:bookmarkStart w:id="110" w:name="_Toc115598055"/>
      <w:bookmarkStart w:id="111" w:name="_Toc273346568"/>
      <w:bookmarkStart w:id="112" w:name="_Toc353893705"/>
      <w:bookmarkStart w:id="113" w:name="_Toc2194184"/>
      <w:bookmarkStart w:id="114" w:name="_Toc12476355"/>
      <w:r>
        <w:rPr>
          <w:sz w:val="24"/>
        </w:rPr>
        <w:t>Determinación de las fracciones de cuerpos de premezcla</w:t>
      </w:r>
      <w:bookmarkEnd w:id="108"/>
      <w:bookmarkEnd w:id="109"/>
      <w:bookmarkEnd w:id="110"/>
      <w:bookmarkEnd w:id="111"/>
      <w:bookmarkEnd w:id="112"/>
      <w:bookmarkEnd w:id="113"/>
      <w:bookmarkEnd w:id="114"/>
    </w:p>
    <w:p w:rsidR="00536458" w:rsidRPr="003A38BA" w:rsidRDefault="00536458" w:rsidP="007C21AF">
      <w:pPr>
        <w:spacing w:after="120"/>
        <w:ind w:left="0" w:firstLine="0"/>
        <w:jc w:val="both"/>
      </w:pPr>
      <w:r>
        <w:t>En caso de que la sustancia de señalización en los sistemas de señalización empleados contenga cuerpos de premezcla (cuerpos reflectores o áridos antideslizantes), deberán determinarse las respectivas fracciones, de conformidad con la norma DIN EN 12802, como sigue:</w:t>
      </w:r>
    </w:p>
    <w:p w:rsidR="00536458" w:rsidRPr="003A38BA" w:rsidRDefault="00536458" w:rsidP="007C21AF">
      <w:pPr>
        <w:ind w:left="0" w:firstLine="0"/>
        <w:jc w:val="both"/>
      </w:pPr>
      <w:r>
        <w:lastRenderedPageBreak/>
        <w:t>Una muestra de entre 15 y 20 g de la sustancia de señalización homogeneizada se tratará térmicamente en el horno de mufla a 450 °C. Las fracciones inorgánicas restantes se tamizarán en un tamiz de 90 µm. El proceso de tamizado se empleará para el análisis de espectroscopia infrarroja para materiales de relleno y pigmentos. A continuación, los residuos en el tamiz se limpiarán en estado mojado hasta que estén libres de pigmentos y materiales de relleno. Como ayuda para la separación, podrá emplearse un baño ultrasónico y ácido acético diluido. Los residuos se secarán a aproximadamente 150 °C en la estufa de secado y se pesarán de nuevo.</w:t>
      </w:r>
    </w:p>
    <w:p w:rsidR="00536458" w:rsidRPr="003A38BA" w:rsidRDefault="00536458" w:rsidP="007C21AF">
      <w:pPr>
        <w:pStyle w:val="Heading1"/>
        <w:numPr>
          <w:ilvl w:val="2"/>
          <w:numId w:val="5"/>
        </w:numPr>
        <w:ind w:left="1440" w:hanging="872"/>
        <w:jc w:val="both"/>
        <w:rPr>
          <w:sz w:val="24"/>
          <w:szCs w:val="24"/>
        </w:rPr>
      </w:pPr>
      <w:bookmarkStart w:id="115" w:name="_Toc273346569"/>
      <w:bookmarkStart w:id="116" w:name="_Toc353893706"/>
      <w:bookmarkStart w:id="117" w:name="_Toc2194185"/>
      <w:bookmarkStart w:id="118" w:name="_Toc12476356"/>
      <w:r>
        <w:rPr>
          <w:sz w:val="24"/>
        </w:rPr>
        <w:t>Determinación del punto de reblandecimiento según Wilhelmi</w:t>
      </w:r>
      <w:bookmarkEnd w:id="115"/>
      <w:bookmarkEnd w:id="116"/>
      <w:bookmarkEnd w:id="117"/>
      <w:bookmarkEnd w:id="118"/>
    </w:p>
    <w:p w:rsidR="00536458" w:rsidRPr="003A38BA" w:rsidRDefault="00536458" w:rsidP="007C21AF">
      <w:pPr>
        <w:ind w:left="0" w:firstLine="0"/>
        <w:jc w:val="both"/>
      </w:pPr>
      <w:r>
        <w:t xml:space="preserve">Las sustancias de señalización termoplásticas deberán presentar una estabilidad dimensional adecuada también a temperaturas estivales. De lo contrario, los áridos antideslizantes y los cuerpos reflectores incorporados en la superficie del sistema de señalización quedarían hundidos en el sistema por la rodadura de neumáticos de vehículos, por lo que se vería afectada su función. Para la caracterización de la estabilidad dimensional, se procede al ensayo del punto de reblandecimiento de acuerdo con DIN EN 1871, anexo F («Ensayo Wilhelmi»). Deberá alcanzarse por lo menos la clase SP2 (80 °C). </w:t>
      </w:r>
    </w:p>
    <w:p w:rsidR="00E35384" w:rsidRPr="003A38BA" w:rsidRDefault="007A6695" w:rsidP="007C21AF">
      <w:pPr>
        <w:pStyle w:val="Heading1"/>
        <w:numPr>
          <w:ilvl w:val="2"/>
          <w:numId w:val="5"/>
        </w:numPr>
        <w:ind w:left="1440" w:hanging="872"/>
        <w:jc w:val="both"/>
        <w:rPr>
          <w:sz w:val="24"/>
          <w:szCs w:val="24"/>
        </w:rPr>
      </w:pPr>
      <w:bookmarkStart w:id="119" w:name="_Toc2194186"/>
      <w:bookmarkStart w:id="120" w:name="_Toc12476357"/>
      <w:r>
        <w:rPr>
          <w:sz w:val="24"/>
        </w:rPr>
        <w:t>Resistencia a la penetración</w:t>
      </w:r>
      <w:bookmarkEnd w:id="119"/>
      <w:bookmarkEnd w:id="120"/>
    </w:p>
    <w:p w:rsidR="00E35384" w:rsidRPr="003A38BA" w:rsidRDefault="000B2B83" w:rsidP="0023536B">
      <w:pPr>
        <w:ind w:left="0" w:firstLine="0"/>
        <w:jc w:val="both"/>
      </w:pPr>
      <w:r>
        <w:t xml:space="preserve">La profundidad de penetración a una temperatura determinada es un indicador sensible para alteraciones de la composición de sustancias de señalización termoplásticas. La temperatura de ensayo deberá determinarse en función de la dureza del termoplástico. El procedimiento se describe en DIN EN 1871. </w:t>
      </w:r>
    </w:p>
    <w:p w:rsidR="00536458" w:rsidRPr="003A38BA" w:rsidRDefault="00536458" w:rsidP="007C21AF">
      <w:pPr>
        <w:pStyle w:val="Heading1"/>
        <w:numPr>
          <w:ilvl w:val="2"/>
          <w:numId w:val="5"/>
        </w:numPr>
        <w:ind w:left="1440" w:hanging="872"/>
        <w:jc w:val="both"/>
        <w:rPr>
          <w:sz w:val="24"/>
          <w:szCs w:val="24"/>
        </w:rPr>
      </w:pPr>
      <w:bookmarkStart w:id="121" w:name="_Toc150173025"/>
      <w:bookmarkStart w:id="122" w:name="_Toc150174586"/>
      <w:bookmarkStart w:id="123" w:name="_Toc273346570"/>
      <w:bookmarkStart w:id="124" w:name="_Toc353893707"/>
      <w:bookmarkStart w:id="125" w:name="_Toc2194187"/>
      <w:bookmarkStart w:id="126" w:name="_Toc12476358"/>
      <w:r>
        <w:rPr>
          <w:sz w:val="24"/>
        </w:rPr>
        <w:t>Ensayo de presencia de plomo y cadmio</w:t>
      </w:r>
      <w:bookmarkEnd w:id="121"/>
      <w:bookmarkEnd w:id="122"/>
      <w:r>
        <w:rPr>
          <w:sz w:val="24"/>
        </w:rPr>
        <w:t xml:space="preserve"> en sistemas de señalización temporales</w:t>
      </w:r>
      <w:bookmarkEnd w:id="123"/>
      <w:bookmarkEnd w:id="124"/>
      <w:bookmarkEnd w:id="125"/>
      <w:bookmarkEnd w:id="126"/>
    </w:p>
    <w:p w:rsidR="00536458" w:rsidRPr="003A38BA" w:rsidRDefault="00536458" w:rsidP="007C21AF">
      <w:pPr>
        <w:spacing w:after="120"/>
        <w:ind w:left="0" w:firstLine="0"/>
        <w:jc w:val="both"/>
      </w:pPr>
      <w:r>
        <w:t xml:space="preserve">Las sustancias de señalización y los coformulantes no podrán contener fracciones extraíbles de los metales pesados plomo, cadmio o antimonio. El pretratamiento de las muestras se realizará de acuerdo con los procedimientos normativos alemanes para el análisis de agua, aguas residuales y lodos, sección S4 (DEV-S4). Este ensayo se realizará, de forma complementaria a los procedimientos de DIN EN 1790, como sigue: </w:t>
      </w:r>
    </w:p>
    <w:p w:rsidR="00536458" w:rsidRPr="003A38BA" w:rsidRDefault="00536458" w:rsidP="007C21AF">
      <w:pPr>
        <w:ind w:left="0" w:firstLine="0"/>
        <w:jc w:val="both"/>
      </w:pPr>
      <w:r>
        <w:t>Se pesarán dos muestras de láminas de aproximadamente 5 x 5 cm y a continuación se incinerarán a 450 °C. Los residuos se digerirán y se determinarán los metales pesados según ISO 11466 e ICP-OES o AAS.</w:t>
      </w:r>
    </w:p>
    <w:p w:rsidR="00536458" w:rsidRPr="003A38BA" w:rsidRDefault="00536458" w:rsidP="007C21AF">
      <w:pPr>
        <w:pStyle w:val="Heading1"/>
        <w:numPr>
          <w:ilvl w:val="1"/>
          <w:numId w:val="5"/>
        </w:numPr>
        <w:jc w:val="both"/>
        <w:rPr>
          <w:sz w:val="24"/>
          <w:szCs w:val="24"/>
        </w:rPr>
      </w:pPr>
      <w:bookmarkStart w:id="127" w:name="_Urmusterprüfung_bei_Markierungsfolien"/>
      <w:bookmarkStart w:id="128" w:name="_Toc150173023"/>
      <w:bookmarkStart w:id="129" w:name="_Toc150174579"/>
      <w:bookmarkStart w:id="130" w:name="_Toc273346571"/>
      <w:bookmarkStart w:id="131" w:name="_Toc353893708"/>
      <w:bookmarkStart w:id="132" w:name="_Toc2194188"/>
      <w:bookmarkStart w:id="133" w:name="_Toc12476359"/>
      <w:bookmarkEnd w:id="127"/>
      <w:r>
        <w:rPr>
          <w:sz w:val="24"/>
        </w:rPr>
        <w:t>Ensayo de prototipo de láminas de señalización (procedimiento de identificación)</w:t>
      </w:r>
      <w:bookmarkEnd w:id="128"/>
      <w:bookmarkEnd w:id="129"/>
      <w:bookmarkEnd w:id="130"/>
      <w:bookmarkEnd w:id="131"/>
      <w:bookmarkEnd w:id="132"/>
      <w:bookmarkEnd w:id="133"/>
    </w:p>
    <w:p w:rsidR="00536458" w:rsidRPr="003A38BA" w:rsidRDefault="00536458" w:rsidP="007C21AF">
      <w:pPr>
        <w:ind w:left="0" w:firstLine="0"/>
        <w:jc w:val="both"/>
      </w:pPr>
      <w:r>
        <w:t>El procedimiento para el ensayo de prototipo de láminas de señalización se describe en la norma DIN EN 1790. A continuación se describen disposiciones complementarias y excepciones.</w:t>
      </w:r>
    </w:p>
    <w:p w:rsidR="00536458" w:rsidRPr="003A38BA" w:rsidRDefault="00536458" w:rsidP="007C21AF">
      <w:pPr>
        <w:pStyle w:val="Heading1"/>
        <w:numPr>
          <w:ilvl w:val="2"/>
          <w:numId w:val="5"/>
        </w:numPr>
        <w:ind w:left="1440" w:hanging="720"/>
        <w:jc w:val="both"/>
        <w:rPr>
          <w:sz w:val="24"/>
          <w:szCs w:val="24"/>
        </w:rPr>
      </w:pPr>
      <w:bookmarkStart w:id="134" w:name="_Toc150174580"/>
      <w:bookmarkStart w:id="135" w:name="_Toc273346572"/>
      <w:bookmarkStart w:id="136" w:name="_Toc353893709"/>
      <w:bookmarkStart w:id="137" w:name="_Toc2194189"/>
      <w:bookmarkStart w:id="138" w:name="_Toc12476360"/>
      <w:r>
        <w:rPr>
          <w:sz w:val="24"/>
        </w:rPr>
        <w:t>Muestras de retención de láminas</w:t>
      </w:r>
      <w:bookmarkEnd w:id="134"/>
      <w:bookmarkEnd w:id="135"/>
      <w:bookmarkEnd w:id="136"/>
      <w:bookmarkEnd w:id="137"/>
      <w:bookmarkEnd w:id="138"/>
    </w:p>
    <w:p w:rsidR="00536458" w:rsidRPr="003A38BA" w:rsidRDefault="00536458" w:rsidP="007C21AF">
      <w:pPr>
        <w:ind w:left="0" w:firstLine="0"/>
        <w:jc w:val="both"/>
      </w:pPr>
      <w:r>
        <w:t>Se conservarán muestras de láminas sometidas a ensayos de aptitud. Las muestras de retención tendrán una longitud aproximada de 1 m y se almacenarán en un lugar freso y en ausencia de luz.</w:t>
      </w:r>
    </w:p>
    <w:p w:rsidR="00536458" w:rsidRPr="003A38BA" w:rsidRDefault="00536458" w:rsidP="007C21AF">
      <w:pPr>
        <w:pStyle w:val="Heading1"/>
        <w:numPr>
          <w:ilvl w:val="2"/>
          <w:numId w:val="5"/>
        </w:numPr>
        <w:ind w:left="1440" w:hanging="720"/>
        <w:jc w:val="both"/>
        <w:rPr>
          <w:sz w:val="24"/>
          <w:szCs w:val="24"/>
        </w:rPr>
      </w:pPr>
      <w:bookmarkStart w:id="139" w:name="_Toc273346573"/>
      <w:bookmarkStart w:id="140" w:name="_Toc353893710"/>
      <w:bookmarkStart w:id="141" w:name="_Toc2194190"/>
      <w:bookmarkStart w:id="142" w:name="_Toc12476361"/>
      <w:r>
        <w:rPr>
          <w:sz w:val="24"/>
        </w:rPr>
        <w:t>Análisis de imagen de las láminas señalización vial</w:t>
      </w:r>
      <w:bookmarkEnd w:id="139"/>
      <w:bookmarkEnd w:id="140"/>
      <w:bookmarkEnd w:id="141"/>
      <w:bookmarkEnd w:id="142"/>
    </w:p>
    <w:p w:rsidR="00536458" w:rsidRPr="003A38BA" w:rsidRDefault="00536458" w:rsidP="007C21AF">
      <w:pPr>
        <w:ind w:left="0" w:firstLine="0"/>
        <w:jc w:val="both"/>
      </w:pPr>
      <w:r>
        <w:t>Además de los procedimiento de DIN EN 1790, se elaborarán fotografías macroscópicas y microscópicas de la lámina de señalización vial. Con el fin de permitir una comparación objetiva de la dimensión de las fotografías microscópicas se presentará siempre una escala.</w:t>
      </w:r>
    </w:p>
    <w:p w:rsidR="00536458" w:rsidRPr="003A38BA" w:rsidRDefault="00536458" w:rsidP="007C21AF">
      <w:pPr>
        <w:pStyle w:val="Heading1"/>
        <w:numPr>
          <w:ilvl w:val="2"/>
          <w:numId w:val="5"/>
        </w:numPr>
        <w:ind w:left="1440" w:hanging="720"/>
        <w:jc w:val="both"/>
        <w:rPr>
          <w:sz w:val="24"/>
          <w:szCs w:val="24"/>
        </w:rPr>
      </w:pPr>
      <w:bookmarkStart w:id="143" w:name="_Thermogrammetrische_Analyse_von"/>
      <w:bookmarkStart w:id="144" w:name="_Toc84303250"/>
      <w:bookmarkStart w:id="145" w:name="_Toc86465567"/>
      <w:bookmarkStart w:id="146" w:name="_Toc115598058"/>
      <w:bookmarkStart w:id="147" w:name="_Toc150174581"/>
      <w:bookmarkStart w:id="148" w:name="_Toc273346574"/>
      <w:bookmarkStart w:id="149" w:name="_Toc353893711"/>
      <w:bookmarkStart w:id="150" w:name="_Toc2194191"/>
      <w:bookmarkStart w:id="151" w:name="_Toc12476362"/>
      <w:bookmarkStart w:id="152" w:name="_Toc84303249"/>
      <w:bookmarkStart w:id="153" w:name="_Toc86465566"/>
      <w:bookmarkStart w:id="154" w:name="_Toc115598057"/>
      <w:bookmarkEnd w:id="143"/>
      <w:r>
        <w:rPr>
          <w:sz w:val="24"/>
        </w:rPr>
        <w:lastRenderedPageBreak/>
        <w:t>Análisis termogravimétrico de láminas de señalizació</w:t>
      </w:r>
      <w:bookmarkEnd w:id="144"/>
      <w:bookmarkEnd w:id="145"/>
      <w:bookmarkEnd w:id="146"/>
      <w:r>
        <w:rPr>
          <w:sz w:val="24"/>
        </w:rPr>
        <w:t>n</w:t>
      </w:r>
      <w:bookmarkEnd w:id="147"/>
      <w:bookmarkEnd w:id="148"/>
      <w:bookmarkEnd w:id="149"/>
      <w:bookmarkEnd w:id="150"/>
      <w:bookmarkEnd w:id="151"/>
    </w:p>
    <w:p w:rsidR="00536458" w:rsidRPr="003A38BA" w:rsidRDefault="00536458" w:rsidP="007C21AF">
      <w:pPr>
        <w:ind w:left="0" w:firstLine="0"/>
        <w:jc w:val="both"/>
      </w:pPr>
      <w:r>
        <w:t>Generalmente, las láminas de señalización consisten en varios componentes de diferentes tipos, que solo pueden separarse con un gran esfuerzo. Por consiguiente, no es razonable el análisis químico completo de cada componente. El análisis termogravimétrico según DIN EN 1790 ofrece, sin embargo, la posibilidad de caracterizar la composición de láminas de forma simplificada. Las piezas representativas de la lámina se extraen de la lámina con un punzón. En el caso de las láminas perfiladas, se toman muestras de los huecos entre los perfiles y los perfiles y se promedian los resultados de la termografía.</w:t>
      </w:r>
    </w:p>
    <w:p w:rsidR="00536458" w:rsidRPr="003A38BA" w:rsidRDefault="00FA1D3F" w:rsidP="007C21AF">
      <w:pPr>
        <w:ind w:left="0" w:firstLine="0"/>
        <w:jc w:val="both"/>
      </w:pPr>
      <w:r>
        <w:t>Luego, las muestras de lámina se calientan en un dispositivo de calefacción, comenzando con una temperatura ambiente con una velocidad de calentamiento de 10 °C/min hasta una temperatura de 500 °C en atmósfera de nitrógeno. A continuación, se mantiene la temperatura de 500 °C constante durante 15 minutos y, posteriormente, se aumenta con una velocidad de 10 °C/min con aire sintético hasta los 1 000 °C. A consecuencia de la vaporización de componentes volátiles y la descomposición térmica u oxidativa de sustancias orgánicas, la masa de la muestra se reducirá de forma específica. La masa de la muestra se medirá en función de la correspondiente temperatura. Se obtendrá un termograma característico para la muestra.</w:t>
      </w:r>
    </w:p>
    <w:p w:rsidR="00536458" w:rsidRPr="003A38BA" w:rsidRDefault="00536458" w:rsidP="007C21AF">
      <w:pPr>
        <w:pStyle w:val="Heading1"/>
        <w:numPr>
          <w:ilvl w:val="2"/>
          <w:numId w:val="5"/>
        </w:numPr>
        <w:ind w:left="1440" w:hanging="720"/>
        <w:jc w:val="both"/>
        <w:rPr>
          <w:sz w:val="24"/>
          <w:szCs w:val="24"/>
        </w:rPr>
      </w:pPr>
      <w:bookmarkStart w:id="155" w:name="_Toc150174582"/>
      <w:bookmarkStart w:id="156" w:name="_Toc273346575"/>
      <w:bookmarkStart w:id="157" w:name="_Toc353893712"/>
      <w:bookmarkStart w:id="158" w:name="_Toc2194192"/>
      <w:bookmarkStart w:id="159" w:name="_Toc12476363"/>
      <w:r>
        <w:rPr>
          <w:sz w:val="24"/>
        </w:rPr>
        <w:t>Análisis de la capa adhesiva de las láminas</w:t>
      </w:r>
      <w:bookmarkEnd w:id="152"/>
      <w:bookmarkEnd w:id="153"/>
      <w:bookmarkEnd w:id="154"/>
      <w:bookmarkEnd w:id="155"/>
      <w:bookmarkEnd w:id="156"/>
      <w:bookmarkEnd w:id="157"/>
      <w:bookmarkEnd w:id="158"/>
      <w:bookmarkEnd w:id="159"/>
    </w:p>
    <w:p w:rsidR="00536458" w:rsidRPr="003A38BA" w:rsidRDefault="00536458" w:rsidP="007C21AF">
      <w:pPr>
        <w:ind w:left="0" w:firstLine="0"/>
        <w:jc w:val="both"/>
      </w:pPr>
      <w:r>
        <w:t>Para el análisis de la capa adhesiva según DIN EN 1790 se registrará un espectro de infrarrojos entre 600 y 4000 cm</w:t>
      </w:r>
      <w:r>
        <w:rPr>
          <w:vertAlign w:val="superscript"/>
        </w:rPr>
        <w:t>–1</w:t>
      </w:r>
      <w:r>
        <w:t>. Debido a la preparación simplificada de las muestras, se utilizará la técnica ATR (</w:t>
      </w:r>
      <w:r>
        <w:rPr>
          <w:i/>
        </w:rPr>
        <w:t>attenuated total reflection</w:t>
      </w:r>
      <w:r>
        <w:t xml:space="preserve">). </w:t>
      </w:r>
    </w:p>
    <w:p w:rsidR="009700EB" w:rsidRPr="003A38BA" w:rsidRDefault="00BB5DDD" w:rsidP="007C21AF">
      <w:pPr>
        <w:pStyle w:val="Heading1"/>
        <w:numPr>
          <w:ilvl w:val="2"/>
          <w:numId w:val="5"/>
        </w:numPr>
        <w:ind w:left="1440" w:hanging="720"/>
        <w:jc w:val="both"/>
        <w:rPr>
          <w:sz w:val="24"/>
          <w:szCs w:val="24"/>
        </w:rPr>
      </w:pPr>
      <w:bookmarkStart w:id="160" w:name="_Toc2194193"/>
      <w:bookmarkStart w:id="161" w:name="_Toc12476364"/>
      <w:r>
        <w:rPr>
          <w:sz w:val="24"/>
        </w:rPr>
        <w:t>Análisis de productos de imprimación bituminosos</w:t>
      </w:r>
      <w:bookmarkEnd w:id="160"/>
      <w:bookmarkEnd w:id="161"/>
    </w:p>
    <w:p w:rsidR="009700EB" w:rsidRPr="003A38BA" w:rsidRDefault="00BB5DDD" w:rsidP="007C21AF">
      <w:pPr>
        <w:ind w:left="0" w:firstLine="0"/>
        <w:jc w:val="both"/>
      </w:pPr>
      <w:r>
        <w:t>Los productos de imprimación bituminosos y las primeras capas se caracterizarán mediante procesos físicos. Para ello, se determinará el punto de reblandecimiento (según DIN EN 1427), la penetración con aguja (según DIN EN 1426) y la fuerza-ductilidad (según EN 13589).</w:t>
      </w:r>
    </w:p>
    <w:p w:rsidR="00536458" w:rsidRPr="003A38BA" w:rsidRDefault="005F2E9C" w:rsidP="007C21AF">
      <w:pPr>
        <w:pStyle w:val="Heading1"/>
        <w:numPr>
          <w:ilvl w:val="1"/>
          <w:numId w:val="5"/>
        </w:numPr>
        <w:jc w:val="both"/>
        <w:rPr>
          <w:sz w:val="24"/>
          <w:szCs w:val="24"/>
        </w:rPr>
      </w:pPr>
      <w:bookmarkStart w:id="162" w:name="_Toc273346576"/>
      <w:bookmarkStart w:id="163" w:name="_Toc353893713"/>
      <w:bookmarkStart w:id="164" w:name="_Toc150173024"/>
      <w:bookmarkStart w:id="165" w:name="_Toc150174583"/>
      <w:bookmarkStart w:id="166" w:name="_Toc2194194"/>
      <w:bookmarkStart w:id="167" w:name="_Toc12476365"/>
      <w:bookmarkStart w:id="168" w:name="_Toc84303252"/>
      <w:bookmarkStart w:id="169" w:name="_Toc86465569"/>
      <w:bookmarkStart w:id="170" w:name="_Toc115598060"/>
      <w:bookmarkStart w:id="171" w:name="_Toc120375505"/>
      <w:r>
        <w:rPr>
          <w:sz w:val="24"/>
        </w:rPr>
        <w:t>Ensayo de prototipo de coformulante</w:t>
      </w:r>
      <w:bookmarkEnd w:id="162"/>
      <w:bookmarkEnd w:id="163"/>
      <w:r>
        <w:rPr>
          <w:sz w:val="24"/>
        </w:rPr>
        <w:t>s</w:t>
      </w:r>
      <w:bookmarkEnd w:id="164"/>
      <w:bookmarkEnd w:id="165"/>
      <w:bookmarkEnd w:id="166"/>
      <w:bookmarkEnd w:id="167"/>
    </w:p>
    <w:p w:rsidR="00536458" w:rsidRPr="003A38BA" w:rsidRDefault="00536458" w:rsidP="007C21AF">
      <w:pPr>
        <w:pStyle w:val="Heading1"/>
        <w:numPr>
          <w:ilvl w:val="2"/>
          <w:numId w:val="5"/>
        </w:numPr>
        <w:ind w:left="1440" w:hanging="720"/>
        <w:jc w:val="both"/>
        <w:rPr>
          <w:sz w:val="24"/>
          <w:szCs w:val="24"/>
        </w:rPr>
      </w:pPr>
      <w:bookmarkStart w:id="172" w:name="_Toc273346577"/>
      <w:bookmarkStart w:id="173" w:name="_Toc353893714"/>
      <w:bookmarkStart w:id="174" w:name="_Toc2194195"/>
      <w:bookmarkStart w:id="175" w:name="_Toc12476366"/>
      <w:bookmarkStart w:id="176" w:name="_Toc150174584"/>
      <w:bookmarkEnd w:id="168"/>
      <w:bookmarkEnd w:id="169"/>
      <w:bookmarkEnd w:id="170"/>
      <w:bookmarkEnd w:id="171"/>
      <w:r>
        <w:rPr>
          <w:sz w:val="24"/>
        </w:rPr>
        <w:t>Análisis de microesferas reflectantes y áridos antideslizantes (sistemas de materiales de premezclado y postmezclado)</w:t>
      </w:r>
      <w:bookmarkEnd w:id="172"/>
      <w:bookmarkEnd w:id="173"/>
      <w:bookmarkEnd w:id="174"/>
      <w:bookmarkEnd w:id="175"/>
    </w:p>
    <w:p w:rsidR="00536458" w:rsidRPr="003A38BA" w:rsidRDefault="00536458" w:rsidP="007C21AF">
      <w:pPr>
        <w:ind w:left="0" w:firstLine="0"/>
        <w:jc w:val="both"/>
      </w:pPr>
      <w:r>
        <w:t>Los requisitos aplicables a los cuerpos reflectantes y a los áridos antideslizantes se describen en DIN EN 1423 (material de postmezclado) y en DIN EN 1424 (cuerpos de premezclado)</w:t>
      </w:r>
      <w:r>
        <w:rPr>
          <w:rStyle w:val="FootnoteReference"/>
        </w:rPr>
        <w:footnoteReference w:id="4"/>
      </w:r>
      <w:r>
        <w:t xml:space="preserve">. Además, se aplicarán los requisitos de acuerdo con el anexo C a los materiales de postmezclado, independientemente de las sustancias, y a los cuerpos de premezclado, en lo que a los termoplásticos se refiere. </w:t>
      </w:r>
    </w:p>
    <w:p w:rsidR="007B668F" w:rsidRPr="003A38BA" w:rsidRDefault="00536458" w:rsidP="007C21AF">
      <w:pPr>
        <w:ind w:left="0" w:firstLine="0"/>
        <w:jc w:val="both"/>
      </w:pPr>
      <w:r>
        <w:t>La utilización del análisis de partículas con soporte de vídeo y de la microscopia digital permite determinar, en una mezcla de cuerpos reflectantes y áridos antideslizantes, tanto las respectivas fracciones en la mezcla como la granulometría y los parámetros de formato del grano de las fracciones individuales. La determinación del índice de refracción se llevará a cabo cuando resulte pertinente con un microscopio digital con líquidos de inmersión adecuados. En el caso de mezclas de cuerpos reflectantes y áridos antideslizantes, deberá indicarse por separado la proporción de masa entre sí (m/m), la identidad y el peso específico de todos los componentes utilizados y las curvas granulométricas de los cuerpos reflectantes y de los áridos antideslizantes. La identidad de los componentes y del índice de refracción de los cuerpos reflectantes no podrá alterarse. Los revestimientos para mejorar la adhesión o los revestimientos reactivos deberán indicarse.</w:t>
      </w:r>
    </w:p>
    <w:p w:rsidR="00E35384" w:rsidRPr="003A38BA" w:rsidRDefault="00B533DC" w:rsidP="007C21AF">
      <w:pPr>
        <w:ind w:left="0" w:firstLine="0"/>
        <w:jc w:val="both"/>
      </w:pPr>
      <w:r>
        <w:lastRenderedPageBreak/>
        <w:t xml:space="preserve">A partir de un tamaño nominal de 0,300 mm, la relación proporcional de dos tamices sucesivos de la curva granulométrica no podrá ser mayor que 1,2. La presente reglamentación será aplicable, por separado, tanto para los cuerpos reflectantes como para los áridos antideslizantes. </w:t>
      </w:r>
    </w:p>
    <w:p w:rsidR="00536458" w:rsidRPr="003A38BA" w:rsidRDefault="00536458" w:rsidP="007C21AF">
      <w:pPr>
        <w:pStyle w:val="Heading1"/>
        <w:numPr>
          <w:ilvl w:val="2"/>
          <w:numId w:val="5"/>
        </w:numPr>
        <w:ind w:left="1440" w:hanging="720"/>
        <w:jc w:val="both"/>
        <w:rPr>
          <w:sz w:val="24"/>
          <w:szCs w:val="24"/>
        </w:rPr>
      </w:pPr>
      <w:bookmarkStart w:id="177" w:name="_Toc273346578"/>
      <w:bookmarkStart w:id="178" w:name="_Toc353893715"/>
      <w:bookmarkStart w:id="179" w:name="_Toc2194196"/>
      <w:bookmarkStart w:id="180" w:name="_Toc12476367"/>
      <w:r>
        <w:rPr>
          <w:sz w:val="24"/>
        </w:rPr>
        <w:t>Análisis del revestimiento de cuerpos reflectantes y áridos antideslizantes</w:t>
      </w:r>
      <w:bookmarkEnd w:id="177"/>
      <w:bookmarkEnd w:id="178"/>
      <w:bookmarkEnd w:id="179"/>
      <w:bookmarkEnd w:id="180"/>
    </w:p>
    <w:p w:rsidR="00536458" w:rsidRPr="003A38BA" w:rsidRDefault="00536458" w:rsidP="007C21AF">
      <w:pPr>
        <w:ind w:left="0" w:firstLine="0"/>
        <w:jc w:val="both"/>
      </w:pPr>
      <w:r>
        <w:t>Las propiedades técnicas de circulación de la señalización vial se alcanzan mediante la fijación precisa y permanente de los materiales de postmezclado en la superficie de la sustancia de señalización. Para mejorar la adherencia de los materiales de postmezclado en la sustancia de señalización, estos a menudo se revisten con silano o siloxano. Estas sustancias tienen como efecto una integración más consistente en el aglutinante de la sustancia de señalización. La selección de la sustancia de señalización adecuada para el material de revestimiento correspondiente tiene una importancia decisiva, ya que la estabilidad de la integración puede influir en las propiedades relacionadas con el tráfico y los valores de medida asociados. La selección es realizada por el fabricante de la sustancia con aprobación del fabricante del material de postmezclado. El material de revestimiento deberá comprobarse en el marco del ensayo de prototipo.</w:t>
      </w:r>
    </w:p>
    <w:p w:rsidR="00536458" w:rsidRPr="003A38BA" w:rsidRDefault="00536458" w:rsidP="007C21AF">
      <w:pPr>
        <w:pStyle w:val="Heading1"/>
        <w:numPr>
          <w:ilvl w:val="2"/>
          <w:numId w:val="5"/>
        </w:numPr>
        <w:ind w:left="1440" w:hanging="720"/>
        <w:jc w:val="both"/>
        <w:rPr>
          <w:sz w:val="24"/>
          <w:szCs w:val="24"/>
        </w:rPr>
      </w:pPr>
      <w:bookmarkStart w:id="181" w:name="_Toc150174585"/>
      <w:bookmarkStart w:id="182" w:name="_Toc273346579"/>
      <w:bookmarkStart w:id="183" w:name="_Toc353893716"/>
      <w:bookmarkStart w:id="184" w:name="_Toc2194197"/>
      <w:bookmarkStart w:id="185" w:name="_Toc12476368"/>
      <w:bookmarkEnd w:id="176"/>
      <w:r>
        <w:rPr>
          <w:sz w:val="24"/>
        </w:rPr>
        <w:t>Análisis del resto de coformulantes</w:t>
      </w:r>
      <w:bookmarkEnd w:id="181"/>
      <w:bookmarkEnd w:id="182"/>
      <w:bookmarkEnd w:id="183"/>
      <w:bookmarkEnd w:id="184"/>
      <w:bookmarkEnd w:id="185"/>
    </w:p>
    <w:p w:rsidR="00536458" w:rsidRPr="003A38BA" w:rsidRDefault="00536458" w:rsidP="007C21AF">
      <w:pPr>
        <w:ind w:left="0" w:firstLine="0"/>
        <w:jc w:val="both"/>
      </w:pPr>
      <w:r>
        <w:t>Los coformulantes, como materiales de primera capa, los productos de imprimación, etc., se analizarán de la misma manera que la pintura de señalización. Solo se harán excepciones en casos justificados.</w:t>
      </w:r>
    </w:p>
    <w:p w:rsidR="00536458" w:rsidRPr="003A38BA" w:rsidRDefault="00536458" w:rsidP="007C21AF">
      <w:pPr>
        <w:ind w:left="0" w:firstLine="0"/>
        <w:jc w:val="both"/>
      </w:pPr>
      <w:r>
        <w:t>Los endurecedores (líquidos o sólidos) se analizarán con espectroscopia infrarroja. Estos no podrán exponerse a ninguna carga térmica antes del análisis. Los métodos de ensayo serán conformes a los métodos descritos en la norma DIN EN 12802 para el análisis de aglutinantes.</w:t>
      </w:r>
    </w:p>
    <w:p w:rsidR="00E5609C" w:rsidRPr="003A38BA" w:rsidRDefault="00E5609C" w:rsidP="007C21AF">
      <w:pPr>
        <w:pStyle w:val="Heading1"/>
        <w:pageBreakBefore/>
        <w:ind w:left="0" w:firstLine="0"/>
        <w:jc w:val="both"/>
        <w:rPr>
          <w:sz w:val="24"/>
          <w:szCs w:val="24"/>
        </w:rPr>
      </w:pPr>
      <w:bookmarkStart w:id="186" w:name="_Anhang_2"/>
      <w:bookmarkStart w:id="187" w:name="_Toc2194198"/>
      <w:bookmarkStart w:id="188" w:name="_Toc12476369"/>
      <w:bookmarkEnd w:id="186"/>
      <w:r>
        <w:rPr>
          <w:sz w:val="24"/>
        </w:rPr>
        <w:lastRenderedPageBreak/>
        <w:t>Anexo A</w:t>
      </w:r>
      <w:bookmarkEnd w:id="187"/>
      <w:bookmarkEnd w:id="188"/>
    </w:p>
    <w:p w:rsidR="00E5609C" w:rsidRPr="003A38BA" w:rsidRDefault="003E1828" w:rsidP="007C21AF">
      <w:pPr>
        <w:jc w:val="both"/>
      </w:pPr>
      <w:r>
        <w:t>Certificado de ensayo</w:t>
      </w:r>
    </w:p>
    <w:p w:rsidR="003916B9" w:rsidRDefault="003916B9" w:rsidP="00E5609C"/>
    <w:p w:rsidR="0040352A" w:rsidRPr="008766C3" w:rsidRDefault="0040352A" w:rsidP="0040352A">
      <w:pPr>
        <w:tabs>
          <w:tab w:val="left" w:leader="hyphen" w:pos="8789"/>
        </w:tabs>
        <w:spacing w:after="60"/>
        <w:ind w:left="4820" w:firstLine="1134"/>
        <w:jc w:val="right"/>
        <w:rPr>
          <w:rFonts w:cs="Calibri"/>
        </w:rPr>
      </w:pPr>
      <w:r>
        <w:rPr>
          <w:color w:val="000000"/>
        </w:rPr>
        <w:t>Número de acreditación del laboratorio de ensayo acreditado para el ámbito de ensayo «señalización del pavimento»</w:t>
      </w:r>
      <w:r>
        <w:tab/>
      </w:r>
    </w:p>
    <w:p w:rsidR="0040352A" w:rsidRPr="008766C3" w:rsidRDefault="0040352A" w:rsidP="0040352A">
      <w:pPr>
        <w:spacing w:after="60"/>
        <w:ind w:left="0" w:firstLine="0"/>
        <w:rPr>
          <w:rFonts w:eastAsia="Times New Roman" w:cs="Calibri"/>
        </w:rPr>
      </w:pPr>
      <w:r>
        <w:rPr>
          <w:b/>
          <w:color w:val="000000"/>
        </w:rPr>
        <w:t>Certificado sobre el ensayo de un sistema de señalización en la mesa giratoria</w:t>
      </w:r>
    </w:p>
    <w:p w:rsidR="0040352A" w:rsidRPr="008766C3" w:rsidRDefault="0040352A" w:rsidP="0040352A">
      <w:pPr>
        <w:tabs>
          <w:tab w:val="left" w:leader="underscore" w:pos="3119"/>
        </w:tabs>
        <w:spacing w:after="60"/>
        <w:ind w:left="0" w:firstLine="0"/>
        <w:rPr>
          <w:rFonts w:eastAsia="Times New Roman" w:cs="Calibri"/>
        </w:rPr>
      </w:pPr>
      <w:r>
        <w:rPr>
          <w:b/>
          <w:color w:val="000000"/>
        </w:rPr>
        <w:t>Número de ensayo:</w:t>
      </w:r>
      <w:r>
        <w:tab/>
      </w:r>
    </w:p>
    <w:p w:rsidR="0040352A" w:rsidRPr="008766C3" w:rsidRDefault="0040352A" w:rsidP="0040352A">
      <w:pPr>
        <w:numPr>
          <w:ilvl w:val="0"/>
          <w:numId w:val="16"/>
        </w:numPr>
        <w:spacing w:after="60"/>
        <w:ind w:left="284" w:hanging="284"/>
        <w:rPr>
          <w:rFonts w:eastAsia="Times New Roman" w:cs="Calibri"/>
          <w:b/>
          <w:bCs/>
          <w:color w:val="000000"/>
        </w:rPr>
      </w:pPr>
      <w:r>
        <w:rPr>
          <w:b/>
          <w:color w:val="000000"/>
        </w:rPr>
        <w:t>Solicitud</w:t>
      </w:r>
    </w:p>
    <w:p w:rsidR="0040352A" w:rsidRPr="008766C3" w:rsidRDefault="0040352A" w:rsidP="0040352A">
      <w:pPr>
        <w:tabs>
          <w:tab w:val="left" w:pos="1985"/>
          <w:tab w:val="left" w:leader="underscore" w:pos="3119"/>
        </w:tabs>
        <w:spacing w:after="60"/>
        <w:ind w:left="1985" w:hanging="1701"/>
        <w:rPr>
          <w:rFonts w:eastAsia="Times New Roman" w:cs="Calibri"/>
          <w:color w:val="000000"/>
        </w:rPr>
      </w:pPr>
      <w:r>
        <w:rPr>
          <w:color w:val="000000"/>
        </w:rPr>
        <w:t>Solicitante:</w:t>
      </w:r>
      <w:r>
        <w:tab/>
      </w:r>
      <w:r>
        <w:tab/>
      </w:r>
    </w:p>
    <w:p w:rsidR="0040352A" w:rsidRPr="008766C3" w:rsidRDefault="0040352A" w:rsidP="0040352A">
      <w:pPr>
        <w:tabs>
          <w:tab w:val="left" w:pos="1985"/>
        </w:tabs>
        <w:spacing w:after="60"/>
        <w:ind w:left="1985" w:hanging="1701"/>
        <w:rPr>
          <w:rFonts w:eastAsia="Times New Roman" w:cs="Calibri"/>
          <w:color w:val="000000"/>
        </w:rPr>
      </w:pPr>
      <w:r>
        <w:rPr>
          <w:color w:val="000000"/>
        </w:rPr>
        <w:t>Objeto de solicitud:</w:t>
      </w:r>
      <w:r>
        <w:tab/>
      </w:r>
      <w:r>
        <w:rPr>
          <w:color w:val="000000"/>
        </w:rPr>
        <w:t>Ensayo de la resistencia al desgaste y de las propiedades técnicas de circulación de un sistema de señalización según las condiciones de ensayo de las TP M (edición de febrero de 2017) y de la norma DIN EN 13197 (edición de julio de 2014). Las clases de las propiedades técnicas de circulación se orientan por la norma DIN EN 1436 (edición de enero de 2009).</w:t>
      </w:r>
    </w:p>
    <w:p w:rsidR="0040352A" w:rsidRPr="008766C3" w:rsidRDefault="0040352A" w:rsidP="0040352A">
      <w:pPr>
        <w:numPr>
          <w:ilvl w:val="0"/>
          <w:numId w:val="16"/>
        </w:numPr>
        <w:spacing w:after="60"/>
        <w:ind w:left="284" w:hanging="284"/>
        <w:rPr>
          <w:rFonts w:eastAsia="Times New Roman" w:cs="Calibri"/>
          <w:b/>
          <w:bCs/>
          <w:color w:val="000000"/>
        </w:rPr>
      </w:pPr>
      <w:r>
        <w:rPr>
          <w:b/>
          <w:color w:val="000000"/>
        </w:rPr>
        <w:t>Objeto de ensayo</w:t>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color w:val="000000"/>
        </w:rPr>
        <w:t>2.1</w:t>
      </w:r>
      <w:r>
        <w:tab/>
      </w:r>
      <w:r>
        <w:rPr>
          <w:b/>
          <w:color w:val="000000"/>
        </w:rPr>
        <w:t>Tipo de sistema de señalización</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Nombre del sistema:</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Nombre de la sustancia:</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Productor de la sustancia:</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Tipo de sustancia:</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Temperatura de procesamiento [°C]/</w:t>
      </w:r>
      <w:r>
        <w:br/>
        <w:t>Proporción de la fórmula:</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Grosor de la capa [pm]/cantidad [kg/m</w:t>
      </w:r>
      <w:r>
        <w:rPr>
          <w:vertAlign w:val="superscript"/>
        </w:rPr>
        <w:t>2</w:t>
      </w:r>
      <w:r>
        <w:t>]:</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Procedimiento de aplicación:</w:t>
      </w:r>
      <w:r>
        <w:tab/>
      </w:r>
      <w:r>
        <w:tab/>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color w:val="000000"/>
        </w:rPr>
        <w:t>2.2</w:t>
      </w:r>
      <w:r>
        <w:tab/>
      </w:r>
      <w:r>
        <w:rPr>
          <w:b/>
          <w:color w:val="000000"/>
        </w:rPr>
        <w:t>Coformulantes de postmezclado</w:t>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Cantidades, productor, designación de los cuerpos reflectantes:</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Áridos antideslizantes:</w:t>
      </w:r>
      <w:r>
        <w:tab/>
      </w:r>
      <w:r>
        <w:tab/>
      </w:r>
      <w:r>
        <w:tab/>
      </w:r>
      <w:r>
        <w:rPr>
          <w:b/>
        </w:rPr>
        <w:t>contenidos en los cuerpos reflectantes como mezcla en la proporción</w:t>
      </w:r>
    </w:p>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rFonts w:hint="eastAsia"/>
          <w:color w:val="000000"/>
        </w:rPr>
        <w:t>2.3</w:t>
      </w:r>
      <w:r>
        <w:tab/>
      </w:r>
      <w:r>
        <w:rPr>
          <w:color w:val="000000"/>
        </w:rPr>
        <w:t>La aplicación se realizó, a petición del solicitante con indicación de los datos técnicos mencionados (siempre que no sean medibles), en los espacios del laboratorio de ensayo acreditado, por el propio laboratorio, o por una entidad autorizada por este.</w:t>
      </w:r>
    </w:p>
    <w:p w:rsidR="0040352A" w:rsidRPr="008766C3" w:rsidRDefault="0040352A" w:rsidP="0040352A">
      <w:pPr>
        <w:numPr>
          <w:ilvl w:val="0"/>
          <w:numId w:val="16"/>
        </w:numPr>
        <w:spacing w:after="60"/>
        <w:ind w:left="284" w:hanging="284"/>
        <w:rPr>
          <w:rFonts w:eastAsia="Times New Roman" w:cs="Calibri"/>
          <w:b/>
          <w:bCs/>
          <w:color w:val="000000"/>
        </w:rPr>
      </w:pPr>
      <w:r>
        <w:rPr>
          <w:b/>
          <w:color w:val="000000"/>
        </w:rPr>
        <w:t>Resultados del ensayo:</w:t>
      </w:r>
    </w:p>
    <w:p w:rsidR="0040352A" w:rsidRPr="008766C3" w:rsidRDefault="0040352A" w:rsidP="0040352A">
      <w:pPr>
        <w:tabs>
          <w:tab w:val="left" w:pos="4111"/>
          <w:tab w:val="left" w:leader="underscore" w:pos="5954"/>
        </w:tabs>
        <w:spacing w:after="60"/>
        <w:ind w:left="567" w:hanging="567"/>
        <w:rPr>
          <w:rFonts w:cs="Calibri"/>
        </w:rPr>
      </w:pPr>
      <w:r>
        <w:rPr>
          <w:rFonts w:hint="eastAsia"/>
          <w:color w:val="000000"/>
        </w:rPr>
        <w:t>3.1</w:t>
      </w:r>
      <w:r>
        <w:tab/>
      </w:r>
      <w:r>
        <w:rPr>
          <w:color w:val="000000"/>
        </w:rPr>
        <w:t xml:space="preserve">Se alcanzaron los requisitos para la </w:t>
      </w:r>
      <w:r>
        <w:rPr>
          <w:b/>
          <w:color w:val="000000"/>
        </w:rPr>
        <w:t>clase de circulación P</w:t>
      </w:r>
      <w:r>
        <w:tab/>
      </w:r>
      <w:r>
        <w:rPr>
          <w:rFonts w:hint="eastAsia"/>
          <w:b/>
          <w:color w:val="000000"/>
        </w:rPr>
        <w:t>.</w:t>
      </w:r>
      <w:r>
        <w:rPr>
          <w:rFonts w:hint="eastAsia"/>
          <w:color w:val="000000"/>
        </w:rPr>
        <w:t xml:space="preserve"> </w:t>
      </w:r>
      <w:r>
        <w:rPr>
          <w:color w:val="000000"/>
        </w:rPr>
        <w:t>Para las propiedades técnicas de circulación individuales se alcanzaron las siguientes clases de acuerdo con la norma DIN EN 1436:</w:t>
      </w:r>
    </w:p>
    <w:tbl>
      <w:tblPr>
        <w:tblW w:w="0" w:type="auto"/>
        <w:tblInd w:w="250" w:type="dxa"/>
        <w:tblLook w:val="04A0" w:firstRow="1" w:lastRow="0" w:firstColumn="1" w:lastColumn="0" w:noHBand="0" w:noVBand="1"/>
      </w:tblPr>
      <w:tblGrid>
        <w:gridCol w:w="3969"/>
        <w:gridCol w:w="1843"/>
        <w:gridCol w:w="2126"/>
      </w:tblGrid>
      <w:tr w:rsidR="0040352A" w:rsidRPr="008766C3" w:rsidTr="00BD7B44">
        <w:tc>
          <w:tcPr>
            <w:tcW w:w="3969" w:type="dxa"/>
            <w:shd w:val="clear" w:color="auto" w:fill="auto"/>
          </w:tcPr>
          <w:p w:rsidR="0040352A" w:rsidRPr="008766C3" w:rsidRDefault="0040352A" w:rsidP="007E2174">
            <w:pPr>
              <w:spacing w:after="60"/>
              <w:ind w:left="0" w:firstLine="0"/>
              <w:rPr>
                <w:rFonts w:eastAsia="Times New Roman" w:cs="Calibri"/>
              </w:rPr>
            </w:pPr>
          </w:p>
        </w:tc>
        <w:tc>
          <w:tcPr>
            <w:tcW w:w="1843" w:type="dxa"/>
            <w:shd w:val="clear" w:color="auto" w:fill="auto"/>
          </w:tcPr>
          <w:p w:rsidR="0040352A" w:rsidRPr="008E0BFF" w:rsidRDefault="0040352A" w:rsidP="007E2174">
            <w:pPr>
              <w:spacing w:after="60"/>
              <w:ind w:left="0" w:firstLine="0"/>
              <w:jc w:val="center"/>
              <w:rPr>
                <w:rFonts w:cs="Calibri"/>
                <w:b/>
              </w:rPr>
            </w:pPr>
            <w:r>
              <w:rPr>
                <w:b/>
                <w:color w:val="000000"/>
              </w:rPr>
              <w:t>Estado nuevo</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color w:val="000000"/>
              </w:rPr>
              <w:t>Estado usado</w:t>
            </w:r>
          </w:p>
        </w:tc>
      </w:tr>
      <w:tr w:rsidR="0040352A" w:rsidRPr="008766C3" w:rsidTr="00BD7B44">
        <w:tc>
          <w:tcPr>
            <w:tcW w:w="3969" w:type="dxa"/>
            <w:shd w:val="clear" w:color="auto" w:fill="auto"/>
          </w:tcPr>
          <w:p w:rsidR="0040352A" w:rsidRPr="008766C3" w:rsidRDefault="0040352A" w:rsidP="007E2174">
            <w:pPr>
              <w:spacing w:after="60"/>
              <w:ind w:left="0" w:firstLine="0"/>
              <w:rPr>
                <w:rFonts w:eastAsia="Times New Roman" w:cs="Calibri"/>
              </w:rPr>
            </w:pPr>
            <w:r>
              <w:t>- Adherencia:</w:t>
            </w:r>
          </w:p>
        </w:tc>
        <w:tc>
          <w:tcPr>
            <w:tcW w:w="1843" w:type="dxa"/>
            <w:shd w:val="clear" w:color="auto" w:fill="auto"/>
          </w:tcPr>
          <w:p w:rsidR="0040352A" w:rsidRPr="008E0BFF" w:rsidRDefault="0040352A" w:rsidP="007E2174">
            <w:pPr>
              <w:spacing w:after="60"/>
              <w:ind w:left="0" w:firstLine="0"/>
              <w:jc w:val="center"/>
              <w:rPr>
                <w:rFonts w:eastAsia="Times New Roman" w:cs="Calibri"/>
                <w:b/>
              </w:rPr>
            </w:pPr>
            <w:r>
              <w:rPr>
                <w:b/>
              </w:rPr>
              <w:t>≥ S 1</w:t>
            </w:r>
          </w:p>
        </w:tc>
        <w:tc>
          <w:tcPr>
            <w:tcW w:w="2126" w:type="dxa"/>
            <w:shd w:val="clear" w:color="auto" w:fill="auto"/>
          </w:tcPr>
          <w:p w:rsidR="0040352A" w:rsidRPr="008E0BFF" w:rsidRDefault="0040352A" w:rsidP="007E2174">
            <w:pPr>
              <w:spacing w:after="60"/>
              <w:ind w:left="0" w:firstLine="0"/>
              <w:jc w:val="center"/>
              <w:rPr>
                <w:rFonts w:cs="Calibri"/>
                <w:b/>
              </w:rPr>
            </w:pPr>
            <w:r>
              <w:rPr>
                <w:b/>
              </w:rPr>
              <w:t>S</w:t>
            </w:r>
          </w:p>
        </w:tc>
      </w:tr>
      <w:tr w:rsidR="0040352A" w:rsidRPr="008766C3" w:rsidTr="00BD7B44">
        <w:tc>
          <w:tcPr>
            <w:tcW w:w="3969" w:type="dxa"/>
            <w:shd w:val="clear" w:color="auto" w:fill="auto"/>
          </w:tcPr>
          <w:p w:rsidR="0040352A" w:rsidRPr="008766C3" w:rsidRDefault="0040352A" w:rsidP="007E2174">
            <w:pPr>
              <w:spacing w:after="60"/>
              <w:ind w:left="0" w:firstLine="0"/>
              <w:rPr>
                <w:rFonts w:eastAsia="Times New Roman" w:cs="Calibri"/>
              </w:rPr>
            </w:pPr>
            <w:r>
              <w:t>- Visibilidad nocturna, estado seco:</w:t>
            </w:r>
          </w:p>
        </w:tc>
        <w:tc>
          <w:tcPr>
            <w:tcW w:w="1843" w:type="dxa"/>
            <w:shd w:val="clear" w:color="auto" w:fill="auto"/>
          </w:tcPr>
          <w:p w:rsidR="0040352A" w:rsidRPr="008E0BFF" w:rsidRDefault="0040352A" w:rsidP="007E2174">
            <w:pPr>
              <w:spacing w:after="60"/>
              <w:ind w:left="0" w:firstLine="0"/>
              <w:jc w:val="center"/>
              <w:rPr>
                <w:rFonts w:cs="Calibri"/>
                <w:b/>
              </w:rPr>
            </w:pPr>
            <w:r>
              <w:rPr>
                <w:b/>
              </w:rPr>
              <w:t>R</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r>
      <w:tr w:rsidR="0040352A" w:rsidRPr="008766C3" w:rsidTr="00BD7B44">
        <w:tc>
          <w:tcPr>
            <w:tcW w:w="3969" w:type="dxa"/>
            <w:shd w:val="clear" w:color="auto" w:fill="auto"/>
          </w:tcPr>
          <w:p w:rsidR="0040352A" w:rsidRPr="008766C3" w:rsidRDefault="0040352A" w:rsidP="007E2174">
            <w:pPr>
              <w:spacing w:after="60"/>
              <w:ind w:left="0" w:firstLine="0"/>
              <w:rPr>
                <w:rFonts w:cs="Calibri"/>
              </w:rPr>
            </w:pPr>
            <w:r>
              <w:t>- Visibilidad nocturna, estado mojado:</w:t>
            </w:r>
          </w:p>
        </w:tc>
        <w:tc>
          <w:tcPr>
            <w:tcW w:w="1843" w:type="dxa"/>
            <w:shd w:val="clear" w:color="auto" w:fill="auto"/>
          </w:tcPr>
          <w:p w:rsidR="0040352A" w:rsidRPr="008E0BFF" w:rsidRDefault="0040352A" w:rsidP="007E2174">
            <w:pPr>
              <w:spacing w:after="60"/>
              <w:ind w:left="0" w:firstLine="0"/>
              <w:jc w:val="center"/>
              <w:rPr>
                <w:rFonts w:cs="Calibri"/>
                <w:b/>
              </w:rPr>
            </w:pPr>
            <w:r>
              <w:rPr>
                <w:b/>
              </w:rPr>
              <w:t>RW</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r>
      <w:tr w:rsidR="0040352A" w:rsidRPr="008766C3" w:rsidTr="00BD7B44">
        <w:tc>
          <w:tcPr>
            <w:tcW w:w="3969" w:type="dxa"/>
            <w:shd w:val="clear" w:color="auto" w:fill="auto"/>
          </w:tcPr>
          <w:p w:rsidR="0040352A" w:rsidRPr="008766C3" w:rsidRDefault="0040352A" w:rsidP="007E2174">
            <w:pPr>
              <w:spacing w:after="60"/>
              <w:ind w:left="0" w:firstLine="0"/>
              <w:rPr>
                <w:rFonts w:eastAsia="Times New Roman" w:cs="Calibri"/>
              </w:rPr>
            </w:pPr>
            <w:r>
              <w:t>- Visibilidad diurna:</w:t>
            </w:r>
          </w:p>
        </w:tc>
        <w:tc>
          <w:tcPr>
            <w:tcW w:w="1843" w:type="dxa"/>
            <w:shd w:val="clear" w:color="auto" w:fill="auto"/>
          </w:tcPr>
          <w:p w:rsidR="0040352A" w:rsidRPr="008E0BFF" w:rsidRDefault="0040352A" w:rsidP="007E2174">
            <w:pPr>
              <w:spacing w:after="60"/>
              <w:ind w:left="0" w:firstLine="0"/>
              <w:jc w:val="center"/>
              <w:rPr>
                <w:rFonts w:cs="Calibri"/>
                <w:b/>
              </w:rPr>
            </w:pPr>
            <w:r>
              <w:rPr>
                <w:b/>
              </w:rPr>
              <w:t>Q</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r>
      <w:tr w:rsidR="0040352A" w:rsidRPr="008766C3" w:rsidTr="00BD7B44">
        <w:tc>
          <w:tcPr>
            <w:tcW w:w="3969" w:type="dxa"/>
            <w:shd w:val="clear" w:color="auto" w:fill="auto"/>
          </w:tcPr>
          <w:p w:rsidR="0040352A" w:rsidRPr="008766C3" w:rsidRDefault="0040352A" w:rsidP="007E2174">
            <w:pPr>
              <w:spacing w:after="60"/>
              <w:ind w:left="0" w:firstLine="0"/>
              <w:rPr>
                <w:rFonts w:eastAsia="Times New Roman" w:cs="Calibri"/>
              </w:rPr>
            </w:pPr>
            <w:r>
              <w:t>- Capacidad de soporte de la rodadura:</w:t>
            </w:r>
          </w:p>
        </w:tc>
        <w:tc>
          <w:tcPr>
            <w:tcW w:w="1843" w:type="dxa"/>
            <w:shd w:val="clear" w:color="auto" w:fill="auto"/>
          </w:tcPr>
          <w:p w:rsidR="0040352A" w:rsidRPr="008E0BFF" w:rsidRDefault="0040352A" w:rsidP="007E2174">
            <w:pPr>
              <w:spacing w:after="60"/>
              <w:ind w:left="0" w:firstLine="0"/>
              <w:jc w:val="center"/>
              <w:rPr>
                <w:rFonts w:cs="Calibri"/>
                <w:b/>
              </w:rPr>
            </w:pPr>
            <w:r>
              <w:rPr>
                <w:b/>
              </w:rPr>
              <w:t>T</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p>
        </w:tc>
      </w:tr>
    </w:tbl>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rFonts w:hint="eastAsia"/>
          <w:color w:val="000000"/>
        </w:rPr>
        <w:lastRenderedPageBreak/>
        <w:t>3.2</w:t>
      </w:r>
      <w:r>
        <w:tab/>
      </w:r>
      <w:r>
        <w:rPr>
          <w:color w:val="000000"/>
        </w:rPr>
        <w:t>Se cumplieron los requisitos mínimos aplicables a la resistencia al desgaste del 90 % de la superficie restante. Los resultados del ensayo físico-químico de prototipo fueron recibidos por el laboratorio de ensayo acreditado.</w:t>
      </w:r>
    </w:p>
    <w:p w:rsidR="0040352A" w:rsidRPr="008766C3" w:rsidRDefault="0040352A" w:rsidP="0040352A">
      <w:pPr>
        <w:spacing w:after="60"/>
        <w:ind w:left="0" w:firstLine="0"/>
        <w:jc w:val="both"/>
        <w:rPr>
          <w:rFonts w:eastAsia="Times New Roman" w:cs="Calibri"/>
        </w:rPr>
      </w:pPr>
      <w:r>
        <w:rPr>
          <w:color w:val="000000"/>
        </w:rPr>
        <w:t>El presente certificado de ensayo solo podrá transmitirse o publicarse en su totalidad. La transmisión o publicación de extractos exige el consentimiento del laboratorio de ensayo acreditado.</w:t>
      </w:r>
    </w:p>
    <w:p w:rsidR="0040352A" w:rsidRPr="008766C3" w:rsidRDefault="0040352A" w:rsidP="0040352A">
      <w:pPr>
        <w:tabs>
          <w:tab w:val="left" w:leader="underscore" w:pos="3119"/>
        </w:tabs>
        <w:spacing w:after="60"/>
        <w:ind w:left="0" w:firstLine="0"/>
        <w:rPr>
          <w:rFonts w:eastAsia="Times New Roman" w:cs="Calibri"/>
        </w:rPr>
      </w:pPr>
      <w:r>
        <w:rPr>
          <w:color w:val="000000"/>
        </w:rPr>
        <w:t>Bergisch Gladbach,</w:t>
      </w:r>
      <w:r>
        <w:tab/>
      </w:r>
    </w:p>
    <w:p w:rsidR="0040352A" w:rsidRPr="008766C3" w:rsidRDefault="0040352A" w:rsidP="0040352A">
      <w:pPr>
        <w:spacing w:after="60"/>
        <w:ind w:left="0" w:firstLine="0"/>
        <w:rPr>
          <w:rFonts w:cs="Calibri"/>
          <w:color w:val="000000"/>
        </w:rPr>
      </w:pPr>
    </w:p>
    <w:p w:rsidR="0040352A" w:rsidRPr="008766C3" w:rsidRDefault="0040352A" w:rsidP="0040352A">
      <w:pPr>
        <w:spacing w:after="60"/>
        <w:ind w:left="0" w:firstLine="0"/>
        <w:rPr>
          <w:rFonts w:cs="Calibri"/>
          <w:color w:val="000000"/>
        </w:rPr>
      </w:pPr>
    </w:p>
    <w:p w:rsidR="0040352A" w:rsidRPr="008766C3" w:rsidRDefault="0040352A" w:rsidP="0040352A">
      <w:pPr>
        <w:tabs>
          <w:tab w:val="left" w:leader="underscore" w:pos="2410"/>
        </w:tabs>
        <w:spacing w:after="60"/>
        <w:ind w:left="0" w:firstLine="0"/>
        <w:rPr>
          <w:rFonts w:cs="Calibri"/>
          <w:color w:val="000000"/>
        </w:rPr>
      </w:pPr>
      <w:r>
        <w:tab/>
      </w:r>
    </w:p>
    <w:p w:rsidR="0040352A" w:rsidRPr="008766C3" w:rsidRDefault="0040352A" w:rsidP="0040352A">
      <w:pPr>
        <w:spacing w:after="60"/>
        <w:ind w:left="0" w:firstLine="0"/>
        <w:rPr>
          <w:rFonts w:eastAsia="Times New Roman" w:cs="Calibri"/>
        </w:rPr>
      </w:pPr>
      <w:r>
        <w:rPr>
          <w:color w:val="000000"/>
        </w:rPr>
        <w:t>Nombre, función</w:t>
      </w:r>
    </w:p>
    <w:p w:rsidR="0040352A" w:rsidRPr="008766C3" w:rsidRDefault="0040352A" w:rsidP="0040352A"/>
    <w:p w:rsidR="0040352A" w:rsidRPr="008766C3" w:rsidRDefault="0040352A" w:rsidP="0040352A">
      <w:pPr>
        <w:ind w:left="0" w:firstLine="0"/>
      </w:pPr>
    </w:p>
    <w:p w:rsidR="0040352A" w:rsidRPr="008766C3" w:rsidRDefault="0040352A" w:rsidP="0040352A">
      <w:r>
        <w:t>Confirmación del ensayo</w:t>
      </w:r>
    </w:p>
    <w:p w:rsidR="0040352A" w:rsidRPr="008766C3" w:rsidRDefault="0040352A" w:rsidP="0040352A">
      <w:pPr>
        <w:rPr>
          <w:rFonts w:cs="Calibri"/>
        </w:rPr>
      </w:pPr>
    </w:p>
    <w:p w:rsidR="0040352A" w:rsidRPr="008766C3" w:rsidRDefault="0040352A" w:rsidP="0040352A">
      <w:pPr>
        <w:rPr>
          <w:rFonts w:cs="Calibri"/>
        </w:rPr>
      </w:pPr>
    </w:p>
    <w:p w:rsidR="0040352A" w:rsidRPr="008766C3" w:rsidRDefault="0040352A" w:rsidP="0040352A">
      <w:pPr>
        <w:rPr>
          <w:rFonts w:cs="Calibri"/>
        </w:rPr>
      </w:pPr>
    </w:p>
    <w:tbl>
      <w:tblPr>
        <w:tblW w:w="0" w:type="auto"/>
        <w:tblInd w:w="108" w:type="dxa"/>
        <w:tblLook w:val="04A0" w:firstRow="1" w:lastRow="0" w:firstColumn="1" w:lastColumn="0" w:noHBand="0" w:noVBand="1"/>
      </w:tblPr>
      <w:tblGrid>
        <w:gridCol w:w="2268"/>
        <w:gridCol w:w="3828"/>
      </w:tblGrid>
      <w:tr w:rsidR="0040352A" w:rsidRPr="008766C3" w:rsidTr="007E2174">
        <w:tc>
          <w:tcPr>
            <w:tcW w:w="2268" w:type="dxa"/>
            <w:shd w:val="clear" w:color="auto" w:fill="auto"/>
          </w:tcPr>
          <w:p w:rsidR="0040352A" w:rsidRPr="008766C3" w:rsidRDefault="0040352A" w:rsidP="007E2174">
            <w:pPr>
              <w:ind w:left="-108" w:firstLine="0"/>
              <w:rPr>
                <w:rFonts w:cs="Calibri"/>
              </w:rPr>
            </w:pPr>
            <w:r>
              <w:t>Solicitante</w:t>
            </w:r>
          </w:p>
        </w:tc>
        <w:tc>
          <w:tcPr>
            <w:tcW w:w="3828" w:type="dxa"/>
            <w:shd w:val="clear" w:color="auto" w:fill="auto"/>
          </w:tcPr>
          <w:p w:rsidR="0040352A" w:rsidRPr="008766C3" w:rsidRDefault="0040352A" w:rsidP="007E2174">
            <w:pPr>
              <w:ind w:left="0" w:firstLine="0"/>
              <w:jc w:val="right"/>
              <w:rPr>
                <w:rFonts w:eastAsia="Times New Roman" w:cs="Calibri"/>
                <w:color w:val="000000"/>
              </w:rPr>
            </w:pPr>
            <w:r>
              <w:rPr>
                <w:color w:val="000000"/>
              </w:rPr>
              <w:t>Su referencia</w:t>
            </w:r>
          </w:p>
          <w:p w:rsidR="0040352A" w:rsidRPr="008766C3" w:rsidRDefault="0040352A" w:rsidP="007E2174">
            <w:pPr>
              <w:ind w:left="0" w:firstLine="0"/>
              <w:jc w:val="right"/>
              <w:rPr>
                <w:rFonts w:eastAsia="Times New Roman" w:cs="Calibri"/>
                <w:color w:val="000000"/>
              </w:rPr>
            </w:pPr>
            <w:r>
              <w:rPr>
                <w:color w:val="000000"/>
              </w:rPr>
              <w:t>Su escrito de</w:t>
            </w:r>
            <w:r>
              <w:rPr>
                <w:rFonts w:eastAsia="Times New Roman" w:cs="Calibri"/>
                <w:color w:val="000000"/>
              </w:rPr>
              <w:br/>
            </w:r>
            <w:r>
              <w:rPr>
                <w:color w:val="000000"/>
              </w:rPr>
              <w:t>Nuestra referencia</w:t>
            </w:r>
            <w:r>
              <w:rPr>
                <w:rFonts w:eastAsia="Times New Roman" w:cs="Calibri"/>
                <w:color w:val="000000"/>
              </w:rPr>
              <w:br/>
            </w:r>
            <w:r>
              <w:rPr>
                <w:color w:val="000000"/>
              </w:rPr>
              <w:t>Información prestada</w:t>
            </w:r>
            <w:r>
              <w:rPr>
                <w:rFonts w:eastAsia="Times New Roman" w:cs="Calibri"/>
                <w:color w:val="000000"/>
              </w:rPr>
              <w:br/>
            </w:r>
            <w:r>
              <w:rPr>
                <w:color w:val="000000"/>
              </w:rPr>
              <w:t>Teléfono</w:t>
            </w:r>
            <w:r>
              <w:rPr>
                <w:rFonts w:eastAsia="Times New Roman" w:cs="Calibri"/>
                <w:color w:val="000000"/>
              </w:rPr>
              <w:br/>
            </w:r>
            <w:r>
              <w:rPr>
                <w:color w:val="000000"/>
              </w:rPr>
              <w:t>Fax</w:t>
            </w:r>
            <w:r>
              <w:rPr>
                <w:rFonts w:eastAsia="Times New Roman" w:cs="Calibri"/>
                <w:color w:val="000000"/>
              </w:rPr>
              <w:br/>
            </w:r>
            <w:r>
              <w:rPr>
                <w:color w:val="000000"/>
              </w:rPr>
              <w:t>Correo electrónico</w:t>
            </w:r>
          </w:p>
          <w:p w:rsidR="0040352A" w:rsidRPr="008766C3" w:rsidRDefault="0040352A" w:rsidP="007E2174">
            <w:pPr>
              <w:ind w:left="0" w:firstLine="0"/>
              <w:jc w:val="right"/>
              <w:rPr>
                <w:rFonts w:eastAsia="Times New Roman" w:cs="Calibri"/>
                <w:color w:val="000000"/>
              </w:rPr>
            </w:pPr>
          </w:p>
          <w:p w:rsidR="0040352A" w:rsidRPr="008766C3" w:rsidRDefault="0040352A" w:rsidP="007E2174">
            <w:pPr>
              <w:ind w:left="0" w:firstLine="0"/>
              <w:jc w:val="right"/>
              <w:rPr>
                <w:rFonts w:eastAsia="Times New Roman" w:cs="Calibri"/>
                <w:color w:val="000000"/>
              </w:rPr>
            </w:pPr>
            <w:r>
              <w:rPr>
                <w:color w:val="000000"/>
              </w:rPr>
              <w:t>Fecha</w:t>
            </w:r>
          </w:p>
        </w:tc>
      </w:tr>
    </w:tbl>
    <w:p w:rsidR="0040352A" w:rsidRPr="008766C3" w:rsidRDefault="0040352A" w:rsidP="0040352A">
      <w:pPr>
        <w:rPr>
          <w:rFonts w:cs="Calibri"/>
        </w:rPr>
      </w:pPr>
    </w:p>
    <w:p w:rsidR="0040352A" w:rsidRDefault="0040352A" w:rsidP="0040352A">
      <w:pPr>
        <w:ind w:left="0" w:firstLine="0"/>
        <w:rPr>
          <w:rFonts w:cs="Calibri"/>
          <w:b/>
          <w:bCs/>
          <w:color w:val="000000"/>
          <w:u w:val="single"/>
        </w:rPr>
      </w:pPr>
      <w:r>
        <w:rPr>
          <w:b/>
          <w:color w:val="000000"/>
        </w:rPr>
        <w:t>Confirmación sobre el ensayo de un sistema de señalización en la mesa giratoria con el número de ensayo:</w:t>
      </w:r>
      <w:r>
        <w:tab/>
      </w:r>
    </w:p>
    <w:p w:rsidR="0040352A" w:rsidRPr="008E0BFF" w:rsidRDefault="0040352A" w:rsidP="0040352A">
      <w:pPr>
        <w:ind w:left="0" w:firstLine="0"/>
        <w:rPr>
          <w:rFonts w:cs="Calibri"/>
        </w:rPr>
      </w:pPr>
    </w:p>
    <w:p w:rsidR="0040352A" w:rsidRPr="008766C3" w:rsidRDefault="0040352A" w:rsidP="0040352A">
      <w:pPr>
        <w:ind w:left="0" w:firstLine="0"/>
        <w:rPr>
          <w:rFonts w:eastAsia="Times New Roman" w:cs="Calibri"/>
        </w:rPr>
      </w:pPr>
      <w:r>
        <w:rPr>
          <w:color w:val="000000"/>
        </w:rPr>
        <w:t xml:space="preserve">El sistema de señalización del tipo </w:t>
      </w:r>
      <w:r>
        <w:tab/>
      </w:r>
      <w:r>
        <w:rPr>
          <w:color w:val="000000"/>
        </w:rPr>
        <w:t xml:space="preserve">de </w:t>
      </w:r>
      <w:r>
        <w:tab/>
      </w:r>
      <w:r>
        <w:rPr>
          <w:rFonts w:hint="eastAsia"/>
          <w:color w:val="000000"/>
        </w:rPr>
        <w:t xml:space="preserve"> </w:t>
      </w:r>
      <w:r>
        <w:rPr>
          <w:color w:val="000000"/>
        </w:rPr>
        <w:t xml:space="preserve">, con el número de ensayo indicado anteriormente, se sometió a ensayo en la mesa giratoria de acuerdo con la norma DIN EN 13197 (edición de julio de 2014) hasta la clase de circulación P </w:t>
      </w:r>
      <w:r>
        <w:tab/>
      </w:r>
      <w:r>
        <w:rPr>
          <w:rFonts w:hint="eastAsia"/>
          <w:color w:val="000000"/>
        </w:rPr>
        <w:t xml:space="preserve"> </w:t>
      </w:r>
      <w:r>
        <w:rPr>
          <w:color w:val="000000"/>
        </w:rPr>
        <w:t xml:space="preserve">( </w:t>
      </w:r>
      <w:r>
        <w:tab/>
      </w:r>
      <w:r>
        <w:rPr>
          <w:rFonts w:hint="eastAsia"/>
          <w:color w:val="000000"/>
        </w:rPr>
        <w:t xml:space="preserve"> </w:t>
      </w:r>
      <w:r>
        <w:rPr>
          <w:color w:val="000000"/>
        </w:rPr>
        <w:t>rodaduras) y cumplió para ello todos los requisitos mínimos de la norma DIN EN 1436</w:t>
      </w:r>
      <w:r w:rsidR="00F96B7C">
        <w:rPr>
          <w:color w:val="000000"/>
        </w:rPr>
        <w:t xml:space="preserve"> </w:t>
      </w:r>
      <w:r>
        <w:rPr>
          <w:color w:val="000000"/>
        </w:rPr>
        <w:t>(edición de enero de 2009) con respecto a las propiedades técnicas de circulación.</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Nombre del sistema:</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Sustancia:</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Grosor de la lámina húmeda:</w:t>
      </w:r>
      <w:r>
        <w:tab/>
      </w:r>
      <w:r>
        <w:tab/>
      </w:r>
    </w:p>
    <w:p w:rsidR="0040352A" w:rsidRPr="008766C3" w:rsidRDefault="002354D7" w:rsidP="0040352A">
      <w:pPr>
        <w:tabs>
          <w:tab w:val="left" w:pos="567"/>
          <w:tab w:val="left" w:pos="4536"/>
          <w:tab w:val="right" w:leader="underscore" w:pos="5954"/>
        </w:tabs>
        <w:spacing w:after="60"/>
        <w:ind w:left="4536" w:hanging="4252"/>
        <w:rPr>
          <w:rFonts w:eastAsia="Times New Roman" w:cs="Calibri"/>
        </w:rPr>
      </w:pPr>
      <w:r>
        <w:t>-</w:t>
      </w:r>
      <w:r>
        <w:tab/>
      </w:r>
      <w:r w:rsidR="0040352A">
        <w:t>Materiales de postmezclado (cantidad/productor/designación):</w:t>
      </w:r>
      <w:r w:rsidR="0040352A">
        <w:tab/>
      </w:r>
      <w:r w:rsidR="0040352A">
        <w:tab/>
      </w:r>
      <w:r w:rsidR="0040352A">
        <w:rPr>
          <w:b/>
          <w:color w:val="000000"/>
        </w:rPr>
        <w:t>g/m</w:t>
      </w:r>
      <w:r w:rsidR="0040352A">
        <w:rPr>
          <w:b/>
          <w:color w:val="000000"/>
          <w:vertAlign w:val="superscript"/>
        </w:rPr>
        <w:t>2</w:t>
      </w:r>
      <w:r w:rsidR="0040352A">
        <w:rPr>
          <w:b/>
          <w:color w:val="000000"/>
        </w:rPr>
        <w:t>,</w:t>
      </w:r>
      <w:r w:rsidR="0040352A">
        <w:tab/>
      </w:r>
      <w:r w:rsidR="0040352A">
        <w:rPr>
          <w:rFonts w:cs="Calibri" w:hint="eastAsia"/>
          <w:b/>
          <w:bCs/>
          <w:color w:val="000000"/>
        </w:rPr>
        <w:br/>
      </w:r>
      <w:r w:rsidR="0040352A">
        <w:tab/>
      </w:r>
      <w:r w:rsidR="0040352A">
        <w:tab/>
      </w:r>
      <w:r w:rsidR="0040352A">
        <w:rPr>
          <w:b/>
          <w:color w:val="000000"/>
        </w:rPr>
        <w:t xml:space="preserve">contenidos en los cuerpos reflectantes como mezcla en la proporción </w:t>
      </w:r>
      <w:r w:rsidR="0040352A">
        <w:rPr>
          <w:b/>
          <w:u w:val="single"/>
        </w:rPr>
        <w:t xml:space="preserve">        </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Procedimiento de aplicación:</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bookmarkStart w:id="189" w:name="_GoBack"/>
      <w:bookmarkEnd w:id="1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126"/>
        <w:gridCol w:w="579"/>
        <w:gridCol w:w="579"/>
        <w:gridCol w:w="579"/>
        <w:gridCol w:w="579"/>
        <w:gridCol w:w="289"/>
        <w:gridCol w:w="290"/>
        <w:gridCol w:w="579"/>
        <w:gridCol w:w="579"/>
        <w:gridCol w:w="579"/>
        <w:gridCol w:w="579"/>
      </w:tblGrid>
      <w:tr w:rsidR="0040352A" w:rsidRPr="008766C3" w:rsidTr="007E2174">
        <w:tc>
          <w:tcPr>
            <w:tcW w:w="4077" w:type="dxa"/>
            <w:gridSpan w:val="2"/>
            <w:vMerge w:val="restart"/>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b/>
                <w:bCs/>
                <w:color w:val="000000"/>
                <w:sz w:val="20"/>
                <w:szCs w:val="20"/>
              </w:rPr>
            </w:pPr>
            <w:r>
              <w:rPr>
                <w:b/>
                <w:color w:val="000000"/>
                <w:sz w:val="20"/>
              </w:rPr>
              <w:t>Propiedades</w:t>
            </w:r>
          </w:p>
        </w:tc>
        <w:tc>
          <w:tcPr>
            <w:tcW w:w="5211" w:type="dxa"/>
            <w:gridSpan w:val="10"/>
            <w:tcBorders>
              <w:bottom w:val="nil"/>
            </w:tcBorders>
            <w:shd w:val="pct12" w:color="auto" w:fill="auto"/>
            <w:vAlign w:val="center"/>
          </w:tcPr>
          <w:p w:rsidR="0040352A" w:rsidRPr="008766C3" w:rsidRDefault="0040352A" w:rsidP="007E2174">
            <w:pPr>
              <w:ind w:left="0" w:firstLine="0"/>
              <w:jc w:val="center"/>
              <w:rPr>
                <w:rFonts w:cs="Calibri"/>
                <w:b/>
                <w:bCs/>
                <w:color w:val="000000"/>
                <w:sz w:val="20"/>
                <w:szCs w:val="20"/>
              </w:rPr>
            </w:pPr>
            <w:r>
              <w:rPr>
                <w:b/>
                <w:color w:val="000000"/>
                <w:sz w:val="20"/>
              </w:rPr>
              <w:t>Número de rodaduras [millones]</w:t>
            </w:r>
          </w:p>
        </w:tc>
      </w:tr>
      <w:tr w:rsidR="0040352A" w:rsidRPr="008766C3" w:rsidTr="007E2174">
        <w:tc>
          <w:tcPr>
            <w:tcW w:w="4077" w:type="dxa"/>
            <w:gridSpan w:val="2"/>
            <w:vMerge/>
            <w:tcBorders>
              <w:bottom w:val="single" w:sz="4" w:space="0" w:color="000000"/>
            </w:tcBorders>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0,2</w:t>
            </w:r>
          </w:p>
        </w:tc>
        <w:tc>
          <w:tcPr>
            <w:tcW w:w="579" w:type="dxa"/>
            <w:gridSpan w:val="2"/>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0,5</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1,0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2,0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3,0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4,0</w:t>
            </w:r>
          </w:p>
        </w:tc>
      </w:tr>
      <w:tr w:rsidR="0040352A" w:rsidRPr="008766C3" w:rsidTr="007E2174">
        <w:tc>
          <w:tcPr>
            <w:tcW w:w="4077" w:type="dxa"/>
            <w:gridSpan w:val="2"/>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Resistencia al desgaste [%]</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rPr>
              <w:t>Adherencia [unidades SRT]</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1951" w:type="dxa"/>
            <w:shd w:val="pct15" w:color="auto" w:fill="auto"/>
            <w:vAlign w:val="center"/>
          </w:tcPr>
          <w:p w:rsidR="0040352A" w:rsidRPr="008766C3" w:rsidRDefault="0040352A" w:rsidP="007E2174">
            <w:pPr>
              <w:ind w:left="0" w:firstLine="0"/>
              <w:rPr>
                <w:rFonts w:cs="Calibri"/>
                <w:sz w:val="20"/>
                <w:szCs w:val="20"/>
              </w:rPr>
            </w:pPr>
            <w:r>
              <w:rPr>
                <w:color w:val="000000"/>
                <w:sz w:val="20"/>
              </w:rPr>
              <w:t>Visibilidad nocturna</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rPr>
              <w:t>Estado seco</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1951" w:type="dxa"/>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i/>
                <w:sz w:val="20"/>
              </w:rPr>
              <w:t>R</w:t>
            </w:r>
            <w:r>
              <w:rPr>
                <w:sz w:val="20"/>
                <w:vertAlign w:val="subscript"/>
              </w:rPr>
              <w:t>L</w:t>
            </w:r>
            <w:r>
              <w:rPr>
                <w:sz w:val="20"/>
              </w:rPr>
              <w:t xml:space="preserve"> [mcd · m</w:t>
            </w:r>
            <w:r>
              <w:rPr>
                <w:sz w:val="20"/>
                <w:vertAlign w:val="superscript"/>
              </w:rPr>
              <w:t>-2</w:t>
            </w:r>
            <w:r>
              <w:rPr>
                <w:sz w:val="20"/>
              </w:rPr>
              <w:t xml:space="preserve"> · lx</w:t>
            </w:r>
            <w:r>
              <w:rPr>
                <w:sz w:val="20"/>
                <w:vertAlign w:val="superscript"/>
              </w:rPr>
              <w:t>-1</w:t>
            </w:r>
            <w:r>
              <w:rPr>
                <w:sz w:val="20"/>
              </w:rPr>
              <w:t>]</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rPr>
              <w:t>Estado mojado, 2 % de inclinación</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vertAlign w:val="superscript"/>
              </w:rPr>
            </w:pPr>
            <w:r>
              <w:rPr>
                <w:sz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sz w:val="20"/>
              </w:rPr>
              <w:t>Visibilidad diurna Qd [mcd · m</w:t>
            </w:r>
            <w:r>
              <w:rPr>
                <w:sz w:val="20"/>
                <w:vertAlign w:val="superscript"/>
              </w:rPr>
              <w:t>-2</w:t>
            </w:r>
            <w:r>
              <w:rPr>
                <w:sz w:val="20"/>
              </w:rPr>
              <w:t xml:space="preserve"> · lx</w:t>
            </w:r>
            <w:r>
              <w:rPr>
                <w:sz w:val="20"/>
                <w:vertAlign w:val="superscript"/>
              </w:rPr>
              <w:t>-1</w:t>
            </w:r>
            <w:r>
              <w:rPr>
                <w:sz w:val="20"/>
              </w:rPr>
              <w:t>]</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rPr>
              <w:lastRenderedPageBreak/>
              <w:t>Coordenadas del valor cromático</w:t>
            </w:r>
          </w:p>
        </w:tc>
        <w:tc>
          <w:tcPr>
            <w:tcW w:w="2605"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rPr>
              <w:t>x =</w:t>
            </w:r>
          </w:p>
        </w:tc>
        <w:tc>
          <w:tcPr>
            <w:tcW w:w="2606"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rPr>
              <w:t>y =</w:t>
            </w:r>
          </w:p>
        </w:tc>
      </w:tr>
    </w:tbl>
    <w:p w:rsidR="0040352A" w:rsidRPr="008766C3" w:rsidRDefault="0040352A" w:rsidP="0040352A">
      <w:pPr>
        <w:ind w:left="0" w:firstLine="0"/>
        <w:rPr>
          <w:rFonts w:eastAsia="Times New Roman" w:cs="Calibri"/>
          <w:sz w:val="20"/>
          <w:szCs w:val="20"/>
        </w:rPr>
      </w:pPr>
      <w:r>
        <w:rPr>
          <w:b/>
          <w:color w:val="000000"/>
          <w:sz w:val="20"/>
          <w:vertAlign w:val="superscript"/>
        </w:rPr>
        <w:t>1)</w:t>
      </w:r>
      <w:r>
        <w:rPr>
          <w:b/>
          <w:color w:val="000000"/>
          <w:sz w:val="20"/>
        </w:rPr>
        <w:t xml:space="preserve"> Este valor sirve exclusivamente para informar al solicitante.</w:t>
      </w:r>
    </w:p>
    <w:p w:rsidR="0040352A" w:rsidRPr="008766C3" w:rsidRDefault="0040352A" w:rsidP="0040352A">
      <w:pPr>
        <w:tabs>
          <w:tab w:val="left" w:pos="567"/>
          <w:tab w:val="left" w:pos="4536"/>
          <w:tab w:val="right" w:leader="underscore" w:pos="5954"/>
        </w:tabs>
        <w:spacing w:after="60"/>
        <w:ind w:left="4536" w:hanging="4252"/>
        <w:rPr>
          <w:rFonts w:cs="Calibri"/>
        </w:rPr>
      </w:pPr>
    </w:p>
    <w:p w:rsidR="0040352A" w:rsidRPr="008766C3" w:rsidRDefault="0040352A" w:rsidP="0040352A">
      <w:pPr>
        <w:ind w:left="0" w:firstLine="0"/>
        <w:rPr>
          <w:rFonts w:eastAsia="Times New Roman" w:cs="Calibri"/>
        </w:rPr>
      </w:pPr>
      <w:r>
        <w:rPr>
          <w:color w:val="000000"/>
        </w:rPr>
        <w:t>Por orden de</w:t>
      </w:r>
    </w:p>
    <w:p w:rsidR="0040352A" w:rsidRPr="008766C3" w:rsidRDefault="0040352A" w:rsidP="0040352A">
      <w:pPr>
        <w:tabs>
          <w:tab w:val="left" w:pos="567"/>
          <w:tab w:val="left" w:pos="4536"/>
          <w:tab w:val="right" w:leader="underscore" w:pos="5954"/>
        </w:tabs>
        <w:spacing w:after="60"/>
        <w:ind w:left="4536" w:hanging="4252"/>
        <w:rPr>
          <w:rFonts w:cs="Calibri"/>
        </w:rPr>
      </w:pPr>
    </w:p>
    <w:p w:rsidR="0040352A" w:rsidRPr="008766C3" w:rsidRDefault="0040352A" w:rsidP="0040352A">
      <w:pPr>
        <w:tabs>
          <w:tab w:val="left" w:leader="underscore" w:pos="2410"/>
        </w:tabs>
        <w:spacing w:after="60"/>
        <w:ind w:left="0" w:firstLine="0"/>
        <w:rPr>
          <w:rFonts w:cs="Calibri"/>
          <w:color w:val="000000"/>
          <w:sz w:val="20"/>
          <w:szCs w:val="20"/>
        </w:rPr>
      </w:pPr>
      <w:r>
        <w:tab/>
      </w:r>
    </w:p>
    <w:p w:rsidR="0040352A" w:rsidRPr="008766C3" w:rsidRDefault="0040352A" w:rsidP="0040352A">
      <w:pPr>
        <w:spacing w:after="60"/>
        <w:ind w:left="0" w:firstLine="0"/>
        <w:rPr>
          <w:rFonts w:eastAsia="Times New Roman" w:cs="Calibri"/>
          <w:sz w:val="20"/>
          <w:szCs w:val="20"/>
        </w:rPr>
      </w:pPr>
      <w:r>
        <w:rPr>
          <w:color w:val="000000"/>
          <w:sz w:val="20"/>
        </w:rPr>
        <w:t>Nombre, función</w:t>
      </w:r>
    </w:p>
    <w:p w:rsidR="0040352A" w:rsidRDefault="0040352A" w:rsidP="0040352A">
      <w:pPr>
        <w:spacing w:after="60"/>
        <w:ind w:left="0" w:firstLine="0"/>
        <w:rPr>
          <w:rFonts w:cs="Calibri"/>
        </w:rPr>
      </w:pPr>
    </w:p>
    <w:p w:rsidR="0040352A" w:rsidRPr="008766C3" w:rsidRDefault="0040352A" w:rsidP="0040352A">
      <w:pPr>
        <w:spacing w:after="60"/>
        <w:ind w:left="0" w:firstLine="0"/>
        <w:rPr>
          <w:rFonts w:cs="Calibri"/>
        </w:rPr>
      </w:pPr>
      <w:r>
        <w:t>Página 1</w:t>
      </w:r>
    </w:p>
    <w:p w:rsidR="00B521EE" w:rsidRPr="003A38BA" w:rsidRDefault="00B521EE" w:rsidP="003E3497">
      <w:pPr>
        <w:pStyle w:val="Heading1"/>
        <w:pageBreakBefore/>
        <w:ind w:left="0" w:firstLine="0"/>
        <w:jc w:val="both"/>
        <w:rPr>
          <w:sz w:val="24"/>
          <w:szCs w:val="24"/>
        </w:rPr>
      </w:pPr>
      <w:bookmarkStart w:id="190" w:name="_Toc150173029"/>
      <w:bookmarkStart w:id="191" w:name="_Toc273346590"/>
      <w:bookmarkStart w:id="192" w:name="_Toc2194199"/>
      <w:bookmarkStart w:id="193" w:name="_Toc12476370"/>
      <w:r>
        <w:rPr>
          <w:sz w:val="24"/>
        </w:rPr>
        <w:lastRenderedPageBreak/>
        <w:t xml:space="preserve">Anexo </w:t>
      </w:r>
      <w:bookmarkEnd w:id="190"/>
      <w:bookmarkEnd w:id="191"/>
      <w:r>
        <w:rPr>
          <w:sz w:val="24"/>
        </w:rPr>
        <w:t>B</w:t>
      </w:r>
      <w:bookmarkEnd w:id="192"/>
      <w:bookmarkEnd w:id="193"/>
    </w:p>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 xml:space="preserve">Listas de COV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BD7B44">
        <w:trPr>
          <w:cantSplit/>
          <w:tblHeader/>
        </w:trPr>
        <w:tc>
          <w:tcPr>
            <w:tcW w:w="779" w:type="dxa"/>
            <w:shd w:val="pct25" w:color="auto" w:fill="FFFFFF"/>
            <w:vAlign w:val="center"/>
          </w:tcPr>
          <w:p w:rsidR="00536458" w:rsidRPr="003A38BA" w:rsidRDefault="00536458" w:rsidP="00BD7B44">
            <w:pPr>
              <w:pStyle w:val="Tablefootnote"/>
              <w:rPr>
                <w:rFonts w:asciiTheme="minorHAnsi" w:hAnsiTheme="minorHAnsi" w:cs="Arial"/>
                <w:sz w:val="22"/>
                <w:szCs w:val="22"/>
              </w:rPr>
            </w:pPr>
            <w:r>
              <w:rPr>
                <w:rFonts w:asciiTheme="minorHAnsi" w:hAnsiTheme="minorHAnsi"/>
                <w:sz w:val="22"/>
              </w:rPr>
              <w:t>N.º de orden</w:t>
            </w:r>
          </w:p>
        </w:tc>
        <w:tc>
          <w:tcPr>
            <w:tcW w:w="4536"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Sustancia/grupo de sustancias</w:t>
            </w:r>
          </w:p>
        </w:tc>
        <w:tc>
          <w:tcPr>
            <w:tcW w:w="1418"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Número CAS</w:t>
            </w:r>
          </w:p>
        </w:tc>
        <w:tc>
          <w:tcPr>
            <w:tcW w:w="1559"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Número índice</w:t>
            </w:r>
          </w:p>
        </w:tc>
        <w:tc>
          <w:tcPr>
            <w:tcW w:w="1276"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Número CE</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Acetona</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67-64-1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606-001-00-8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200-662-2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Benceno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71-43-2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601-020-00-8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200-753-7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04</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194" w:name="_Toc403984708"/>
            <w:bookmarkStart w:id="195" w:name="_Toc452377833"/>
            <w:bookmarkStart w:id="196" w:name="_Toc475367432"/>
            <w:bookmarkStart w:id="197" w:name="_Toc514062858"/>
            <w:r>
              <w:rPr>
                <w:rFonts w:asciiTheme="minorHAnsi" w:hAnsiTheme="minorHAnsi"/>
                <w:sz w:val="22"/>
              </w:rPr>
              <w:t>Bis(2-metoxietil) éter</w:t>
            </w:r>
            <w:bookmarkEnd w:id="194"/>
            <w:bookmarkEnd w:id="195"/>
            <w:bookmarkEnd w:id="196"/>
            <w:bookmarkEnd w:id="197"/>
          </w:p>
          <w:p w:rsidR="00536458" w:rsidRPr="003A38BA" w:rsidRDefault="00536458" w:rsidP="00853381">
            <w:pPr>
              <w:pStyle w:val="Tablefootnote"/>
              <w:tabs>
                <w:tab w:val="clear" w:pos="340"/>
                <w:tab w:val="left" w:pos="0"/>
              </w:tabs>
              <w:rPr>
                <w:rFonts w:asciiTheme="minorHAnsi" w:hAnsiTheme="minorHAnsi" w:cs="Arial"/>
                <w:sz w:val="22"/>
                <w:szCs w:val="22"/>
              </w:rPr>
            </w:pPr>
            <w:bookmarkStart w:id="198" w:name="_Toc403984709"/>
            <w:bookmarkStart w:id="199" w:name="_Toc452377834"/>
            <w:bookmarkStart w:id="200" w:name="_Toc475367433"/>
            <w:bookmarkStart w:id="201" w:name="_Toc514062859"/>
            <w:r>
              <w:rPr>
                <w:rFonts w:asciiTheme="minorHAnsi" w:hAnsiTheme="minorHAnsi"/>
                <w:sz w:val="22"/>
              </w:rPr>
              <w:t>(dietilenglicol dimetil éter, dimetilglicol)</w:t>
            </w:r>
            <w:bookmarkEnd w:id="198"/>
            <w:bookmarkEnd w:id="199"/>
            <w:bookmarkEnd w:id="200"/>
            <w:bookmarkEnd w:id="201"/>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111-96-6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Butan-1-ol (alcohol butílico)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71-36-3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200-751-6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Butan-2-ol (alcohol sec-butílico)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78-92-2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603-127-00-5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201-158-5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2-butoxietanol (etilenglicol monobutil éter, butilglicol)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111-76-2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603-014-00-0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203-905-0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202" w:name="_Toc403984710"/>
            <w:bookmarkStart w:id="203" w:name="_Toc452377835"/>
            <w:bookmarkStart w:id="204" w:name="_Toc475367434"/>
            <w:bookmarkStart w:id="205" w:name="_Toc514062860"/>
            <w:r>
              <w:rPr>
                <w:rFonts w:asciiTheme="minorHAnsi" w:hAnsiTheme="minorHAnsi"/>
                <w:sz w:val="22"/>
              </w:rPr>
              <w:t>2-(2-butoxietoxi)etanol (dietilenglicol monobutil éter, butildiglicol)</w:t>
            </w:r>
            <w:bookmarkEnd w:id="202"/>
            <w:bookmarkEnd w:id="203"/>
            <w:bookmarkEnd w:id="204"/>
            <w:bookmarkEnd w:id="205"/>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112-34-5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603-096-00-8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203-961-6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Acetato de 2-butoxietilo (acetato de etilenglicol monobutil éter, acetato de butilglicol)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112-07-2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607-038-00-2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203-933-3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Butoxipropanol (mezclas de isómeros)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diversos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1-butoxipropan-2-ol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5131-66-8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603-052-00-8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225-878-4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1-tert-butoxipropan-2-ol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57018-52-7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603-129-00-6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406-180-0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Acetato de n-butilo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123-86-4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607-025-00-1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204-658-1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Acetato de sec-butilo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105-46-4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203-300-1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Acetato de terc-butilo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540-88-5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208-760-7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4-butirolactona (tetrahidro-2-furanona)</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96-48-0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Cumeno (isopropilbenceno)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98-82-8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601-024-00-X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202-704-5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Ciclohexano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110-82-7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601-017-00-1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203-806-2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p-cimeno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99-87-6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Diclorometano (dicloruro de metileno)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75-09-2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602-004-00-3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200-838-9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1,2-dietoxietano (etilenglicol dietil éter, dietilglicol)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629-14-1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Dietil éter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603-022-00-4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200-467-2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Diisopropil éter (2-isopropoxipropano)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108-20-3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203-560-6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1,1-dimetoxietano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534-15-6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605-007-00-8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534-15-6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1,2-dimetoxietano (etilenglicol dimetil éter, dimetilglicol)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110-71-4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603-031-003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203-794-9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Dimetil éter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115-10-6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603-019-00-8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204-065-8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1,4-dioxano (dióxido de dietileno)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123-91-1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603-024-00-5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204-661-8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Dipropil éter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111-43-3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203-869-6</w:t>
            </w:r>
          </w:p>
        </w:tc>
      </w:tr>
      <w:tr w:rsidR="00536458" w:rsidRPr="003A38BA" w:rsidTr="003E3497">
        <w:trPr>
          <w:cantSplit/>
        </w:trPr>
        <w:tc>
          <w:tcPr>
            <w:tcW w:w="77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lastRenderedPageBreak/>
              <w:t>29</w:t>
            </w:r>
          </w:p>
        </w:tc>
        <w:tc>
          <w:tcPr>
            <w:tcW w:w="4536" w:type="dxa"/>
            <w:tcBorders>
              <w:bottom w:val="single" w:sz="4" w:space="0" w:color="auto"/>
            </w:tcBorders>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Ácido acético</w:t>
            </w:r>
          </w:p>
        </w:tc>
        <w:tc>
          <w:tcPr>
            <w:tcW w:w="1418"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64-19-7</w:t>
            </w:r>
          </w:p>
        </w:tc>
        <w:tc>
          <w:tcPr>
            <w:tcW w:w="155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607-002-00-6</w:t>
            </w:r>
          </w:p>
        </w:tc>
        <w:tc>
          <w:tcPr>
            <w:tcW w:w="1276"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200-580-7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Anhídrido acético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108-24-7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607-008-00-9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203-564-8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Etanol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64-17-5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200-578-6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2-etoxietanol (etilenglicol monoetil éter, etilglicol)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110-80-5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603-012-00-X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203-804-1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1-etoxipropan-2-ol (α-propilenglicol-1-etil éter)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1569-02-4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Acetato de etilo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141-78-6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205-500-4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Etilbenceno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100-41-4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601-023-00-4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202-849-4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Formiato de etilo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109-94-4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607-015-00-7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203-721-0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Heptano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147-82-5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205-563-8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Hexano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110-54-3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601-037-00-0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203-777-6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Hexano (mezcla de isómeros)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92112-69-1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601-007-00-7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295-570-2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Hexano-1-ol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111-27-3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603-059-00-6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203-852-3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Acetato de isobutilo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110-19-0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203-745-1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Acetato de isopropilo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108-21-4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203-561-1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Metanol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67-56-1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200-659-6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Acetato de 1-metil-2-metoxietilo (acetato de éter metílico de propilenoglicol)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108-65-6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2-metoxietanol (etileno glicol monometil éter, metilglicol)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603-011-00-4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203-713-7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Acetato de 2-metoxietilo (acetato de metilglicol)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110-49-6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607-036-00-1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203-772-9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1-metoxipropan-2-ol (α-propilenglicol-1-metil éter)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107-98-2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Acetato de metilo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79-20-9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201-185-2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2-metilbutano (isopentano)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78-78-4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201-142-8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Metilciclohexano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108-87-2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601-018-00-7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203-624-3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Etilmetilcetona (2-butanona, MEC)</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78-93-3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606-002-00-3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201-159-0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Formiato de metilo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107-31-3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607-014-00-1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203-481-7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2-metilpentano (isohexano)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107-83-5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203-523-4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4-metilpentan-2-ona (isobutilmetilcetona, MIBC)</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108-10-1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606-004-00-4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203-550-1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2-metilpropano (isobutano)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75-28-5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Pentano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109-66-0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203-692-4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2-metilpropan-1-ol (isobutanol)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78-83-1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603-108-00-1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201-148-0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r>
              <w:rPr>
                <w:rFonts w:asciiTheme="minorHAnsi" w:hAnsiTheme="minorHAnsi"/>
                <w:sz w:val="22"/>
              </w:rPr>
              <w:t>n-metil-2-pirrolidona (1-metil-2-pirrolidona)</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872-50-4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606-021-00-7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212-828-1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Pentan-1-ol (alcohol pentílico)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71-41-0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200-752-1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lastRenderedPageBreak/>
              <w:t>61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Pentan-2-ol (metilpropilcarbinol)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6032-29-7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227-907-6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Pentanoles (mezclas de isómeros)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diversos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Éter de petróleo + gasolinas (principalmente mezclas de hidrocarburos no aromáticos)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diversos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Fracciones de petróleo (principalmente mezclas de hidrocarburos no aromáticos) con punto de ebullición de hasta 240 °C a 1 013,25 mbar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diversos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Propan-1-ol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71-23-8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603-003-00-0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200-746-9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Propan-2-ol (alcohol isopropílico, isopropanol)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67-63-0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603-117-00-0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200-661-7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2-(propiloxi)etanol (etilenglicol monopropil éter, propilglicol)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2807-30-9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603-095-00-2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220-548-6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Acetato de propilo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109-60-4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203-686-1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Estireno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100-42-5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601-026-00-0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202-851-5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Tetracloroetileno (percloroetileno, PER)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127-18-4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602-028-00-4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204-825-9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Tetrahidrofurano (oxolano)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109-99-9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603-025-00-0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203-726-8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Tolueno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108-88-3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Tricloroetileno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79-01-6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602-027-00-9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201-167-4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1,2,3-trimetilbenceno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526-73-8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1,2,4-trimetilbenceno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95-63-6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601-043-00-3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202-436-9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1,3,5-trimetilbenceno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108-67-8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Trimetilbencenos (mezclas de isómeros)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diversos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White Spirits (principalmente mezclas de hidrocarburos no aromáticos)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diversos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o-xileno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95-47-6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202-422-2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m-xileno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108-38-3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203-576-3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p-xileno</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106-42-3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203-396-5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Xilenos (mezclas de isómeros)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215-535-7</w:t>
            </w:r>
          </w:p>
        </w:tc>
      </w:tr>
    </w:tbl>
    <w:p w:rsidR="00536458" w:rsidRPr="003A38BA" w:rsidRDefault="00536458" w:rsidP="00536458">
      <w:pPr>
        <w:pStyle w:val="Tablefootnote"/>
        <w:ind w:left="340" w:hanging="340"/>
        <w:rPr>
          <w:rFonts w:asciiTheme="minorHAnsi" w:hAnsiTheme="minorHAnsi" w:cs="Arial"/>
          <w:sz w:val="22"/>
          <w:szCs w:val="22"/>
        </w:rPr>
      </w:pPr>
    </w:p>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Las siguientes mezclas de sustancias constan de un número reducido de enlaces simples, que generalmente también pueden registrarse de forma individual.</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536458">
        <w:trPr>
          <w:cantSplit/>
        </w:trPr>
        <w:tc>
          <w:tcPr>
            <w:tcW w:w="779" w:type="dxa"/>
            <w:shd w:val="pct25" w:color="auto" w:fill="FFFFFF"/>
            <w:vAlign w:val="center"/>
          </w:tcPr>
          <w:p w:rsidR="00536458" w:rsidRPr="003A38BA" w:rsidRDefault="00536458" w:rsidP="00BD7B44">
            <w:pPr>
              <w:pStyle w:val="Tablefootnote"/>
              <w:rPr>
                <w:rFonts w:asciiTheme="minorHAnsi" w:hAnsiTheme="minorHAnsi" w:cs="Arial"/>
                <w:sz w:val="22"/>
                <w:szCs w:val="22"/>
              </w:rPr>
            </w:pPr>
            <w:r>
              <w:rPr>
                <w:rFonts w:asciiTheme="minorHAnsi" w:hAnsiTheme="minorHAnsi"/>
                <w:sz w:val="22"/>
              </w:rPr>
              <w:t>N.º de orden</w:t>
            </w:r>
          </w:p>
        </w:tc>
        <w:tc>
          <w:tcPr>
            <w:tcW w:w="4536"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Sustancia/grupo de sustancias</w:t>
            </w:r>
          </w:p>
        </w:tc>
        <w:tc>
          <w:tcPr>
            <w:tcW w:w="1418"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Número CAS</w:t>
            </w:r>
          </w:p>
        </w:tc>
        <w:tc>
          <w:tcPr>
            <w:tcW w:w="1559"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Número índice</w:t>
            </w:r>
          </w:p>
        </w:tc>
        <w:tc>
          <w:tcPr>
            <w:tcW w:w="1276"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Número CE</w:t>
            </w: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76</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Trimetilbencenos (mezclas de isómeros)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diversos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81</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Xilenos (mezclas de isómeros)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215-535-7</w:t>
            </w:r>
          </w:p>
        </w:tc>
      </w:tr>
    </w:tbl>
    <w:p w:rsidR="00F653D9" w:rsidRPr="003A38BA" w:rsidRDefault="00B1266C" w:rsidP="007C21AF">
      <w:pPr>
        <w:pStyle w:val="Heading1"/>
        <w:pageBreakBefore/>
        <w:ind w:left="0" w:firstLine="0"/>
        <w:jc w:val="both"/>
        <w:rPr>
          <w:sz w:val="24"/>
          <w:szCs w:val="24"/>
        </w:rPr>
      </w:pPr>
      <w:bookmarkStart w:id="206" w:name="_Toc2194200"/>
      <w:bookmarkStart w:id="207" w:name="_Toc12476371"/>
      <w:r>
        <w:rPr>
          <w:sz w:val="24"/>
        </w:rPr>
        <w:lastRenderedPageBreak/>
        <w:t>Anexo C</w:t>
      </w:r>
      <w:bookmarkEnd w:id="206"/>
      <w:bookmarkEnd w:id="207"/>
    </w:p>
    <w:p w:rsidR="00B1266C" w:rsidRPr="003A38BA" w:rsidRDefault="00B1266C" w:rsidP="007C21AF">
      <w:pPr>
        <w:pStyle w:val="Title"/>
        <w:jc w:val="both"/>
        <w:rPr>
          <w:rFonts w:asciiTheme="minorHAnsi" w:hAnsiTheme="minorHAnsi"/>
        </w:rPr>
      </w:pPr>
      <w:r>
        <w:rPr>
          <w:rFonts w:asciiTheme="minorHAnsi" w:hAnsiTheme="minorHAnsi"/>
        </w:rPr>
        <w:t>Garantía de la calidad de materiales de postmezclado para todos los sistemas de señalización y de sistemas de premezclado para termoplásticos</w:t>
      </w:r>
    </w:p>
    <w:p w:rsidR="00B1266C" w:rsidRPr="003A38BA" w:rsidRDefault="00B1266C" w:rsidP="007C21AF">
      <w:pPr>
        <w:pStyle w:val="Tablefootnote"/>
        <w:tabs>
          <w:tab w:val="clear" w:pos="340"/>
          <w:tab w:val="left" w:pos="0"/>
        </w:tabs>
        <w:rPr>
          <w:rFonts w:asciiTheme="minorHAnsi" w:hAnsiTheme="minorHAnsi" w:cs="Arial"/>
          <w:sz w:val="24"/>
          <w:szCs w:val="24"/>
        </w:rPr>
      </w:pPr>
    </w:p>
    <w:p w:rsidR="00B1266C" w:rsidRPr="003A38BA" w:rsidRDefault="00B1266C" w:rsidP="007C21AF">
      <w:pPr>
        <w:pStyle w:val="Tablefootnote"/>
        <w:tabs>
          <w:tab w:val="clear" w:pos="340"/>
          <w:tab w:val="left" w:pos="0"/>
        </w:tabs>
        <w:rPr>
          <w:rFonts w:asciiTheme="minorHAnsi" w:hAnsiTheme="minorHAnsi" w:cs="Arial"/>
          <w:sz w:val="24"/>
          <w:szCs w:val="24"/>
        </w:rPr>
      </w:pPr>
      <w:r>
        <w:rPr>
          <w:rFonts w:asciiTheme="minorHAnsi" w:hAnsiTheme="minorHAnsi"/>
          <w:sz w:val="24"/>
        </w:rPr>
        <w:t>Para la garantía de la calidad de materiales de postmezclado y sistemas de premezclado de termoplásticos se establecen los parámetros para el ensayo de prototipo de mezclas de materiales de postmezclado para todos los sistemas de señalización y de sistemas de premezclado para termoplásticos que se indican a continuación</w:t>
      </w:r>
      <w:r>
        <w:rPr>
          <w:rStyle w:val="FootnoteReference"/>
          <w:rFonts w:asciiTheme="minorHAnsi" w:hAnsiTheme="minorHAnsi"/>
          <w:sz w:val="24"/>
        </w:rPr>
        <w:footnoteReference w:id="5"/>
      </w:r>
      <w:r>
        <w:rPr>
          <w:rFonts w:asciiTheme="minorHAnsi" w:hAnsiTheme="minorHAnsi"/>
          <w:sz w:val="24"/>
        </w:rPr>
        <w:t>.</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De acuerdo con la norma DIN EN 1423, los tamices que deberán emplearse para determinar curva granulométrica se deducirán de la norma ISO 565 – dimensiones R40/3. En cuanto a las mezclas de materiales de postmezclado, deberán retenerse en el correspondiente tamiz más pequeño siguiente según ISO 565 – dimensiones R40/3, por debajo del tamiz nominal superior, por lo menos el 5 % (valor cumulativo) de microesferas reflectantes. </w:t>
      </w:r>
    </w:p>
    <w:p w:rsidR="00B1266C" w:rsidRPr="003A38BA" w:rsidRDefault="00B1266C" w:rsidP="007C21AF">
      <w:pPr>
        <w:jc w:val="both"/>
        <w:rPr>
          <w:snapToGrid w:val="0"/>
          <w:sz w:val="24"/>
        </w:rPr>
      </w:pPr>
    </w:p>
    <w:p w:rsidR="00B1266C" w:rsidRPr="003A38BA" w:rsidRDefault="00B1266C" w:rsidP="00BD7B44">
      <w:pPr>
        <w:pStyle w:val="BodyTextIndent"/>
        <w:ind w:left="357" w:firstLine="0"/>
        <w:jc w:val="both"/>
      </w:pPr>
      <w:r>
        <w:rPr>
          <w:snapToGrid w:val="0"/>
          <w:sz w:val="24"/>
        </w:rPr>
        <w:t>De esta manera, deberá garantizarse que en las mezclas de materiales de postmezclado existan suficientes microesferas reflectantes mayores para asegurar una reflexión adecuada</w:t>
      </w:r>
      <w:r>
        <w:t xml:space="preserve">.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La curva granulométrica de las mezclas de materiales de postmezclado, determinada en el ensayo de aptitud por el laboratorio de ensayo acreditado con el Camsizer, se deposita como prototipo, siempre que el solicitante/proveedor de materiales de postmezclado no pueda suministrar su propia curva granulométrica de Camsizer. La tolerancia permitida de residuos individuales en cada tamiz indicado de acuerdo con la especificación corresponderá en el futuro a ± 50 % rel. El valor mencionado en el punto 1 de un mínimo del 5 % de microesferas reflectantes deberá cumplirse siempre, es decir, el 5 % deberá cumplirse también tras consideración de la tolerancia del 50 % de residuos individuales del tamiz correspondiente. </w:t>
      </w:r>
    </w:p>
    <w:p w:rsidR="00B1266C" w:rsidRPr="003A38BA" w:rsidRDefault="00B1266C" w:rsidP="007C21AF">
      <w:pPr>
        <w:jc w:val="both"/>
        <w:rPr>
          <w:snapToGrid w:val="0"/>
          <w:sz w:val="24"/>
        </w:rPr>
      </w:pPr>
    </w:p>
    <w:p w:rsidR="00B1266C" w:rsidRPr="003A38BA" w:rsidRDefault="00B1266C" w:rsidP="007C21AF">
      <w:pPr>
        <w:ind w:left="360" w:firstLine="0"/>
        <w:jc w:val="both"/>
        <w:rPr>
          <w:snapToGrid w:val="0"/>
          <w:sz w:val="24"/>
        </w:rPr>
      </w:pPr>
      <w:r>
        <w:rPr>
          <w:snapToGrid w:val="0"/>
          <w:sz w:val="24"/>
        </w:rPr>
        <w:t xml:space="preserve">Ejemplo: si en el ensayo de aptitud se determinan 30 g de residuos en el tamiz de 500 μm, el intervalo de tolerancia se sitúa entre 15 g y 45 g. De este modo, deberá garantizarse que las mezclas de material de postmezclado suministradas en la práctica sean conformes a las mezclas entregadas al laboratorio de ensayo acreditado para el ensayo de aptitud en los límites indicados.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Para el muestreo en el ensayo de aptitud, el propio productor será el responsable de entregar una muestra representativa al laboratorio de ensayo de acreditado. El material de postmezclado suministrado por los productores para el ensayo de aptitud, por ejemplo, un contenedor de 25 kg, se divide en la dimensión necesaria para el ensayo mediante un divisor 1/1.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lastRenderedPageBreak/>
        <w:t>En el nombre comercial de los materiales de postmezclado solo podrá indicarse la curva granulométrica real subyacente.</w:t>
      </w:r>
    </w:p>
    <w:sectPr w:rsidR="00B1266C" w:rsidRPr="003A38BA" w:rsidSect="00E6359B">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6C9" w:rsidRDefault="003406C9" w:rsidP="006D5959">
      <w:r>
        <w:separator/>
      </w:r>
    </w:p>
  </w:endnote>
  <w:endnote w:type="continuationSeparator" w:id="0">
    <w:p w:rsidR="003406C9" w:rsidRDefault="003406C9" w:rsidP="006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tabs>
        <w:tab w:val="left" w:pos="3686"/>
      </w:tabs>
      <w:ind w:right="360"/>
      <w:rPr>
        <w:sz w:val="24"/>
      </w:rPr>
    </w:pPr>
    <w:r>
      <w:rPr>
        <w:sz w:val="24"/>
      </w:rPr>
      <w:fldChar w:fldCharType="begin"/>
    </w:r>
    <w:r>
      <w:rPr>
        <w:sz w:val="24"/>
      </w:rPr>
      <w:instrText xml:space="preserve"> PAGE </w:instrText>
    </w:r>
    <w:r>
      <w:rPr>
        <w:sz w:val="24"/>
      </w:rPr>
      <w:fldChar w:fldCharType="separate"/>
    </w:r>
    <w:r>
      <w:rPr>
        <w:noProof/>
        <w:sz w:val="24"/>
      </w:rPr>
      <w:t>XXIV</w:t>
    </w:r>
    <w:r>
      <w:rPr>
        <w:sz w:val="24"/>
      </w:rPr>
      <w:fldChar w:fldCharType="end"/>
    </w:r>
    <w:r>
      <w:tab/>
    </w:r>
    <w:r>
      <w:rPr>
        <w:sz w:val="24"/>
      </w:rPr>
      <w:t>Proyecto de junio de 1997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6C9" w:rsidRDefault="003406C9" w:rsidP="006D5959">
      <w:r>
        <w:separator/>
      </w:r>
    </w:p>
  </w:footnote>
  <w:footnote w:type="continuationSeparator" w:id="0">
    <w:p w:rsidR="003406C9" w:rsidRDefault="003406C9" w:rsidP="006D5959">
      <w:r>
        <w:continuationSeparator/>
      </w:r>
    </w:p>
  </w:footnote>
  <w:footnote w:id="1">
    <w:p w:rsidR="003A38BA" w:rsidRDefault="003A38BA" w:rsidP="003E3497">
      <w:pPr>
        <w:spacing w:after="120"/>
        <w:ind w:left="0" w:firstLine="0"/>
      </w:pPr>
      <w:r>
        <w:rPr>
          <w:rStyle w:val="FootnoteReference"/>
        </w:rPr>
        <w:footnoteRef/>
      </w:r>
      <w:r>
        <w:t xml:space="preserve"> Los procedimientos de aplicación mencionados pueden ser marcas comerciales registradas o estar sujetos a la protección de modelos de utilidad.</w:t>
      </w:r>
    </w:p>
  </w:footnote>
  <w:footnote w:id="2">
    <w:p w:rsidR="003A38BA" w:rsidRDefault="003A38BA" w:rsidP="003E3497">
      <w:pPr>
        <w:spacing w:after="120"/>
        <w:ind w:left="0" w:firstLine="0"/>
      </w:pPr>
      <w:r>
        <w:rPr>
          <w:rStyle w:val="FootnoteReference"/>
        </w:rPr>
        <w:footnoteRef/>
      </w:r>
      <w:r>
        <w:t xml:space="preserve"> El tiempo de secado hasta conseguir la capacidad de soporte de la rodadura dependerá, entre otras cosas, de las condiciones meteorológicas y de la cantidad de aplicación del material. El tiempo de secado alcanzado en el laboratorio hasta conseguir la capacidad de soporte de la rodadura no podrá considerarse como garantía para el tiempo de secado en las condiciones que deberán verificarse en la práctica.</w:t>
      </w:r>
    </w:p>
  </w:footnote>
  <w:footnote w:id="3">
    <w:p w:rsidR="003A38BA" w:rsidRDefault="003A38BA" w:rsidP="001D4247">
      <w:pPr>
        <w:spacing w:after="120"/>
        <w:ind w:left="0" w:firstLine="0"/>
      </w:pPr>
      <w:r>
        <w:rPr>
          <w:vertAlign w:val="superscript"/>
        </w:rPr>
        <w:footnoteRef/>
      </w:r>
      <w:r>
        <w:t xml:space="preserve"> Los neumáticos desgastados se sustituirán durante el ensayo.</w:t>
      </w:r>
    </w:p>
  </w:footnote>
  <w:footnote w:id="4">
    <w:p w:rsidR="003A38BA" w:rsidRDefault="003A38BA" w:rsidP="001D4247">
      <w:pPr>
        <w:spacing w:after="120"/>
        <w:ind w:left="0" w:firstLine="0"/>
      </w:pPr>
      <w:r>
        <w:rPr>
          <w:vertAlign w:val="superscript"/>
        </w:rPr>
        <w:footnoteRef/>
      </w:r>
      <w:r>
        <w:t xml:space="preserve"> Estas dos normas deberán unificarse en el futuro. Los materiales de postmezclado y (en el futuro) los cuerpos de premezclado solamente podrán aplicarse si disponen del marcado CE.</w:t>
      </w:r>
    </w:p>
  </w:footnote>
  <w:footnote w:id="5">
    <w:p w:rsidR="003A38BA" w:rsidRDefault="003A38BA" w:rsidP="001D4247">
      <w:pPr>
        <w:spacing w:after="120"/>
        <w:ind w:left="0" w:firstLine="0"/>
      </w:pPr>
      <w:r>
        <w:rPr>
          <w:vertAlign w:val="superscript"/>
        </w:rPr>
        <w:footnoteRef/>
      </w:r>
      <w:r>
        <w:t xml:space="preserve"> Fundamento: acuerdo entre el Instituto Federal de Caminos y Carreteras (BASt), los productores de microesferas y la Sociedad alemana de estudio para la señalización vial (DSGS) en Bergisch-Gladbach y Braunlage en agosto de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jc w:val="center"/>
      <w:rPr>
        <w:sz w:val="24"/>
      </w:rPr>
    </w:pPr>
    <w:r>
      <w:rPr>
        <w:sz w:val="24"/>
      </w:rPr>
      <w:t>TL-M 97</w:t>
    </w:r>
  </w:p>
  <w:p w:rsidR="003A38BA" w:rsidRDefault="003A38B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699"/>
      <w:docPartObj>
        <w:docPartGallery w:val="Page Numbers (Top of Page)"/>
        <w:docPartUnique/>
      </w:docPartObj>
    </w:sdtPr>
    <w:sdtEndPr/>
    <w:sdtContent>
      <w:p w:rsidR="003A38BA" w:rsidRPr="00C427EB" w:rsidRDefault="003A38BA">
        <w:pPr>
          <w:pStyle w:val="Header"/>
          <w:jc w:val="center"/>
        </w:pPr>
        <w:r>
          <w:fldChar w:fldCharType="begin"/>
        </w:r>
        <w:r>
          <w:instrText xml:space="preserve"> PAGE  \* Arabic  \* MERGEFORMAT </w:instrText>
        </w:r>
        <w:r>
          <w:fldChar w:fldCharType="separate"/>
        </w:r>
        <w:r w:rsidR="002354D7">
          <w:rPr>
            <w:noProof/>
          </w:rPr>
          <w:t>20</w:t>
        </w:r>
        <w:r>
          <w:rPr>
            <w:noProof/>
          </w:rPr>
          <w:fldChar w:fldCharType="end"/>
        </w:r>
      </w:p>
    </w:sdtContent>
  </w:sdt>
  <w:p w:rsidR="003A38BA" w:rsidRDefault="003A38B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rsidP="00B032B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42298F0"/>
    <w:lvl w:ilvl="0">
      <w:start w:val="1"/>
      <w:numFmt w:val="decimal"/>
      <w:lvlText w:val="%1."/>
      <w:lvlJc w:val="left"/>
      <w:rPr>
        <w:rFonts w:asciiTheme="minorHAnsi" w:hAnsiTheme="minorHAnsi" w:cs="Arial" w:hint="default"/>
        <w:b/>
        <w:bCs/>
        <w:i w:val="0"/>
        <w:iCs w:val="0"/>
        <w:smallCaps w:val="0"/>
        <w:strike w:val="0"/>
        <w:color w:val="000000"/>
        <w:spacing w:val="0"/>
        <w:w w:val="100"/>
        <w:position w:val="0"/>
        <w:sz w:val="22"/>
        <w:szCs w:val="22"/>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6970E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AD5"/>
    <w:multiLevelType w:val="hybridMultilevel"/>
    <w:tmpl w:val="0CE8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91D78"/>
    <w:multiLevelType w:val="singleLevel"/>
    <w:tmpl w:val="99C23CA6"/>
    <w:lvl w:ilvl="0">
      <w:start w:val="7"/>
      <w:numFmt w:val="bullet"/>
      <w:pStyle w:val="SP1"/>
      <w:lvlText w:val="-"/>
      <w:lvlJc w:val="left"/>
      <w:pPr>
        <w:tabs>
          <w:tab w:val="num" w:pos="1069"/>
        </w:tabs>
        <w:ind w:left="1069" w:hanging="360"/>
      </w:pPr>
      <w:rPr>
        <w:rFonts w:hint="default"/>
      </w:rPr>
    </w:lvl>
  </w:abstractNum>
  <w:abstractNum w:abstractNumId="4" w15:restartNumberingAfterBreak="0">
    <w:nsid w:val="268D19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F20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41C1F"/>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1412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12EFE"/>
    <w:multiLevelType w:val="hybridMultilevel"/>
    <w:tmpl w:val="074C60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4417DB"/>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D702589"/>
    <w:multiLevelType w:val="singleLevel"/>
    <w:tmpl w:val="E8F485B0"/>
    <w:lvl w:ilvl="0">
      <w:start w:val="1"/>
      <w:numFmt w:val="bullet"/>
      <w:pStyle w:val="-Einzug1"/>
      <w:lvlText w:val="-"/>
      <w:lvlJc w:val="left"/>
      <w:pPr>
        <w:tabs>
          <w:tab w:val="num" w:pos="360"/>
        </w:tabs>
        <w:ind w:left="284" w:hanging="284"/>
      </w:pPr>
      <w:rPr>
        <w:rFonts w:ascii="Times New Roman" w:hAnsi="Times New Roman" w:hint="default"/>
        <w:b/>
        <w:i w:val="0"/>
        <w:sz w:val="24"/>
      </w:rPr>
    </w:lvl>
  </w:abstractNum>
  <w:abstractNum w:abstractNumId="11" w15:restartNumberingAfterBreak="0">
    <w:nsid w:val="48790F9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52F67"/>
    <w:multiLevelType w:val="hybridMultilevel"/>
    <w:tmpl w:val="F47E2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41620C"/>
    <w:multiLevelType w:val="singleLevel"/>
    <w:tmpl w:val="04070011"/>
    <w:lvl w:ilvl="0">
      <w:start w:val="1"/>
      <w:numFmt w:val="decimal"/>
      <w:lvlText w:val="%1)"/>
      <w:lvlJc w:val="left"/>
      <w:pPr>
        <w:tabs>
          <w:tab w:val="num" w:pos="360"/>
        </w:tabs>
        <w:ind w:left="360" w:hanging="360"/>
      </w:pPr>
      <w:rPr>
        <w:rFonts w:hint="default"/>
      </w:rPr>
    </w:lvl>
  </w:abstractNum>
  <w:abstractNum w:abstractNumId="14" w15:restartNumberingAfterBreak="0">
    <w:nsid w:val="6D860D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484C2B"/>
    <w:multiLevelType w:val="hybridMultilevel"/>
    <w:tmpl w:val="BAB2A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4"/>
  </w:num>
  <w:num w:numId="5">
    <w:abstractNumId w:val="7"/>
  </w:num>
  <w:num w:numId="6">
    <w:abstractNumId w:val="3"/>
  </w:num>
  <w:num w:numId="7">
    <w:abstractNumId w:val="13"/>
  </w:num>
  <w:num w:numId="8">
    <w:abstractNumId w:val="11"/>
  </w:num>
  <w:num w:numId="9">
    <w:abstractNumId w:val="6"/>
  </w:num>
  <w:num w:numId="10">
    <w:abstractNumId w:val="10"/>
  </w:num>
  <w:num w:numId="11">
    <w:abstractNumId w:val="9"/>
  </w:num>
  <w:num w:numId="12">
    <w:abstractNumId w:val="15"/>
  </w:num>
  <w:num w:numId="13">
    <w:abstractNumId w:val="8"/>
  </w:num>
  <w:num w:numId="14">
    <w:abstractNumId w:val="2"/>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96"/>
    <w:rsid w:val="00001AF1"/>
    <w:rsid w:val="0000718D"/>
    <w:rsid w:val="00012C48"/>
    <w:rsid w:val="00032E7A"/>
    <w:rsid w:val="00036B48"/>
    <w:rsid w:val="000503D0"/>
    <w:rsid w:val="00061E4E"/>
    <w:rsid w:val="0006290A"/>
    <w:rsid w:val="0006557A"/>
    <w:rsid w:val="00065E75"/>
    <w:rsid w:val="00067037"/>
    <w:rsid w:val="0006760D"/>
    <w:rsid w:val="00070660"/>
    <w:rsid w:val="000766A6"/>
    <w:rsid w:val="00080A86"/>
    <w:rsid w:val="000923BB"/>
    <w:rsid w:val="000A474A"/>
    <w:rsid w:val="000A5A3C"/>
    <w:rsid w:val="000B2B83"/>
    <w:rsid w:val="000B4B23"/>
    <w:rsid w:val="000B6380"/>
    <w:rsid w:val="000B73D7"/>
    <w:rsid w:val="000D47B9"/>
    <w:rsid w:val="000D5BC9"/>
    <w:rsid w:val="000D70C0"/>
    <w:rsid w:val="000E20DE"/>
    <w:rsid w:val="000E4514"/>
    <w:rsid w:val="000F7E81"/>
    <w:rsid w:val="001001BF"/>
    <w:rsid w:val="00155580"/>
    <w:rsid w:val="00161FD3"/>
    <w:rsid w:val="00193098"/>
    <w:rsid w:val="00197249"/>
    <w:rsid w:val="001A4BD1"/>
    <w:rsid w:val="001B12A8"/>
    <w:rsid w:val="001B4E56"/>
    <w:rsid w:val="001C2543"/>
    <w:rsid w:val="001C7094"/>
    <w:rsid w:val="001D17DA"/>
    <w:rsid w:val="001D4247"/>
    <w:rsid w:val="001E3D7B"/>
    <w:rsid w:val="001E5919"/>
    <w:rsid w:val="001E6414"/>
    <w:rsid w:val="001F5C99"/>
    <w:rsid w:val="002100A4"/>
    <w:rsid w:val="00216013"/>
    <w:rsid w:val="002210B7"/>
    <w:rsid w:val="00232406"/>
    <w:rsid w:val="00234C80"/>
    <w:rsid w:val="0023536B"/>
    <w:rsid w:val="002354D7"/>
    <w:rsid w:val="00240E0D"/>
    <w:rsid w:val="00246D88"/>
    <w:rsid w:val="00251683"/>
    <w:rsid w:val="00260651"/>
    <w:rsid w:val="00261DE1"/>
    <w:rsid w:val="0026750D"/>
    <w:rsid w:val="00284C37"/>
    <w:rsid w:val="0029168C"/>
    <w:rsid w:val="002A210D"/>
    <w:rsid w:val="002A3614"/>
    <w:rsid w:val="002B2FD2"/>
    <w:rsid w:val="002C0BE7"/>
    <w:rsid w:val="002D65D1"/>
    <w:rsid w:val="002D70B1"/>
    <w:rsid w:val="003000D1"/>
    <w:rsid w:val="003114C1"/>
    <w:rsid w:val="0031501F"/>
    <w:rsid w:val="00324B33"/>
    <w:rsid w:val="0033608C"/>
    <w:rsid w:val="00337B4D"/>
    <w:rsid w:val="003406C9"/>
    <w:rsid w:val="00345447"/>
    <w:rsid w:val="003456A9"/>
    <w:rsid w:val="003459E2"/>
    <w:rsid w:val="003508CA"/>
    <w:rsid w:val="00370F4D"/>
    <w:rsid w:val="00380189"/>
    <w:rsid w:val="003850FD"/>
    <w:rsid w:val="003876E5"/>
    <w:rsid w:val="0039084B"/>
    <w:rsid w:val="003916B9"/>
    <w:rsid w:val="003956F3"/>
    <w:rsid w:val="003A38BA"/>
    <w:rsid w:val="003A401B"/>
    <w:rsid w:val="003B1252"/>
    <w:rsid w:val="003B7C76"/>
    <w:rsid w:val="003D219A"/>
    <w:rsid w:val="003D5920"/>
    <w:rsid w:val="003E1828"/>
    <w:rsid w:val="003E3497"/>
    <w:rsid w:val="003F610E"/>
    <w:rsid w:val="003F6C43"/>
    <w:rsid w:val="0040352A"/>
    <w:rsid w:val="004056B0"/>
    <w:rsid w:val="0040636B"/>
    <w:rsid w:val="00407B63"/>
    <w:rsid w:val="00414363"/>
    <w:rsid w:val="004268BA"/>
    <w:rsid w:val="0043206D"/>
    <w:rsid w:val="004463AF"/>
    <w:rsid w:val="00451DF6"/>
    <w:rsid w:val="00456905"/>
    <w:rsid w:val="00461B5C"/>
    <w:rsid w:val="00463F9F"/>
    <w:rsid w:val="0046509B"/>
    <w:rsid w:val="0047073B"/>
    <w:rsid w:val="00474AFB"/>
    <w:rsid w:val="00491BD3"/>
    <w:rsid w:val="00491D31"/>
    <w:rsid w:val="00493616"/>
    <w:rsid w:val="004939B5"/>
    <w:rsid w:val="00495D5C"/>
    <w:rsid w:val="00495E9A"/>
    <w:rsid w:val="00497E24"/>
    <w:rsid w:val="004A2F9C"/>
    <w:rsid w:val="004A64FC"/>
    <w:rsid w:val="004B3430"/>
    <w:rsid w:val="004C2F96"/>
    <w:rsid w:val="004C32A6"/>
    <w:rsid w:val="004D297E"/>
    <w:rsid w:val="004D7F92"/>
    <w:rsid w:val="004E0137"/>
    <w:rsid w:val="004E3D16"/>
    <w:rsid w:val="004E5314"/>
    <w:rsid w:val="004F03F3"/>
    <w:rsid w:val="004F79C9"/>
    <w:rsid w:val="0052348C"/>
    <w:rsid w:val="00523ACA"/>
    <w:rsid w:val="00532584"/>
    <w:rsid w:val="00535C9C"/>
    <w:rsid w:val="00536458"/>
    <w:rsid w:val="0054039D"/>
    <w:rsid w:val="005517CE"/>
    <w:rsid w:val="00555159"/>
    <w:rsid w:val="00555609"/>
    <w:rsid w:val="00556442"/>
    <w:rsid w:val="00572C20"/>
    <w:rsid w:val="00577F38"/>
    <w:rsid w:val="00583621"/>
    <w:rsid w:val="00586DCF"/>
    <w:rsid w:val="005A00AC"/>
    <w:rsid w:val="005A16A6"/>
    <w:rsid w:val="005C6B21"/>
    <w:rsid w:val="005D19E0"/>
    <w:rsid w:val="005D220F"/>
    <w:rsid w:val="005E003F"/>
    <w:rsid w:val="005E2477"/>
    <w:rsid w:val="005F2E9C"/>
    <w:rsid w:val="00601938"/>
    <w:rsid w:val="00613B11"/>
    <w:rsid w:val="006163DC"/>
    <w:rsid w:val="00617E85"/>
    <w:rsid w:val="00622AB2"/>
    <w:rsid w:val="00627B64"/>
    <w:rsid w:val="006360BD"/>
    <w:rsid w:val="00637513"/>
    <w:rsid w:val="00641E3F"/>
    <w:rsid w:val="00667BC9"/>
    <w:rsid w:val="00686B2A"/>
    <w:rsid w:val="00686F87"/>
    <w:rsid w:val="006A1970"/>
    <w:rsid w:val="006A49B7"/>
    <w:rsid w:val="006B0519"/>
    <w:rsid w:val="006B20FC"/>
    <w:rsid w:val="006B2947"/>
    <w:rsid w:val="006B7393"/>
    <w:rsid w:val="006C1677"/>
    <w:rsid w:val="006D53B5"/>
    <w:rsid w:val="006D550B"/>
    <w:rsid w:val="006D5959"/>
    <w:rsid w:val="006E1AD5"/>
    <w:rsid w:val="006E2886"/>
    <w:rsid w:val="006E6FB8"/>
    <w:rsid w:val="006F0F26"/>
    <w:rsid w:val="006F1C15"/>
    <w:rsid w:val="00701E9D"/>
    <w:rsid w:val="00706B86"/>
    <w:rsid w:val="007114CC"/>
    <w:rsid w:val="007135E3"/>
    <w:rsid w:val="00721638"/>
    <w:rsid w:val="00735CC5"/>
    <w:rsid w:val="00751BDA"/>
    <w:rsid w:val="007669FF"/>
    <w:rsid w:val="00787559"/>
    <w:rsid w:val="007947D9"/>
    <w:rsid w:val="007A0D55"/>
    <w:rsid w:val="007A4431"/>
    <w:rsid w:val="007A6695"/>
    <w:rsid w:val="007B668F"/>
    <w:rsid w:val="007B7AA0"/>
    <w:rsid w:val="007C21AF"/>
    <w:rsid w:val="007C3407"/>
    <w:rsid w:val="007D17A9"/>
    <w:rsid w:val="007D47E3"/>
    <w:rsid w:val="007D7849"/>
    <w:rsid w:val="007E35A9"/>
    <w:rsid w:val="007F44BC"/>
    <w:rsid w:val="007F561A"/>
    <w:rsid w:val="00804889"/>
    <w:rsid w:val="008432F4"/>
    <w:rsid w:val="00853381"/>
    <w:rsid w:val="008565E3"/>
    <w:rsid w:val="00877D4B"/>
    <w:rsid w:val="00880195"/>
    <w:rsid w:val="0088418C"/>
    <w:rsid w:val="00886145"/>
    <w:rsid w:val="0088638C"/>
    <w:rsid w:val="00895817"/>
    <w:rsid w:val="00896968"/>
    <w:rsid w:val="0089768F"/>
    <w:rsid w:val="008A7AD1"/>
    <w:rsid w:val="008A7F1E"/>
    <w:rsid w:val="008B34BA"/>
    <w:rsid w:val="008B4E60"/>
    <w:rsid w:val="008C0573"/>
    <w:rsid w:val="008C55C5"/>
    <w:rsid w:val="008C64DB"/>
    <w:rsid w:val="008D2005"/>
    <w:rsid w:val="008D2830"/>
    <w:rsid w:val="008E3054"/>
    <w:rsid w:val="008E78CF"/>
    <w:rsid w:val="008E7BF5"/>
    <w:rsid w:val="008E7F3E"/>
    <w:rsid w:val="008F3D75"/>
    <w:rsid w:val="00904336"/>
    <w:rsid w:val="009159E9"/>
    <w:rsid w:val="00921E13"/>
    <w:rsid w:val="00923466"/>
    <w:rsid w:val="0093336E"/>
    <w:rsid w:val="0093465E"/>
    <w:rsid w:val="0094411F"/>
    <w:rsid w:val="00946519"/>
    <w:rsid w:val="00946AE5"/>
    <w:rsid w:val="00947FA2"/>
    <w:rsid w:val="00947FC8"/>
    <w:rsid w:val="00962976"/>
    <w:rsid w:val="0096344E"/>
    <w:rsid w:val="00965E19"/>
    <w:rsid w:val="009700EB"/>
    <w:rsid w:val="00970203"/>
    <w:rsid w:val="009759A4"/>
    <w:rsid w:val="00992058"/>
    <w:rsid w:val="00993CFC"/>
    <w:rsid w:val="009A49D5"/>
    <w:rsid w:val="009C56A9"/>
    <w:rsid w:val="009D6ACE"/>
    <w:rsid w:val="009D7680"/>
    <w:rsid w:val="009E20AE"/>
    <w:rsid w:val="009E5CB3"/>
    <w:rsid w:val="009F1842"/>
    <w:rsid w:val="009F5F07"/>
    <w:rsid w:val="009F7F53"/>
    <w:rsid w:val="00A1060E"/>
    <w:rsid w:val="00A11530"/>
    <w:rsid w:val="00A13538"/>
    <w:rsid w:val="00A13EDC"/>
    <w:rsid w:val="00A2285F"/>
    <w:rsid w:val="00A34119"/>
    <w:rsid w:val="00A36652"/>
    <w:rsid w:val="00A37E2F"/>
    <w:rsid w:val="00A42ACC"/>
    <w:rsid w:val="00A503EF"/>
    <w:rsid w:val="00A61964"/>
    <w:rsid w:val="00A676DC"/>
    <w:rsid w:val="00A748BE"/>
    <w:rsid w:val="00A8750C"/>
    <w:rsid w:val="00A97961"/>
    <w:rsid w:val="00AC657B"/>
    <w:rsid w:val="00AD0691"/>
    <w:rsid w:val="00AD7468"/>
    <w:rsid w:val="00AE0CFD"/>
    <w:rsid w:val="00AE28B1"/>
    <w:rsid w:val="00AE4FF1"/>
    <w:rsid w:val="00AF00F2"/>
    <w:rsid w:val="00AF38A1"/>
    <w:rsid w:val="00AF66AF"/>
    <w:rsid w:val="00B031D0"/>
    <w:rsid w:val="00B032BC"/>
    <w:rsid w:val="00B04171"/>
    <w:rsid w:val="00B057A1"/>
    <w:rsid w:val="00B0600F"/>
    <w:rsid w:val="00B1266C"/>
    <w:rsid w:val="00B1758A"/>
    <w:rsid w:val="00B21B6B"/>
    <w:rsid w:val="00B2761F"/>
    <w:rsid w:val="00B303E9"/>
    <w:rsid w:val="00B324A1"/>
    <w:rsid w:val="00B3476D"/>
    <w:rsid w:val="00B356EB"/>
    <w:rsid w:val="00B521EE"/>
    <w:rsid w:val="00B53040"/>
    <w:rsid w:val="00B533DC"/>
    <w:rsid w:val="00B6273F"/>
    <w:rsid w:val="00B947D9"/>
    <w:rsid w:val="00BA17D6"/>
    <w:rsid w:val="00BB5BD5"/>
    <w:rsid w:val="00BB5DDD"/>
    <w:rsid w:val="00BC0D3C"/>
    <w:rsid w:val="00BC136D"/>
    <w:rsid w:val="00BC7497"/>
    <w:rsid w:val="00BD23B3"/>
    <w:rsid w:val="00BD3FCD"/>
    <w:rsid w:val="00BD7B44"/>
    <w:rsid w:val="00BE1620"/>
    <w:rsid w:val="00BE3A89"/>
    <w:rsid w:val="00BE7065"/>
    <w:rsid w:val="00BF3220"/>
    <w:rsid w:val="00BF5E10"/>
    <w:rsid w:val="00C04DD6"/>
    <w:rsid w:val="00C05C4A"/>
    <w:rsid w:val="00C145F2"/>
    <w:rsid w:val="00C15AA5"/>
    <w:rsid w:val="00C268D7"/>
    <w:rsid w:val="00C3226B"/>
    <w:rsid w:val="00C32DCC"/>
    <w:rsid w:val="00C34F3E"/>
    <w:rsid w:val="00C35B60"/>
    <w:rsid w:val="00C42545"/>
    <w:rsid w:val="00C427EB"/>
    <w:rsid w:val="00C527C1"/>
    <w:rsid w:val="00C61CCD"/>
    <w:rsid w:val="00C65458"/>
    <w:rsid w:val="00C8360F"/>
    <w:rsid w:val="00C94718"/>
    <w:rsid w:val="00CA0607"/>
    <w:rsid w:val="00CA2BC5"/>
    <w:rsid w:val="00CA745A"/>
    <w:rsid w:val="00CB4B8F"/>
    <w:rsid w:val="00CB64D4"/>
    <w:rsid w:val="00CB7F9F"/>
    <w:rsid w:val="00CC1B26"/>
    <w:rsid w:val="00CC39DC"/>
    <w:rsid w:val="00CC5EC9"/>
    <w:rsid w:val="00CD0A25"/>
    <w:rsid w:val="00CD3C24"/>
    <w:rsid w:val="00CE7EE5"/>
    <w:rsid w:val="00D00887"/>
    <w:rsid w:val="00D02C13"/>
    <w:rsid w:val="00D066FD"/>
    <w:rsid w:val="00D1262E"/>
    <w:rsid w:val="00D21166"/>
    <w:rsid w:val="00D3285B"/>
    <w:rsid w:val="00D336A7"/>
    <w:rsid w:val="00D44507"/>
    <w:rsid w:val="00D45948"/>
    <w:rsid w:val="00D473A7"/>
    <w:rsid w:val="00D47A42"/>
    <w:rsid w:val="00D518B6"/>
    <w:rsid w:val="00D54158"/>
    <w:rsid w:val="00D60C9B"/>
    <w:rsid w:val="00D65B9A"/>
    <w:rsid w:val="00D74A8B"/>
    <w:rsid w:val="00D763A9"/>
    <w:rsid w:val="00D77FEB"/>
    <w:rsid w:val="00D80F4C"/>
    <w:rsid w:val="00D82DF7"/>
    <w:rsid w:val="00D946EB"/>
    <w:rsid w:val="00D9642C"/>
    <w:rsid w:val="00D97E23"/>
    <w:rsid w:val="00DA5720"/>
    <w:rsid w:val="00DA60F8"/>
    <w:rsid w:val="00DC1470"/>
    <w:rsid w:val="00DE00FE"/>
    <w:rsid w:val="00DF0312"/>
    <w:rsid w:val="00DF3B72"/>
    <w:rsid w:val="00DF4A21"/>
    <w:rsid w:val="00DF53FE"/>
    <w:rsid w:val="00E146D8"/>
    <w:rsid w:val="00E15D8C"/>
    <w:rsid w:val="00E35384"/>
    <w:rsid w:val="00E355B8"/>
    <w:rsid w:val="00E46BBA"/>
    <w:rsid w:val="00E51F2A"/>
    <w:rsid w:val="00E54343"/>
    <w:rsid w:val="00E5609C"/>
    <w:rsid w:val="00E6359B"/>
    <w:rsid w:val="00E650EB"/>
    <w:rsid w:val="00E661CD"/>
    <w:rsid w:val="00E67C87"/>
    <w:rsid w:val="00E726CF"/>
    <w:rsid w:val="00E83FAC"/>
    <w:rsid w:val="00E954B3"/>
    <w:rsid w:val="00EA3CC1"/>
    <w:rsid w:val="00EA5AF6"/>
    <w:rsid w:val="00EB1650"/>
    <w:rsid w:val="00EB7072"/>
    <w:rsid w:val="00EB7D09"/>
    <w:rsid w:val="00EC3056"/>
    <w:rsid w:val="00F06298"/>
    <w:rsid w:val="00F13A86"/>
    <w:rsid w:val="00F24962"/>
    <w:rsid w:val="00F349C5"/>
    <w:rsid w:val="00F3733E"/>
    <w:rsid w:val="00F423F6"/>
    <w:rsid w:val="00F478B0"/>
    <w:rsid w:val="00F60D51"/>
    <w:rsid w:val="00F61B48"/>
    <w:rsid w:val="00F630F0"/>
    <w:rsid w:val="00F653D9"/>
    <w:rsid w:val="00F653E7"/>
    <w:rsid w:val="00F657B0"/>
    <w:rsid w:val="00F71794"/>
    <w:rsid w:val="00F7349F"/>
    <w:rsid w:val="00F77BC2"/>
    <w:rsid w:val="00F80870"/>
    <w:rsid w:val="00F82ED3"/>
    <w:rsid w:val="00F95161"/>
    <w:rsid w:val="00F9526A"/>
    <w:rsid w:val="00F96B7C"/>
    <w:rsid w:val="00FA1D3F"/>
    <w:rsid w:val="00FB4E45"/>
    <w:rsid w:val="00FC3F19"/>
    <w:rsid w:val="00FC4346"/>
    <w:rsid w:val="00FC45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1B0875-B1A8-4EAB-B189-F4FF1251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A1"/>
  </w:style>
  <w:style w:type="paragraph" w:styleId="Heading1">
    <w:name w:val="heading 1"/>
    <w:basedOn w:val="Normal"/>
    <w:next w:val="Normal"/>
    <w:link w:val="Heading1Char"/>
    <w:qFormat/>
    <w:rsid w:val="003360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6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B64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B64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B64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autoRedefine/>
    <w:qFormat/>
    <w:rsid w:val="00A13EDC"/>
    <w:pPr>
      <w:keepNext/>
      <w:tabs>
        <w:tab w:val="num" w:pos="1152"/>
      </w:tabs>
      <w:spacing w:before="120" w:after="80"/>
      <w:ind w:left="1152" w:hanging="1152"/>
      <w:outlineLvl w:val="5"/>
    </w:pPr>
    <w:rPr>
      <w:rFonts w:ascii="Times New Roman" w:eastAsia="Times New Roman" w:hAnsi="Times New Roman" w:cs="Times New Roman"/>
      <w:b/>
      <w:kern w:val="28"/>
      <w:sz w:val="20"/>
      <w:szCs w:val="20"/>
    </w:rPr>
  </w:style>
  <w:style w:type="paragraph" w:styleId="Heading7">
    <w:name w:val="heading 7"/>
    <w:basedOn w:val="Normal"/>
    <w:next w:val="Normal"/>
    <w:link w:val="Heading7Char"/>
    <w:qFormat/>
    <w:rsid w:val="00A13EDC"/>
    <w:pPr>
      <w:keepNext/>
      <w:tabs>
        <w:tab w:val="num" w:pos="1296"/>
      </w:tabs>
      <w:spacing w:before="80" w:after="60"/>
      <w:ind w:left="1296" w:hanging="1296"/>
      <w:outlineLvl w:val="6"/>
    </w:pPr>
    <w:rPr>
      <w:rFonts w:ascii="Times New Roman" w:eastAsia="Times New Roman" w:hAnsi="Times New Roman" w:cs="Times New Roman"/>
      <w:b/>
      <w:kern w:val="28"/>
      <w:sz w:val="20"/>
      <w:szCs w:val="20"/>
    </w:rPr>
  </w:style>
  <w:style w:type="paragraph" w:styleId="Heading8">
    <w:name w:val="heading 8"/>
    <w:basedOn w:val="Normal"/>
    <w:next w:val="Normal"/>
    <w:link w:val="Heading8Char"/>
    <w:qFormat/>
    <w:rsid w:val="00A13EDC"/>
    <w:pPr>
      <w:keepNext/>
      <w:tabs>
        <w:tab w:val="num" w:pos="1440"/>
      </w:tabs>
      <w:spacing w:before="80" w:after="60"/>
      <w:ind w:left="1440" w:hanging="1440"/>
      <w:outlineLvl w:val="7"/>
    </w:pPr>
    <w:rPr>
      <w:rFonts w:ascii="Times New Roman" w:eastAsia="Times New Roman" w:hAnsi="Times New Roman" w:cs="Times New Roman"/>
      <w:b/>
      <w:i/>
      <w:kern w:val="28"/>
      <w:sz w:val="20"/>
      <w:szCs w:val="20"/>
    </w:rPr>
  </w:style>
  <w:style w:type="paragraph" w:styleId="Heading9">
    <w:name w:val="heading 9"/>
    <w:basedOn w:val="Normal"/>
    <w:next w:val="Normal"/>
    <w:link w:val="Heading9Char"/>
    <w:qFormat/>
    <w:rsid w:val="00A13EDC"/>
    <w:pPr>
      <w:keepNext/>
      <w:tabs>
        <w:tab w:val="num" w:pos="1584"/>
      </w:tabs>
      <w:spacing w:before="80" w:after="60"/>
      <w:ind w:left="1584" w:hanging="1584"/>
      <w:outlineLvl w:val="8"/>
    </w:pPr>
    <w:rPr>
      <w:rFonts w:ascii="Times New Roman" w:eastAsia="Times New Roman" w:hAnsi="Times New Roman" w:cs="Times New Roman"/>
      <w:b/>
      <w:i/>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2F96"/>
    <w:pPr>
      <w:ind w:left="720"/>
      <w:contextualSpacing/>
    </w:pPr>
  </w:style>
  <w:style w:type="character" w:styleId="PlaceholderText">
    <w:name w:val="Placeholder Text"/>
    <w:basedOn w:val="DefaultParagraphFont"/>
    <w:uiPriority w:val="99"/>
    <w:semiHidden/>
    <w:rsid w:val="007669FF"/>
    <w:rPr>
      <w:color w:val="808080"/>
    </w:rPr>
  </w:style>
  <w:style w:type="table" w:styleId="TableGrid">
    <w:name w:val="Table Grid"/>
    <w:basedOn w:val="TableNormal"/>
    <w:uiPriority w:val="59"/>
    <w:rsid w:val="00AD7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D5959"/>
    <w:pPr>
      <w:keepNext/>
      <w:tabs>
        <w:tab w:val="center" w:pos="4536"/>
        <w:tab w:val="right" w:pos="9072"/>
      </w:tabs>
      <w:ind w:left="0" w:firstLine="0"/>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D5959"/>
    <w:rPr>
      <w:rFonts w:ascii="Times New Roman" w:eastAsia="Times New Roman" w:hAnsi="Times New Roman" w:cs="Times New Roman"/>
      <w:sz w:val="20"/>
      <w:szCs w:val="20"/>
      <w:lang w:eastAsia="es-ES"/>
    </w:rPr>
  </w:style>
  <w:style w:type="character" w:styleId="PageNumber">
    <w:name w:val="page number"/>
    <w:basedOn w:val="DefaultParagraphFont"/>
    <w:semiHidden/>
    <w:rsid w:val="006D5959"/>
  </w:style>
  <w:style w:type="paragraph" w:styleId="TOC1">
    <w:name w:val="toc 1"/>
    <w:basedOn w:val="Normal"/>
    <w:next w:val="Normal"/>
    <w:autoRedefine/>
    <w:uiPriority w:val="39"/>
    <w:rsid w:val="006D5959"/>
    <w:pPr>
      <w:keepNext/>
      <w:tabs>
        <w:tab w:val="left" w:pos="851"/>
        <w:tab w:val="right" w:pos="9062"/>
      </w:tabs>
      <w:spacing w:before="120" w:line="300" w:lineRule="exact"/>
      <w:ind w:left="851" w:hanging="851"/>
    </w:pPr>
    <w:rPr>
      <w:rFonts w:ascii="Times New Roman" w:eastAsia="Times New Roman" w:hAnsi="Times New Roman" w:cs="Times New Roman"/>
      <w:b/>
      <w:noProof/>
      <w:sz w:val="20"/>
      <w:szCs w:val="20"/>
    </w:rPr>
  </w:style>
  <w:style w:type="paragraph" w:styleId="TOC2">
    <w:name w:val="toc 2"/>
    <w:basedOn w:val="Normal"/>
    <w:next w:val="Normal"/>
    <w:autoRedefine/>
    <w:uiPriority w:val="39"/>
    <w:rsid w:val="006D5959"/>
    <w:pPr>
      <w:keepNext/>
      <w:tabs>
        <w:tab w:val="left" w:pos="851"/>
        <w:tab w:val="right" w:pos="9062"/>
      </w:tabs>
      <w:spacing w:before="60" w:after="60" w:line="280" w:lineRule="exact"/>
      <w:ind w:left="0" w:firstLine="0"/>
    </w:pPr>
    <w:rPr>
      <w:rFonts w:ascii="Times New Roman" w:eastAsia="Times New Roman" w:hAnsi="Times New Roman" w:cs="Times New Roman"/>
      <w:b/>
      <w:sz w:val="20"/>
      <w:szCs w:val="20"/>
    </w:rPr>
  </w:style>
  <w:style w:type="paragraph" w:styleId="TOC3">
    <w:name w:val="toc 3"/>
    <w:basedOn w:val="Normal"/>
    <w:next w:val="Normal"/>
    <w:autoRedefine/>
    <w:uiPriority w:val="39"/>
    <w:rsid w:val="006D5959"/>
    <w:pPr>
      <w:keepNext/>
      <w:tabs>
        <w:tab w:val="left" w:pos="851"/>
        <w:tab w:val="right" w:pos="9062"/>
      </w:tabs>
      <w:ind w:left="0" w:firstLine="0"/>
    </w:pPr>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3360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3608C"/>
    <w:pPr>
      <w:spacing w:line="276" w:lineRule="auto"/>
      <w:ind w:left="0" w:firstLine="0"/>
      <w:outlineLvl w:val="9"/>
    </w:pPr>
  </w:style>
  <w:style w:type="character" w:styleId="Hyperlink">
    <w:name w:val="Hyperlink"/>
    <w:basedOn w:val="DefaultParagraphFont"/>
    <w:uiPriority w:val="99"/>
    <w:unhideWhenUsed/>
    <w:rsid w:val="0033608C"/>
    <w:rPr>
      <w:color w:val="0000FF" w:themeColor="hyperlink"/>
      <w:u w:val="single"/>
    </w:rPr>
  </w:style>
  <w:style w:type="character" w:customStyle="1" w:styleId="Heading2Char">
    <w:name w:val="Heading 2 Char"/>
    <w:basedOn w:val="DefaultParagraphFont"/>
    <w:link w:val="Heading2"/>
    <w:uiPriority w:val="9"/>
    <w:semiHidden/>
    <w:rsid w:val="00CB64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64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64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B64D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semiHidden/>
    <w:rsid w:val="00CB64D4"/>
    <w:pPr>
      <w:keepNext/>
      <w:ind w:left="170" w:hanging="17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B64D4"/>
    <w:rPr>
      <w:rFonts w:ascii="Times New Roman" w:eastAsia="Times New Roman" w:hAnsi="Times New Roman" w:cs="Times New Roman"/>
      <w:sz w:val="20"/>
      <w:szCs w:val="20"/>
      <w:lang w:eastAsia="es-ES"/>
    </w:rPr>
  </w:style>
  <w:style w:type="paragraph" w:customStyle="1" w:styleId="Text">
    <w:name w:val="Text"/>
    <w:basedOn w:val="Normal"/>
    <w:autoRedefine/>
    <w:rsid w:val="00CB64D4"/>
    <w:pPr>
      <w:keepNext/>
      <w:spacing w:after="80" w:line="300" w:lineRule="exact"/>
      <w:ind w:left="0" w:firstLine="0"/>
    </w:pPr>
    <w:rPr>
      <w:rFonts w:ascii="Times New Roman" w:eastAsia="Times New Roman" w:hAnsi="Times New Roman" w:cs="Times New Roman"/>
      <w:bCs/>
      <w:kern w:val="28"/>
      <w:szCs w:val="20"/>
    </w:rPr>
  </w:style>
  <w:style w:type="paragraph" w:customStyle="1" w:styleId="Einzug-1">
    <w:name w:val="Einzug-1"/>
    <w:basedOn w:val="Normal"/>
    <w:autoRedefine/>
    <w:rsid w:val="00CB64D4"/>
    <w:pPr>
      <w:keepNext/>
      <w:tabs>
        <w:tab w:val="left" w:pos="426"/>
      </w:tabs>
      <w:spacing w:before="60" w:after="60" w:line="300" w:lineRule="exact"/>
      <w:ind w:left="0" w:firstLine="0"/>
    </w:pPr>
    <w:rPr>
      <w:rFonts w:ascii="Times New Roman" w:eastAsia="Times New Roman" w:hAnsi="Times New Roman" w:cs="Times New Roman"/>
      <w:sz w:val="24"/>
      <w:szCs w:val="20"/>
    </w:rPr>
  </w:style>
  <w:style w:type="paragraph" w:customStyle="1" w:styleId="Tabellen">
    <w:name w:val="Tabellen"/>
    <w:basedOn w:val="Text"/>
    <w:rsid w:val="00CB64D4"/>
  </w:style>
  <w:style w:type="paragraph" w:customStyle="1" w:styleId="Tab-berschrift">
    <w:name w:val="Tab-Überschrift"/>
    <w:basedOn w:val="Tabellen"/>
    <w:autoRedefine/>
    <w:rsid w:val="006C1677"/>
    <w:rPr>
      <w:rFonts w:asciiTheme="minorHAnsi" w:hAnsiTheme="minorHAnsi"/>
      <w:b/>
      <w:bCs w:val="0"/>
    </w:rPr>
  </w:style>
  <w:style w:type="character" w:styleId="FootnoteReference">
    <w:name w:val="footnote reference"/>
    <w:basedOn w:val="DefaultParagraphFont"/>
    <w:semiHidden/>
    <w:rsid w:val="00CB64D4"/>
    <w:rPr>
      <w:vertAlign w:val="superscript"/>
    </w:rPr>
  </w:style>
  <w:style w:type="paragraph" w:customStyle="1" w:styleId="SP1">
    <w:name w:val="SP1"/>
    <w:basedOn w:val="Normal"/>
    <w:autoRedefine/>
    <w:rsid w:val="00CB64D4"/>
    <w:pPr>
      <w:numPr>
        <w:numId w:val="6"/>
      </w:numPr>
      <w:spacing w:before="40" w:after="40" w:line="240" w:lineRule="exact"/>
      <w:ind w:left="567" w:hanging="501"/>
    </w:pPr>
    <w:rPr>
      <w:rFonts w:ascii="Times New Roman" w:eastAsia="Times New Roman" w:hAnsi="Times New Roman" w:cs="Times New Roman"/>
      <w:sz w:val="24"/>
      <w:szCs w:val="20"/>
    </w:rPr>
  </w:style>
  <w:style w:type="paragraph" w:customStyle="1" w:styleId="Tab-Kopf">
    <w:name w:val="Tab-Kopf"/>
    <w:basedOn w:val="Tab-berschrift"/>
    <w:rsid w:val="00CB64D4"/>
    <w:pPr>
      <w:spacing w:before="60" w:after="60" w:line="260" w:lineRule="exact"/>
    </w:pPr>
    <w:rPr>
      <w:sz w:val="20"/>
    </w:rPr>
  </w:style>
  <w:style w:type="character" w:customStyle="1" w:styleId="Heading6Char">
    <w:name w:val="Heading 6 Char"/>
    <w:basedOn w:val="DefaultParagraphFont"/>
    <w:link w:val="Heading6"/>
    <w:rsid w:val="00A13EDC"/>
    <w:rPr>
      <w:rFonts w:ascii="Times New Roman" w:eastAsia="Times New Roman" w:hAnsi="Times New Roman" w:cs="Times New Roman"/>
      <w:b/>
      <w:kern w:val="28"/>
      <w:sz w:val="20"/>
      <w:szCs w:val="20"/>
      <w:lang w:eastAsia="es-ES"/>
    </w:rPr>
  </w:style>
  <w:style w:type="character" w:customStyle="1" w:styleId="Heading7Char">
    <w:name w:val="Heading 7 Char"/>
    <w:basedOn w:val="DefaultParagraphFont"/>
    <w:link w:val="Heading7"/>
    <w:rsid w:val="00A13EDC"/>
    <w:rPr>
      <w:rFonts w:ascii="Times New Roman" w:eastAsia="Times New Roman" w:hAnsi="Times New Roman" w:cs="Times New Roman"/>
      <w:b/>
      <w:kern w:val="28"/>
      <w:sz w:val="20"/>
      <w:szCs w:val="20"/>
      <w:lang w:eastAsia="es-ES"/>
    </w:rPr>
  </w:style>
  <w:style w:type="character" w:customStyle="1" w:styleId="Heading8Char">
    <w:name w:val="Heading 8 Char"/>
    <w:basedOn w:val="DefaultParagraphFont"/>
    <w:link w:val="Heading8"/>
    <w:rsid w:val="00A13EDC"/>
    <w:rPr>
      <w:rFonts w:ascii="Times New Roman" w:eastAsia="Times New Roman" w:hAnsi="Times New Roman" w:cs="Times New Roman"/>
      <w:b/>
      <w:i/>
      <w:kern w:val="28"/>
      <w:sz w:val="20"/>
      <w:szCs w:val="20"/>
      <w:lang w:eastAsia="es-ES"/>
    </w:rPr>
  </w:style>
  <w:style w:type="character" w:customStyle="1" w:styleId="Heading9Char">
    <w:name w:val="Heading 9 Char"/>
    <w:basedOn w:val="DefaultParagraphFont"/>
    <w:link w:val="Heading9"/>
    <w:rsid w:val="00A13EDC"/>
    <w:rPr>
      <w:rFonts w:ascii="Times New Roman" w:eastAsia="Times New Roman" w:hAnsi="Times New Roman" w:cs="Times New Roman"/>
      <w:b/>
      <w:i/>
      <w:kern w:val="28"/>
      <w:sz w:val="20"/>
      <w:szCs w:val="20"/>
      <w:lang w:eastAsia="es-ES"/>
    </w:rPr>
  </w:style>
  <w:style w:type="paragraph" w:customStyle="1" w:styleId="Tablefootnote">
    <w:name w:val="Table footnote"/>
    <w:basedOn w:val="Normal"/>
    <w:rsid w:val="00A13EDC"/>
    <w:pPr>
      <w:tabs>
        <w:tab w:val="left" w:pos="340"/>
      </w:tabs>
      <w:spacing w:before="60" w:after="60" w:line="190" w:lineRule="atLeast"/>
      <w:ind w:left="0" w:firstLine="0"/>
      <w:jc w:val="both"/>
    </w:pPr>
    <w:rPr>
      <w:rFonts w:ascii="Arial" w:eastAsia="MS Mincho" w:hAnsi="Arial" w:cs="Times New Roman"/>
      <w:sz w:val="16"/>
      <w:szCs w:val="20"/>
    </w:rPr>
  </w:style>
  <w:style w:type="character" w:customStyle="1" w:styleId="TableFootNoteXref">
    <w:name w:val="TableFootNoteXref"/>
    <w:rsid w:val="00A13EDC"/>
    <w:rPr>
      <w:noProof/>
      <w:position w:val="6"/>
      <w:sz w:val="14"/>
      <w:lang w:val="es-ES"/>
    </w:rPr>
  </w:style>
  <w:style w:type="paragraph" w:customStyle="1" w:styleId="Tabletext10">
    <w:name w:val="Table text (10)"/>
    <w:basedOn w:val="Normal"/>
    <w:rsid w:val="00A13EDC"/>
    <w:pPr>
      <w:spacing w:before="60" w:after="60" w:line="230" w:lineRule="atLeast"/>
      <w:ind w:left="0" w:firstLine="0"/>
      <w:jc w:val="both"/>
    </w:pPr>
    <w:rPr>
      <w:rFonts w:ascii="Arial" w:eastAsia="MS Mincho" w:hAnsi="Arial" w:cs="Times New Roman"/>
      <w:sz w:val="20"/>
      <w:szCs w:val="20"/>
    </w:rPr>
  </w:style>
  <w:style w:type="paragraph" w:customStyle="1" w:styleId="ISOChange">
    <w:name w:val="ISO_Change"/>
    <w:basedOn w:val="Normal"/>
    <w:rsid w:val="00A13EDC"/>
    <w:pPr>
      <w:spacing w:before="210" w:line="210" w:lineRule="exact"/>
      <w:ind w:left="0" w:firstLine="0"/>
    </w:pPr>
    <w:rPr>
      <w:rFonts w:ascii="Arial" w:eastAsia="Times New Roman" w:hAnsi="Arial" w:cs="Arial"/>
      <w:sz w:val="18"/>
      <w:szCs w:val="18"/>
    </w:rPr>
  </w:style>
  <w:style w:type="paragraph" w:customStyle="1" w:styleId="ISOSecretObservations">
    <w:name w:val="ISO_Secret_Observations"/>
    <w:basedOn w:val="Normal"/>
    <w:rsid w:val="00A13EDC"/>
    <w:pPr>
      <w:spacing w:before="210" w:line="210" w:lineRule="exact"/>
      <w:ind w:left="0" w:firstLine="0"/>
    </w:pPr>
    <w:rPr>
      <w:rFonts w:ascii="Arial" w:eastAsia="Times New Roman" w:hAnsi="Arial" w:cs="Arial"/>
      <w:sz w:val="18"/>
      <w:szCs w:val="18"/>
    </w:rPr>
  </w:style>
  <w:style w:type="paragraph" w:styleId="Footer">
    <w:name w:val="footer"/>
    <w:basedOn w:val="Normal"/>
    <w:link w:val="FooterChar"/>
    <w:uiPriority w:val="99"/>
    <w:unhideWhenUsed/>
    <w:rsid w:val="0094411F"/>
    <w:pPr>
      <w:tabs>
        <w:tab w:val="center" w:pos="4536"/>
        <w:tab w:val="right" w:pos="9072"/>
      </w:tabs>
    </w:pPr>
  </w:style>
  <w:style w:type="character" w:customStyle="1" w:styleId="FooterChar">
    <w:name w:val="Footer Char"/>
    <w:basedOn w:val="DefaultParagraphFont"/>
    <w:link w:val="Footer"/>
    <w:uiPriority w:val="99"/>
    <w:rsid w:val="0094411F"/>
  </w:style>
  <w:style w:type="paragraph" w:styleId="Subtitle">
    <w:name w:val="Subtitle"/>
    <w:basedOn w:val="Normal"/>
    <w:next w:val="Normal"/>
    <w:link w:val="SubtitleChar"/>
    <w:uiPriority w:val="11"/>
    <w:qFormat/>
    <w:rsid w:val="000D70C0"/>
    <w:pPr>
      <w:numPr>
        <w:ilvl w:val="1"/>
      </w:numPr>
      <w:ind w:left="357"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70C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B521EE"/>
    <w:pPr>
      <w:ind w:left="0" w:firstLine="0"/>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B521EE"/>
    <w:rPr>
      <w:rFonts w:ascii="Times New Roman" w:eastAsia="Times New Roman" w:hAnsi="Times New Roman" w:cs="Times New Roman"/>
      <w:b/>
      <w:sz w:val="24"/>
      <w:szCs w:val="20"/>
      <w:lang w:eastAsia="es-ES"/>
    </w:rPr>
  </w:style>
  <w:style w:type="paragraph" w:customStyle="1" w:styleId="-Einzug1">
    <w:name w:val="-Einzug1"/>
    <w:basedOn w:val="BodyText2"/>
    <w:autoRedefine/>
    <w:rsid w:val="00B521EE"/>
    <w:pPr>
      <w:keepNext/>
      <w:numPr>
        <w:numId w:val="10"/>
      </w:numPr>
      <w:tabs>
        <w:tab w:val="clear" w:pos="360"/>
        <w:tab w:val="num" w:pos="907"/>
        <w:tab w:val="left" w:pos="4111"/>
      </w:tabs>
      <w:spacing w:before="40" w:after="40" w:line="280" w:lineRule="exact"/>
      <w:ind w:left="4111" w:hanging="3487"/>
    </w:pPr>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B521EE"/>
    <w:pPr>
      <w:spacing w:after="120" w:line="480" w:lineRule="auto"/>
    </w:pPr>
  </w:style>
  <w:style w:type="character" w:customStyle="1" w:styleId="BodyText2Char">
    <w:name w:val="Body Text 2 Char"/>
    <w:basedOn w:val="DefaultParagraphFont"/>
    <w:link w:val="BodyText2"/>
    <w:uiPriority w:val="99"/>
    <w:semiHidden/>
    <w:rsid w:val="00B521EE"/>
  </w:style>
  <w:style w:type="paragraph" w:customStyle="1" w:styleId="ZTVMFliestext">
    <w:name w:val="ZTV M Fliestext"/>
    <w:basedOn w:val="Normal"/>
    <w:rsid w:val="00CC1B26"/>
    <w:pPr>
      <w:pBdr>
        <w:right w:val="single" w:sz="12" w:space="4" w:color="auto"/>
      </w:pBdr>
      <w:tabs>
        <w:tab w:val="left" w:pos="1260"/>
      </w:tabs>
      <w:spacing w:before="60" w:after="120" w:line="280" w:lineRule="exact"/>
      <w:ind w:left="0" w:firstLine="0"/>
    </w:pPr>
    <w:rPr>
      <w:rFonts w:ascii="Times New Roman" w:eastAsia="Times New Roman" w:hAnsi="Times New Roman" w:cs="Times New Roman"/>
      <w:color w:val="000000"/>
      <w:sz w:val="24"/>
      <w:szCs w:val="20"/>
    </w:rPr>
  </w:style>
  <w:style w:type="paragraph" w:styleId="BodyTextIndent">
    <w:name w:val="Body Text Indent"/>
    <w:basedOn w:val="Normal"/>
    <w:link w:val="BodyTextIndentChar"/>
    <w:uiPriority w:val="99"/>
    <w:semiHidden/>
    <w:unhideWhenUsed/>
    <w:rsid w:val="00B1266C"/>
    <w:pPr>
      <w:spacing w:after="120"/>
      <w:ind w:left="283"/>
    </w:pPr>
  </w:style>
  <w:style w:type="character" w:customStyle="1" w:styleId="BodyTextIndentChar">
    <w:name w:val="Body Text Indent Char"/>
    <w:basedOn w:val="DefaultParagraphFont"/>
    <w:link w:val="BodyTextIndent"/>
    <w:uiPriority w:val="99"/>
    <w:semiHidden/>
    <w:rsid w:val="00B1266C"/>
  </w:style>
  <w:style w:type="paragraph" w:styleId="Title">
    <w:name w:val="Title"/>
    <w:basedOn w:val="Normal"/>
    <w:link w:val="TitleChar"/>
    <w:qFormat/>
    <w:rsid w:val="00B1266C"/>
    <w:pPr>
      <w:ind w:left="0" w:firstLine="0"/>
      <w:jc w:val="center"/>
    </w:pPr>
    <w:rPr>
      <w:rFonts w:ascii="Times New Roman" w:eastAsia="Times New Roman" w:hAnsi="Times New Roman" w:cs="Times New Roman"/>
      <w:b/>
      <w:snapToGrid w:val="0"/>
      <w:sz w:val="28"/>
      <w:szCs w:val="20"/>
    </w:rPr>
  </w:style>
  <w:style w:type="character" w:customStyle="1" w:styleId="TitleChar">
    <w:name w:val="Title Char"/>
    <w:basedOn w:val="DefaultParagraphFont"/>
    <w:link w:val="Title"/>
    <w:rsid w:val="00B1266C"/>
    <w:rPr>
      <w:rFonts w:ascii="Times New Roman" w:eastAsia="Times New Roman" w:hAnsi="Times New Roman" w:cs="Times New Roman"/>
      <w:b/>
      <w:snapToGrid w:val="0"/>
      <w:sz w:val="28"/>
      <w:szCs w:val="20"/>
      <w:lang w:eastAsia="es-ES"/>
    </w:rPr>
  </w:style>
  <w:style w:type="paragraph" w:styleId="BalloonText">
    <w:name w:val="Balloon Text"/>
    <w:basedOn w:val="Normal"/>
    <w:link w:val="BalloonTextChar"/>
    <w:uiPriority w:val="99"/>
    <w:semiHidden/>
    <w:unhideWhenUsed/>
    <w:rsid w:val="002A210D"/>
    <w:rPr>
      <w:rFonts w:ascii="Tahoma" w:hAnsi="Tahoma" w:cs="Tahoma"/>
      <w:sz w:val="16"/>
      <w:szCs w:val="16"/>
    </w:rPr>
  </w:style>
  <w:style w:type="character" w:customStyle="1" w:styleId="BalloonTextChar">
    <w:name w:val="Balloon Text Char"/>
    <w:basedOn w:val="DefaultParagraphFont"/>
    <w:link w:val="BalloonText"/>
    <w:uiPriority w:val="99"/>
    <w:semiHidden/>
    <w:rsid w:val="002A210D"/>
    <w:rPr>
      <w:rFonts w:ascii="Tahoma" w:hAnsi="Tahoma" w:cs="Tahoma"/>
      <w:sz w:val="16"/>
      <w:szCs w:val="16"/>
    </w:rPr>
  </w:style>
  <w:style w:type="character" w:styleId="CommentReference">
    <w:name w:val="annotation reference"/>
    <w:basedOn w:val="DefaultParagraphFont"/>
    <w:uiPriority w:val="99"/>
    <w:semiHidden/>
    <w:unhideWhenUsed/>
    <w:rsid w:val="00536458"/>
    <w:rPr>
      <w:sz w:val="16"/>
      <w:szCs w:val="16"/>
    </w:rPr>
  </w:style>
  <w:style w:type="paragraph" w:styleId="CommentText">
    <w:name w:val="annotation text"/>
    <w:basedOn w:val="Normal"/>
    <w:link w:val="CommentTextChar"/>
    <w:uiPriority w:val="99"/>
    <w:semiHidden/>
    <w:unhideWhenUsed/>
    <w:rsid w:val="00536458"/>
    <w:rPr>
      <w:sz w:val="20"/>
      <w:szCs w:val="20"/>
    </w:rPr>
  </w:style>
  <w:style w:type="character" w:customStyle="1" w:styleId="CommentTextChar">
    <w:name w:val="Comment Text Char"/>
    <w:basedOn w:val="DefaultParagraphFont"/>
    <w:link w:val="CommentText"/>
    <w:uiPriority w:val="99"/>
    <w:semiHidden/>
    <w:rsid w:val="00536458"/>
    <w:rPr>
      <w:sz w:val="20"/>
      <w:szCs w:val="20"/>
    </w:rPr>
  </w:style>
  <w:style w:type="character" w:styleId="Strong">
    <w:name w:val="Strong"/>
    <w:basedOn w:val="DefaultParagraphFont"/>
    <w:uiPriority w:val="22"/>
    <w:qFormat/>
    <w:rsid w:val="008D2005"/>
    <w:rPr>
      <w:b/>
      <w:bCs/>
    </w:rPr>
  </w:style>
  <w:style w:type="paragraph" w:styleId="CommentSubject">
    <w:name w:val="annotation subject"/>
    <w:basedOn w:val="CommentText"/>
    <w:next w:val="CommentText"/>
    <w:link w:val="CommentSubjectChar"/>
    <w:uiPriority w:val="99"/>
    <w:semiHidden/>
    <w:unhideWhenUsed/>
    <w:rsid w:val="00BD23B3"/>
    <w:rPr>
      <w:b/>
      <w:bCs/>
    </w:rPr>
  </w:style>
  <w:style w:type="character" w:customStyle="1" w:styleId="CommentSubjectChar">
    <w:name w:val="Comment Subject Char"/>
    <w:basedOn w:val="CommentTextChar"/>
    <w:link w:val="CommentSubject"/>
    <w:uiPriority w:val="99"/>
    <w:semiHidden/>
    <w:rsid w:val="00BD23B3"/>
    <w:rPr>
      <w:b/>
      <w:bCs/>
      <w:sz w:val="20"/>
      <w:szCs w:val="20"/>
    </w:rPr>
  </w:style>
  <w:style w:type="paragraph" w:styleId="Revision">
    <w:name w:val="Revision"/>
    <w:hidden/>
    <w:uiPriority w:val="99"/>
    <w:semiHidden/>
    <w:rsid w:val="008F3D75"/>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0696">
      <w:bodyDiv w:val="1"/>
      <w:marLeft w:val="0"/>
      <w:marRight w:val="0"/>
      <w:marTop w:val="0"/>
      <w:marBottom w:val="0"/>
      <w:divBdr>
        <w:top w:val="none" w:sz="0" w:space="0" w:color="auto"/>
        <w:left w:val="none" w:sz="0" w:space="0" w:color="auto"/>
        <w:bottom w:val="none" w:sz="0" w:space="0" w:color="auto"/>
        <w:right w:val="none" w:sz="0" w:space="0" w:color="auto"/>
      </w:divBdr>
    </w:div>
    <w:div w:id="657268090">
      <w:bodyDiv w:val="1"/>
      <w:marLeft w:val="0"/>
      <w:marRight w:val="0"/>
      <w:marTop w:val="0"/>
      <w:marBottom w:val="0"/>
      <w:divBdr>
        <w:top w:val="none" w:sz="0" w:space="0" w:color="auto"/>
        <w:left w:val="none" w:sz="0" w:space="0" w:color="auto"/>
        <w:bottom w:val="none" w:sz="0" w:space="0" w:color="auto"/>
        <w:right w:val="none" w:sz="0" w:space="0" w:color="auto"/>
      </w:divBdr>
    </w:div>
    <w:div w:id="948396053">
      <w:bodyDiv w:val="1"/>
      <w:marLeft w:val="0"/>
      <w:marRight w:val="0"/>
      <w:marTop w:val="0"/>
      <w:marBottom w:val="0"/>
      <w:divBdr>
        <w:top w:val="none" w:sz="0" w:space="0" w:color="auto"/>
        <w:left w:val="none" w:sz="0" w:space="0" w:color="auto"/>
        <w:bottom w:val="none" w:sz="0" w:space="0" w:color="auto"/>
        <w:right w:val="none" w:sz="0" w:space="0" w:color="auto"/>
      </w:divBdr>
    </w:div>
    <w:div w:id="1597981163">
      <w:bodyDiv w:val="1"/>
      <w:marLeft w:val="0"/>
      <w:marRight w:val="0"/>
      <w:marTop w:val="0"/>
      <w:marBottom w:val="0"/>
      <w:divBdr>
        <w:top w:val="none" w:sz="0" w:space="0" w:color="auto"/>
        <w:left w:val="none" w:sz="0" w:space="0" w:color="auto"/>
        <w:bottom w:val="none" w:sz="0" w:space="0" w:color="auto"/>
        <w:right w:val="none" w:sz="0" w:space="0" w:color="auto"/>
      </w:divBdr>
    </w:div>
    <w:div w:id="16325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AED82-587C-48F5-BEF0-5052DDF6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26</Pages>
  <Words>8691</Words>
  <Characters>49541</Characters>
  <Application>Microsoft Office Word</Application>
  <DocSecurity>0</DocSecurity>
  <Lines>412</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BASt</Company>
  <LinksUpToDate>false</LinksUpToDate>
  <CharactersWithSpaces>58116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V4</dc:creator>
  <cp:lastModifiedBy>Ke, Tingting</cp:lastModifiedBy>
  <cp:revision>21</cp:revision>
  <cp:lastPrinted>2018-06-14T08:38:00Z</cp:lastPrinted>
  <dcterms:created xsi:type="dcterms:W3CDTF">2018-08-23T11:48:00Z</dcterms:created>
  <dcterms:modified xsi:type="dcterms:W3CDTF">2019-06-26T14:00:00Z</dcterms:modified>
</cp:coreProperties>
</file>