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8C162A" w:rsidRDefault="00F15D67" w:rsidP="00F1590B">
      <w:pPr>
        <w:jc w:val="center"/>
        <w:rPr>
          <w:rFonts w:cstheme="minorHAnsi"/>
          <w:sz w:val="24"/>
          <w:szCs w:val="24"/>
        </w:rPr>
      </w:pPr>
      <w:r w:rsidRPr="008C162A">
        <w:rPr>
          <w:rFonts w:cstheme="minorHAnsi"/>
          <w:sz w:val="24"/>
        </w:rPr>
        <w:t>Arrêté modifiant l’Arrêté relatif à l’hygiène des denrées alimentaires</w:t>
      </w:r>
    </w:p>
    <w:p w14:paraId="46616DFB" w14:textId="77777777" w:rsidR="00F15D67" w:rsidRPr="008C162A" w:rsidRDefault="00F15D67" w:rsidP="00F1590B">
      <w:pPr>
        <w:jc w:val="center"/>
        <w:rPr>
          <w:rFonts w:cstheme="minorHAnsi"/>
          <w:sz w:val="24"/>
          <w:szCs w:val="24"/>
        </w:rPr>
      </w:pPr>
    </w:p>
    <w:p w14:paraId="22C5083B" w14:textId="77777777" w:rsidR="00F1590B" w:rsidRPr="008C162A" w:rsidRDefault="0015460A" w:rsidP="00F1590B">
      <w:pPr>
        <w:jc w:val="center"/>
        <w:rPr>
          <w:rFonts w:cstheme="minorHAnsi"/>
          <w:b/>
          <w:sz w:val="24"/>
          <w:szCs w:val="24"/>
        </w:rPr>
      </w:pPr>
      <w:r w:rsidRPr="008C162A">
        <w:rPr>
          <w:rFonts w:cstheme="minorHAnsi"/>
          <w:b/>
          <w:sz w:val="24"/>
        </w:rPr>
        <w:t>Section 1</w:t>
      </w:r>
    </w:p>
    <w:p w14:paraId="7BD9954C" w14:textId="77777777" w:rsidR="00F15D67" w:rsidRPr="008C162A" w:rsidRDefault="00F1590B">
      <w:pPr>
        <w:rPr>
          <w:rFonts w:cstheme="minorHAnsi"/>
          <w:sz w:val="24"/>
          <w:szCs w:val="24"/>
        </w:rPr>
      </w:pPr>
      <w:r w:rsidRPr="008C162A">
        <w:rPr>
          <w:rFonts w:cstheme="minorHAnsi"/>
          <w:sz w:val="24"/>
        </w:rPr>
        <w:t>L’Arrêté n° 497 du 23 mars 2021 relatif à l’hygiène alimentaire est modifié comme suit :</w:t>
      </w:r>
    </w:p>
    <w:p w14:paraId="65418AF4" w14:textId="77777777" w:rsidR="00F15D67" w:rsidRPr="008C162A" w:rsidRDefault="00A50188">
      <w:pPr>
        <w:rPr>
          <w:rFonts w:cstheme="minorHAnsi"/>
          <w:sz w:val="24"/>
          <w:szCs w:val="24"/>
        </w:rPr>
      </w:pPr>
      <w:r w:rsidRPr="008C162A">
        <w:rPr>
          <w:rFonts w:cstheme="minorHAnsi"/>
          <w:b/>
          <w:sz w:val="24"/>
        </w:rPr>
        <w:t>1</w:t>
      </w:r>
      <w:r w:rsidRPr="008C162A">
        <w:rPr>
          <w:rFonts w:cstheme="minorHAnsi"/>
          <w:i/>
          <w:sz w:val="24"/>
        </w:rPr>
        <w:t xml:space="preserve">. </w:t>
      </w:r>
      <w:r w:rsidRPr="008C162A">
        <w:rPr>
          <w:rFonts w:cstheme="minorHAnsi"/>
          <w:sz w:val="24"/>
        </w:rPr>
        <w:t xml:space="preserve">La </w:t>
      </w:r>
      <w:r w:rsidRPr="008C162A">
        <w:rPr>
          <w:rFonts w:cstheme="minorHAnsi"/>
          <w:i/>
          <w:iCs/>
          <w:sz w:val="24"/>
        </w:rPr>
        <w:t>Section 15</w:t>
      </w:r>
      <w:r w:rsidRPr="008C162A">
        <w:rPr>
          <w:rFonts w:cstheme="minorHAnsi"/>
          <w:sz w:val="24"/>
        </w:rPr>
        <w:t xml:space="preserve"> est formulée comme suit :</w:t>
      </w:r>
    </w:p>
    <w:p w14:paraId="1E7CA6B5" w14:textId="29BEC0DD" w:rsidR="00315D7E" w:rsidRPr="008C162A" w:rsidRDefault="002147AD">
      <w:pPr>
        <w:rPr>
          <w:rFonts w:cstheme="minorHAnsi"/>
          <w:sz w:val="24"/>
          <w:szCs w:val="24"/>
        </w:rPr>
      </w:pPr>
      <w:r w:rsidRPr="008C162A">
        <w:rPr>
          <w:rStyle w:val="paragrafnr"/>
          <w:rFonts w:cstheme="minorHAnsi"/>
          <w:b/>
          <w:color w:val="212529"/>
          <w:sz w:val="24"/>
        </w:rPr>
        <w:t>« </w:t>
      </w:r>
      <w:r w:rsidRPr="008C162A">
        <w:rPr>
          <w:rFonts w:cstheme="minorHAnsi"/>
          <w:b/>
          <w:sz w:val="24"/>
        </w:rPr>
        <w:t>Section 15</w:t>
      </w:r>
      <w:r w:rsidRPr="008C162A">
        <w:rPr>
          <w:rFonts w:cstheme="minorHAnsi"/>
          <w:sz w:val="24"/>
        </w:rPr>
        <w:t xml:space="preserve"> Le lait cru mis sur le marché par chaque producteur primaire doit satisfaire aux critères de numération cellulaire et de dénombrement des plaques fixés dans le Règlement sur l’Hygiène des denrées alimentaires d’origine animale, tels qu’ils figurent à l’annexe III, section IX, chapitre I, partie III, point 3.</w:t>
      </w:r>
    </w:p>
    <w:p w14:paraId="2F142F18" w14:textId="77777777" w:rsidR="00053863" w:rsidRPr="008C162A"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8C162A">
        <w:rPr>
          <w:rFonts w:asciiTheme="minorHAnsi" w:hAnsiTheme="minorHAnsi" w:cstheme="minorHAnsi"/>
          <w:i/>
        </w:rPr>
        <w:t>(2)</w:t>
      </w:r>
      <w:r w:rsidRPr="008C162A">
        <w:rPr>
          <w:rFonts w:asciiTheme="minorHAnsi" w:hAnsiTheme="minorHAnsi" w:cstheme="minorHAnsi"/>
        </w:rPr>
        <w:t xml:space="preserve"> Lorsque le lait cru ne satisfait pas aux critères de numération cellulaire ou de dénombrement des plaques visés à la sous-section 1, le producteur primaire doit prendre les mesures nécessaires pour remédier aux lacunes et informer immédiatement l’acheteur du lait que le lait ne satisfait pas aux critères de numération cellulaire ou de dénombrement des plaques.</w:t>
      </w:r>
      <w:r w:rsidRPr="008C162A">
        <w:rPr>
          <w:rFonts w:asciiTheme="minorHAnsi" w:hAnsiTheme="minorHAnsi" w:cstheme="minorHAnsi"/>
          <w:color w:val="212529"/>
        </w:rPr>
        <w:t xml:space="preserve"> Jusqu’à ce que le critère dépassé soit à nouveau rempli, le lait ne peut être utilisé que pour la production de fromages d’une durée minimale d’affinage de 60 jours et de produits laitiers produits dans le cadre de la fabrication de ces fromages.</w:t>
      </w:r>
    </w:p>
    <w:p w14:paraId="345F6E2E" w14:textId="77777777" w:rsidR="002A2AC6" w:rsidRPr="008C162A" w:rsidRDefault="002A2AC6" w:rsidP="00CD091A">
      <w:pPr>
        <w:rPr>
          <w:rFonts w:cstheme="minorHAnsi"/>
          <w:sz w:val="24"/>
          <w:szCs w:val="24"/>
        </w:rPr>
      </w:pPr>
    </w:p>
    <w:p w14:paraId="4C12B8F8" w14:textId="45DA7124" w:rsidR="000F0A3C" w:rsidRPr="008C162A" w:rsidRDefault="00331B89" w:rsidP="00CD091A">
      <w:pPr>
        <w:rPr>
          <w:rFonts w:cstheme="minorHAnsi"/>
          <w:sz w:val="24"/>
          <w:szCs w:val="24"/>
        </w:rPr>
      </w:pPr>
      <w:r w:rsidRPr="008C162A">
        <w:rPr>
          <w:rFonts w:cstheme="minorHAnsi"/>
          <w:i/>
          <w:sz w:val="24"/>
        </w:rPr>
        <w:t>(3).</w:t>
      </w:r>
      <w:r w:rsidRPr="008C162A">
        <w:rPr>
          <w:rFonts w:cstheme="minorHAnsi"/>
          <w:sz w:val="24"/>
        </w:rPr>
        <w:t xml:space="preserve"> Si le lait cru ne satisfait pas aux critères de numération cellulaire ou bactérienne spécifiés au paragraphe 1 dans les trois mois suivant le premier cas de non-conformité, le producteur primaire doit cesser de commercialiser du lait cru de l’exploitation. La mise sur le marché ne peut être reprise tant que le lait ne répond pas aux critères visés à la sous-section 1. Les résultats d’échantillons représentatifs prélevés à la fréquence utilisée régulièrement avant le dépassement du critère doivent être disponibles, démontrant que le lait répond aux critères. Le producteur primaire doit informer l’administration vétérinaire et alimentaire danoise si la commercialisation du lait cru est interrompue et si la commercialisation du lait cru est reprise sous surveillance renforcée, voir section 16.</w:t>
      </w:r>
      <w:r w:rsidRPr="008C162A">
        <w:rPr>
          <w:rFonts w:cstheme="minorHAnsi"/>
        </w:rPr>
        <w:t xml:space="preserve"> </w:t>
      </w:r>
      <w:r w:rsidRPr="008C162A">
        <w:rPr>
          <w:rFonts w:cstheme="minorHAnsi"/>
          <w:color w:val="212529"/>
        </w:rPr>
        <w:t>»</w:t>
      </w:r>
    </w:p>
    <w:p w14:paraId="054EEF45" w14:textId="77777777" w:rsidR="002A2AC6" w:rsidRPr="008C162A" w:rsidRDefault="002A2AC6" w:rsidP="00CD091A">
      <w:pPr>
        <w:rPr>
          <w:rFonts w:cstheme="minorHAnsi"/>
          <w:b/>
          <w:sz w:val="24"/>
          <w:szCs w:val="24"/>
        </w:rPr>
      </w:pPr>
    </w:p>
    <w:p w14:paraId="403DD021" w14:textId="28F54F19" w:rsidR="00F1590B" w:rsidRPr="008C162A" w:rsidRDefault="00A50188" w:rsidP="00CD091A">
      <w:pPr>
        <w:rPr>
          <w:rFonts w:cstheme="minorHAnsi"/>
          <w:sz w:val="24"/>
          <w:szCs w:val="24"/>
        </w:rPr>
      </w:pPr>
      <w:r w:rsidRPr="008C162A">
        <w:rPr>
          <w:rFonts w:cstheme="minorHAnsi"/>
          <w:b/>
          <w:sz w:val="24"/>
        </w:rPr>
        <w:t>2.</w:t>
      </w:r>
      <w:r w:rsidRPr="008C162A">
        <w:rPr>
          <w:rFonts w:cstheme="minorHAnsi"/>
          <w:sz w:val="24"/>
        </w:rPr>
        <w:t xml:space="preserve"> La </w:t>
      </w:r>
      <w:r w:rsidRPr="008C162A">
        <w:rPr>
          <w:rFonts w:cstheme="minorHAnsi"/>
          <w:i/>
          <w:sz w:val="24"/>
        </w:rPr>
        <w:t xml:space="preserve">Section 16 </w:t>
      </w:r>
      <w:r w:rsidRPr="008C162A">
        <w:rPr>
          <w:rFonts w:cstheme="minorHAnsi"/>
          <w:sz w:val="24"/>
        </w:rPr>
        <w:t>doit être formulée comme suit :</w:t>
      </w:r>
    </w:p>
    <w:p w14:paraId="1E666652" w14:textId="77777777" w:rsidR="00CD091A" w:rsidRPr="008C162A" w:rsidRDefault="00337092" w:rsidP="00547B2F">
      <w:pPr>
        <w:rPr>
          <w:rFonts w:cstheme="minorHAnsi"/>
          <w:color w:val="212529"/>
          <w:sz w:val="24"/>
          <w:szCs w:val="24"/>
        </w:rPr>
      </w:pPr>
      <w:r w:rsidRPr="008C162A">
        <w:rPr>
          <w:rStyle w:val="paragrafnr"/>
          <w:rFonts w:cstheme="minorHAnsi"/>
          <w:b/>
          <w:color w:val="212529"/>
          <w:sz w:val="24"/>
        </w:rPr>
        <w:t>« Section 16.</w:t>
      </w:r>
      <w:r w:rsidRPr="008C162A">
        <w:rPr>
          <w:rFonts w:cstheme="minorHAnsi"/>
          <w:color w:val="212529"/>
          <w:sz w:val="24"/>
        </w:rPr>
        <w:t xml:space="preserve"> Indépendamment de la section 15(3), le producteur primaire peut toutefois commercialiser le lait de vache cru pendant une période avec une surveillance plus stricte du </w:t>
      </w:r>
      <w:proofErr w:type="gramStart"/>
      <w:r w:rsidRPr="008C162A">
        <w:rPr>
          <w:rFonts w:cstheme="minorHAnsi"/>
          <w:color w:val="212529"/>
          <w:sz w:val="24"/>
        </w:rPr>
        <w:t>critère</w:t>
      </w:r>
      <w:proofErr w:type="gramEnd"/>
      <w:r w:rsidRPr="008C162A">
        <w:rPr>
          <w:rFonts w:cstheme="minorHAnsi"/>
          <w:color w:val="212529"/>
          <w:sz w:val="24"/>
        </w:rPr>
        <w:t xml:space="preserve"> dépassé en question après qu’au moins un échantillon individuel représentatif ait démontré que le nombre de cellules dans le lait en vrac ne dépasse pas 400 000 cellules/ml ou que la numération bactérienne dans le lait en vrac ne dépasse pas 100 000 </w:t>
      </w:r>
      <w:proofErr w:type="spellStart"/>
      <w:r w:rsidRPr="008C162A">
        <w:rPr>
          <w:rFonts w:cstheme="minorHAnsi"/>
          <w:color w:val="212529"/>
          <w:sz w:val="24"/>
        </w:rPr>
        <w:t>ufc</w:t>
      </w:r>
      <w:proofErr w:type="spellEnd"/>
      <w:r w:rsidRPr="008C162A">
        <w:rPr>
          <w:rFonts w:cstheme="minorHAnsi"/>
          <w:color w:val="212529"/>
          <w:sz w:val="24"/>
        </w:rPr>
        <w:t>/ml. Jusqu’à ce que le critère dépassé soit rempli à nouveau, le lait ne peut être utilisé que pour la production de fromages d’une durée minimale d’affinage de 60 jours</w:t>
      </w:r>
      <w:r w:rsidRPr="008C162A">
        <w:rPr>
          <w:rFonts w:cstheme="minorHAnsi"/>
          <w:color w:val="212529"/>
        </w:rPr>
        <w:t xml:space="preserve"> et de produits laitiers produits dans le cadre de la fabrication de ces fromages</w:t>
      </w:r>
      <w:r w:rsidRPr="008C162A">
        <w:rPr>
          <w:rFonts w:cstheme="minorHAnsi"/>
          <w:color w:val="212529"/>
          <w:sz w:val="24"/>
        </w:rPr>
        <w:t>.</w:t>
      </w:r>
    </w:p>
    <w:p w14:paraId="59701395" w14:textId="77777777" w:rsidR="00AB3DB0" w:rsidRPr="008C162A"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8C162A">
        <w:rPr>
          <w:rFonts w:asciiTheme="minorHAnsi" w:hAnsiTheme="minorHAnsi" w:cstheme="minorHAnsi"/>
          <w:i/>
          <w:color w:val="212529"/>
        </w:rPr>
        <w:t>(2).</w:t>
      </w:r>
      <w:r w:rsidRPr="008C162A">
        <w:rPr>
          <w:rFonts w:asciiTheme="minorHAnsi" w:hAnsiTheme="minorHAnsi" w:cstheme="minorHAnsi"/>
          <w:color w:val="212529"/>
        </w:rPr>
        <w:t xml:space="preserve"> Toutefois, si le lait fait l’objet d’une analyse de la numération cellulaire et de la numération en plaques à chaque collecte de lait cru de vache, et que cela était également courant avant le début de la période de surveillance renforcée, le lait dont l’échantillon représentatif individuel visé à la sous-section 1 est prélevé peut être prélevé et utilisé pour la production de fromages d’une durée </w:t>
      </w:r>
      <w:r w:rsidRPr="008C162A">
        <w:rPr>
          <w:rFonts w:asciiTheme="minorHAnsi" w:hAnsiTheme="minorHAnsi" w:cstheme="minorHAnsi"/>
          <w:color w:val="212529"/>
        </w:rPr>
        <w:lastRenderedPageBreak/>
        <w:t>d’affinage minimale de 60 jours et de produits laitiers produits dans la fabrication de ces fromages.</w:t>
      </w:r>
    </w:p>
    <w:p w14:paraId="3BAC1305" w14:textId="77777777" w:rsidR="00770E03" w:rsidRPr="008C162A"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8C162A"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8C162A">
        <w:rPr>
          <w:rStyle w:val="stknr"/>
          <w:rFonts w:asciiTheme="minorHAnsi" w:hAnsiTheme="minorHAnsi" w:cstheme="minorHAnsi"/>
          <w:i/>
          <w:color w:val="212529"/>
        </w:rPr>
        <w:t>(3)</w:t>
      </w:r>
      <w:r w:rsidRPr="008C162A">
        <w:rPr>
          <w:rFonts w:asciiTheme="minorHAnsi" w:hAnsiTheme="minorHAnsi" w:cstheme="minorHAnsi"/>
          <w:color w:val="212529"/>
        </w:rPr>
        <w:t xml:space="preserve"> Au cours de la période sous contrôle plus strict du critère dépassé, le producteur primaire ne peut commercialiser le lait de vache cru qu’après que tous les échantillons individuels ordinaires prélevés pour l’analyse du critère en question, conformément à la section 17 (1), démontrent que le nombre de cellules dans le lait en vrac ne dépasse pas 400 000 cellules/ml ou que la numération bactérienne dans le lait en vrac ne dépasse pas 100 000 </w:t>
      </w:r>
      <w:proofErr w:type="spellStart"/>
      <w:r w:rsidRPr="008C162A">
        <w:rPr>
          <w:rFonts w:asciiTheme="minorHAnsi" w:hAnsiTheme="minorHAnsi" w:cstheme="minorHAnsi"/>
          <w:color w:val="212529"/>
        </w:rPr>
        <w:t>ufc</w:t>
      </w:r>
      <w:proofErr w:type="spellEnd"/>
      <w:r w:rsidRPr="008C162A">
        <w:rPr>
          <w:rFonts w:asciiTheme="minorHAnsi" w:hAnsiTheme="minorHAnsi" w:cstheme="minorHAnsi"/>
          <w:color w:val="212529"/>
        </w:rPr>
        <w:t>/ml. Lorsque la surveillance renforcée révèle que le nombre de cellules ou le nombre de plaques est dépassé, aucun lait cru de vache provenant de l’exploitation ne peut être mis sur le marché.</w:t>
      </w:r>
    </w:p>
    <w:p w14:paraId="054D5A70" w14:textId="77777777" w:rsidR="000F0A3C" w:rsidRPr="008C162A"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8C162A"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8C162A">
        <w:rPr>
          <w:rStyle w:val="stknr"/>
          <w:rFonts w:asciiTheme="minorHAnsi" w:hAnsiTheme="minorHAnsi" w:cstheme="minorHAnsi"/>
          <w:i/>
          <w:color w:val="212529"/>
        </w:rPr>
        <w:t>(4)</w:t>
      </w:r>
      <w:r w:rsidRPr="008C162A">
        <w:rPr>
          <w:rFonts w:asciiTheme="minorHAnsi" w:hAnsiTheme="minorHAnsi" w:cstheme="minorHAnsi"/>
          <w:color w:val="212529"/>
        </w:rPr>
        <w:t xml:space="preserve"> Pendant la période sous surveillance plus stricte, les opérations de collecte ou de transformation du lait cru de vache doivent immédiatement informer l’Administration Vétérinaire et Alimentaire danoise des résultats des analyses qui entraînent l’interruption ou la reprise de la commercialisation.</w:t>
      </w:r>
    </w:p>
    <w:p w14:paraId="42EB5593" w14:textId="77777777" w:rsidR="000F0A3C" w:rsidRPr="008C162A"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8C162A"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8C162A">
        <w:rPr>
          <w:rStyle w:val="stknr"/>
          <w:rFonts w:asciiTheme="minorHAnsi" w:hAnsiTheme="minorHAnsi" w:cstheme="minorHAnsi"/>
          <w:i/>
          <w:color w:val="212529"/>
        </w:rPr>
        <w:t>(5)</w:t>
      </w:r>
      <w:r w:rsidRPr="008C162A">
        <w:rPr>
          <w:rFonts w:asciiTheme="minorHAnsi" w:hAnsiTheme="minorHAnsi" w:cstheme="minorHAnsi"/>
          <w:color w:val="212529"/>
        </w:rPr>
        <w:t xml:space="preserve"> Les producteurs primaires des troupeaux à partir desquels le lait cru n’est pas collecté ou transformé par un établissement au Danemark souhaitant mettre du lait cru sur le marché pendant une période de surveillance renforcée visée à la sous-section 1, doivent veiller à ce que les échantillons individuels visés aux sous-sections 1-2 soient prélevés et analysés. Le producteur primaire doit veiller à ce que l’Administration Vétérinaire et Alimentaire danoise soit immédiatement informée des résultats d’analyse conduisant à l’interruption ou à la reprise de la mise sur le marché.</w:t>
      </w:r>
    </w:p>
    <w:p w14:paraId="55671073" w14:textId="77777777" w:rsidR="002A2AC6" w:rsidRPr="008C162A"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8C162A"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8C162A">
        <w:rPr>
          <w:rStyle w:val="stknr"/>
          <w:rFonts w:asciiTheme="minorHAnsi" w:hAnsiTheme="minorHAnsi" w:cstheme="minorHAnsi"/>
          <w:i/>
          <w:color w:val="212529"/>
        </w:rPr>
        <w:t>(6)</w:t>
      </w:r>
      <w:r w:rsidRPr="008C162A">
        <w:rPr>
          <w:rFonts w:asciiTheme="minorHAnsi" w:hAnsiTheme="minorHAnsi" w:cstheme="minorHAnsi"/>
          <w:color w:val="212529"/>
        </w:rPr>
        <w:t xml:space="preserve"> La période avec surveillance plus stricte se termine lorsque le critère dépassé pour le dénombrement cellulaire ou le dénombrement bactérien est de nouveau respecté (voir section 15(1)).</w:t>
      </w:r>
    </w:p>
    <w:p w14:paraId="7FBDDDA5" w14:textId="77777777" w:rsidR="000F0A3C" w:rsidRPr="008C162A"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8C162A"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8C162A">
        <w:rPr>
          <w:rStyle w:val="stknr"/>
          <w:rFonts w:asciiTheme="minorHAnsi" w:hAnsiTheme="minorHAnsi" w:cstheme="minorHAnsi"/>
          <w:i/>
          <w:color w:val="212529"/>
        </w:rPr>
        <w:t>(7)</w:t>
      </w:r>
      <w:r w:rsidRPr="008C162A">
        <w:rPr>
          <w:rFonts w:asciiTheme="minorHAnsi" w:hAnsiTheme="minorHAnsi" w:cstheme="minorHAnsi"/>
          <w:color w:val="212529"/>
        </w:rPr>
        <w:t xml:space="preserve"> La période de surveillance renforcée ne doit pas dépasser 60 jours. Si les critères énoncés à la section 15(1) ne sont pas remplis dans les 60 jours suivant une surveillance plus rigoureuse, le producteur primaire doit cesser de commercialiser du lait cru de l’exploitation. La mise sur le marché ne peut être reprise que lorsque le lait répond de nouveau aux critères applicables au lait cru. »</w:t>
      </w:r>
    </w:p>
    <w:p w14:paraId="6E2B2257" w14:textId="77777777" w:rsidR="00F1590B" w:rsidRPr="008C162A"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8C162A"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8C162A"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8C162A">
        <w:rPr>
          <w:rFonts w:asciiTheme="minorHAnsi" w:hAnsiTheme="minorHAnsi" w:cstheme="minorHAnsi"/>
          <w:b/>
          <w:color w:val="212529"/>
        </w:rPr>
        <w:t xml:space="preserve">3. </w:t>
      </w:r>
      <w:r w:rsidRPr="008C162A">
        <w:rPr>
          <w:rFonts w:asciiTheme="minorHAnsi" w:hAnsiTheme="minorHAnsi" w:cstheme="minorHAnsi"/>
          <w:color w:val="212529"/>
        </w:rPr>
        <w:t xml:space="preserve">La </w:t>
      </w:r>
      <w:r w:rsidRPr="008C162A">
        <w:rPr>
          <w:rFonts w:asciiTheme="minorHAnsi" w:hAnsiTheme="minorHAnsi" w:cstheme="minorHAnsi"/>
          <w:i/>
          <w:color w:val="212529"/>
        </w:rPr>
        <w:t xml:space="preserve">Section 17 </w:t>
      </w:r>
      <w:r w:rsidRPr="008C162A">
        <w:rPr>
          <w:rFonts w:asciiTheme="minorHAnsi" w:hAnsiTheme="minorHAnsi" w:cstheme="minorHAnsi"/>
          <w:color w:val="212529"/>
        </w:rPr>
        <w:t>doit être formulée comme suit :</w:t>
      </w:r>
    </w:p>
    <w:p w14:paraId="44382C07" w14:textId="77777777" w:rsidR="0085737E" w:rsidRPr="008C162A"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8C162A" w:rsidRDefault="00F1590B" w:rsidP="0085737E">
      <w:pPr>
        <w:jc w:val="center"/>
        <w:rPr>
          <w:rFonts w:cstheme="minorHAnsi"/>
        </w:rPr>
      </w:pPr>
      <w:r w:rsidRPr="008C162A">
        <w:rPr>
          <w:rFonts w:cstheme="minorHAnsi"/>
        </w:rPr>
        <w:t>« </w:t>
      </w:r>
      <w:r w:rsidRPr="008C162A">
        <w:rPr>
          <w:rFonts w:cstheme="minorHAnsi"/>
          <w:i/>
        </w:rPr>
        <w:t>Contrôle des critères pour le lait cru de vache pendant la période de surveillance renforcée</w:t>
      </w:r>
    </w:p>
    <w:p w14:paraId="5E555615" w14:textId="77777777" w:rsidR="0085737E" w:rsidRPr="008C162A" w:rsidRDefault="0085737E" w:rsidP="0085737E">
      <w:pPr>
        <w:rPr>
          <w:rFonts w:cstheme="minorHAnsi"/>
        </w:rPr>
      </w:pPr>
      <w:r w:rsidRPr="008C162A">
        <w:rPr>
          <w:rFonts w:cstheme="minorHAnsi"/>
          <w:b/>
        </w:rPr>
        <w:t>Section 17</w:t>
      </w:r>
      <w:r w:rsidRPr="008C162A">
        <w:rPr>
          <w:rFonts w:cstheme="minorHAnsi"/>
        </w:rPr>
        <w:t xml:space="preserve"> Les établissements qui collectent ou transforment le lait cru de vache reçu des producteurs primaires dans le cadre d’une surveillance renforcée, voir section 16, doivent s’assurer que des échantillons représentatifs et ordinaires de lait de vache cru sont prélevés au moins une semaine et analysés à une fréquence ordinaire définie, qui est au moins conforme à l’annexe 2. Les échantillons doivent être prélevés lors de leur collecte dans un pétrolier ou lors de leur livraison à une entreprise alimentaire.</w:t>
      </w:r>
    </w:p>
    <w:p w14:paraId="0AD44A49" w14:textId="77777777" w:rsidR="0085737E" w:rsidRPr="008C162A" w:rsidRDefault="0085737E" w:rsidP="0085737E">
      <w:pPr>
        <w:rPr>
          <w:rFonts w:cstheme="minorHAnsi"/>
        </w:rPr>
      </w:pPr>
      <w:r w:rsidRPr="008C162A">
        <w:rPr>
          <w:rFonts w:cstheme="minorHAnsi"/>
          <w:i/>
        </w:rPr>
        <w:t>(2)</w:t>
      </w:r>
      <w:r w:rsidRPr="008C162A">
        <w:rPr>
          <w:rFonts w:cstheme="minorHAnsi"/>
        </w:rPr>
        <w:t xml:space="preserve"> Si l’échantillon visé à la sous-section 1 est prélevé et analysé par un établissement situé au Danemark, aucun autre échantillon de lait cru de vache ne doit être prélevé dans le même réservoir de l’exploitation primaire donnée.</w:t>
      </w:r>
    </w:p>
    <w:p w14:paraId="0D328027" w14:textId="77777777" w:rsidR="00F1590B" w:rsidRPr="008C162A" w:rsidRDefault="0085737E" w:rsidP="0085737E">
      <w:pPr>
        <w:rPr>
          <w:rFonts w:cstheme="minorHAnsi"/>
        </w:rPr>
      </w:pPr>
      <w:r w:rsidRPr="008C162A">
        <w:rPr>
          <w:rFonts w:cstheme="minorHAnsi"/>
          <w:i/>
        </w:rPr>
        <w:t>(3)</w:t>
      </w:r>
      <w:r w:rsidRPr="008C162A">
        <w:rPr>
          <w:rFonts w:cstheme="minorHAnsi"/>
        </w:rPr>
        <w:t xml:space="preserve"> L’établissement doit mettre tous les résultats des analyses à la disposition de l’Administration Vétérinaire et Alimentaire danoise.</w:t>
      </w:r>
    </w:p>
    <w:p w14:paraId="656B2365" w14:textId="77777777" w:rsidR="00A50188" w:rsidRPr="008C162A"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8C162A"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8C162A">
        <w:rPr>
          <w:rFonts w:asciiTheme="minorHAnsi" w:hAnsiTheme="minorHAnsi" w:cstheme="minorHAnsi"/>
          <w:b/>
          <w:color w:val="212529"/>
        </w:rPr>
        <w:t xml:space="preserve">4. </w:t>
      </w:r>
      <w:r w:rsidRPr="008C162A">
        <w:rPr>
          <w:rFonts w:asciiTheme="minorHAnsi" w:hAnsiTheme="minorHAnsi" w:cstheme="minorHAnsi"/>
          <w:color w:val="212529"/>
        </w:rPr>
        <w:t>La</w:t>
      </w:r>
      <w:r w:rsidRPr="008C162A">
        <w:rPr>
          <w:rFonts w:asciiTheme="minorHAnsi" w:hAnsiTheme="minorHAnsi" w:cstheme="minorHAnsi"/>
          <w:i/>
          <w:color w:val="212529"/>
        </w:rPr>
        <w:t xml:space="preserve"> Section 38(4) </w:t>
      </w:r>
      <w:r w:rsidRPr="008C162A">
        <w:rPr>
          <w:rFonts w:asciiTheme="minorHAnsi" w:hAnsiTheme="minorHAnsi" w:cstheme="minorHAnsi"/>
          <w:color w:val="212529"/>
        </w:rPr>
        <w:t>est formulée comme suit :</w:t>
      </w:r>
    </w:p>
    <w:p w14:paraId="74C5A1C3" w14:textId="77777777" w:rsidR="0085737E" w:rsidRPr="008C162A"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8C162A" w:rsidRDefault="00337092" w:rsidP="00A50188">
      <w:pPr>
        <w:spacing w:after="0" w:line="240" w:lineRule="auto"/>
        <w:rPr>
          <w:rFonts w:cstheme="minorHAnsi"/>
          <w:sz w:val="24"/>
          <w:szCs w:val="24"/>
        </w:rPr>
      </w:pPr>
      <w:r w:rsidRPr="008C162A">
        <w:rPr>
          <w:rFonts w:cstheme="minorHAnsi"/>
          <w:i/>
          <w:sz w:val="24"/>
        </w:rPr>
        <w:t>« (4)</w:t>
      </w:r>
      <w:r w:rsidRPr="008C162A">
        <w:rPr>
          <w:rFonts w:cstheme="minorHAnsi"/>
          <w:sz w:val="24"/>
        </w:rPr>
        <w:t xml:space="preserve"> Les animaux de travail spécialement formés pour accomplir une ou plusieurs tâches utiles, telles que la lutte </w:t>
      </w:r>
      <w:proofErr w:type="spellStart"/>
      <w:r w:rsidRPr="008C162A">
        <w:rPr>
          <w:rFonts w:cstheme="minorHAnsi"/>
          <w:sz w:val="24"/>
        </w:rPr>
        <w:t>anti-parasitaire</w:t>
      </w:r>
      <w:proofErr w:type="spellEnd"/>
      <w:r w:rsidRPr="008C162A">
        <w:rPr>
          <w:rFonts w:cstheme="minorHAnsi"/>
          <w:sz w:val="24"/>
        </w:rPr>
        <w:t xml:space="preserve"> ou l’examen organoleptique des aliments, peuvent avoir accès à des entreprises alimentaires lorsque cela se fait dans le cadre du travail d’un acteur professionnel. Il incombe à l’exploitant du secteur alimentaire de veiller à ce que cet accès n’entraîne pas de contamination des denrées alimentaires. »</w:t>
      </w:r>
    </w:p>
    <w:p w14:paraId="72B2E373" w14:textId="77777777" w:rsidR="008A2A56" w:rsidRPr="008C162A" w:rsidRDefault="008A2A56" w:rsidP="00A50188">
      <w:pPr>
        <w:spacing w:after="0" w:line="240" w:lineRule="auto"/>
        <w:rPr>
          <w:rFonts w:cstheme="minorHAnsi"/>
          <w:sz w:val="24"/>
          <w:szCs w:val="24"/>
        </w:rPr>
      </w:pPr>
    </w:p>
    <w:p w14:paraId="13D1AA31" w14:textId="77777777" w:rsidR="00F1590B" w:rsidRPr="008C162A"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8C162A"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8C162A">
        <w:rPr>
          <w:rFonts w:asciiTheme="minorHAnsi" w:hAnsiTheme="minorHAnsi" w:cstheme="minorHAnsi"/>
          <w:b/>
          <w:color w:val="212529"/>
        </w:rPr>
        <w:t xml:space="preserve">5. </w:t>
      </w:r>
      <w:r w:rsidRPr="008C162A">
        <w:rPr>
          <w:rFonts w:asciiTheme="minorHAnsi" w:hAnsiTheme="minorHAnsi" w:cstheme="minorHAnsi"/>
          <w:i/>
          <w:color w:val="212529"/>
        </w:rPr>
        <w:t>L’Annexe 2</w:t>
      </w:r>
      <w:r w:rsidRPr="008C162A">
        <w:rPr>
          <w:rFonts w:asciiTheme="minorHAnsi" w:hAnsiTheme="minorHAnsi" w:cstheme="minorHAnsi"/>
          <w:color w:val="212529"/>
        </w:rPr>
        <w:t xml:space="preserve"> est formulée comme suit : </w:t>
      </w:r>
    </w:p>
    <w:p w14:paraId="1DA2F1A1" w14:textId="77777777" w:rsidR="00D81FFD" w:rsidRPr="008C162A" w:rsidRDefault="00D81FFD" w:rsidP="00CD091A">
      <w:pPr>
        <w:rPr>
          <w:rFonts w:eastAsia="Times New Roman" w:cstheme="minorHAnsi"/>
          <w:color w:val="212529"/>
          <w:sz w:val="24"/>
          <w:szCs w:val="24"/>
          <w:lang w:eastAsia="da-DK"/>
        </w:rPr>
      </w:pPr>
    </w:p>
    <w:p w14:paraId="0F1C6251" w14:textId="77777777" w:rsidR="00D81FFD" w:rsidRPr="008C162A" w:rsidRDefault="00F1590B" w:rsidP="00D81FFD">
      <w:pPr>
        <w:jc w:val="right"/>
        <w:rPr>
          <w:rFonts w:cstheme="minorHAnsi"/>
          <w:b/>
          <w:sz w:val="24"/>
          <w:szCs w:val="24"/>
        </w:rPr>
      </w:pPr>
      <w:r w:rsidRPr="008C162A">
        <w:rPr>
          <w:rFonts w:cstheme="minorHAnsi"/>
          <w:b/>
          <w:sz w:val="24"/>
        </w:rPr>
        <w:t>Annexe 2</w:t>
      </w:r>
    </w:p>
    <w:p w14:paraId="4EF47313" w14:textId="77777777" w:rsidR="00D81FFD" w:rsidRPr="008C162A" w:rsidRDefault="00D81FFD" w:rsidP="00D81FFD">
      <w:pPr>
        <w:rPr>
          <w:rFonts w:cstheme="minorHAnsi"/>
          <w:sz w:val="24"/>
          <w:szCs w:val="24"/>
        </w:rPr>
      </w:pPr>
    </w:p>
    <w:p w14:paraId="12EF7BD8" w14:textId="77777777" w:rsidR="00D81FFD" w:rsidRPr="008C162A" w:rsidRDefault="00D81FFD" w:rsidP="00D81FFD">
      <w:pPr>
        <w:rPr>
          <w:rFonts w:cstheme="minorHAnsi"/>
          <w:sz w:val="24"/>
          <w:szCs w:val="24"/>
        </w:rPr>
      </w:pPr>
      <w:r w:rsidRPr="008C162A">
        <w:rPr>
          <w:rFonts w:cstheme="minorHAnsi"/>
          <w:sz w:val="24"/>
        </w:rPr>
        <w:t>Contrôle des critères applicables au lait cru de vache pendant la période de surveillance renforcée (voir section 16)</w:t>
      </w:r>
    </w:p>
    <w:p w14:paraId="086EBC14" w14:textId="77777777" w:rsidR="00D81FFD" w:rsidRPr="008C162A" w:rsidRDefault="00D81FFD" w:rsidP="00D81FFD">
      <w:pPr>
        <w:rPr>
          <w:rFonts w:cstheme="minorHAnsi"/>
          <w:sz w:val="24"/>
          <w:szCs w:val="24"/>
        </w:rPr>
      </w:pPr>
      <w:r w:rsidRPr="008C162A">
        <w:rPr>
          <w:rFonts w:cstheme="minorHAnsi"/>
          <w:sz w:val="24"/>
        </w:rPr>
        <w:t>Les échantillons doivent être soumis au moins aux examens suivants :</w:t>
      </w:r>
    </w:p>
    <w:tbl>
      <w:tblPr>
        <w:tblStyle w:val="TableGrid"/>
        <w:tblW w:w="9864" w:type="dxa"/>
        <w:tblLook w:val="04A0" w:firstRow="1" w:lastRow="0" w:firstColumn="1" w:lastColumn="0" w:noHBand="0" w:noVBand="1"/>
      </w:tblPr>
      <w:tblGrid>
        <w:gridCol w:w="2407"/>
        <w:gridCol w:w="2643"/>
        <w:gridCol w:w="2407"/>
        <w:gridCol w:w="2407"/>
      </w:tblGrid>
      <w:tr w:rsidR="00D81FFD" w:rsidRPr="008C162A" w14:paraId="361B5020" w14:textId="77777777" w:rsidTr="008C162A">
        <w:tc>
          <w:tcPr>
            <w:tcW w:w="2407" w:type="dxa"/>
          </w:tcPr>
          <w:p w14:paraId="1B31FDFF" w14:textId="77777777" w:rsidR="00D81FFD" w:rsidRPr="008C162A" w:rsidRDefault="00D81FFD" w:rsidP="00D81FFD">
            <w:pPr>
              <w:rPr>
                <w:rFonts w:cstheme="minorHAnsi"/>
                <w:sz w:val="24"/>
                <w:szCs w:val="24"/>
              </w:rPr>
            </w:pPr>
          </w:p>
        </w:tc>
        <w:tc>
          <w:tcPr>
            <w:tcW w:w="2643" w:type="dxa"/>
          </w:tcPr>
          <w:p w14:paraId="67E9D1FD" w14:textId="77777777" w:rsidR="00D81FFD" w:rsidRPr="008C162A" w:rsidRDefault="00D81FFD" w:rsidP="00D81FFD">
            <w:pPr>
              <w:rPr>
                <w:rFonts w:cstheme="minorHAnsi"/>
                <w:b/>
                <w:sz w:val="24"/>
                <w:szCs w:val="24"/>
              </w:rPr>
            </w:pPr>
            <w:r w:rsidRPr="008C162A">
              <w:rPr>
                <w:rFonts w:cstheme="minorHAnsi"/>
                <w:b/>
                <w:sz w:val="24"/>
              </w:rPr>
              <w:t>Détermination du nombre de tôles à 30 °C</w:t>
            </w:r>
          </w:p>
        </w:tc>
        <w:tc>
          <w:tcPr>
            <w:tcW w:w="2407" w:type="dxa"/>
          </w:tcPr>
          <w:p w14:paraId="1029B326" w14:textId="77777777" w:rsidR="00D81FFD" w:rsidRPr="008C162A" w:rsidRDefault="00D81FFD" w:rsidP="00D81FFD">
            <w:pPr>
              <w:rPr>
                <w:rFonts w:cstheme="minorHAnsi"/>
                <w:b/>
                <w:sz w:val="24"/>
                <w:szCs w:val="24"/>
              </w:rPr>
            </w:pPr>
            <w:r w:rsidRPr="008C162A">
              <w:rPr>
                <w:rFonts w:cstheme="minorHAnsi"/>
                <w:b/>
                <w:sz w:val="24"/>
              </w:rPr>
              <w:t>Détermination du nombre de cellules</w:t>
            </w:r>
          </w:p>
        </w:tc>
        <w:tc>
          <w:tcPr>
            <w:tcW w:w="2407" w:type="dxa"/>
          </w:tcPr>
          <w:p w14:paraId="2ACA8349" w14:textId="77777777" w:rsidR="00D81FFD" w:rsidRPr="008C162A" w:rsidRDefault="00D81FFD" w:rsidP="00D81FFD">
            <w:pPr>
              <w:rPr>
                <w:rFonts w:cstheme="minorHAnsi"/>
                <w:b/>
                <w:sz w:val="24"/>
                <w:szCs w:val="24"/>
              </w:rPr>
            </w:pPr>
            <w:r w:rsidRPr="008C162A">
              <w:rPr>
                <w:rFonts w:cstheme="minorHAnsi"/>
                <w:b/>
                <w:sz w:val="24"/>
              </w:rPr>
              <w:t>Détermination de la teneur en résidus d’antibiotiques</w:t>
            </w:r>
          </w:p>
        </w:tc>
      </w:tr>
      <w:tr w:rsidR="00D81FFD" w:rsidRPr="008C162A" w14:paraId="0CDC8AB3" w14:textId="77777777" w:rsidTr="008C162A">
        <w:tc>
          <w:tcPr>
            <w:tcW w:w="2407" w:type="dxa"/>
          </w:tcPr>
          <w:p w14:paraId="50DDB5D7" w14:textId="77777777" w:rsidR="00D81FFD" w:rsidRPr="008C162A" w:rsidRDefault="00D81FFD" w:rsidP="00D81FFD">
            <w:pPr>
              <w:rPr>
                <w:rFonts w:cstheme="minorHAnsi"/>
                <w:b/>
                <w:sz w:val="24"/>
                <w:szCs w:val="24"/>
              </w:rPr>
            </w:pPr>
            <w:r w:rsidRPr="008C162A">
              <w:rPr>
                <w:rFonts w:cstheme="minorHAnsi"/>
                <w:b/>
                <w:sz w:val="24"/>
              </w:rPr>
              <w:t>Fréquence sous une surveillance plus stricte</w:t>
            </w:r>
          </w:p>
        </w:tc>
        <w:tc>
          <w:tcPr>
            <w:tcW w:w="2643" w:type="dxa"/>
          </w:tcPr>
          <w:p w14:paraId="6495C741" w14:textId="77777777" w:rsidR="00D81FFD" w:rsidRPr="008C162A" w:rsidRDefault="00D81FFD" w:rsidP="00D81FFD">
            <w:pPr>
              <w:rPr>
                <w:rFonts w:cstheme="minorHAnsi"/>
                <w:sz w:val="24"/>
                <w:szCs w:val="24"/>
              </w:rPr>
            </w:pPr>
            <w:r w:rsidRPr="008C162A">
              <w:rPr>
                <w:rFonts w:cstheme="minorHAnsi"/>
                <w:sz w:val="24"/>
              </w:rPr>
              <w:t>1 fois pour chaque semaine</w:t>
            </w:r>
          </w:p>
        </w:tc>
        <w:tc>
          <w:tcPr>
            <w:tcW w:w="2407" w:type="dxa"/>
          </w:tcPr>
          <w:p w14:paraId="6109F3C2" w14:textId="77777777" w:rsidR="00D81FFD" w:rsidRPr="008C162A" w:rsidRDefault="00D81FFD" w:rsidP="00D81FFD">
            <w:pPr>
              <w:rPr>
                <w:rFonts w:cstheme="minorHAnsi"/>
                <w:sz w:val="24"/>
                <w:szCs w:val="24"/>
              </w:rPr>
            </w:pPr>
            <w:r w:rsidRPr="008C162A">
              <w:rPr>
                <w:rFonts w:cstheme="minorHAnsi"/>
                <w:sz w:val="24"/>
              </w:rPr>
              <w:t>1 fois pour chaque semaine</w:t>
            </w:r>
          </w:p>
        </w:tc>
        <w:tc>
          <w:tcPr>
            <w:tcW w:w="2407" w:type="dxa"/>
          </w:tcPr>
          <w:p w14:paraId="55D94FF0" w14:textId="77777777" w:rsidR="00D81FFD" w:rsidRPr="008C162A" w:rsidRDefault="00D81FFD" w:rsidP="00D81FFD">
            <w:pPr>
              <w:rPr>
                <w:rFonts w:cstheme="minorHAnsi"/>
                <w:sz w:val="24"/>
                <w:szCs w:val="24"/>
              </w:rPr>
            </w:pPr>
            <w:r w:rsidRPr="008C162A">
              <w:rPr>
                <w:rFonts w:cstheme="minorHAnsi"/>
                <w:sz w:val="24"/>
              </w:rPr>
              <w:t>1 fois toutes les quatre semaines</w:t>
            </w:r>
          </w:p>
        </w:tc>
      </w:tr>
    </w:tbl>
    <w:p w14:paraId="03C1A6B5" w14:textId="77777777" w:rsidR="00D81FFD" w:rsidRPr="008C162A" w:rsidRDefault="00D81FFD" w:rsidP="00D81FFD">
      <w:pPr>
        <w:rPr>
          <w:rFonts w:cstheme="minorHAnsi"/>
          <w:sz w:val="24"/>
          <w:szCs w:val="24"/>
        </w:rPr>
      </w:pPr>
    </w:p>
    <w:p w14:paraId="372531A4" w14:textId="14E74DFD" w:rsidR="00D81FFD" w:rsidRPr="008C162A" w:rsidRDefault="00F80EAE" w:rsidP="00F80EAE">
      <w:pPr>
        <w:rPr>
          <w:rFonts w:cstheme="minorHAnsi"/>
          <w:sz w:val="24"/>
          <w:szCs w:val="24"/>
        </w:rPr>
      </w:pPr>
      <w:r w:rsidRPr="008C162A">
        <w:rPr>
          <w:rFonts w:cstheme="minorHAnsi"/>
          <w:sz w:val="24"/>
        </w:rPr>
        <w:t>En cas de détection de résidus d’antibiotiques supérieurs à la limite maximale de résidus de la substance en question, l’examen est répété au cours de chacune des quatre semaines suivantes. »</w:t>
      </w:r>
    </w:p>
    <w:p w14:paraId="28EE29C9" w14:textId="77777777" w:rsidR="000F0A3C" w:rsidRPr="008C162A" w:rsidRDefault="000F0A3C" w:rsidP="00F80EAE">
      <w:pPr>
        <w:rPr>
          <w:rFonts w:cstheme="minorHAnsi"/>
          <w:sz w:val="24"/>
          <w:szCs w:val="24"/>
        </w:rPr>
      </w:pPr>
    </w:p>
    <w:p w14:paraId="53C5C941" w14:textId="77777777" w:rsidR="000F0A3C" w:rsidRPr="008C162A" w:rsidRDefault="000F0A3C" w:rsidP="00F80EAE">
      <w:pPr>
        <w:rPr>
          <w:rFonts w:cstheme="minorHAnsi"/>
          <w:sz w:val="24"/>
          <w:szCs w:val="24"/>
        </w:rPr>
      </w:pPr>
    </w:p>
    <w:p w14:paraId="65C69628" w14:textId="77777777" w:rsidR="000F0A3C" w:rsidRPr="008C162A" w:rsidRDefault="000F0A3C" w:rsidP="000F0A3C">
      <w:pPr>
        <w:jc w:val="center"/>
        <w:rPr>
          <w:rFonts w:cstheme="minorHAnsi"/>
          <w:b/>
          <w:sz w:val="24"/>
          <w:szCs w:val="24"/>
        </w:rPr>
      </w:pPr>
      <w:r w:rsidRPr="008C162A">
        <w:rPr>
          <w:rFonts w:cstheme="minorHAnsi"/>
          <w:b/>
          <w:sz w:val="24"/>
        </w:rPr>
        <w:t>Section 2</w:t>
      </w:r>
    </w:p>
    <w:p w14:paraId="0E7B6AAE" w14:textId="77777777" w:rsidR="0015460A" w:rsidRPr="008C162A" w:rsidRDefault="0015460A" w:rsidP="000F0A3C">
      <w:pPr>
        <w:rPr>
          <w:rFonts w:cstheme="minorHAnsi"/>
          <w:sz w:val="24"/>
          <w:szCs w:val="24"/>
        </w:rPr>
      </w:pPr>
      <w:r w:rsidRPr="008C162A">
        <w:rPr>
          <w:rFonts w:cstheme="minorHAnsi"/>
          <w:i/>
          <w:sz w:val="24"/>
        </w:rPr>
        <w:t xml:space="preserve">(1) </w:t>
      </w:r>
      <w:r w:rsidRPr="008C162A">
        <w:rPr>
          <w:rFonts w:cstheme="minorHAnsi"/>
          <w:sz w:val="24"/>
        </w:rPr>
        <w:t xml:space="preserve">La présente ordonnance entre en vigueur le 1er janvier 2022. </w:t>
      </w:r>
    </w:p>
    <w:p w14:paraId="2FB84923" w14:textId="77777777" w:rsidR="000F0A3C" w:rsidRPr="008C162A" w:rsidRDefault="0015460A" w:rsidP="000F0A3C">
      <w:pPr>
        <w:rPr>
          <w:rFonts w:cstheme="minorHAnsi"/>
          <w:sz w:val="24"/>
          <w:szCs w:val="24"/>
        </w:rPr>
      </w:pPr>
      <w:r w:rsidRPr="008C162A">
        <w:rPr>
          <w:rFonts w:cstheme="minorHAnsi"/>
          <w:i/>
          <w:sz w:val="24"/>
        </w:rPr>
        <w:t xml:space="preserve">(2) </w:t>
      </w:r>
      <w:r w:rsidRPr="008C162A">
        <w:rPr>
          <w:rFonts w:cstheme="minorHAnsi"/>
          <w:sz w:val="24"/>
        </w:rPr>
        <w:t>L’ordonnance n° 497 du 23 mars 2021 relative à l’hygiène alimentaire est abrogée.</w:t>
      </w:r>
    </w:p>
    <w:sectPr w:rsidR="000F0A3C" w:rsidRPr="008C162A"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CF28" w14:textId="77777777" w:rsidR="003F1895" w:rsidRDefault="003F1895" w:rsidP="00A50188">
      <w:pPr>
        <w:spacing w:after="0" w:line="240" w:lineRule="auto"/>
      </w:pPr>
      <w:r>
        <w:separator/>
      </w:r>
    </w:p>
  </w:endnote>
  <w:endnote w:type="continuationSeparator" w:id="0">
    <w:p w14:paraId="4E02C294" w14:textId="77777777" w:rsidR="003F1895" w:rsidRDefault="003F1895"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D63C" w14:textId="77777777" w:rsidR="003F1895" w:rsidRDefault="003F1895" w:rsidP="00A50188">
      <w:pPr>
        <w:spacing w:after="0" w:line="240" w:lineRule="auto"/>
      </w:pPr>
      <w:r>
        <w:separator/>
      </w:r>
    </w:p>
  </w:footnote>
  <w:footnote w:type="continuationSeparator" w:id="0">
    <w:p w14:paraId="14BDAA7F" w14:textId="77777777" w:rsidR="003F1895" w:rsidRDefault="003F1895"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3F1895"/>
    <w:rsid w:val="00401EFA"/>
    <w:rsid w:val="004D3390"/>
    <w:rsid w:val="00536C63"/>
    <w:rsid w:val="00547B2F"/>
    <w:rsid w:val="0059020A"/>
    <w:rsid w:val="00606DB6"/>
    <w:rsid w:val="006E1949"/>
    <w:rsid w:val="00745CF7"/>
    <w:rsid w:val="007471C9"/>
    <w:rsid w:val="00770E03"/>
    <w:rsid w:val="007C370C"/>
    <w:rsid w:val="007F718C"/>
    <w:rsid w:val="0085737E"/>
    <w:rsid w:val="008A2A56"/>
    <w:rsid w:val="008B2F9D"/>
    <w:rsid w:val="008C162A"/>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1154</Words>
  <Characters>6579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6</cp:revision>
  <cp:lastPrinted>2021-06-23T14:05:00Z</cp:lastPrinted>
  <dcterms:created xsi:type="dcterms:W3CDTF">2021-08-11T06:31:00Z</dcterms:created>
  <dcterms:modified xsi:type="dcterms:W3CDTF">2021-08-19T09:18:00Z</dcterms:modified>
</cp:coreProperties>
</file>