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AE84A7" w14:textId="75EF08F9" w:rsidR="00817DDD" w:rsidRPr="00817DDD" w:rsidRDefault="00817DDD" w:rsidP="00817DDD">
      <w:pPr>
        <w:spacing w:after="120"/>
        <w:ind w:right="14"/>
        <w:jc w:val="center"/>
        <w:rPr>
          <w:rFonts w:ascii="Courier New" w:hAnsi="Courier New" w:cs="Courier New"/>
          <w:sz w:val="20"/>
          <w:szCs w:val="20"/>
        </w:rPr>
      </w:pPr>
      <w:r>
        <w:rPr>
          <w:rFonts w:ascii="Courier New" w:hAnsi="Courier New"/>
          <w:sz w:val="20"/>
          <w:szCs w:val="20"/>
        </w:rPr>
        <w:t>1. ------IND- 2020 0468 F-- LT- ------ 20200729 --- --- PROJET</w:t>
      </w:r>
    </w:p>
    <w:tbl>
      <w:tblPr>
        <w:tblStyle w:val="1"/>
        <w:tblW w:w="3982" w:type="dxa"/>
        <w:tblInd w:w="0" w:type="dxa"/>
        <w:tblLayout w:type="fixed"/>
        <w:tblLook w:val="0000" w:firstRow="0" w:lastRow="0" w:firstColumn="0" w:lastColumn="0" w:noHBand="0" w:noVBand="0"/>
      </w:tblPr>
      <w:tblGrid>
        <w:gridCol w:w="1527"/>
        <w:gridCol w:w="967"/>
        <w:gridCol w:w="1488"/>
      </w:tblGrid>
      <w:tr w:rsidR="00EF7252" w14:paraId="000CF195" w14:textId="77777777" w:rsidTr="00817DDD">
        <w:tc>
          <w:tcPr>
            <w:tcW w:w="3982" w:type="dxa"/>
            <w:gridSpan w:val="3"/>
            <w:shd w:val="clear" w:color="auto" w:fill="auto"/>
          </w:tcPr>
          <w:p w14:paraId="00000004" w14:textId="77777777" w:rsidR="00EF7252" w:rsidRDefault="007C6B33" w:rsidP="00081B50">
            <w:pPr>
              <w:pBdr>
                <w:top w:val="nil"/>
                <w:left w:val="nil"/>
                <w:bottom w:val="nil"/>
                <w:right w:val="nil"/>
                <w:between w:val="nil"/>
              </w:pBdr>
              <w:jc w:val="center"/>
              <w:rPr>
                <w:b/>
                <w:color w:val="000000"/>
              </w:rPr>
            </w:pPr>
            <w:r>
              <w:rPr>
                <w:b/>
                <w:color w:val="000000"/>
              </w:rPr>
              <w:t>PRANCŪZIJOS RESPUBLIKA</w:t>
            </w:r>
          </w:p>
        </w:tc>
      </w:tr>
      <w:tr w:rsidR="00EF7252" w14:paraId="0B9C9F19" w14:textId="77777777" w:rsidTr="00817DDD">
        <w:tc>
          <w:tcPr>
            <w:tcW w:w="1527" w:type="dxa"/>
            <w:shd w:val="clear" w:color="auto" w:fill="auto"/>
          </w:tcPr>
          <w:p w14:paraId="00000007" w14:textId="77777777" w:rsidR="00EF7252" w:rsidRDefault="00EF7252" w:rsidP="00081B50"/>
        </w:tc>
        <w:tc>
          <w:tcPr>
            <w:tcW w:w="967" w:type="dxa"/>
            <w:shd w:val="clear" w:color="auto" w:fill="auto"/>
          </w:tcPr>
          <w:p w14:paraId="00000008" w14:textId="77777777" w:rsidR="00EF7252" w:rsidRDefault="00EF7252" w:rsidP="00081B50"/>
        </w:tc>
        <w:tc>
          <w:tcPr>
            <w:tcW w:w="1488" w:type="dxa"/>
            <w:shd w:val="clear" w:color="auto" w:fill="auto"/>
          </w:tcPr>
          <w:p w14:paraId="00000009" w14:textId="77777777" w:rsidR="00EF7252" w:rsidRDefault="00EF7252" w:rsidP="00081B50"/>
        </w:tc>
      </w:tr>
      <w:tr w:rsidR="00EF7252" w14:paraId="12903DE1" w14:textId="77777777" w:rsidTr="00817DDD">
        <w:tc>
          <w:tcPr>
            <w:tcW w:w="3982" w:type="dxa"/>
            <w:gridSpan w:val="3"/>
            <w:shd w:val="clear" w:color="auto" w:fill="auto"/>
          </w:tcPr>
          <w:p w14:paraId="0000000B" w14:textId="7F1B9FCF" w:rsidR="00EF7252" w:rsidRDefault="007C6B33" w:rsidP="00081B50">
            <w:pPr>
              <w:pBdr>
                <w:top w:val="nil"/>
                <w:left w:val="nil"/>
                <w:bottom w:val="nil"/>
                <w:right w:val="nil"/>
                <w:between w:val="nil"/>
              </w:pBdr>
              <w:spacing w:before="120"/>
              <w:jc w:val="center"/>
              <w:rPr>
                <w:color w:val="000000"/>
              </w:rPr>
            </w:pPr>
            <w:r>
              <w:rPr>
                <w:color w:val="000000"/>
              </w:rPr>
              <w:t>Perėjimo prie ekologiškos ekonomikos ministerija bei ekonomikos ir finansų ministerija</w:t>
            </w:r>
          </w:p>
        </w:tc>
      </w:tr>
      <w:tr w:rsidR="00EF7252" w14:paraId="42A29FEC" w14:textId="77777777" w:rsidTr="00817DDD">
        <w:tc>
          <w:tcPr>
            <w:tcW w:w="1527" w:type="dxa"/>
            <w:shd w:val="clear" w:color="auto" w:fill="auto"/>
          </w:tcPr>
          <w:p w14:paraId="0000000E" w14:textId="77777777" w:rsidR="00EF7252" w:rsidRDefault="00EF7252" w:rsidP="00081B50"/>
        </w:tc>
        <w:tc>
          <w:tcPr>
            <w:tcW w:w="967" w:type="dxa"/>
            <w:shd w:val="clear" w:color="auto" w:fill="auto"/>
          </w:tcPr>
          <w:p w14:paraId="0000000F" w14:textId="77777777" w:rsidR="00EF7252" w:rsidRDefault="00EF7252" w:rsidP="00081B50"/>
        </w:tc>
        <w:tc>
          <w:tcPr>
            <w:tcW w:w="1488" w:type="dxa"/>
            <w:shd w:val="clear" w:color="auto" w:fill="auto"/>
          </w:tcPr>
          <w:p w14:paraId="00000010" w14:textId="77777777" w:rsidR="00EF7252" w:rsidRDefault="00EF7252" w:rsidP="00081B50"/>
        </w:tc>
      </w:tr>
      <w:tr w:rsidR="00EF7252" w14:paraId="73DDF771" w14:textId="77777777" w:rsidTr="00817DDD">
        <w:tc>
          <w:tcPr>
            <w:tcW w:w="1527" w:type="dxa"/>
            <w:shd w:val="clear" w:color="auto" w:fill="auto"/>
          </w:tcPr>
          <w:p w14:paraId="00000011" w14:textId="77777777" w:rsidR="00EF7252" w:rsidRDefault="00EF7252" w:rsidP="00081B50"/>
        </w:tc>
        <w:tc>
          <w:tcPr>
            <w:tcW w:w="967" w:type="dxa"/>
            <w:shd w:val="clear" w:color="auto" w:fill="auto"/>
          </w:tcPr>
          <w:p w14:paraId="00000012" w14:textId="77777777" w:rsidR="00EF7252" w:rsidRDefault="00EF7252" w:rsidP="00081B50"/>
        </w:tc>
        <w:tc>
          <w:tcPr>
            <w:tcW w:w="1488" w:type="dxa"/>
            <w:shd w:val="clear" w:color="auto" w:fill="auto"/>
          </w:tcPr>
          <w:p w14:paraId="00000013" w14:textId="77777777" w:rsidR="00EF7252" w:rsidRDefault="00EF7252" w:rsidP="00081B50"/>
        </w:tc>
      </w:tr>
    </w:tbl>
    <w:p w14:paraId="00000014" w14:textId="655CC705" w:rsidR="00EF7252" w:rsidRDefault="007C6B33" w:rsidP="00081B50">
      <w:pPr>
        <w:pBdr>
          <w:top w:val="nil"/>
          <w:left w:val="nil"/>
          <w:bottom w:val="nil"/>
          <w:right w:val="nil"/>
          <w:between w:val="nil"/>
        </w:pBdr>
        <w:spacing w:before="720" w:after="120"/>
        <w:jc w:val="center"/>
        <w:rPr>
          <w:b/>
          <w:color w:val="000000"/>
        </w:rPr>
      </w:pPr>
      <w:r>
        <w:rPr>
          <w:b/>
          <w:color w:val="000000"/>
        </w:rPr>
        <w:t>2020 m. xxx xx d. Dekretas Nr. 2020-xxx</w:t>
      </w:r>
      <w:r>
        <w:rPr>
          <w:b/>
          <w:color w:val="000000"/>
        </w:rPr>
        <w:br/>
        <w:t>dėl elektros ir elektroninė įrangos taisomumo indekso</w:t>
      </w:r>
    </w:p>
    <w:p w14:paraId="00000015" w14:textId="3A2425A6" w:rsidR="00EF7252" w:rsidRDefault="00817DDD" w:rsidP="00081B50">
      <w:pPr>
        <w:pBdr>
          <w:top w:val="nil"/>
          <w:left w:val="nil"/>
          <w:bottom w:val="nil"/>
          <w:right w:val="nil"/>
          <w:between w:val="nil"/>
        </w:pBdr>
        <w:jc w:val="center"/>
        <w:rPr>
          <w:i/>
          <w:color w:val="000000"/>
        </w:rPr>
      </w:pPr>
      <w:r>
        <w:rPr>
          <w:color w:val="000000"/>
        </w:rPr>
        <w:t>NOR:</w:t>
      </w:r>
    </w:p>
    <w:p w14:paraId="00000016" w14:textId="334BF5BD" w:rsidR="00EF7252" w:rsidRDefault="007C6B33" w:rsidP="00081B50">
      <w:pPr>
        <w:pBdr>
          <w:top w:val="nil"/>
          <w:left w:val="nil"/>
          <w:bottom w:val="nil"/>
          <w:right w:val="nil"/>
          <w:between w:val="nil"/>
        </w:pBdr>
        <w:spacing w:before="720" w:after="240"/>
        <w:ind w:firstLine="720"/>
        <w:jc w:val="both"/>
        <w:rPr>
          <w:b/>
          <w:i/>
          <w:color w:val="000000"/>
        </w:rPr>
      </w:pPr>
      <w:r>
        <w:rPr>
          <w:b/>
          <w:bCs/>
          <w:i/>
          <w:color w:val="000000"/>
        </w:rPr>
        <w:t>Susiję subjektai</w:t>
      </w:r>
      <w:r>
        <w:rPr>
          <w:i/>
          <w:color w:val="000000"/>
        </w:rPr>
        <w:t xml:space="preserve">: elektros ir elektroninės įrangos gamintojai, importuotojai, platintojai ir kiti teikėjai rinkai, įrangos pardavėjai ir asmenys, parduodantys ją per interneto svetainę, platformą ar kitu platinimo būdu internetu, užsiimdami komercine veikla Prancūzijoje. </w:t>
      </w:r>
    </w:p>
    <w:p w14:paraId="00000017" w14:textId="77777777" w:rsidR="00EF7252" w:rsidRDefault="007C6B33" w:rsidP="00081B50">
      <w:pPr>
        <w:pBdr>
          <w:top w:val="nil"/>
          <w:left w:val="nil"/>
          <w:bottom w:val="nil"/>
          <w:right w:val="nil"/>
          <w:between w:val="nil"/>
        </w:pBdr>
        <w:spacing w:before="120" w:after="240"/>
        <w:ind w:firstLine="720"/>
        <w:jc w:val="both"/>
        <w:rPr>
          <w:b/>
          <w:i/>
          <w:color w:val="000000"/>
        </w:rPr>
      </w:pPr>
      <w:r>
        <w:rPr>
          <w:b/>
          <w:bCs/>
          <w:i/>
          <w:color w:val="000000"/>
        </w:rPr>
        <w:t>Objektas</w:t>
      </w:r>
      <w:r>
        <w:rPr>
          <w:i/>
          <w:color w:val="000000"/>
        </w:rPr>
        <w:t>: Aplinkosaugos kodekso L. 541-9-2 straipsnyje apibrėžto taisomumo indekso taikymo tvarka.</w:t>
      </w:r>
    </w:p>
    <w:p w14:paraId="00000018" w14:textId="77777777" w:rsidR="00EF7252" w:rsidRDefault="007C6B33" w:rsidP="00081B50">
      <w:pPr>
        <w:pBdr>
          <w:top w:val="nil"/>
          <w:left w:val="nil"/>
          <w:bottom w:val="nil"/>
          <w:right w:val="nil"/>
          <w:between w:val="nil"/>
        </w:pBdr>
        <w:spacing w:before="120" w:after="240"/>
        <w:ind w:firstLine="720"/>
        <w:rPr>
          <w:b/>
          <w:i/>
          <w:color w:val="000000"/>
        </w:rPr>
      </w:pPr>
      <w:r>
        <w:rPr>
          <w:b/>
          <w:i/>
          <w:color w:val="000000"/>
        </w:rPr>
        <w:t>Įsigaliojimas:</w:t>
      </w:r>
      <w:r>
        <w:rPr>
          <w:i/>
          <w:color w:val="000000"/>
        </w:rPr>
        <w:t xml:space="preserve"> dokumentas įsigalioja 2021 m. sausio 1 d..</w:t>
      </w:r>
    </w:p>
    <w:p w14:paraId="00000019" w14:textId="77777777" w:rsidR="00EF7252" w:rsidRDefault="007C6B33" w:rsidP="00081B50">
      <w:pPr>
        <w:pBdr>
          <w:top w:val="nil"/>
          <w:left w:val="nil"/>
          <w:bottom w:val="nil"/>
          <w:right w:val="nil"/>
          <w:between w:val="nil"/>
        </w:pBdr>
        <w:spacing w:before="120" w:after="240"/>
        <w:ind w:firstLine="720"/>
        <w:jc w:val="both"/>
        <w:rPr>
          <w:i/>
          <w:color w:val="000000"/>
        </w:rPr>
      </w:pPr>
      <w:r>
        <w:rPr>
          <w:b/>
          <w:bCs/>
          <w:i/>
          <w:color w:val="000000"/>
        </w:rPr>
        <w:t>Santrauka</w:t>
      </w:r>
      <w:r>
        <w:rPr>
          <w:i/>
          <w:color w:val="000000"/>
        </w:rPr>
        <w:t>: šiuo dekretu nustatoma Aplinkosaugos kodekso L. 541-9-2 straipsnio, kuriame numatyta įgyvendinti taisomumo indeksą tam tikrų kategorijų elektros ir elektroninei įrangai, taikymo tvarka. Juo nustatomi būtent šio indekso nustatymo kriterijai ir skaičiavimo metodas. Atitinkamos įrangos gamintojai ir importuotojai platintojams ir bet kokiam prašančiam asmeniui nemokamai pateikia taisomumo indeksą ir skaičiavimo parametrus. Platintojai, įskaitant nuotolinės prekybos platintojus, vartotojus pirkimo metu nemokamai ženklais, etiketėmis, rodymo priemonėmis ar kitu tinkamu būdu informuoja apie susijusios įrangos taisomumo indeksą.</w:t>
      </w:r>
    </w:p>
    <w:p w14:paraId="0000001A" w14:textId="77777777" w:rsidR="00EF7252" w:rsidRDefault="007C6B33" w:rsidP="00081B50">
      <w:pPr>
        <w:pBdr>
          <w:top w:val="nil"/>
          <w:left w:val="nil"/>
          <w:bottom w:val="nil"/>
          <w:right w:val="nil"/>
          <w:between w:val="nil"/>
        </w:pBdr>
        <w:spacing w:before="120" w:after="240"/>
        <w:ind w:firstLine="720"/>
        <w:jc w:val="both"/>
        <w:rPr>
          <w:b/>
          <w:color w:val="000000"/>
        </w:rPr>
      </w:pPr>
      <w:r>
        <w:rPr>
          <w:b/>
          <w:i/>
          <w:color w:val="000000"/>
        </w:rPr>
        <w:t>Nuorodos:</w:t>
      </w:r>
      <w:r>
        <w:rPr>
          <w:i/>
          <w:color w:val="000000"/>
        </w:rPr>
        <w:t xml:space="preserve"> šį dekretą galima gauti „Légifrance“ interneto svetainėje (</w:t>
      </w:r>
      <w:hyperlink r:id="rId8">
        <w:r>
          <w:rPr>
            <w:i/>
            <w:color w:val="000000"/>
            <w:u w:val="single"/>
          </w:rPr>
          <w:t>http://www.legifrance.gouv.fr</w:t>
        </w:r>
      </w:hyperlink>
      <w:r>
        <w:t>).]</w:t>
      </w:r>
    </w:p>
    <w:p w14:paraId="0000001C" w14:textId="77777777" w:rsidR="00EF7252" w:rsidRDefault="007C6B33" w:rsidP="00081B50">
      <w:pPr>
        <w:pBdr>
          <w:top w:val="nil"/>
          <w:left w:val="nil"/>
          <w:bottom w:val="nil"/>
          <w:right w:val="nil"/>
          <w:between w:val="nil"/>
        </w:pBdr>
        <w:spacing w:before="720" w:after="240"/>
        <w:ind w:firstLine="720"/>
        <w:rPr>
          <w:b/>
          <w:color w:val="000000"/>
        </w:rPr>
      </w:pPr>
      <w:r>
        <w:rPr>
          <w:b/>
          <w:color w:val="000000"/>
        </w:rPr>
        <w:t>Ministras Pirmininkas,</w:t>
      </w:r>
    </w:p>
    <w:p w14:paraId="0000001D" w14:textId="1AE9E289" w:rsidR="00EF7252" w:rsidRDefault="007C6B33" w:rsidP="00081B50">
      <w:pPr>
        <w:pBdr>
          <w:top w:val="nil"/>
          <w:left w:val="nil"/>
          <w:bottom w:val="nil"/>
          <w:right w:val="nil"/>
          <w:between w:val="nil"/>
        </w:pBdr>
        <w:spacing w:before="120" w:after="120"/>
        <w:ind w:firstLine="709"/>
        <w:jc w:val="both"/>
        <w:rPr>
          <w:color w:val="000000"/>
        </w:rPr>
      </w:pPr>
      <w:r>
        <w:rPr>
          <w:color w:val="000000"/>
        </w:rPr>
        <w:t>remdamasis perėjimo prie ekologiškos ekonomikos ministrės bei ekonomikos ir finansų ministro ataskaita,</w:t>
      </w:r>
    </w:p>
    <w:p w14:paraId="0000001E"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atsižvelgdamas į 2008 m. lapkričio 19 d. Europos Parlamento ir Tarybos direktyvą 2008/98/EB dėl atliekų ir panaikinančią kai kurias direktyvas,</w:t>
      </w:r>
    </w:p>
    <w:p w14:paraId="0000001F"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atsižvelgdamas į 2015 m. rugsėjo 9 d. Europos Parlamento ir Tarybos direktyvą (ES) 2015/1535, kuria nustatoma informacijos apie techninius reglamentus ir informacinės visuomenės paslaugų taisykles teikimo tvarka,</w:t>
      </w:r>
    </w:p>
    <w:p w14:paraId="00000020" w14:textId="7BD1B620" w:rsidR="00EF7252" w:rsidRDefault="007C6B33" w:rsidP="00081B50">
      <w:pPr>
        <w:pBdr>
          <w:top w:val="nil"/>
          <w:left w:val="nil"/>
          <w:bottom w:val="nil"/>
          <w:right w:val="nil"/>
          <w:between w:val="nil"/>
        </w:pBdr>
        <w:spacing w:before="120" w:after="120"/>
        <w:ind w:firstLine="709"/>
        <w:jc w:val="both"/>
        <w:rPr>
          <w:color w:val="000000"/>
        </w:rPr>
      </w:pPr>
      <w:r>
        <w:rPr>
          <w:color w:val="000000"/>
        </w:rPr>
        <w:lastRenderedPageBreak/>
        <w:t xml:space="preserve">atsižvelgdamas į Vartotojų reikalų kodeksą, ypač į jo įžanginį straipsnį su pakeitimais, padarytais 2017 m. vasario 21 d. Įstatymu Nr. 2017-203, kuriuo ratifikuojamas 2016 m. kovo 14 d. Potvarkis Nr. 2016-301 ir 2016 m. kovo 25 d. Potvarkis Nr. 2016-351, </w:t>
      </w:r>
    </w:p>
    <w:p w14:paraId="00000021"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atsižvelgdamas į Aplinkosaugos kodeksą, ypač į jo L. 541-9-2 straipsnį su pakeitimais, padarytais 2020 m. vasario 10 d. Įstatymo Nr. 2020-105 dėl kovos su švaistymu ir žiedinės ekonomikos 16 straipsnį,</w:t>
      </w:r>
    </w:p>
    <w:p w14:paraId="00000022"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atsižvelgdamas į pranešimą Nr. XXXX/XXXX/X      Europos Komisijai pagal Direktyvą (ES) 2015/1535,</w:t>
      </w:r>
    </w:p>
    <w:p w14:paraId="00000023"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Valstybės tarybai (viešųjų darbų skyriui) susipažinus,</w:t>
      </w:r>
    </w:p>
    <w:p w14:paraId="00000024" w14:textId="77777777" w:rsidR="00EF7252" w:rsidRDefault="007C6B33" w:rsidP="00081B50">
      <w:pPr>
        <w:pBdr>
          <w:top w:val="nil"/>
          <w:left w:val="nil"/>
          <w:bottom w:val="nil"/>
          <w:right w:val="nil"/>
          <w:between w:val="nil"/>
        </w:pBdr>
        <w:spacing w:before="480" w:after="360"/>
        <w:jc w:val="center"/>
        <w:rPr>
          <w:b/>
          <w:color w:val="000000"/>
        </w:rPr>
      </w:pPr>
      <w:r>
        <w:rPr>
          <w:b/>
          <w:color w:val="000000"/>
        </w:rPr>
        <w:t>priėmė šį dekretą:</w:t>
      </w:r>
    </w:p>
    <w:p w14:paraId="00000025" w14:textId="77777777" w:rsidR="00EF7252" w:rsidRDefault="007C6B33" w:rsidP="00081B50">
      <w:pPr>
        <w:keepNext/>
        <w:keepLines/>
        <w:pBdr>
          <w:top w:val="nil"/>
          <w:left w:val="nil"/>
          <w:bottom w:val="nil"/>
          <w:right w:val="nil"/>
          <w:between w:val="nil"/>
        </w:pBdr>
        <w:spacing w:after="120"/>
        <w:jc w:val="center"/>
        <w:rPr>
          <w:b/>
          <w:color w:val="000000"/>
        </w:rPr>
      </w:pPr>
      <w:r>
        <w:rPr>
          <w:b/>
          <w:color w:val="000000"/>
        </w:rPr>
        <w:t>1 straipsnis</w:t>
      </w:r>
    </w:p>
    <w:p w14:paraId="00000026" w14:textId="77777777" w:rsidR="00EF7252" w:rsidRDefault="007C6B33" w:rsidP="00081B50">
      <w:pPr>
        <w:pBdr>
          <w:top w:val="nil"/>
          <w:left w:val="nil"/>
          <w:bottom w:val="nil"/>
          <w:right w:val="nil"/>
          <w:between w:val="nil"/>
        </w:pBdr>
        <w:spacing w:after="120"/>
        <w:jc w:val="both"/>
        <w:rPr>
          <w:color w:val="000000"/>
        </w:rPr>
      </w:pPr>
      <w:r>
        <w:rPr>
          <w:color w:val="000000"/>
        </w:rPr>
        <w:t>Aplinkosaugos kodekso reglamentuojamosios dalies V knygos IV antraštinėje dalyje įterpiamas šis IV skyrius ir 1 skirsnis:</w:t>
      </w:r>
    </w:p>
    <w:p w14:paraId="00000027" w14:textId="77777777" w:rsidR="00EF7252" w:rsidRDefault="007C6B33" w:rsidP="00081B50">
      <w:pPr>
        <w:pBdr>
          <w:top w:val="nil"/>
          <w:left w:val="nil"/>
          <w:bottom w:val="nil"/>
          <w:right w:val="nil"/>
          <w:between w:val="nil"/>
        </w:pBdr>
        <w:spacing w:after="120"/>
        <w:jc w:val="both"/>
        <w:rPr>
          <w:color w:val="000000"/>
        </w:rPr>
      </w:pPr>
      <w:r>
        <w:rPr>
          <w:color w:val="000000"/>
        </w:rPr>
        <w:t>„IV skyrius</w:t>
      </w:r>
    </w:p>
    <w:p w14:paraId="00000028" w14:textId="77777777" w:rsidR="00EF7252" w:rsidRDefault="007C6B33" w:rsidP="00081B50">
      <w:pPr>
        <w:pBdr>
          <w:top w:val="nil"/>
          <w:left w:val="nil"/>
          <w:bottom w:val="nil"/>
          <w:right w:val="nil"/>
          <w:between w:val="nil"/>
        </w:pBdr>
        <w:spacing w:after="120"/>
        <w:jc w:val="both"/>
        <w:rPr>
          <w:color w:val="000000"/>
        </w:rPr>
      </w:pPr>
      <w:r>
        <w:rPr>
          <w:color w:val="000000"/>
        </w:rPr>
        <w:t>Informacija visuomenei apie produktus, dėl kurių susidaro atliekų</w:t>
      </w:r>
    </w:p>
    <w:p w14:paraId="00000029" w14:textId="77777777" w:rsidR="00EF7252" w:rsidRDefault="007C6B33" w:rsidP="00081B50">
      <w:pPr>
        <w:pBdr>
          <w:top w:val="nil"/>
          <w:left w:val="nil"/>
          <w:bottom w:val="nil"/>
          <w:right w:val="nil"/>
          <w:between w:val="nil"/>
        </w:pBdr>
        <w:spacing w:after="120"/>
        <w:jc w:val="both"/>
        <w:rPr>
          <w:color w:val="000000"/>
        </w:rPr>
      </w:pPr>
      <w:r>
        <w:rPr>
          <w:color w:val="000000"/>
        </w:rPr>
        <w:t>1 skirsnis</w:t>
      </w:r>
    </w:p>
    <w:p w14:paraId="0000002A" w14:textId="77777777" w:rsidR="00EF7252" w:rsidRDefault="007C6B33" w:rsidP="00081B50">
      <w:pPr>
        <w:pBdr>
          <w:top w:val="nil"/>
          <w:left w:val="nil"/>
          <w:bottom w:val="nil"/>
          <w:right w:val="nil"/>
          <w:between w:val="nil"/>
        </w:pBdr>
        <w:spacing w:after="120"/>
        <w:jc w:val="both"/>
        <w:rPr>
          <w:color w:val="000000"/>
        </w:rPr>
      </w:pPr>
      <w:r>
        <w:rPr>
          <w:color w:val="000000"/>
        </w:rPr>
        <w:t>Taisomumo indekso rodymas</w:t>
      </w:r>
    </w:p>
    <w:p w14:paraId="0000002B" w14:textId="77777777" w:rsidR="00EF7252" w:rsidRDefault="00EF7252" w:rsidP="00081B50">
      <w:pPr>
        <w:pBdr>
          <w:top w:val="nil"/>
          <w:left w:val="nil"/>
          <w:bottom w:val="nil"/>
          <w:right w:val="nil"/>
          <w:between w:val="nil"/>
        </w:pBdr>
        <w:spacing w:after="120"/>
        <w:jc w:val="both"/>
        <w:rPr>
          <w:color w:val="000000"/>
        </w:rPr>
      </w:pPr>
    </w:p>
    <w:p w14:paraId="0000002C" w14:textId="77777777" w:rsidR="00EF7252" w:rsidRPr="00570781" w:rsidRDefault="007C6B33" w:rsidP="00081B50">
      <w:pPr>
        <w:pBdr>
          <w:top w:val="nil"/>
          <w:left w:val="nil"/>
          <w:bottom w:val="nil"/>
          <w:right w:val="nil"/>
          <w:between w:val="nil"/>
        </w:pBdr>
        <w:spacing w:after="120"/>
        <w:jc w:val="both"/>
        <w:rPr>
          <w:color w:val="000000"/>
          <w:spacing w:val="-4"/>
        </w:rPr>
      </w:pPr>
      <w:bookmarkStart w:id="0" w:name="_heading=h.gjdgxs"/>
      <w:bookmarkEnd w:id="0"/>
      <w:r w:rsidRPr="00570781">
        <w:rPr>
          <w:color w:val="000000"/>
          <w:spacing w:val="-4"/>
        </w:rPr>
        <w:t>R. 544-1. Elektros ir elektroninės įrangos taisomumo indeksas, apibrėžtas Aplinkosaugos kodekso L. 541-9-2 straipsnyje, yra reitingas dešimtbalėje sistemoje, teikiamas vartotojams įsigyjant naują įrangą.</w:t>
      </w:r>
    </w:p>
    <w:p w14:paraId="0000002D" w14:textId="277E27B0" w:rsidR="00EF7252" w:rsidRDefault="007C6B33" w:rsidP="00081B50">
      <w:pPr>
        <w:pBdr>
          <w:top w:val="nil"/>
          <w:left w:val="nil"/>
          <w:bottom w:val="nil"/>
          <w:right w:val="nil"/>
          <w:between w:val="nil"/>
        </w:pBdr>
        <w:spacing w:after="120"/>
        <w:jc w:val="both"/>
        <w:rPr>
          <w:color w:val="000000"/>
        </w:rPr>
      </w:pPr>
      <w:r>
        <w:rPr>
          <w:color w:val="000000"/>
        </w:rPr>
        <w:t xml:space="preserve">Šis indeksas taikomas kiekvienam tos įrangos modeliui. </w:t>
      </w:r>
    </w:p>
    <w:p w14:paraId="0000002E" w14:textId="77777777" w:rsidR="00EF7252" w:rsidRDefault="00EF7252" w:rsidP="00081B50">
      <w:pPr>
        <w:pBdr>
          <w:top w:val="nil"/>
          <w:left w:val="nil"/>
          <w:bottom w:val="nil"/>
          <w:right w:val="nil"/>
          <w:between w:val="nil"/>
        </w:pBdr>
        <w:spacing w:after="120"/>
        <w:jc w:val="both"/>
        <w:rPr>
          <w:color w:val="000000"/>
        </w:rPr>
      </w:pPr>
    </w:p>
    <w:p w14:paraId="0000002F"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R. 544-2 straipsnis. Šiame dekrete:</w:t>
      </w:r>
    </w:p>
    <w:p w14:paraId="00000030" w14:textId="77777777" w:rsidR="00EF7252" w:rsidRDefault="007C6B33" w:rsidP="00081B50">
      <w:pPr>
        <w:pBdr>
          <w:top w:val="nil"/>
          <w:left w:val="nil"/>
          <w:bottom w:val="nil"/>
          <w:right w:val="nil"/>
          <w:between w:val="nil"/>
        </w:pBdr>
        <w:spacing w:after="120"/>
        <w:jc w:val="both"/>
        <w:rPr>
          <w:color w:val="000000"/>
        </w:rPr>
      </w:pPr>
      <w:r>
        <w:rPr>
          <w:color w:val="000000"/>
        </w:rPr>
        <w:t>1) tiekimas rinkai – bet koks šalies rinkoje platinti ar naudoti skirtos elektros ar elektroninės įrangos teikimas vykdant ekonominę veiklą už atlygį ar nemokamai;</w:t>
      </w:r>
    </w:p>
    <w:p w14:paraId="00000031" w14:textId="77777777" w:rsidR="00EF7252" w:rsidRDefault="007C6B33" w:rsidP="00081B50">
      <w:pPr>
        <w:pBdr>
          <w:top w:val="nil"/>
          <w:left w:val="nil"/>
          <w:bottom w:val="nil"/>
          <w:right w:val="nil"/>
          <w:between w:val="nil"/>
        </w:pBdr>
        <w:spacing w:after="120"/>
        <w:jc w:val="both"/>
        <w:rPr>
          <w:color w:val="000000"/>
        </w:rPr>
      </w:pPr>
      <w:r>
        <w:rPr>
          <w:color w:val="000000"/>
        </w:rPr>
        <w:t>2) pateikimas rinkai – elektros ar elektroninės įrangos tiekimas šalies rinkai pirmą kartą;</w:t>
      </w:r>
    </w:p>
    <w:p w14:paraId="00000032" w14:textId="77777777" w:rsidR="00EF7252" w:rsidRDefault="007C6B33" w:rsidP="00081B50">
      <w:pPr>
        <w:pBdr>
          <w:top w:val="nil"/>
          <w:left w:val="nil"/>
          <w:bottom w:val="nil"/>
          <w:right w:val="nil"/>
          <w:between w:val="nil"/>
        </w:pBdr>
        <w:spacing w:after="120"/>
        <w:jc w:val="both"/>
        <w:rPr>
          <w:color w:val="000000"/>
        </w:rPr>
      </w:pPr>
      <w:r>
        <w:rPr>
          <w:color w:val="000000"/>
        </w:rPr>
        <w:t>3) gamintojas – fizinis arba juridinis asmuo, kuris gamina elektros ar elektroninę įrangą arba kuris užsako ją suprojektuoti ir ją parduoda savo vardu ar naudodamas savo prekių ženklą;</w:t>
      </w:r>
    </w:p>
    <w:p w14:paraId="00000033" w14:textId="19CACFEF" w:rsidR="00EF7252" w:rsidRDefault="007C6B33" w:rsidP="00081B50">
      <w:pPr>
        <w:pBdr>
          <w:top w:val="nil"/>
          <w:left w:val="nil"/>
          <w:bottom w:val="nil"/>
          <w:right w:val="nil"/>
          <w:between w:val="nil"/>
        </w:pBdr>
        <w:spacing w:after="120"/>
        <w:jc w:val="both"/>
        <w:rPr>
          <w:color w:val="000000"/>
        </w:rPr>
      </w:pPr>
      <w:r>
        <w:rPr>
          <w:color w:val="000000"/>
        </w:rPr>
        <w:t>4) importuotojas – bet koks fizinis ar juridinis asmuo, šalies rinkai teikiantis elektros ar elektroninę įrangą iš Europos Sąjungos valstybių narių ar trečiųjų šalių;</w:t>
      </w:r>
    </w:p>
    <w:p w14:paraId="00000034" w14:textId="08141F57" w:rsidR="00EF7252" w:rsidRDefault="007C6B33" w:rsidP="00081B50">
      <w:pPr>
        <w:pBdr>
          <w:top w:val="nil"/>
          <w:left w:val="nil"/>
          <w:bottom w:val="nil"/>
          <w:right w:val="nil"/>
          <w:between w:val="nil"/>
        </w:pBdr>
        <w:spacing w:after="120"/>
        <w:jc w:val="both"/>
        <w:rPr>
          <w:color w:val="000000"/>
        </w:rPr>
      </w:pPr>
      <w:r>
        <w:rPr>
          <w:color w:val="000000"/>
        </w:rPr>
        <w:t>5) platintojas – tiekimo grandinėje veikiantis fizinis arba juridinis asmuo, kuris siūlo parduoti elektros ar elektroninę įrangą ir nėra nei gamintojas, nei importuotojas;</w:t>
      </w:r>
    </w:p>
    <w:p w14:paraId="00000035" w14:textId="77777777" w:rsidR="00EF7252" w:rsidRDefault="007C6B33" w:rsidP="00081B50">
      <w:pPr>
        <w:pBdr>
          <w:top w:val="nil"/>
          <w:left w:val="nil"/>
          <w:bottom w:val="nil"/>
          <w:right w:val="nil"/>
          <w:between w:val="nil"/>
        </w:pBdr>
        <w:spacing w:after="120"/>
        <w:jc w:val="both"/>
        <w:rPr>
          <w:color w:val="000000"/>
        </w:rPr>
      </w:pPr>
      <w:r>
        <w:rPr>
          <w:color w:val="000000"/>
        </w:rPr>
        <w:t xml:space="preserve">6) pardavėjas – bet koks fizinis ar juridinis asmuo, kuris, vykdydamas komercinę veiklą, tiekia rinkai vartotojams parduodamas, taip pat nuotoliniu būdu, elektros ir elektroninę įrangą; </w:t>
      </w:r>
    </w:p>
    <w:p w14:paraId="00000036" w14:textId="77777777" w:rsidR="00EF7252" w:rsidRPr="00570781" w:rsidRDefault="007C6B33" w:rsidP="00081B50">
      <w:pPr>
        <w:pBdr>
          <w:top w:val="nil"/>
          <w:left w:val="nil"/>
          <w:bottom w:val="nil"/>
          <w:right w:val="nil"/>
          <w:between w:val="nil"/>
        </w:pBdr>
        <w:spacing w:after="120"/>
        <w:jc w:val="both"/>
        <w:rPr>
          <w:b/>
          <w:color w:val="000000"/>
          <w:spacing w:val="-4"/>
        </w:rPr>
      </w:pPr>
      <w:r w:rsidRPr="00570781">
        <w:rPr>
          <w:color w:val="000000"/>
          <w:spacing w:val="-4"/>
        </w:rPr>
        <w:t>7) nuotolinė prekyba – profesionalaus prekiautojo ir vartotojo nuotoliniu būdu sudaryta sutartis pagal organizuotą pirkimo–pardavimo sistemą prekiautojui ir vartotojui fiziškai kartu nedalyvaujant ir išskirtinai naudojantis viena arba daugiau nuotolinio ryšio priemonių iki sutarties sudarymo;</w:t>
      </w:r>
    </w:p>
    <w:p w14:paraId="00000037" w14:textId="77777777" w:rsidR="00EF7252" w:rsidRDefault="007C6B33" w:rsidP="00081B50">
      <w:pPr>
        <w:pBdr>
          <w:top w:val="nil"/>
          <w:left w:val="nil"/>
          <w:bottom w:val="nil"/>
          <w:right w:val="nil"/>
          <w:between w:val="nil"/>
        </w:pBdr>
        <w:spacing w:after="120"/>
        <w:jc w:val="both"/>
        <w:rPr>
          <w:color w:val="000000"/>
        </w:rPr>
      </w:pPr>
      <w:r>
        <w:rPr>
          <w:color w:val="000000"/>
        </w:rPr>
        <w:t>8) modelis – įrangos versija, kurios visi vienetai pasižymi tomis pačiomis techninėmis charakteristikomis, svarbiomis skaičiuojant taisomumo indeksą.</w:t>
      </w:r>
    </w:p>
    <w:p w14:paraId="00000038" w14:textId="77777777" w:rsidR="00EF7252" w:rsidRDefault="00EF7252" w:rsidP="00081B50">
      <w:pPr>
        <w:pBdr>
          <w:top w:val="nil"/>
          <w:left w:val="nil"/>
          <w:bottom w:val="nil"/>
          <w:right w:val="nil"/>
          <w:between w:val="nil"/>
        </w:pBdr>
        <w:spacing w:after="120"/>
        <w:jc w:val="both"/>
        <w:rPr>
          <w:color w:val="000000"/>
        </w:rPr>
      </w:pPr>
    </w:p>
    <w:p w14:paraId="0000003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544-3 straipsnis.</w:t>
      </w:r>
    </w:p>
    <w:p w14:paraId="23CD9B35" w14:textId="77777777" w:rsidR="00081B50" w:rsidRDefault="007C6B33" w:rsidP="00081B50">
      <w:pPr>
        <w:pBdr>
          <w:top w:val="nil"/>
          <w:left w:val="nil"/>
          <w:bottom w:val="nil"/>
          <w:right w:val="nil"/>
          <w:between w:val="nil"/>
        </w:pBdr>
        <w:spacing w:after="120"/>
        <w:jc w:val="both"/>
        <w:rPr>
          <w:color w:val="000000"/>
        </w:rPr>
      </w:pPr>
      <w:r>
        <w:rPr>
          <w:color w:val="000000"/>
        </w:rPr>
        <w:t>I. Gamintojai ar importuotojai elektros ir elektroninėi įrangai, kurią jie teikia rinkai, nustato taisomumo indeksą ir parametrus, kuriais jis yra grindžiamas, laikydamiesi šiame nutarime nustatytos tvarkos.</w:t>
      </w:r>
    </w:p>
    <w:p w14:paraId="0000003C" w14:textId="02B801ED" w:rsidR="00EF7252" w:rsidRDefault="007C6B33" w:rsidP="00081B50">
      <w:pPr>
        <w:pBdr>
          <w:top w:val="nil"/>
          <w:left w:val="nil"/>
          <w:bottom w:val="nil"/>
          <w:right w:val="nil"/>
          <w:between w:val="nil"/>
        </w:pBdr>
        <w:spacing w:after="120"/>
        <w:jc w:val="both"/>
        <w:rPr>
          <w:color w:val="000000"/>
        </w:rPr>
      </w:pPr>
      <w:r>
        <w:rPr>
          <w:color w:val="000000"/>
        </w:rPr>
        <w:t>II. Gamintojai ir importuotojai nemokamai skaitmeniniu būdu elektros ir elektroninės įrangos susiejimo ir tiekimo metu platintojams ir pardavėjams teikia kiekvieno rinkai teikiamos modelio:</w:t>
      </w:r>
    </w:p>
    <w:p w14:paraId="0000003D" w14:textId="2E1C1C4A" w:rsidR="00EF7252" w:rsidRDefault="007C6B33" w:rsidP="00081B50">
      <w:pPr>
        <w:pBdr>
          <w:top w:val="nil"/>
          <w:left w:val="nil"/>
          <w:bottom w:val="nil"/>
          <w:right w:val="nil"/>
          <w:between w:val="nil"/>
        </w:pBdr>
        <w:spacing w:after="120"/>
        <w:jc w:val="both"/>
        <w:rPr>
          <w:color w:val="000000"/>
        </w:rPr>
      </w:pPr>
      <w:r>
        <w:rPr>
          <w:color w:val="000000"/>
        </w:rPr>
        <w:t>a) taisomumo indeksą, atsižvelgdami į nutarime nustatytą tvarką ir ženklus,</w:t>
      </w:r>
    </w:p>
    <w:p w14:paraId="0000003E" w14:textId="433562A7" w:rsidR="00EF7252" w:rsidRDefault="00535D26" w:rsidP="00081B50">
      <w:pPr>
        <w:pBdr>
          <w:top w:val="nil"/>
          <w:left w:val="nil"/>
          <w:bottom w:val="nil"/>
          <w:right w:val="nil"/>
          <w:between w:val="nil"/>
        </w:pBdr>
        <w:spacing w:after="120"/>
        <w:jc w:val="both"/>
        <w:rPr>
          <w:color w:val="000000"/>
        </w:rPr>
      </w:pPr>
      <w:r>
        <w:rPr>
          <w:color w:val="000000"/>
        </w:rPr>
        <w:t xml:space="preserve">b) parametrus, kuriais šis taisomumo indeksas buvo nustatytas, nutarime numatytu formatu. </w:t>
      </w:r>
    </w:p>
    <w:p w14:paraId="0000003F" w14:textId="77777777" w:rsidR="00EF7252" w:rsidRDefault="007C6B33" w:rsidP="00081B50">
      <w:pPr>
        <w:pBdr>
          <w:top w:val="nil"/>
          <w:left w:val="nil"/>
          <w:bottom w:val="nil"/>
          <w:right w:val="nil"/>
          <w:between w:val="nil"/>
        </w:pBdr>
        <w:spacing w:after="120"/>
        <w:jc w:val="both"/>
        <w:rPr>
          <w:color w:val="000000"/>
        </w:rPr>
      </w:pPr>
      <w:r>
        <w:rPr>
          <w:color w:val="000000"/>
        </w:rPr>
        <w:t>III. Jei pardavėjas ir platintojas skiriasi, platintojas tomis pačiomis a ir b punktuose nurodytomis sąlygomis elektros ir elektroninės įrangos susiejimo ir tiekimo metu nemokamai pateikia indeksą ir savo skaičiavimo parametrus pardavėjui.</w:t>
      </w:r>
    </w:p>
    <w:p w14:paraId="00000040" w14:textId="5D5D04B5" w:rsidR="00EF7252" w:rsidRDefault="007C6B33" w:rsidP="00081B50">
      <w:pPr>
        <w:pBdr>
          <w:top w:val="nil"/>
          <w:left w:val="nil"/>
          <w:bottom w:val="nil"/>
          <w:right w:val="nil"/>
          <w:between w:val="nil"/>
        </w:pBdr>
        <w:spacing w:after="120"/>
        <w:jc w:val="both"/>
        <w:rPr>
          <w:color w:val="000000"/>
        </w:rPr>
      </w:pPr>
      <w:r>
        <w:rPr>
          <w:color w:val="000000"/>
        </w:rPr>
        <w:t>IV. Indeksas taip pat gali būti pateikiamas tiesiogiai ant kiekvieno modelio vieneto arba pakuotės etikete ar ženklu, laikantis nutarime nustatytų ženklinimo taisyklių.</w:t>
      </w:r>
    </w:p>
    <w:p w14:paraId="00000041" w14:textId="7B50DCAD" w:rsidR="00EF7252" w:rsidRDefault="00535D26" w:rsidP="00081B50">
      <w:pPr>
        <w:pBdr>
          <w:top w:val="nil"/>
          <w:left w:val="nil"/>
          <w:bottom w:val="nil"/>
          <w:right w:val="nil"/>
          <w:between w:val="nil"/>
        </w:pBdr>
        <w:spacing w:after="120"/>
        <w:jc w:val="both"/>
        <w:rPr>
          <w:color w:val="000000"/>
        </w:rPr>
      </w:pPr>
      <w:r>
        <w:rPr>
          <w:color w:val="000000"/>
        </w:rPr>
        <w:t>V. 2 punkte nurodytą informaciją gamintojai ir importuotojai teikia nemokamai per 15 dienų kiekvienam to prašančiam asmeniui bent dvejus metus po paskutinio įrangos modelio vieneto pateikimo rinkai.</w:t>
      </w:r>
    </w:p>
    <w:p w14:paraId="00000042" w14:textId="77777777" w:rsidR="00EF7252" w:rsidRDefault="00EF7252" w:rsidP="00081B50">
      <w:pPr>
        <w:pBdr>
          <w:top w:val="nil"/>
          <w:left w:val="nil"/>
          <w:bottom w:val="nil"/>
          <w:right w:val="nil"/>
          <w:between w:val="nil"/>
        </w:pBdr>
        <w:spacing w:after="120"/>
        <w:jc w:val="both"/>
        <w:rPr>
          <w:strike/>
          <w:color w:val="000000"/>
        </w:rPr>
      </w:pPr>
    </w:p>
    <w:p w14:paraId="00000043"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544-4 straipsnis.</w:t>
      </w:r>
    </w:p>
    <w:p w14:paraId="00000044"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Kai elektros ar elektroninė įranga siūloma parduoti parduotuvėje, pardavėjas matomai ant parduodamos įrangos ar visai šalia jos pateikia gamintojo ar importuotojo nurodytą taisomumo indeksą, laikydamasis šiame nutarime nustatytos tvarkos ir ženklinimo. </w:t>
      </w:r>
    </w:p>
    <w:p w14:paraId="00000045" w14:textId="5D2DF6CE" w:rsidR="00EF7252" w:rsidRDefault="007C6B33" w:rsidP="00081B50">
      <w:pPr>
        <w:pBdr>
          <w:top w:val="nil"/>
          <w:left w:val="nil"/>
          <w:bottom w:val="nil"/>
          <w:right w:val="nil"/>
          <w:between w:val="nil"/>
        </w:pBdr>
        <w:spacing w:after="120"/>
        <w:jc w:val="both"/>
        <w:rPr>
          <w:color w:val="000000"/>
        </w:rPr>
      </w:pPr>
      <w:r>
        <w:rPr>
          <w:color w:val="000000"/>
        </w:rPr>
        <w:t>II. Kai elektros ar elektroninė įranga siūloma teikti nuotolinės prekybos būdu, pardavėjas matomai teikia taisomumo indeksą demonstruodamas įrangą greta kainos, laikydamasis šiame nutarime nustatytos tvarkos ir ženklinimo.</w:t>
      </w:r>
    </w:p>
    <w:p w14:paraId="00000046" w14:textId="77777777" w:rsidR="00EF7252" w:rsidRDefault="007C6B33" w:rsidP="00081B50">
      <w:pPr>
        <w:pBdr>
          <w:top w:val="nil"/>
          <w:left w:val="nil"/>
          <w:bottom w:val="nil"/>
          <w:right w:val="nil"/>
          <w:between w:val="nil"/>
        </w:pBdr>
        <w:spacing w:after="120"/>
        <w:jc w:val="both"/>
        <w:rPr>
          <w:color w:val="000000"/>
        </w:rPr>
      </w:pPr>
      <w:r>
        <w:rPr>
          <w:color w:val="000000"/>
        </w:rPr>
        <w:t>III. Pardavėjas vartotojams bet kokiu tinkamu būdu nutarime nustatytu formatu taip pat nurodo parametrus, kuriais remiantis buvo nustatytas įrangos taisomumo indeksas.</w:t>
      </w:r>
    </w:p>
    <w:p w14:paraId="773EA3DE" w14:textId="77777777" w:rsidR="00081B50" w:rsidRDefault="00081B50" w:rsidP="00081B50">
      <w:pPr>
        <w:pBdr>
          <w:top w:val="nil"/>
          <w:left w:val="nil"/>
          <w:bottom w:val="nil"/>
          <w:right w:val="nil"/>
          <w:between w:val="nil"/>
        </w:pBdr>
        <w:spacing w:after="120"/>
        <w:jc w:val="both"/>
        <w:rPr>
          <w:color w:val="000000"/>
        </w:rPr>
      </w:pPr>
    </w:p>
    <w:p w14:paraId="00000047" w14:textId="197437DE" w:rsidR="00EF7252" w:rsidRDefault="007C6B33" w:rsidP="00081B50">
      <w:pPr>
        <w:pBdr>
          <w:top w:val="nil"/>
          <w:left w:val="nil"/>
          <w:bottom w:val="nil"/>
          <w:right w:val="nil"/>
          <w:between w:val="nil"/>
        </w:pBdr>
        <w:spacing w:after="120"/>
        <w:jc w:val="both"/>
        <w:rPr>
          <w:strike/>
          <w:color w:val="000000"/>
        </w:rPr>
      </w:pPr>
      <w:r>
        <w:rPr>
          <w:color w:val="000000"/>
        </w:rPr>
        <w:t xml:space="preserve">544-5 straipsnis. Taisomumo indeksą ir parametrus, kuriais remiantis jis buvo nustatytas, gamintojai ir importuotojai teikia bent dvejus metus po atitinkamos įrangos paskutinio modelio vieneto pateikimo rinkai. </w:t>
      </w:r>
    </w:p>
    <w:p w14:paraId="00000048" w14:textId="77777777" w:rsidR="00EF7252" w:rsidRDefault="00EF7252" w:rsidP="00081B50">
      <w:pPr>
        <w:pBdr>
          <w:top w:val="nil"/>
          <w:left w:val="nil"/>
          <w:bottom w:val="nil"/>
          <w:right w:val="nil"/>
          <w:between w:val="nil"/>
        </w:pBdr>
        <w:spacing w:after="120"/>
        <w:jc w:val="both"/>
        <w:rPr>
          <w:strike/>
          <w:color w:val="000000"/>
        </w:rPr>
      </w:pPr>
    </w:p>
    <w:p w14:paraId="0000004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544-6 straipsnis. </w:t>
      </w:r>
    </w:p>
    <w:p w14:paraId="0000004A"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Taisomumo indeksas apskaičiuojamas pagal šiuos parametrus: </w:t>
      </w:r>
    </w:p>
    <w:p w14:paraId="0000004B" w14:textId="548716C4" w:rsidR="00EF7252" w:rsidRDefault="007C6B33" w:rsidP="00081B50">
      <w:pPr>
        <w:pBdr>
          <w:top w:val="nil"/>
          <w:left w:val="nil"/>
          <w:bottom w:val="nil"/>
          <w:right w:val="nil"/>
          <w:between w:val="nil"/>
        </w:pBdr>
        <w:spacing w:after="120"/>
        <w:jc w:val="both"/>
        <w:rPr>
          <w:color w:val="000000"/>
        </w:rPr>
      </w:pPr>
      <w:r>
        <w:rPr>
          <w:color w:val="000000"/>
        </w:rPr>
        <w:t xml:space="preserve">a) reitingu dvidešimties balų skalėje, susijusiu su techninių dokumentų prieinamumu gamintojams, remontininkams ir vartotojams bei naudojimo ir priežiūros rekomendacijomis; </w:t>
      </w:r>
    </w:p>
    <w:p w14:paraId="0000004C" w14:textId="4296823E" w:rsidR="00EF7252" w:rsidRDefault="007C6B33" w:rsidP="00081B50">
      <w:pPr>
        <w:pBdr>
          <w:top w:val="nil"/>
          <w:left w:val="nil"/>
          <w:bottom w:val="nil"/>
          <w:right w:val="nil"/>
          <w:between w:val="nil"/>
        </w:pBdr>
        <w:spacing w:after="120"/>
        <w:jc w:val="both"/>
        <w:rPr>
          <w:color w:val="000000"/>
        </w:rPr>
      </w:pPr>
      <w:r>
        <w:rPr>
          <w:color w:val="000000"/>
        </w:rPr>
        <w:t>b) reitingu dvidešimties balų skalėje, susijusiu su galimybe įrangą išmontuoti: išmontavimo etapų skaičiumi, kad būtų galima individualiai pasiekti atskiras dalis, reikalingų įrankių charakteristikomis ir atskirų dalių tvirtinimo detalėmis;</w:t>
      </w:r>
    </w:p>
    <w:p w14:paraId="0000004D" w14:textId="74B0C666" w:rsidR="00EF7252" w:rsidRDefault="007C6B33" w:rsidP="00081B50">
      <w:pPr>
        <w:pBdr>
          <w:top w:val="nil"/>
          <w:left w:val="nil"/>
          <w:bottom w:val="nil"/>
          <w:right w:val="nil"/>
          <w:between w:val="nil"/>
        </w:pBdr>
        <w:spacing w:after="120"/>
        <w:jc w:val="both"/>
        <w:rPr>
          <w:color w:val="000000"/>
        </w:rPr>
      </w:pPr>
      <w:r>
        <w:rPr>
          <w:color w:val="000000"/>
        </w:rPr>
        <w:t>c) reitingu dvidešimties balų skalėje, susijusiu su galimybės rinkoje įsigyti atskirų dalių trukme ir tiekimo terminais gamintojams, atsarginių dalių platintojams, remontininkams ir vartotojams;</w:t>
      </w:r>
    </w:p>
    <w:p w14:paraId="0000004E" w14:textId="20211C48" w:rsidR="00EF7252" w:rsidRDefault="007C6B33" w:rsidP="00081B50">
      <w:pPr>
        <w:pBdr>
          <w:top w:val="nil"/>
          <w:left w:val="nil"/>
          <w:bottom w:val="nil"/>
          <w:right w:val="nil"/>
          <w:between w:val="nil"/>
        </w:pBdr>
        <w:spacing w:after="120"/>
        <w:jc w:val="both"/>
        <w:rPr>
          <w:color w:val="000000"/>
        </w:rPr>
      </w:pPr>
      <w:r>
        <w:rPr>
          <w:color w:val="000000"/>
        </w:rPr>
        <w:lastRenderedPageBreak/>
        <w:t>d) reitingu dvidešimties balų skalėje, susijusiu su santykiu tarp gamintojo ar importuotojo parduodamų detalių kainos ir gamintojo ar importuotojo įrangos pardavimo kainos, apskaičiuojamu nutarime nustatytą tvarka;</w:t>
      </w:r>
    </w:p>
    <w:p w14:paraId="0000004F" w14:textId="695D1F87" w:rsidR="00EF7252" w:rsidRDefault="007C6B33" w:rsidP="00081B50">
      <w:pPr>
        <w:pBdr>
          <w:top w:val="nil"/>
          <w:left w:val="nil"/>
          <w:bottom w:val="nil"/>
          <w:right w:val="nil"/>
          <w:between w:val="nil"/>
        </w:pBdr>
        <w:spacing w:after="120"/>
        <w:jc w:val="both"/>
        <w:rPr>
          <w:color w:val="000000"/>
        </w:rPr>
      </w:pPr>
      <w:r>
        <w:rPr>
          <w:color w:val="000000"/>
        </w:rPr>
        <w:t>e) reitingu dvidešimties balų skalėje, susijusiu su specifiniais atitinkamai įrangos kategorijai taikomais kriterijais.</w:t>
      </w:r>
    </w:p>
    <w:p w14:paraId="00000051" w14:textId="1A917FCE" w:rsidR="00EF7252" w:rsidRDefault="007C6B33" w:rsidP="00081B50">
      <w:pPr>
        <w:pBdr>
          <w:top w:val="nil"/>
          <w:left w:val="nil"/>
          <w:bottom w:val="nil"/>
          <w:right w:val="nil"/>
          <w:between w:val="nil"/>
        </w:pBdr>
        <w:spacing w:after="120"/>
        <w:jc w:val="both"/>
        <w:rPr>
          <w:color w:val="000000"/>
        </w:rPr>
      </w:pPr>
      <w:r>
        <w:rPr>
          <w:color w:val="000000"/>
        </w:rPr>
        <w:t xml:space="preserve">II. Taisomumo indeksas sudaromas sudedant penkis reitingus ir sumą padalijus iš dešimt, kad bendras reitingas būtų išreikštas skalėje nuo 1 iki 10. </w:t>
      </w:r>
    </w:p>
    <w:p w14:paraId="00000053" w14:textId="416A791E" w:rsidR="00EF7252" w:rsidRDefault="00276444" w:rsidP="00081B50">
      <w:pPr>
        <w:pBdr>
          <w:top w:val="nil"/>
          <w:left w:val="nil"/>
          <w:bottom w:val="nil"/>
          <w:right w:val="nil"/>
          <w:between w:val="nil"/>
        </w:pBdr>
        <w:spacing w:after="120"/>
        <w:jc w:val="both"/>
        <w:rPr>
          <w:color w:val="000000"/>
        </w:rPr>
      </w:pPr>
      <w:r>
        <w:rPr>
          <w:color w:val="000000"/>
        </w:rPr>
        <w:t xml:space="preserve">III. Kiekvienai elektros ir elektroninės įrangos kategorijai už aplinką atasakingo ministro ir už ekonomiką ir finansus atsakingo ministro nutarimu tiksliai nustatomi visi kriterijai ir papildomi kriterijai, įskaitant kategorijai taikomus konkrečius kriterijus ir indekso skaičiavimo būdus. </w:t>
      </w:r>
    </w:p>
    <w:p w14:paraId="00000054" w14:textId="77777777" w:rsidR="00EF7252" w:rsidRDefault="00EF7252" w:rsidP="00081B50">
      <w:pPr>
        <w:pBdr>
          <w:top w:val="nil"/>
          <w:left w:val="nil"/>
          <w:bottom w:val="nil"/>
          <w:right w:val="nil"/>
          <w:between w:val="nil"/>
        </w:pBdr>
        <w:spacing w:after="120"/>
        <w:jc w:val="both"/>
        <w:rPr>
          <w:b/>
          <w:color w:val="000000"/>
        </w:rPr>
      </w:pPr>
    </w:p>
    <w:p w14:paraId="00000055" w14:textId="77777777" w:rsidR="00EF7252" w:rsidRDefault="007C6B33" w:rsidP="00081B50">
      <w:pPr>
        <w:pBdr>
          <w:top w:val="nil"/>
          <w:left w:val="nil"/>
          <w:bottom w:val="nil"/>
          <w:right w:val="nil"/>
          <w:between w:val="nil"/>
        </w:pBdr>
        <w:spacing w:after="120"/>
        <w:jc w:val="both"/>
        <w:rPr>
          <w:color w:val="000000"/>
        </w:rPr>
      </w:pPr>
      <w:r>
        <w:rPr>
          <w:color w:val="000000"/>
        </w:rPr>
        <w:t xml:space="preserve">544-7 straipsnis. Nuo 2024 sausio 1 d. ilgaamžiškumo indeksas kai kurių kategorijų įrangai papildys arba pakeis taisomumo indeksą ir įtrauks naujų kriterijų, ypač tokių kaip įrangos patikimumas ir tvirtumas. </w:t>
      </w:r>
    </w:p>
    <w:p w14:paraId="00000057"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2 straipsnis</w:t>
      </w:r>
    </w:p>
    <w:p w14:paraId="00000058" w14:textId="77777777" w:rsidR="00EF7252" w:rsidRDefault="007C6B33" w:rsidP="00081B50">
      <w:pPr>
        <w:pBdr>
          <w:top w:val="nil"/>
          <w:left w:val="nil"/>
          <w:bottom w:val="nil"/>
          <w:right w:val="nil"/>
          <w:between w:val="nil"/>
        </w:pBdr>
        <w:spacing w:after="120"/>
        <w:jc w:val="both"/>
        <w:rPr>
          <w:color w:val="000000"/>
        </w:rPr>
      </w:pPr>
      <w:r>
        <w:rPr>
          <w:color w:val="000000"/>
        </w:rPr>
        <w:t>Šio nutarimo nuostatos įsigalioja 2021 m. sausio 1 d.</w:t>
      </w:r>
    </w:p>
    <w:p w14:paraId="0000005A"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3 straipsnis</w:t>
      </w:r>
    </w:p>
    <w:p w14:paraId="0000005B" w14:textId="35995E0E" w:rsidR="00EF7252" w:rsidRDefault="007C6B33" w:rsidP="00081B50">
      <w:pPr>
        <w:pBdr>
          <w:top w:val="nil"/>
          <w:left w:val="nil"/>
          <w:bottom w:val="nil"/>
          <w:right w:val="nil"/>
          <w:between w:val="nil"/>
        </w:pBdr>
        <w:spacing w:before="240" w:after="240"/>
        <w:jc w:val="both"/>
        <w:rPr>
          <w:color w:val="000000"/>
        </w:rPr>
      </w:pPr>
      <w:r>
        <w:rPr>
          <w:color w:val="000000"/>
        </w:rPr>
        <w:t xml:space="preserve">Perėjimo prie ekologiškos ekonomikos ministrė bei ekonomikos ir finansų ministras yra atitinkamai atsakingi už šio dekreto, kuris bus paskelbtas Prancūzijos Respublikos </w:t>
      </w:r>
      <w:r>
        <w:rPr>
          <w:i/>
          <w:iCs/>
          <w:color w:val="000000"/>
        </w:rPr>
        <w:t>oficialiajame leidinyje</w:t>
      </w:r>
      <w:r>
        <w:rPr>
          <w:color w:val="000000"/>
        </w:rPr>
        <w:t xml:space="preserve">, taikymą. </w:t>
      </w:r>
    </w:p>
    <w:p w14:paraId="0000005D" w14:textId="77777777" w:rsidR="00EF7252" w:rsidRDefault="007C6B33" w:rsidP="00081B50">
      <w:pPr>
        <w:pBdr>
          <w:top w:val="nil"/>
          <w:left w:val="nil"/>
          <w:bottom w:val="nil"/>
          <w:right w:val="nil"/>
          <w:between w:val="nil"/>
        </w:pBdr>
        <w:spacing w:before="280" w:after="280"/>
        <w:ind w:firstLine="720"/>
        <w:jc w:val="both"/>
        <w:rPr>
          <w:color w:val="000000"/>
        </w:rPr>
      </w:pPr>
      <w:r>
        <w:rPr>
          <w:color w:val="000000"/>
        </w:rPr>
        <w:t>Parengta 2020 m. xx xx d.</w:t>
      </w:r>
    </w:p>
    <w:p w14:paraId="6DD4078F" w14:textId="77777777" w:rsidR="00081B50" w:rsidRDefault="007C6B33" w:rsidP="00081B50">
      <w:pPr>
        <w:keepNext/>
        <w:keepLines/>
        <w:pBdr>
          <w:top w:val="nil"/>
          <w:left w:val="nil"/>
          <w:bottom w:val="nil"/>
          <w:right w:val="nil"/>
          <w:between w:val="nil"/>
        </w:pBdr>
        <w:spacing w:before="480"/>
        <w:ind w:left="720"/>
        <w:rPr>
          <w:color w:val="000000"/>
        </w:rPr>
      </w:pPr>
      <w:bookmarkStart w:id="1" w:name="_heading=h.30j0zll"/>
      <w:bookmarkEnd w:id="1"/>
      <w:r>
        <w:rPr>
          <w:color w:val="000000"/>
        </w:rPr>
        <w:t>Ministras Pirmininkas:</w:t>
      </w:r>
    </w:p>
    <w:p w14:paraId="039D5CE4" w14:textId="0EC6F35A" w:rsidR="00081B50" w:rsidRDefault="007C6B33" w:rsidP="00081B50">
      <w:pPr>
        <w:pBdr>
          <w:top w:val="nil"/>
          <w:left w:val="nil"/>
          <w:bottom w:val="nil"/>
          <w:right w:val="nil"/>
          <w:between w:val="nil"/>
        </w:pBdr>
        <w:ind w:left="720"/>
        <w:rPr>
          <w:color w:val="000000"/>
        </w:rPr>
      </w:pPr>
      <w:r>
        <w:rPr>
          <w:color w:val="000000"/>
        </w:rPr>
        <w:t>Jean CASTEX</w:t>
      </w:r>
    </w:p>
    <w:p w14:paraId="01727CB8"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Perėjimo prie ekologiškos ekonomikos ministrė</w:t>
      </w:r>
    </w:p>
    <w:p w14:paraId="60ACC114" w14:textId="20DE3655" w:rsidR="00081B50" w:rsidRDefault="007C6B33" w:rsidP="00081B50">
      <w:pPr>
        <w:pBdr>
          <w:top w:val="nil"/>
          <w:left w:val="nil"/>
          <w:bottom w:val="nil"/>
          <w:right w:val="nil"/>
          <w:between w:val="nil"/>
        </w:pBdr>
        <w:ind w:left="720"/>
        <w:rPr>
          <w:color w:val="000000"/>
        </w:rPr>
      </w:pPr>
      <w:r>
        <w:rPr>
          <w:color w:val="000000"/>
        </w:rPr>
        <w:t>Barbara POMPILI</w:t>
      </w:r>
    </w:p>
    <w:p w14:paraId="679F4E3A"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Ekonomikos ir finansų ministras</w:t>
      </w:r>
    </w:p>
    <w:p w14:paraId="0000005E" w14:textId="52901521" w:rsidR="00EF7252" w:rsidRDefault="007C6B33" w:rsidP="00081B50">
      <w:pPr>
        <w:pBdr>
          <w:top w:val="nil"/>
          <w:left w:val="nil"/>
          <w:bottom w:val="nil"/>
          <w:right w:val="nil"/>
          <w:between w:val="nil"/>
        </w:pBdr>
        <w:ind w:left="720"/>
        <w:rPr>
          <w:color w:val="000000"/>
        </w:rPr>
      </w:pPr>
      <w:r>
        <w:rPr>
          <w:color w:val="000000"/>
        </w:rPr>
        <w:t>Bruno LE MAIRE</w:t>
      </w:r>
    </w:p>
    <w:sectPr w:rsidR="00EF7252">
      <w:headerReference w:type="default" r:id="rId9"/>
      <w:footerReference w:type="default" r:id="rId10"/>
      <w:pgSz w:w="11906" w:h="16838"/>
      <w:pgMar w:top="1134" w:right="1418" w:bottom="1418" w:left="1134"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CE4F1" w14:textId="77777777" w:rsidR="00115349" w:rsidRDefault="00115349">
      <w:r>
        <w:separator/>
      </w:r>
    </w:p>
  </w:endnote>
  <w:endnote w:type="continuationSeparator" w:id="0">
    <w:p w14:paraId="15040677" w14:textId="77777777" w:rsidR="00115349" w:rsidRDefault="0011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ingFang S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5" w14:textId="452CF919" w:rsidR="00EF7252" w:rsidRDefault="00EF725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A9C49" w14:textId="77777777" w:rsidR="00115349" w:rsidRDefault="00115349">
      <w:r>
        <w:separator/>
      </w:r>
    </w:p>
  </w:footnote>
  <w:footnote w:type="continuationSeparator" w:id="0">
    <w:p w14:paraId="1505A8CD" w14:textId="77777777" w:rsidR="00115349" w:rsidRDefault="0011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4" w14:textId="77777777" w:rsidR="00EF7252" w:rsidRDefault="00EF725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A46FB"/>
    <w:multiLevelType w:val="multilevel"/>
    <w:tmpl w:val="87AAF7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52"/>
    <w:rsid w:val="00081B50"/>
    <w:rsid w:val="00106E77"/>
    <w:rsid w:val="00115349"/>
    <w:rsid w:val="00276444"/>
    <w:rsid w:val="003B1438"/>
    <w:rsid w:val="00535D26"/>
    <w:rsid w:val="00570781"/>
    <w:rsid w:val="0066778A"/>
    <w:rsid w:val="007C6B33"/>
    <w:rsid w:val="00817DDD"/>
    <w:rsid w:val="00956AEB"/>
    <w:rsid w:val="00A751E7"/>
    <w:rsid w:val="00EF7252"/>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A7B22"/>
  <w15:docId w15:val="{08CA6458-BF09-46FF-9804-11B34299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t-LT"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qFormat/>
    <w:pPr>
      <w:keepNext/>
      <w:numPr>
        <w:numId w:val="1"/>
      </w:numPr>
      <w:spacing w:before="240"/>
      <w:jc w:val="center"/>
      <w:outlineLvl w:val="0"/>
    </w:pPr>
    <w:rPr>
      <w:b/>
      <w:bCs/>
      <w:caps/>
    </w:rPr>
  </w:style>
  <w:style w:type="paragraph" w:styleId="Heading2">
    <w:name w:val="heading 2"/>
    <w:basedOn w:val="Normal"/>
    <w:next w:val="Normal"/>
    <w:qFormat/>
    <w:pPr>
      <w:keepNext/>
      <w:numPr>
        <w:ilvl w:val="1"/>
        <w:numId w:val="1"/>
      </w:numPr>
      <w:spacing w:before="360"/>
      <w:jc w:val="center"/>
      <w:outlineLvl w:val="1"/>
    </w:pPr>
    <w:rPr>
      <w:b/>
      <w:bCs/>
      <w:iCs/>
      <w:smallCaps/>
    </w:rPr>
  </w:style>
  <w:style w:type="paragraph" w:styleId="Heading3">
    <w:name w:val="heading 3"/>
    <w:basedOn w:val="Normal"/>
    <w:next w:val="Normal"/>
    <w:qFormat/>
    <w:pPr>
      <w:keepNext/>
      <w:numPr>
        <w:ilvl w:val="2"/>
        <w:numId w:val="1"/>
      </w:numPr>
      <w:spacing w:before="360"/>
      <w:jc w:val="center"/>
      <w:outlineLvl w:val="2"/>
    </w:pPr>
    <w:rPr>
      <w:b/>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ans" w:hAnsi="Liberation Sans" w:cs="Liberation Sans"/>
    </w:rPr>
  </w:style>
  <w:style w:type="character" w:customStyle="1" w:styleId="WW8Num3z0">
    <w:name w:val="WW8Num3z0"/>
    <w:qFormat/>
    <w:rPr>
      <w:rFonts w:ascii="Liberation Sans" w:hAnsi="Liberation Sans" w:cs="Liberation Sans"/>
    </w:rPr>
  </w:style>
  <w:style w:type="character" w:customStyle="1" w:styleId="Policepardfaut5">
    <w:name w:val="Police par défaut5"/>
    <w:qFormat/>
  </w:style>
  <w:style w:type="character" w:customStyle="1" w:styleId="Policepardfaut4">
    <w:name w:val="Police par défaut4"/>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Policepardfaut3">
    <w:name w:val="Police par défaut3"/>
    <w:qFormat/>
  </w:style>
  <w:style w:type="character" w:customStyle="1" w:styleId="Policepardfaut2">
    <w:name w:val="Police par défaut2"/>
    <w:qFormat/>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Arial Unicode MS" w:hAnsi="Times New Roman" w:cs="Times New Roman"/>
      <w:color w:val="FF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Courier New" w:hAnsi="Courier New" w:cs="Courier New"/>
      <w:sz w:val="2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Times New Roman"/>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lt-LT" w:bidi="ar-SA"/>
    </w:rPr>
  </w:style>
  <w:style w:type="character" w:customStyle="1" w:styleId="SNDateCar">
    <w:name w:val="SNDate Car"/>
    <w:qFormat/>
    <w:rPr>
      <w:sz w:val="24"/>
      <w:szCs w:val="24"/>
      <w:lang w:val="lt-LT" w:bidi="ar-SA"/>
    </w:rPr>
  </w:style>
  <w:style w:type="character" w:customStyle="1" w:styleId="SNArticleCar">
    <w:name w:val="SNArticle Car"/>
    <w:qFormat/>
    <w:rPr>
      <w:b/>
      <w:bCs/>
      <w:sz w:val="24"/>
      <w:szCs w:val="24"/>
      <w:lang w:val="lt-LT"/>
    </w:rPr>
  </w:style>
  <w:style w:type="character" w:customStyle="1" w:styleId="SNenProjet">
    <w:name w:val="SNenProjet"/>
    <w:basedOn w:val="Policepardfaut1"/>
    <w:qFormat/>
  </w:style>
  <w:style w:type="character" w:customStyle="1" w:styleId="CarCar5">
    <w:name w:val="Car Car5"/>
    <w:qFormat/>
    <w:rPr>
      <w:b/>
      <w:sz w:val="24"/>
      <w:szCs w:val="26"/>
      <w:lang w:val="lt-LT"/>
    </w:rPr>
  </w:style>
  <w:style w:type="character" w:customStyle="1" w:styleId="Marquedecommentaire1">
    <w:name w:val="Marque de commentaire1"/>
    <w:qFormat/>
    <w:rPr>
      <w:sz w:val="16"/>
      <w:szCs w:val="16"/>
    </w:rPr>
  </w:style>
  <w:style w:type="character" w:customStyle="1" w:styleId="CarCar3">
    <w:name w:val="Car Car3"/>
    <w:basedOn w:val="Policepardfaut1"/>
    <w:qFormat/>
  </w:style>
  <w:style w:type="character" w:customStyle="1" w:styleId="CarCar2">
    <w:name w:val="Car Car2"/>
    <w:qFormat/>
    <w:rPr>
      <w:b/>
      <w:bCs/>
    </w:rPr>
  </w:style>
  <w:style w:type="character" w:customStyle="1" w:styleId="CarCar4">
    <w:name w:val="Car Car4"/>
    <w:qFormat/>
    <w:rPr>
      <w:sz w:val="24"/>
      <w:szCs w:val="24"/>
    </w:rPr>
  </w:style>
  <w:style w:type="character" w:customStyle="1" w:styleId="CarCar7">
    <w:name w:val="Car Car7"/>
    <w:qFormat/>
    <w:rPr>
      <w:rFonts w:cs="Arial"/>
      <w:b/>
      <w:bCs/>
      <w:caps/>
      <w:sz w:val="24"/>
      <w:szCs w:val="24"/>
    </w:rPr>
  </w:style>
  <w:style w:type="character" w:customStyle="1" w:styleId="CarCar6">
    <w:name w:val="Car Car6"/>
    <w:qFormat/>
    <w:rPr>
      <w:b/>
      <w:bCs/>
      <w:iCs/>
      <w:smallCaps/>
      <w:sz w:val="24"/>
      <w:szCs w:val="24"/>
      <w:lang w:val="lt-LT"/>
    </w:rPr>
  </w:style>
  <w:style w:type="character" w:customStyle="1" w:styleId="CarCar1">
    <w:name w:val="Car Car1"/>
    <w:qFormat/>
    <w:rPr>
      <w:sz w:val="24"/>
      <w:szCs w:val="24"/>
    </w:rPr>
  </w:style>
  <w:style w:type="character" w:customStyle="1" w:styleId="CarCar">
    <w:name w:val="Car Car"/>
    <w:qFormat/>
    <w:rPr>
      <w:sz w:val="24"/>
      <w:szCs w:val="24"/>
    </w:rPr>
  </w:style>
  <w:style w:type="character" w:customStyle="1" w:styleId="LienInternet">
    <w:name w:val="Lien Internet"/>
    <w:qFormat/>
    <w:rPr>
      <w:color w:val="0000FF"/>
      <w:u w:val="single"/>
    </w:rPr>
  </w:style>
  <w:style w:type="character" w:customStyle="1" w:styleId="surlignage">
    <w:name w:val="surlignage"/>
    <w:qFormat/>
  </w:style>
  <w:style w:type="character" w:styleId="FollowedHyperlink">
    <w:name w:val="FollowedHyperlink"/>
    <w:qFormat/>
    <w:rPr>
      <w:color w:val="800080"/>
      <w:u w:val="single"/>
    </w:rPr>
  </w:style>
  <w:style w:type="character" w:styleId="Strong">
    <w:name w:val="Strong"/>
    <w:qFormat/>
    <w:rPr>
      <w:b/>
      <w:bCs/>
    </w:rPr>
  </w:style>
  <w:style w:type="character" w:customStyle="1" w:styleId="tm2code">
    <w:name w:val="tm2code"/>
    <w:basedOn w:val="Policepardfaut1"/>
    <w:qFormat/>
  </w:style>
  <w:style w:type="character" w:customStyle="1" w:styleId="tm3code">
    <w:name w:val="tm3code"/>
    <w:basedOn w:val="Policepardfaut1"/>
    <w:qFormat/>
  </w:style>
  <w:style w:type="character" w:customStyle="1" w:styleId="tm4code">
    <w:name w:val="tm4code"/>
    <w:basedOn w:val="Policepardfaut1"/>
    <w:qFormat/>
  </w:style>
  <w:style w:type="character" w:customStyle="1" w:styleId="citation">
    <w:name w:val="citation"/>
    <w:basedOn w:val="Policepardfaut1"/>
    <w:qFormat/>
  </w:style>
  <w:style w:type="character" w:customStyle="1" w:styleId="WW8Num11z5">
    <w:name w:val="WW8Num11z5"/>
    <w:qFormat/>
  </w:style>
  <w:style w:type="character" w:customStyle="1" w:styleId="Caractresdenotedebasdepage">
    <w:name w:val="Caractères de note de bas de page"/>
    <w:qFormat/>
    <w:rPr>
      <w:vertAlign w:val="superscript"/>
    </w:rPr>
  </w:style>
  <w:style w:type="character" w:styleId="Emphasis">
    <w:name w:val="Emphasis"/>
    <w:qFormat/>
    <w:rPr>
      <w:i/>
      <w:iCs/>
    </w:rPr>
  </w:style>
  <w:style w:type="character" w:customStyle="1" w:styleId="Marquedecommentaire2">
    <w:name w:val="Marque de commentaire2"/>
    <w:qFormat/>
    <w:rPr>
      <w:sz w:val="16"/>
      <w:szCs w:val="16"/>
    </w:rPr>
  </w:style>
  <w:style w:type="character" w:customStyle="1" w:styleId="CommentaireCar">
    <w:name w:val="Commentaire Car"/>
    <w:qFormat/>
    <w:rPr>
      <w:lang w:eastAsia="zh-CN"/>
    </w:rPr>
  </w:style>
  <w:style w:type="character" w:customStyle="1" w:styleId="tm5code">
    <w:name w:val="tm5code"/>
    <w:qFormat/>
  </w:style>
  <w:style w:type="character" w:customStyle="1" w:styleId="Marquedecommentaire3">
    <w:name w:val="Marque de commentaire3"/>
    <w:qFormat/>
    <w:rPr>
      <w:sz w:val="16"/>
      <w:szCs w:val="16"/>
    </w:rPr>
  </w:style>
  <w:style w:type="character" w:customStyle="1" w:styleId="stddocNumber">
    <w:name w:val="std_docNumber"/>
    <w:qFormat/>
    <w:rsid w:val="00C16C8D"/>
    <w:rPr>
      <w:rFonts w:ascii="Arial" w:hAnsi="Arial"/>
      <w:shd w:val="clear" w:color="auto" w:fill="F2DBDB"/>
    </w:rPr>
  </w:style>
  <w:style w:type="character" w:customStyle="1" w:styleId="stdpublisher">
    <w:name w:val="std_publisher"/>
    <w:qFormat/>
    <w:rsid w:val="00C16C8D"/>
    <w:rPr>
      <w:rFonts w:ascii="Arial" w:hAnsi="Arial"/>
      <w:shd w:val="clear" w:color="auto" w:fill="C6D9F1"/>
    </w:rPr>
  </w:style>
  <w:style w:type="character" w:customStyle="1" w:styleId="TabletitleChar">
    <w:name w:val="Table title Char"/>
    <w:link w:val="Tabletitle"/>
    <w:qFormat/>
    <w:rsid w:val="00C16C8D"/>
    <w:rPr>
      <w:rFonts w:ascii="Arial" w:eastAsia="Calibri" w:hAnsi="Arial"/>
      <w:b/>
      <w:szCs w:val="24"/>
      <w:lang w:val="lt-LT" w:eastAsia="en-US"/>
    </w:rPr>
  </w:style>
  <w:style w:type="character" w:customStyle="1" w:styleId="TablebodyChar">
    <w:name w:val="Table body Char"/>
    <w:link w:val="Tablebody"/>
    <w:qFormat/>
    <w:rsid w:val="00C16C8D"/>
    <w:rPr>
      <w:rFonts w:ascii="Arial" w:eastAsia="Calibri" w:hAnsi="Arial"/>
      <w:szCs w:val="22"/>
      <w:lang w:val="lt-LT" w:eastAsia="en-US"/>
    </w:rPr>
  </w:style>
  <w:style w:type="character" w:customStyle="1" w:styleId="TableheaderChar">
    <w:name w:val="Table header Char"/>
    <w:link w:val="Tableheader"/>
    <w:qFormat/>
    <w:rsid w:val="00C16C8D"/>
    <w:rPr>
      <w:rFonts w:ascii="Arial" w:eastAsia="Calibri" w:hAnsi="Arial"/>
      <w:szCs w:val="22"/>
      <w:lang w:val="lt-LT" w:eastAsia="en-US"/>
    </w:rPr>
  </w:style>
  <w:style w:type="character" w:styleId="CommentReference">
    <w:name w:val="annotation reference"/>
    <w:basedOn w:val="DefaultParagraphFont"/>
    <w:uiPriority w:val="99"/>
    <w:semiHidden/>
    <w:unhideWhenUsed/>
    <w:qFormat/>
    <w:rsid w:val="00A80B02"/>
    <w:rPr>
      <w:sz w:val="16"/>
      <w:szCs w:val="16"/>
    </w:rPr>
  </w:style>
  <w:style w:type="character" w:customStyle="1" w:styleId="CommentTextChar">
    <w:name w:val="Comment Text Char"/>
    <w:basedOn w:val="DefaultParagraphFont"/>
    <w:link w:val="CommentText"/>
    <w:uiPriority w:val="99"/>
    <w:qFormat/>
    <w:rsid w:val="00A80B02"/>
    <w:rPr>
      <w:lang w:eastAsia="zh-CN"/>
    </w:rPr>
  </w:style>
  <w:style w:type="character" w:customStyle="1" w:styleId="highlight">
    <w:name w:val="highlight"/>
    <w:basedOn w:val="DefaultParagraphFont"/>
    <w:qFormat/>
    <w:rsid w:val="00EB71C2"/>
  </w:style>
  <w:style w:type="character" w:customStyle="1" w:styleId="En-tteCar">
    <w:name w:val="En-tête Car"/>
    <w:basedOn w:val="DefaultParagraphFont"/>
    <w:qFormat/>
    <w:rsid w:val="002D37A3"/>
    <w:rPr>
      <w:sz w:val="24"/>
      <w:szCs w:val="24"/>
      <w:lang w:val="lt-LT" w:eastAsia="zh-CN"/>
    </w:rPr>
  </w:style>
  <w:style w:type="character" w:customStyle="1" w:styleId="PlainTextChar">
    <w:name w:val="Plain Text Char"/>
    <w:basedOn w:val="DefaultParagraphFont"/>
    <w:link w:val="PlainText"/>
    <w:uiPriority w:val="99"/>
    <w:qFormat/>
    <w:rsid w:val="000F71B4"/>
    <w:rPr>
      <w:rFonts w:ascii="Calibri" w:eastAsiaTheme="minorHAnsi" w:hAnsi="Calibri" w:cstheme="minorBidi"/>
      <w:sz w:val="22"/>
      <w:szCs w:val="21"/>
      <w:lang w:eastAsia="en-U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20"/>
      <w:jc w:val="both"/>
    </w:pPr>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5">
    <w:name w:val="Titre5"/>
    <w:basedOn w:val="Normal"/>
    <w:qFormat/>
    <w:pPr>
      <w:keepNext/>
      <w:spacing w:before="240" w:after="120"/>
    </w:pPr>
    <w:rPr>
      <w:rFonts w:ascii="Garamond" w:eastAsia="Microsoft YaHei" w:hAnsi="Garamond" w:cs="Mangal"/>
      <w:sz w:val="28"/>
      <w:szCs w:val="28"/>
    </w:rPr>
  </w:style>
  <w:style w:type="paragraph" w:customStyle="1" w:styleId="Titre4">
    <w:name w:val="Titre4"/>
    <w:basedOn w:val="Normal"/>
    <w:qFormat/>
    <w:pPr>
      <w:keepNext/>
      <w:spacing w:before="240" w:after="120"/>
    </w:pPr>
    <w:rPr>
      <w:rFonts w:ascii="Liberation Sans" w:eastAsia="Microsoft YaHei" w:hAnsi="Liberation Sans" w:cs="Mangal"/>
      <w:sz w:val="28"/>
      <w:szCs w:val="28"/>
    </w:rPr>
  </w:style>
  <w:style w:type="paragraph" w:customStyle="1" w:styleId="Titre3">
    <w:name w:val="Titre3"/>
    <w:basedOn w:val="Normal"/>
    <w:qFormat/>
    <w:pPr>
      <w:keepNext/>
      <w:spacing w:before="240" w:after="120"/>
    </w:pPr>
    <w:rPr>
      <w:rFonts w:ascii="Liberation Sans" w:eastAsia="Microsoft YaHei" w:hAnsi="Liberation Sans" w:cs="Mangal"/>
      <w:sz w:val="28"/>
      <w:szCs w:val="28"/>
    </w:rPr>
  </w:style>
  <w:style w:type="paragraph" w:customStyle="1" w:styleId="Titre2">
    <w:name w:val="Titre2"/>
    <w:basedOn w:val="Normal"/>
    <w:qFormat/>
    <w:pPr>
      <w:keepNext/>
      <w:spacing w:before="240" w:after="120"/>
    </w:pPr>
    <w:rPr>
      <w:rFonts w:ascii="Garamond" w:eastAsia="Microsoft YaHei" w:hAnsi="Garamond" w:cs="Mangal"/>
      <w:sz w:val="28"/>
      <w:szCs w:val="28"/>
    </w:rPr>
  </w:style>
  <w:style w:type="paragraph" w:customStyle="1" w:styleId="Titre1">
    <w:name w:val="Titre1"/>
    <w:basedOn w:val="Normal"/>
    <w:qFormat/>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jc w:val="center"/>
    </w:pPr>
    <w:rPr>
      <w:bCs/>
      <w:lang w:eastAsia="zh-CN"/>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qFormat/>
    <w:pPr>
      <w:spacing w:before="120" w:after="1680"/>
      <w:ind w:left="5040"/>
      <w:jc w:val="right"/>
    </w:pPr>
    <w:rPr>
      <w:color w:val="000000"/>
    </w:rPr>
  </w:style>
  <w:style w:type="paragraph" w:customStyle="1" w:styleId="SNSignatureprnomnomDroite">
    <w:name w:val="SNSignature prénom+nom Droite"/>
    <w:basedOn w:val="SNSignatureDroite"/>
    <w:qFormat/>
    <w:pPr>
      <w:spacing w:after="120"/>
      <w:ind w:left="5041"/>
    </w:pPr>
  </w:style>
  <w:style w:type="paragraph" w:customStyle="1" w:styleId="SNSignatureGauche">
    <w:name w:val="SNSignatureGauche"/>
    <w:basedOn w:val="Normal"/>
    <w:qFormat/>
    <w:pPr>
      <w:spacing w:before="120" w:after="1680"/>
      <w:ind w:left="720" w:right="-6" w:firstLine="1080"/>
      <w:jc w:val="right"/>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qFormat/>
    <w:pPr>
      <w:spacing w:before="280" w:after="280"/>
      <w:ind w:firstLine="720"/>
      <w:jc w:val="both"/>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360" w:after="240"/>
      <w:jc w:val="center"/>
    </w:pPr>
    <w:rPr>
      <w:b/>
      <w:bCs/>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val="0"/>
    </w:rPr>
  </w:style>
  <w:style w:type="paragraph" w:customStyle="1" w:styleId="Titre2objet">
    <w:name w:val="Titre 2 objet"/>
    <w:basedOn w:val="Heading2"/>
    <w:next w:val="Normal"/>
    <w:qFormat/>
    <w:pPr>
      <w:numPr>
        <w:ilvl w:val="0"/>
        <w:numId w:val="0"/>
      </w:numPr>
      <w:spacing w:before="0" w:after="120"/>
    </w:pPr>
    <w:rPr>
      <w:b w:val="0"/>
    </w:rPr>
  </w:style>
  <w:style w:type="paragraph" w:customStyle="1" w:styleId="titre3objet">
    <w:name w:val="titre 3 objet"/>
    <w:basedOn w:val="Heading3"/>
    <w:next w:val="Normal"/>
    <w:qFormat/>
    <w:pPr>
      <w:numPr>
        <w:ilvl w:val="0"/>
        <w:numId w:val="0"/>
      </w:numPr>
      <w:spacing w:before="0" w:after="120"/>
    </w:pPr>
    <w:rPr>
      <w:b w:val="0"/>
    </w:rPr>
  </w:style>
  <w:style w:type="paragraph" w:styleId="NormalWeb">
    <w:name w:val="Normal (Web)"/>
    <w:basedOn w:val="Normal"/>
    <w:uiPriority w:val="99"/>
    <w:qFormat/>
    <w:pPr>
      <w:spacing w:before="280" w:after="280"/>
    </w:p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HeaderandFooter">
    <w:name w:val="Header and Footer"/>
    <w:basedOn w:val="Normal"/>
    <w:qFormat/>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ointDouble2">
    <w:name w:val="PointDouble 2"/>
    <w:basedOn w:val="Normal"/>
    <w:qFormat/>
    <w:pPr>
      <w:tabs>
        <w:tab w:val="left" w:pos="1984"/>
      </w:tabs>
      <w:spacing w:before="120" w:after="120" w:line="360" w:lineRule="auto"/>
      <w:ind w:left="2551" w:hanging="1134"/>
    </w:pPr>
  </w:style>
  <w:style w:type="paragraph" w:customStyle="1" w:styleId="Tiret0">
    <w:name w:val="Tiret 0"/>
    <w:basedOn w:val="Normal"/>
    <w:qFormat/>
    <w:pPr>
      <w:spacing w:before="120" w:after="120" w:line="360" w:lineRule="auto"/>
    </w:pPr>
  </w:style>
  <w:style w:type="paragraph" w:customStyle="1" w:styleId="Tiret1">
    <w:name w:val="Tiret 1"/>
    <w:basedOn w:val="Normal"/>
    <w:qFormat/>
    <w:pPr>
      <w:spacing w:before="120" w:after="120" w:line="360" w:lineRule="auto"/>
    </w:pPr>
  </w:style>
  <w:style w:type="paragraph" w:customStyle="1" w:styleId="Text1">
    <w:name w:val="Text 1"/>
    <w:basedOn w:val="Normal"/>
    <w:qFormat/>
    <w:pPr>
      <w:spacing w:before="120" w:after="120" w:line="360" w:lineRule="auto"/>
      <w:ind w:left="850"/>
    </w:pPr>
  </w:style>
  <w:style w:type="paragraph" w:customStyle="1" w:styleId="Point0">
    <w:name w:val="Point 0"/>
    <w:basedOn w:val="Normal"/>
    <w:qFormat/>
    <w:pPr>
      <w:spacing w:before="120" w:after="120" w:line="360" w:lineRule="auto"/>
      <w:ind w:left="850" w:hanging="850"/>
    </w:pPr>
  </w:style>
  <w:style w:type="paragraph" w:customStyle="1" w:styleId="Point1">
    <w:name w:val="Point 1"/>
    <w:basedOn w:val="Normal"/>
    <w:qFormat/>
    <w:pPr>
      <w:spacing w:before="120" w:after="120" w:line="360" w:lineRule="auto"/>
      <w:ind w:left="1417" w:hanging="567"/>
    </w:pPr>
  </w:style>
  <w:style w:type="paragraph" w:customStyle="1" w:styleId="ManualNumPar1">
    <w:name w:val="Manual NumPar 1"/>
    <w:basedOn w:val="Normal"/>
    <w:qFormat/>
    <w:pPr>
      <w:spacing w:before="120" w:after="120" w:line="360" w:lineRule="auto"/>
      <w:ind w:left="850" w:hanging="850"/>
    </w:pPr>
  </w:style>
  <w:style w:type="paragraph" w:styleId="Revision">
    <w:name w:val="Revision"/>
    <w:qFormat/>
    <w:rPr>
      <w:lang w:eastAsia="zh-CN"/>
    </w:rPr>
  </w:style>
  <w:style w:type="paragraph" w:customStyle="1" w:styleId="Default">
    <w:name w:val="Default"/>
    <w:qFormat/>
    <w:rPr>
      <w:color w:val="000000"/>
      <w:lang w:eastAsia="zh-CN"/>
    </w:rPr>
  </w:style>
  <w:style w:type="paragraph" w:styleId="FootnoteText">
    <w:name w:val="footnote text"/>
    <w:basedOn w:val="Normal"/>
    <w:qFormat/>
    <w:rPr>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customStyle="1" w:styleId="western">
    <w:name w:val="western"/>
    <w:basedOn w:val="Normal"/>
    <w:qFormat/>
    <w:pPr>
      <w:spacing w:before="280" w:after="119"/>
      <w:jc w:val="both"/>
    </w:pPr>
    <w:rPr>
      <w:color w:val="000000"/>
    </w:rPr>
  </w:style>
  <w:style w:type="paragraph" w:customStyle="1" w:styleId="Commentaire3">
    <w:name w:val="Commentaire3"/>
    <w:basedOn w:val="Normal"/>
    <w:qFormat/>
    <w:rPr>
      <w:sz w:val="20"/>
      <w:szCs w:val="20"/>
    </w:rPr>
  </w:style>
  <w:style w:type="paragraph" w:styleId="ListParagraph">
    <w:name w:val="List Paragraph"/>
    <w:basedOn w:val="Normal"/>
    <w:uiPriority w:val="34"/>
    <w:qFormat/>
    <w:rsid w:val="0011775C"/>
    <w:pPr>
      <w:ind w:left="720"/>
      <w:contextualSpacing/>
    </w:pPr>
  </w:style>
  <w:style w:type="paragraph" w:customStyle="1" w:styleId="Tabletitle">
    <w:name w:val="Table title"/>
    <w:basedOn w:val="Normal"/>
    <w:link w:val="TabletitleChar"/>
    <w:qFormat/>
    <w:rsid w:val="00C16C8D"/>
    <w:pPr>
      <w:keepNext/>
      <w:spacing w:before="120" w:after="120" w:line="240" w:lineRule="atLeast"/>
      <w:jc w:val="center"/>
      <w:outlineLvl w:val="0"/>
    </w:pPr>
    <w:rPr>
      <w:rFonts w:ascii="Arial" w:eastAsia="Calibri" w:hAnsi="Arial"/>
      <w:b/>
      <w:sz w:val="20"/>
      <w:lang w:eastAsia="en-US"/>
    </w:rPr>
  </w:style>
  <w:style w:type="paragraph" w:customStyle="1" w:styleId="Tablebody">
    <w:name w:val="Table body"/>
    <w:basedOn w:val="Normal"/>
    <w:link w:val="TablebodyChar"/>
    <w:qFormat/>
    <w:rsid w:val="00C16C8D"/>
    <w:pPr>
      <w:spacing w:before="60" w:after="60" w:line="210" w:lineRule="atLeast"/>
    </w:pPr>
    <w:rPr>
      <w:rFonts w:ascii="Arial" w:eastAsia="Calibri" w:hAnsi="Arial"/>
      <w:sz w:val="20"/>
      <w:szCs w:val="22"/>
      <w:lang w:eastAsia="en-US"/>
    </w:rPr>
  </w:style>
  <w:style w:type="paragraph" w:customStyle="1" w:styleId="Tableheader">
    <w:name w:val="Table header"/>
    <w:basedOn w:val="Tablebody"/>
    <w:link w:val="TableheaderChar"/>
    <w:qFormat/>
    <w:rsid w:val="00C16C8D"/>
  </w:style>
  <w:style w:type="paragraph" w:customStyle="1" w:styleId="CM1">
    <w:name w:val="CM1"/>
    <w:basedOn w:val="Default"/>
    <w:next w:val="Default"/>
    <w:uiPriority w:val="99"/>
    <w:qFormat/>
    <w:rsid w:val="009A03FA"/>
    <w:rPr>
      <w:rFonts w:ascii="EUAlbertina" w:hAnsi="EUAlbertina"/>
      <w:color w:val="00000A"/>
      <w:lang w:eastAsia="fr-FR"/>
    </w:rPr>
  </w:style>
  <w:style w:type="paragraph" w:customStyle="1" w:styleId="CM3">
    <w:name w:val="CM3"/>
    <w:basedOn w:val="Default"/>
    <w:next w:val="Default"/>
    <w:uiPriority w:val="99"/>
    <w:qFormat/>
    <w:rsid w:val="009A03FA"/>
    <w:rPr>
      <w:rFonts w:ascii="EUAlbertina" w:hAnsi="EUAlbertina"/>
      <w:color w:val="00000A"/>
      <w:lang w:eastAsia="fr-FR"/>
    </w:rPr>
  </w:style>
  <w:style w:type="paragraph" w:customStyle="1" w:styleId="CM4">
    <w:name w:val="CM4"/>
    <w:basedOn w:val="Default"/>
    <w:next w:val="Default"/>
    <w:uiPriority w:val="99"/>
    <w:qFormat/>
    <w:rsid w:val="009A03FA"/>
    <w:rPr>
      <w:rFonts w:ascii="EUAlbertina" w:hAnsi="EUAlbertina"/>
      <w:color w:val="00000A"/>
      <w:lang w:eastAsia="fr-FR"/>
    </w:rPr>
  </w:style>
  <w:style w:type="paragraph" w:styleId="CommentText">
    <w:name w:val="annotation text"/>
    <w:basedOn w:val="Normal"/>
    <w:link w:val="CommentTextChar"/>
    <w:uiPriority w:val="99"/>
    <w:unhideWhenUsed/>
    <w:qFormat/>
    <w:rsid w:val="00A80B02"/>
    <w:rPr>
      <w:sz w:val="20"/>
      <w:szCs w:val="20"/>
    </w:rPr>
  </w:style>
  <w:style w:type="paragraph" w:styleId="PlainText">
    <w:name w:val="Plain Text"/>
    <w:basedOn w:val="Normal"/>
    <w:link w:val="PlainTextChar"/>
    <w:uiPriority w:val="99"/>
    <w:unhideWhenUsed/>
    <w:qFormat/>
    <w:rsid w:val="000F71B4"/>
    <w:rPr>
      <w:rFonts w:ascii="Calibri" w:eastAsiaTheme="minorHAnsi" w:hAnsi="Calibri" w:cstheme="minorBidi"/>
      <w:sz w:val="22"/>
      <w:szCs w:val="21"/>
      <w:lang w:eastAsia="en-US"/>
    </w:rPr>
  </w:style>
  <w:style w:type="character" w:customStyle="1" w:styleId="ListLabel8">
    <w:name w:val="ListLabel 8"/>
    <w:qFormat/>
    <w:rsid w:val="00382738"/>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99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RlpeGrJh6cXEqXDWDreKoc8vQ==">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1311</Words>
  <Characters>7475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Diana STOICA</cp:lastModifiedBy>
  <cp:revision>3</cp:revision>
  <dcterms:created xsi:type="dcterms:W3CDTF">2020-07-08T10:11:00Z</dcterms:created>
  <dcterms:modified xsi:type="dcterms:W3CDTF">2020-07-29T14:01:00Z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