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9AE84A7" w14:textId="75EF08F9" w:rsidR="00817DDD" w:rsidRPr="00817DDD" w:rsidRDefault="00817DDD" w:rsidP="00817DDD">
      <w:pPr>
        <w:spacing w:after="120"/>
        <w:ind w:right="14"/>
        <w:jc w:val="center"/>
        <w:rPr>
          <w:rFonts w:ascii="Courier New" w:hAnsi="Courier New" w:cs="Courier New"/>
          <w:sz w:val="20"/>
          <w:szCs w:val="20"/>
        </w:rPr>
      </w:pPr>
      <w:r>
        <w:rPr>
          <w:rFonts w:ascii="Courier New" w:hAnsi="Courier New"/>
          <w:sz w:val="20"/>
          <w:szCs w:val="20"/>
        </w:rPr>
        <w:t>1. ------IND- 2020 0468 F-- RO- ------ 20200729 --- --- PROJET</w:t>
      </w:r>
    </w:p>
    <w:tbl>
      <w:tblPr>
        <w:tblStyle w:val="1"/>
        <w:tblW w:w="3982" w:type="dxa"/>
        <w:tblInd w:w="0" w:type="dxa"/>
        <w:tblLayout w:type="fixed"/>
        <w:tblLook w:val="0000" w:firstRow="0" w:lastRow="0" w:firstColumn="0" w:lastColumn="0" w:noHBand="0" w:noVBand="0"/>
      </w:tblPr>
      <w:tblGrid>
        <w:gridCol w:w="1527"/>
        <w:gridCol w:w="967"/>
        <w:gridCol w:w="1488"/>
      </w:tblGrid>
      <w:tr w:rsidR="00EF7252" w14:paraId="000CF195" w14:textId="77777777" w:rsidTr="00817DDD">
        <w:tc>
          <w:tcPr>
            <w:tcW w:w="3982" w:type="dxa"/>
            <w:gridSpan w:val="3"/>
            <w:shd w:val="clear" w:color="auto" w:fill="auto"/>
          </w:tcPr>
          <w:p w14:paraId="00000004" w14:textId="77777777" w:rsidR="00EF7252" w:rsidRDefault="007C6B33" w:rsidP="00081B50">
            <w:pPr>
              <w:pBdr>
                <w:top w:val="nil"/>
                <w:left w:val="nil"/>
                <w:bottom w:val="nil"/>
                <w:right w:val="nil"/>
                <w:between w:val="nil"/>
              </w:pBdr>
              <w:jc w:val="center"/>
              <w:rPr>
                <w:b/>
                <w:color w:val="000000"/>
              </w:rPr>
            </w:pPr>
            <w:r>
              <w:rPr>
                <w:b/>
                <w:color w:val="000000"/>
              </w:rPr>
              <w:t>REPUBLICA FRANCEZĂ</w:t>
            </w:r>
          </w:p>
        </w:tc>
      </w:tr>
      <w:tr w:rsidR="00EF7252" w14:paraId="0B9C9F19" w14:textId="77777777" w:rsidTr="00817DDD">
        <w:tc>
          <w:tcPr>
            <w:tcW w:w="1527" w:type="dxa"/>
            <w:shd w:val="clear" w:color="auto" w:fill="auto"/>
          </w:tcPr>
          <w:p w14:paraId="00000007" w14:textId="77777777" w:rsidR="00EF7252" w:rsidRDefault="00EF7252" w:rsidP="00081B50"/>
        </w:tc>
        <w:tc>
          <w:tcPr>
            <w:tcW w:w="967" w:type="dxa"/>
            <w:shd w:val="clear" w:color="auto" w:fill="auto"/>
          </w:tcPr>
          <w:p w14:paraId="00000008" w14:textId="77777777" w:rsidR="00EF7252" w:rsidRDefault="00EF7252" w:rsidP="00081B50"/>
        </w:tc>
        <w:tc>
          <w:tcPr>
            <w:tcW w:w="1488" w:type="dxa"/>
            <w:shd w:val="clear" w:color="auto" w:fill="auto"/>
          </w:tcPr>
          <w:p w14:paraId="00000009" w14:textId="77777777" w:rsidR="00EF7252" w:rsidRDefault="00EF7252" w:rsidP="00081B50"/>
        </w:tc>
      </w:tr>
      <w:tr w:rsidR="00EF7252" w14:paraId="12903DE1" w14:textId="77777777" w:rsidTr="00817DDD">
        <w:tc>
          <w:tcPr>
            <w:tcW w:w="3982" w:type="dxa"/>
            <w:gridSpan w:val="3"/>
            <w:shd w:val="clear" w:color="auto" w:fill="auto"/>
          </w:tcPr>
          <w:p w14:paraId="0000000B" w14:textId="7F1B9FCF" w:rsidR="00EF7252" w:rsidRDefault="007C6B33" w:rsidP="00081B50">
            <w:pPr>
              <w:pBdr>
                <w:top w:val="nil"/>
                <w:left w:val="nil"/>
                <w:bottom w:val="nil"/>
                <w:right w:val="nil"/>
                <w:between w:val="nil"/>
              </w:pBdr>
              <w:spacing w:before="120"/>
              <w:jc w:val="center"/>
              <w:rPr>
                <w:color w:val="000000"/>
              </w:rPr>
            </w:pPr>
            <w:r>
              <w:rPr>
                <w:color w:val="000000"/>
              </w:rPr>
              <w:t>Ministrul tranziției ecologice Ministrul economiei și finanțelor</w:t>
            </w:r>
          </w:p>
        </w:tc>
      </w:tr>
      <w:tr w:rsidR="00EF7252" w14:paraId="42A29FEC" w14:textId="77777777" w:rsidTr="00817DDD">
        <w:tc>
          <w:tcPr>
            <w:tcW w:w="1527" w:type="dxa"/>
            <w:shd w:val="clear" w:color="auto" w:fill="auto"/>
          </w:tcPr>
          <w:p w14:paraId="0000000E" w14:textId="77777777" w:rsidR="00EF7252" w:rsidRDefault="00EF7252" w:rsidP="00081B50"/>
        </w:tc>
        <w:tc>
          <w:tcPr>
            <w:tcW w:w="967" w:type="dxa"/>
            <w:shd w:val="clear" w:color="auto" w:fill="auto"/>
          </w:tcPr>
          <w:p w14:paraId="0000000F" w14:textId="77777777" w:rsidR="00EF7252" w:rsidRDefault="00EF7252" w:rsidP="00081B50"/>
        </w:tc>
        <w:tc>
          <w:tcPr>
            <w:tcW w:w="1488" w:type="dxa"/>
            <w:shd w:val="clear" w:color="auto" w:fill="auto"/>
          </w:tcPr>
          <w:p w14:paraId="00000010" w14:textId="77777777" w:rsidR="00EF7252" w:rsidRDefault="00EF7252" w:rsidP="00081B50"/>
        </w:tc>
      </w:tr>
      <w:tr w:rsidR="00EF7252" w14:paraId="73DDF771" w14:textId="77777777" w:rsidTr="00817DDD">
        <w:tc>
          <w:tcPr>
            <w:tcW w:w="1527" w:type="dxa"/>
            <w:shd w:val="clear" w:color="auto" w:fill="auto"/>
          </w:tcPr>
          <w:p w14:paraId="00000011" w14:textId="77777777" w:rsidR="00EF7252" w:rsidRDefault="00EF7252" w:rsidP="00081B50"/>
        </w:tc>
        <w:tc>
          <w:tcPr>
            <w:tcW w:w="967" w:type="dxa"/>
            <w:shd w:val="clear" w:color="auto" w:fill="auto"/>
          </w:tcPr>
          <w:p w14:paraId="00000012" w14:textId="77777777" w:rsidR="00EF7252" w:rsidRDefault="00EF7252" w:rsidP="00081B50"/>
        </w:tc>
        <w:tc>
          <w:tcPr>
            <w:tcW w:w="1488" w:type="dxa"/>
            <w:shd w:val="clear" w:color="auto" w:fill="auto"/>
          </w:tcPr>
          <w:p w14:paraId="00000013" w14:textId="77777777" w:rsidR="00EF7252" w:rsidRDefault="00EF7252" w:rsidP="00081B50"/>
        </w:tc>
      </w:tr>
    </w:tbl>
    <w:p w14:paraId="00000014" w14:textId="655CC705" w:rsidR="00EF7252" w:rsidRDefault="007C6B33" w:rsidP="00081B50">
      <w:pPr>
        <w:pBdr>
          <w:top w:val="nil"/>
          <w:left w:val="nil"/>
          <w:bottom w:val="nil"/>
          <w:right w:val="nil"/>
          <w:between w:val="nil"/>
        </w:pBdr>
        <w:spacing w:before="720" w:after="120"/>
        <w:jc w:val="center"/>
        <w:rPr>
          <w:b/>
          <w:color w:val="000000"/>
        </w:rPr>
      </w:pPr>
      <w:r>
        <w:rPr>
          <w:b/>
          <w:color w:val="000000"/>
        </w:rPr>
        <w:t>Decretul nr. xxx/2020 din xx xxx 2020</w:t>
      </w:r>
      <w:r>
        <w:rPr>
          <w:b/>
          <w:color w:val="000000"/>
        </w:rPr>
        <w:br/>
        <w:t>privind indicele potențialului de reparare al echipamentelor electrice și electronice</w:t>
      </w:r>
    </w:p>
    <w:p w14:paraId="00000015" w14:textId="3A2425A6" w:rsidR="00EF7252" w:rsidRDefault="00817DDD" w:rsidP="00081B50">
      <w:pPr>
        <w:pBdr>
          <w:top w:val="nil"/>
          <w:left w:val="nil"/>
          <w:bottom w:val="nil"/>
          <w:right w:val="nil"/>
          <w:between w:val="nil"/>
        </w:pBdr>
        <w:jc w:val="center"/>
        <w:rPr>
          <w:i/>
          <w:color w:val="000000"/>
        </w:rPr>
      </w:pPr>
      <w:r>
        <w:rPr>
          <w:color w:val="000000"/>
        </w:rPr>
        <w:t>NR.:</w:t>
      </w:r>
    </w:p>
    <w:p w14:paraId="00000016" w14:textId="334BF5BD" w:rsidR="00EF7252" w:rsidRDefault="007C6B33" w:rsidP="00081B50">
      <w:pPr>
        <w:pBdr>
          <w:top w:val="nil"/>
          <w:left w:val="nil"/>
          <w:bottom w:val="nil"/>
          <w:right w:val="nil"/>
          <w:between w:val="nil"/>
        </w:pBdr>
        <w:spacing w:before="720" w:after="240"/>
        <w:ind w:firstLine="720"/>
        <w:jc w:val="both"/>
        <w:rPr>
          <w:b/>
          <w:i/>
          <w:color w:val="000000"/>
        </w:rPr>
      </w:pPr>
      <w:r>
        <w:rPr>
          <w:b/>
          <w:i/>
          <w:color w:val="000000"/>
        </w:rPr>
        <w:t>Categorii de public vizate:</w:t>
      </w:r>
      <w:r>
        <w:rPr>
          <w:i/>
          <w:color w:val="000000"/>
        </w:rPr>
        <w:t xml:space="preserve"> producători, importatori, distribuitori sau alți comercianți de echipamente electrice și electronice și vânzători de astfel de echipamente, precum și persoanele care utilizează un site, o platformă sau un alt mijloc de distribuție online în cadrul activităților lor comerciale desfășurate în Franța. </w:t>
      </w:r>
    </w:p>
    <w:p w14:paraId="00000017" w14:textId="77777777" w:rsidR="00EF7252" w:rsidRDefault="007C6B33" w:rsidP="00081B50">
      <w:pPr>
        <w:pBdr>
          <w:top w:val="nil"/>
          <w:left w:val="nil"/>
          <w:bottom w:val="nil"/>
          <w:right w:val="nil"/>
          <w:between w:val="nil"/>
        </w:pBdr>
        <w:spacing w:before="120" w:after="240"/>
        <w:ind w:firstLine="720"/>
        <w:jc w:val="both"/>
        <w:rPr>
          <w:b/>
          <w:i/>
          <w:color w:val="000000"/>
        </w:rPr>
      </w:pPr>
      <w:r>
        <w:rPr>
          <w:b/>
          <w:i/>
          <w:color w:val="000000"/>
        </w:rPr>
        <w:t xml:space="preserve">Obiect: </w:t>
      </w:r>
      <w:r>
        <w:rPr>
          <w:i/>
          <w:color w:val="000000"/>
        </w:rPr>
        <w:t>modalitățile de aplicare a indicelui potențialului de reparare definit la articolul L 541-9-2 din Codul mediului</w:t>
      </w:r>
    </w:p>
    <w:p w14:paraId="00000018" w14:textId="77777777" w:rsidR="00EF7252" w:rsidRDefault="007C6B33" w:rsidP="00081B50">
      <w:pPr>
        <w:pBdr>
          <w:top w:val="nil"/>
          <w:left w:val="nil"/>
          <w:bottom w:val="nil"/>
          <w:right w:val="nil"/>
          <w:between w:val="nil"/>
        </w:pBdr>
        <w:spacing w:before="120" w:after="240"/>
        <w:ind w:firstLine="720"/>
        <w:rPr>
          <w:b/>
          <w:i/>
          <w:color w:val="000000"/>
        </w:rPr>
      </w:pPr>
      <w:r>
        <w:rPr>
          <w:b/>
          <w:i/>
          <w:color w:val="000000"/>
        </w:rPr>
        <w:t>Intrare în vigoare:</w:t>
      </w:r>
      <w:r>
        <w:rPr>
          <w:i/>
          <w:color w:val="000000"/>
        </w:rPr>
        <w:t xml:space="preserve"> textul intră în vigoare la 1 ianuarie 2021.</w:t>
      </w:r>
    </w:p>
    <w:p w14:paraId="00000019" w14:textId="77777777" w:rsidR="00EF7252" w:rsidRDefault="007C6B33" w:rsidP="00081B50">
      <w:pPr>
        <w:pBdr>
          <w:top w:val="nil"/>
          <w:left w:val="nil"/>
          <w:bottom w:val="nil"/>
          <w:right w:val="nil"/>
          <w:between w:val="nil"/>
        </w:pBdr>
        <w:spacing w:before="120" w:after="240"/>
        <w:ind w:firstLine="720"/>
        <w:jc w:val="both"/>
        <w:rPr>
          <w:i/>
          <w:color w:val="000000"/>
        </w:rPr>
      </w:pPr>
      <w:r>
        <w:rPr>
          <w:b/>
          <w:i/>
          <w:color w:val="000000"/>
        </w:rPr>
        <w:t>Notă:</w:t>
      </w:r>
      <w:r>
        <w:rPr>
          <w:i/>
          <w:color w:val="000000"/>
        </w:rPr>
        <w:t xml:space="preserve"> prezentul decret definește modalitățile de punere în aplicare a articolului L 541-9-2 din Codul mediului, care prevede introducerea unui indice al potențialului de reparare pentru anumite categorii de echipamente electrice și electronice. În prezentul decret sunt specificate, în special, criteriile și metoda de calcul utilizate pentru stabilirea acestui indice. Producătorii și importatorii echipamentelor vizate trebuie să transmită în mod gratuit indicele potențialului de reparare și parametrii de calcul ai acestuia distribuitorilor și oricărei persoane care le solicită. Distribuitorii, inclusiv cei implicați în vânzările la distanță, trebuie să informeze în mod gratuit consumatorii, în momentul achiziționării, prin marcare, etichetare, afișare sau prin orice altă metodă adecvată, cu privire la indicele potențialului de reparare al echipamentelor vizate.</w:t>
      </w:r>
    </w:p>
    <w:p w14:paraId="0000001A" w14:textId="77777777" w:rsidR="00EF7252" w:rsidRDefault="007C6B33" w:rsidP="00081B50">
      <w:pPr>
        <w:pBdr>
          <w:top w:val="nil"/>
          <w:left w:val="nil"/>
          <w:bottom w:val="nil"/>
          <w:right w:val="nil"/>
          <w:between w:val="nil"/>
        </w:pBdr>
        <w:spacing w:before="120" w:after="240"/>
        <w:ind w:firstLine="720"/>
        <w:jc w:val="both"/>
        <w:rPr>
          <w:b/>
          <w:color w:val="000000"/>
        </w:rPr>
      </w:pPr>
      <w:r>
        <w:rPr>
          <w:b/>
          <w:i/>
          <w:color w:val="000000"/>
        </w:rPr>
        <w:t xml:space="preserve">Trimiteri: </w:t>
      </w:r>
      <w:r>
        <w:rPr>
          <w:i/>
          <w:color w:val="000000"/>
        </w:rPr>
        <w:t>prezentul decret va putea fi consultat pe site-ul Légifrance (</w:t>
      </w:r>
      <w:hyperlink r:id="rId8">
        <w:r>
          <w:rPr>
            <w:i/>
            <w:color w:val="000000"/>
            <w:u w:val="single"/>
          </w:rPr>
          <w:t>http://www.legifrance.gouv.fr</w:t>
        </w:r>
      </w:hyperlink>
      <w:r>
        <w:rPr>
          <w:i/>
          <w:color w:val="000000"/>
        </w:rPr>
        <w:t>).</w:t>
      </w:r>
    </w:p>
    <w:p w14:paraId="0000001C" w14:textId="77777777" w:rsidR="00EF7252" w:rsidRDefault="007C6B33" w:rsidP="00081B50">
      <w:pPr>
        <w:pBdr>
          <w:top w:val="nil"/>
          <w:left w:val="nil"/>
          <w:bottom w:val="nil"/>
          <w:right w:val="nil"/>
          <w:between w:val="nil"/>
        </w:pBdr>
        <w:spacing w:before="720" w:after="240"/>
        <w:ind w:firstLine="720"/>
        <w:rPr>
          <w:b/>
          <w:color w:val="000000"/>
        </w:rPr>
      </w:pPr>
      <w:r>
        <w:rPr>
          <w:b/>
          <w:color w:val="000000"/>
        </w:rPr>
        <w:t>Prim-ministrul,</w:t>
      </w:r>
    </w:p>
    <w:p w14:paraId="0000001D" w14:textId="1AE9E289" w:rsidR="00EF7252" w:rsidRDefault="007C6B33" w:rsidP="00081B50">
      <w:pPr>
        <w:pBdr>
          <w:top w:val="nil"/>
          <w:left w:val="nil"/>
          <w:bottom w:val="nil"/>
          <w:right w:val="nil"/>
          <w:between w:val="nil"/>
        </w:pBdr>
        <w:spacing w:before="120" w:after="120"/>
        <w:ind w:firstLine="709"/>
        <w:jc w:val="both"/>
        <w:rPr>
          <w:color w:val="000000"/>
        </w:rPr>
      </w:pPr>
      <w:r>
        <w:rPr>
          <w:color w:val="000000"/>
        </w:rPr>
        <w:t>având în vedere raportul ministrului tranziției ecologice și al ministrului economiei și finanțelor,</w:t>
      </w:r>
    </w:p>
    <w:p w14:paraId="0000001E" w14:textId="77777777" w:rsidR="00EF7252" w:rsidRPr="00020895" w:rsidRDefault="007C6B33" w:rsidP="00081B50">
      <w:pPr>
        <w:pBdr>
          <w:top w:val="nil"/>
          <w:left w:val="nil"/>
          <w:bottom w:val="nil"/>
          <w:right w:val="nil"/>
          <w:between w:val="nil"/>
        </w:pBdr>
        <w:spacing w:before="120" w:after="120"/>
        <w:ind w:firstLine="709"/>
        <w:jc w:val="both"/>
        <w:rPr>
          <w:color w:val="000000"/>
          <w:spacing w:val="-4"/>
        </w:rPr>
      </w:pPr>
      <w:r w:rsidRPr="00020895">
        <w:rPr>
          <w:color w:val="000000"/>
          <w:spacing w:val="-4"/>
        </w:rPr>
        <w:t>având în vedere Directiva 2008/98/CE a Parlamentului European și a Consiliului din 19 noiembrie 2008 privind deșeurile și de abrogare a anumitor directive, astfel cum a fost modificată,</w:t>
      </w:r>
    </w:p>
    <w:p w14:paraId="0000001F"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lastRenderedPageBreak/>
        <w:t>având în vedere Directiva (UE) 2015/1535 a Parlamentului European și a Consiliului din 9 septembrie 2015 referitoare la procedura de furnizare de informații în domeniul reglementărilor tehnice și al normelor privind serviciile societății informaționale,</w:t>
      </w:r>
    </w:p>
    <w:p w14:paraId="00000020" w14:textId="7BD1B620" w:rsidR="00EF7252" w:rsidRDefault="007C6B33" w:rsidP="00081B50">
      <w:pPr>
        <w:pBdr>
          <w:top w:val="nil"/>
          <w:left w:val="nil"/>
          <w:bottom w:val="nil"/>
          <w:right w:val="nil"/>
          <w:between w:val="nil"/>
        </w:pBdr>
        <w:spacing w:before="120" w:after="120"/>
        <w:ind w:firstLine="709"/>
        <w:jc w:val="both"/>
        <w:rPr>
          <w:color w:val="000000"/>
        </w:rPr>
      </w:pPr>
      <w:r>
        <w:rPr>
          <w:color w:val="000000"/>
        </w:rPr>
        <w:t xml:space="preserve">având în vedere Codul consumului, în special articolul introductiv în versiunea sa rezultată din Legea nr. 203/2017 din 21 februarie 2017 de ratificare a Ordonanței nr. 301/2016 din 14 martie 2016 și a Ordonanței 351/2016 din 25 martie 2016, </w:t>
      </w:r>
    </w:p>
    <w:p w14:paraId="00000021"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având în vedere Codul mediului, în special articolul L. 541-9-2 în versiunea sa rezultată din articolul 16 din Legea nr. 105/2020 din 10 februarie 2020 privind combaterea risipei și economia circulară,</w:t>
      </w:r>
    </w:p>
    <w:p w14:paraId="00000022"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având în vedere notificarea nr. XXXX/XXXX/X      adresată Comisiei Europene în conformitate cu Directiva (UE) 2015/1535,</w:t>
      </w:r>
    </w:p>
    <w:p w14:paraId="00000023" w14:textId="77777777" w:rsidR="00EF7252" w:rsidRDefault="007C6B33" w:rsidP="00081B50">
      <w:pPr>
        <w:pBdr>
          <w:top w:val="nil"/>
          <w:left w:val="nil"/>
          <w:bottom w:val="nil"/>
          <w:right w:val="nil"/>
          <w:between w:val="nil"/>
        </w:pBdr>
        <w:spacing w:before="120" w:after="120"/>
        <w:ind w:firstLine="709"/>
        <w:jc w:val="both"/>
        <w:rPr>
          <w:color w:val="000000"/>
        </w:rPr>
      </w:pPr>
      <w:r>
        <w:rPr>
          <w:color w:val="000000"/>
        </w:rPr>
        <w:t>în urma consultării Consiliului de Stat (Departamentul pentru lucrări publice),</w:t>
      </w:r>
    </w:p>
    <w:p w14:paraId="00000024" w14:textId="77777777" w:rsidR="00EF7252" w:rsidRDefault="007C6B33" w:rsidP="00081B50">
      <w:pPr>
        <w:pBdr>
          <w:top w:val="nil"/>
          <w:left w:val="nil"/>
          <w:bottom w:val="nil"/>
          <w:right w:val="nil"/>
          <w:between w:val="nil"/>
        </w:pBdr>
        <w:spacing w:before="480" w:after="360"/>
        <w:jc w:val="center"/>
        <w:rPr>
          <w:b/>
          <w:color w:val="000000"/>
        </w:rPr>
      </w:pPr>
      <w:r>
        <w:rPr>
          <w:b/>
          <w:color w:val="000000"/>
        </w:rPr>
        <w:t>Hotărăște:</w:t>
      </w:r>
    </w:p>
    <w:p w14:paraId="00000025" w14:textId="77777777" w:rsidR="00EF7252" w:rsidRDefault="007C6B33" w:rsidP="00081B50">
      <w:pPr>
        <w:keepNext/>
        <w:keepLines/>
        <w:pBdr>
          <w:top w:val="nil"/>
          <w:left w:val="nil"/>
          <w:bottom w:val="nil"/>
          <w:right w:val="nil"/>
          <w:between w:val="nil"/>
        </w:pBdr>
        <w:spacing w:after="120"/>
        <w:jc w:val="center"/>
        <w:rPr>
          <w:b/>
          <w:color w:val="000000"/>
        </w:rPr>
      </w:pPr>
      <w:r>
        <w:rPr>
          <w:b/>
          <w:color w:val="000000"/>
        </w:rPr>
        <w:t>Articolul 1</w:t>
      </w:r>
    </w:p>
    <w:p w14:paraId="00000026" w14:textId="77777777" w:rsidR="00EF7252" w:rsidRDefault="007C6B33" w:rsidP="00081B50">
      <w:pPr>
        <w:pBdr>
          <w:top w:val="nil"/>
          <w:left w:val="nil"/>
          <w:bottom w:val="nil"/>
          <w:right w:val="nil"/>
          <w:between w:val="nil"/>
        </w:pBdr>
        <w:spacing w:after="120"/>
        <w:jc w:val="both"/>
        <w:rPr>
          <w:color w:val="000000"/>
        </w:rPr>
      </w:pPr>
      <w:r>
        <w:rPr>
          <w:color w:val="000000"/>
        </w:rPr>
        <w:t>În cartea V titlul IV din partea de reglementare din Codul mediului, se introduc capitolul IV și secțiunea 1 formulate după cum urmează:</w:t>
      </w:r>
    </w:p>
    <w:p w14:paraId="00000027" w14:textId="77777777" w:rsidR="00EF7252" w:rsidRDefault="007C6B33" w:rsidP="00081B50">
      <w:pPr>
        <w:pBdr>
          <w:top w:val="nil"/>
          <w:left w:val="nil"/>
          <w:bottom w:val="nil"/>
          <w:right w:val="nil"/>
          <w:between w:val="nil"/>
        </w:pBdr>
        <w:spacing w:after="120"/>
        <w:jc w:val="both"/>
        <w:rPr>
          <w:color w:val="000000"/>
        </w:rPr>
      </w:pPr>
      <w:r>
        <w:rPr>
          <w:color w:val="000000"/>
        </w:rPr>
        <w:t>„Capitolul IV</w:t>
      </w:r>
    </w:p>
    <w:p w14:paraId="00000028" w14:textId="77777777" w:rsidR="00EF7252" w:rsidRDefault="007C6B33" w:rsidP="00081B50">
      <w:pPr>
        <w:pBdr>
          <w:top w:val="nil"/>
          <w:left w:val="nil"/>
          <w:bottom w:val="nil"/>
          <w:right w:val="nil"/>
          <w:between w:val="nil"/>
        </w:pBdr>
        <w:spacing w:after="120"/>
        <w:jc w:val="both"/>
        <w:rPr>
          <w:color w:val="000000"/>
        </w:rPr>
      </w:pPr>
      <w:r>
        <w:rPr>
          <w:color w:val="000000"/>
        </w:rPr>
        <w:t>Informații pentru public cu privire la produsele generatoare de deșeuri</w:t>
      </w:r>
    </w:p>
    <w:p w14:paraId="00000029" w14:textId="77777777" w:rsidR="00EF7252" w:rsidRDefault="007C6B33" w:rsidP="00081B50">
      <w:pPr>
        <w:pBdr>
          <w:top w:val="nil"/>
          <w:left w:val="nil"/>
          <w:bottom w:val="nil"/>
          <w:right w:val="nil"/>
          <w:between w:val="nil"/>
        </w:pBdr>
        <w:spacing w:after="120"/>
        <w:jc w:val="both"/>
        <w:rPr>
          <w:color w:val="000000"/>
        </w:rPr>
      </w:pPr>
      <w:r>
        <w:rPr>
          <w:color w:val="000000"/>
        </w:rPr>
        <w:t>Secțiunea 1</w:t>
      </w:r>
    </w:p>
    <w:p w14:paraId="0000002A" w14:textId="77777777" w:rsidR="00EF7252" w:rsidRDefault="007C6B33" w:rsidP="00081B50">
      <w:pPr>
        <w:pBdr>
          <w:top w:val="nil"/>
          <w:left w:val="nil"/>
          <w:bottom w:val="nil"/>
          <w:right w:val="nil"/>
          <w:between w:val="nil"/>
        </w:pBdr>
        <w:spacing w:after="120"/>
        <w:jc w:val="both"/>
        <w:rPr>
          <w:color w:val="000000"/>
        </w:rPr>
      </w:pPr>
      <w:r>
        <w:rPr>
          <w:color w:val="000000"/>
        </w:rPr>
        <w:t>Afișarea indicelui potențialului de reparare</w:t>
      </w:r>
    </w:p>
    <w:p w14:paraId="0000002B" w14:textId="77777777" w:rsidR="00EF7252" w:rsidRDefault="00EF7252" w:rsidP="00081B50">
      <w:pPr>
        <w:pBdr>
          <w:top w:val="nil"/>
          <w:left w:val="nil"/>
          <w:bottom w:val="nil"/>
          <w:right w:val="nil"/>
          <w:between w:val="nil"/>
        </w:pBdr>
        <w:spacing w:after="120"/>
        <w:jc w:val="both"/>
        <w:rPr>
          <w:color w:val="000000"/>
        </w:rPr>
      </w:pPr>
    </w:p>
    <w:p w14:paraId="0000002C" w14:textId="77777777" w:rsidR="00EF7252" w:rsidRDefault="007C6B33" w:rsidP="00081B50">
      <w:pPr>
        <w:pBdr>
          <w:top w:val="nil"/>
          <w:left w:val="nil"/>
          <w:bottom w:val="nil"/>
          <w:right w:val="nil"/>
          <w:between w:val="nil"/>
        </w:pBdr>
        <w:spacing w:after="120"/>
        <w:jc w:val="both"/>
        <w:rPr>
          <w:color w:val="000000"/>
        </w:rPr>
      </w:pPr>
      <w:bookmarkStart w:id="0" w:name="_heading=h.gjdgxs"/>
      <w:bookmarkEnd w:id="0"/>
      <w:r>
        <w:rPr>
          <w:color w:val="000000"/>
        </w:rPr>
        <w:t>Articolul R 544-1.- Indicele potențialului de reparare al echipamentelor electrice sau electronice definit la articolul L. 541-9-2 din Codul mediului, reprezintă o notă din zece care trebuie adusă la cunoștința consumatorilor în momentul achiziționării unui echipament nou.</w:t>
      </w:r>
    </w:p>
    <w:p w14:paraId="0000002D" w14:textId="277E27B0" w:rsidR="00EF7252" w:rsidRDefault="007C6B33" w:rsidP="00081B50">
      <w:pPr>
        <w:pBdr>
          <w:top w:val="nil"/>
          <w:left w:val="nil"/>
          <w:bottom w:val="nil"/>
          <w:right w:val="nil"/>
          <w:between w:val="nil"/>
        </w:pBdr>
        <w:spacing w:after="120"/>
        <w:jc w:val="both"/>
        <w:rPr>
          <w:color w:val="000000"/>
        </w:rPr>
      </w:pPr>
      <w:r>
        <w:rPr>
          <w:color w:val="000000"/>
        </w:rPr>
        <w:t xml:space="preserve">Acest indice corespunde fiecărui model de echipament de acest tip. </w:t>
      </w:r>
    </w:p>
    <w:p w14:paraId="0000002E" w14:textId="77777777" w:rsidR="00EF7252" w:rsidRDefault="00EF7252" w:rsidP="00081B50">
      <w:pPr>
        <w:pBdr>
          <w:top w:val="nil"/>
          <w:left w:val="nil"/>
          <w:bottom w:val="nil"/>
          <w:right w:val="nil"/>
          <w:between w:val="nil"/>
        </w:pBdr>
        <w:spacing w:after="120"/>
        <w:jc w:val="both"/>
        <w:rPr>
          <w:color w:val="000000"/>
        </w:rPr>
      </w:pPr>
    </w:p>
    <w:p w14:paraId="0000002F"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Articolul R 544-2.- În sensul prezentului decret, se aplică definițiile următoare:</w:t>
      </w:r>
    </w:p>
    <w:p w14:paraId="00000030" w14:textId="77777777" w:rsidR="00EF7252" w:rsidRDefault="007C6B33" w:rsidP="00081B50">
      <w:pPr>
        <w:pBdr>
          <w:top w:val="nil"/>
          <w:left w:val="nil"/>
          <w:bottom w:val="nil"/>
          <w:right w:val="nil"/>
          <w:between w:val="nil"/>
        </w:pBdr>
        <w:spacing w:after="120"/>
        <w:jc w:val="both"/>
        <w:rPr>
          <w:color w:val="000000"/>
        </w:rPr>
      </w:pPr>
      <w:r>
        <w:rPr>
          <w:color w:val="000000"/>
        </w:rPr>
        <w:t>1. «punere la dispoziție pe piață»: orice tip de furnizare, în cadrul unei activități comerciale, a unui echipament electric sau electronic destinat a fi distribuit sau utilizat pe piața internă, cu titlu oneros sau gratuit;</w:t>
      </w:r>
    </w:p>
    <w:p w14:paraId="00000031" w14:textId="77777777" w:rsidR="00EF7252" w:rsidRDefault="007C6B33" w:rsidP="00081B50">
      <w:pPr>
        <w:pBdr>
          <w:top w:val="nil"/>
          <w:left w:val="nil"/>
          <w:bottom w:val="nil"/>
          <w:right w:val="nil"/>
          <w:between w:val="nil"/>
        </w:pBdr>
        <w:spacing w:after="120"/>
        <w:jc w:val="both"/>
        <w:rPr>
          <w:color w:val="000000"/>
        </w:rPr>
      </w:pPr>
      <w:r>
        <w:rPr>
          <w:color w:val="000000"/>
        </w:rPr>
        <w:t>2. «introducere pe piață»: punerea la dispoziție pentru prima dată pe piața internă a unui echipament electric sau electronic;</w:t>
      </w:r>
    </w:p>
    <w:p w14:paraId="00000032" w14:textId="77777777" w:rsidR="00EF7252" w:rsidRDefault="007C6B33" w:rsidP="00081B50">
      <w:pPr>
        <w:pBdr>
          <w:top w:val="nil"/>
          <w:left w:val="nil"/>
          <w:bottom w:val="nil"/>
          <w:right w:val="nil"/>
          <w:between w:val="nil"/>
        </w:pBdr>
        <w:spacing w:after="120"/>
        <w:jc w:val="both"/>
        <w:rPr>
          <w:color w:val="000000"/>
        </w:rPr>
      </w:pPr>
      <w:r>
        <w:rPr>
          <w:color w:val="000000"/>
        </w:rPr>
        <w:t>3. «producător»: o persoană fizică sau juridică care fabrică un echipament electric sau electronic sau contribuie la proiectarea acestuia și îl comercializează sub numele sau marca proprie;</w:t>
      </w:r>
    </w:p>
    <w:p w14:paraId="00000033" w14:textId="19CACFEF" w:rsidR="00EF7252" w:rsidRDefault="007C6B33" w:rsidP="00081B50">
      <w:pPr>
        <w:pBdr>
          <w:top w:val="nil"/>
          <w:left w:val="nil"/>
          <w:bottom w:val="nil"/>
          <w:right w:val="nil"/>
          <w:between w:val="nil"/>
        </w:pBdr>
        <w:spacing w:after="120"/>
        <w:jc w:val="both"/>
        <w:rPr>
          <w:color w:val="000000"/>
        </w:rPr>
      </w:pPr>
      <w:r>
        <w:rPr>
          <w:color w:val="000000"/>
        </w:rPr>
        <w:t>4. «importator»: o persoană fizică sau juridică care introduce pe piața internă un echipament electric sau electronic care provine dintr-un stat membru al Uniunii Europene sau din țări terțe;</w:t>
      </w:r>
    </w:p>
    <w:p w14:paraId="00000034" w14:textId="08141F57" w:rsidR="00EF7252" w:rsidRDefault="007C6B33" w:rsidP="00081B50">
      <w:pPr>
        <w:pBdr>
          <w:top w:val="nil"/>
          <w:left w:val="nil"/>
          <w:bottom w:val="nil"/>
          <w:right w:val="nil"/>
          <w:between w:val="nil"/>
        </w:pBdr>
        <w:spacing w:after="120"/>
        <w:jc w:val="both"/>
        <w:rPr>
          <w:color w:val="000000"/>
        </w:rPr>
      </w:pPr>
      <w:r>
        <w:rPr>
          <w:color w:val="000000"/>
        </w:rPr>
        <w:t>5. «distribuitor»: o persoană fizică sau juridică care face parte din lanțul de aprovizionare, alta decât producătorul sau importatorul, care oferă spre vânzare pe piața internă un echipament electric sau electronic;</w:t>
      </w:r>
    </w:p>
    <w:p w14:paraId="00000035" w14:textId="77777777" w:rsidR="00EF7252" w:rsidRDefault="007C6B33" w:rsidP="00081B50">
      <w:pPr>
        <w:pBdr>
          <w:top w:val="nil"/>
          <w:left w:val="nil"/>
          <w:bottom w:val="nil"/>
          <w:right w:val="nil"/>
          <w:between w:val="nil"/>
        </w:pBdr>
        <w:spacing w:after="120"/>
        <w:jc w:val="both"/>
        <w:rPr>
          <w:color w:val="000000"/>
        </w:rPr>
      </w:pPr>
      <w:r>
        <w:rPr>
          <w:color w:val="000000"/>
        </w:rPr>
        <w:lastRenderedPageBreak/>
        <w:t xml:space="preserve">6. «vânzător»: o persoană fizică sau juridică care, în cadrul unei activități comerciale, pune la dispoziție pe piață prin vânzarea, inclusiv la distanță, de echipamente electrice sau electronice consumatorilor; </w:t>
      </w:r>
    </w:p>
    <w:p w14:paraId="00000036" w14:textId="77777777" w:rsidR="00EF7252" w:rsidRDefault="007C6B33" w:rsidP="00081B50">
      <w:pPr>
        <w:pBdr>
          <w:top w:val="nil"/>
          <w:left w:val="nil"/>
          <w:bottom w:val="nil"/>
          <w:right w:val="nil"/>
          <w:between w:val="nil"/>
        </w:pBdr>
        <w:spacing w:after="120"/>
        <w:jc w:val="both"/>
        <w:rPr>
          <w:b/>
          <w:color w:val="000000"/>
        </w:rPr>
      </w:pPr>
      <w:r>
        <w:rPr>
          <w:color w:val="000000"/>
        </w:rPr>
        <w:t>7. «vânzare la distanță»: contract încheiat la distanță între un vânzător profesionist și un consumator, în cadrul unui sistem organizat de vânzare, fără prezența fizică simultană a profesionistului și a consumatorului, prin utilizarea exclusivă a uneia sau a mai multor tehnici de comunicare la distanță până la încheierea contractului;</w:t>
      </w:r>
    </w:p>
    <w:p w14:paraId="00000037" w14:textId="77777777" w:rsidR="00EF7252" w:rsidRDefault="007C6B33" w:rsidP="00081B50">
      <w:pPr>
        <w:pBdr>
          <w:top w:val="nil"/>
          <w:left w:val="nil"/>
          <w:bottom w:val="nil"/>
          <w:right w:val="nil"/>
          <w:between w:val="nil"/>
        </w:pBdr>
        <w:spacing w:after="120"/>
        <w:jc w:val="both"/>
        <w:rPr>
          <w:color w:val="000000"/>
        </w:rPr>
      </w:pPr>
      <w:r>
        <w:rPr>
          <w:color w:val="000000"/>
        </w:rPr>
        <w:t>8. «model»: o versiune a unui echipament ale cărui unități au aceleași caracteristici tehnice relevante pentru calcularea indicelui potențialului de reparare.</w:t>
      </w:r>
    </w:p>
    <w:p w14:paraId="00000038" w14:textId="77777777" w:rsidR="00EF7252" w:rsidRDefault="00EF7252" w:rsidP="00081B50">
      <w:pPr>
        <w:pBdr>
          <w:top w:val="nil"/>
          <w:left w:val="nil"/>
          <w:bottom w:val="nil"/>
          <w:right w:val="nil"/>
          <w:between w:val="nil"/>
        </w:pBdr>
        <w:spacing w:after="120"/>
        <w:jc w:val="both"/>
        <w:rPr>
          <w:color w:val="000000"/>
        </w:rPr>
      </w:pPr>
    </w:p>
    <w:p w14:paraId="0000003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Articolul 544-3.-</w:t>
      </w:r>
    </w:p>
    <w:p w14:paraId="23CD9B35" w14:textId="77777777" w:rsidR="00081B50" w:rsidRDefault="007C6B33" w:rsidP="00081B50">
      <w:pPr>
        <w:pBdr>
          <w:top w:val="nil"/>
          <w:left w:val="nil"/>
          <w:bottom w:val="nil"/>
          <w:right w:val="nil"/>
          <w:between w:val="nil"/>
        </w:pBdr>
        <w:spacing w:after="120"/>
        <w:jc w:val="both"/>
        <w:rPr>
          <w:color w:val="000000"/>
        </w:rPr>
      </w:pPr>
      <w:r>
        <w:rPr>
          <w:color w:val="000000"/>
        </w:rPr>
        <w:t>I. - Producătorii sau importatorii stabilesc, pentru echipamentele electrice sau electronice pe care le introduc pe piață, indicele potențialului de reparare, precum și parametrii utilizați pentru stabilirea acestuia în conformitate cu procedurile prevăzute prin decret.</w:t>
      </w:r>
    </w:p>
    <w:p w14:paraId="0000003C" w14:textId="02B801ED" w:rsidR="00EF7252" w:rsidRDefault="007C6B33" w:rsidP="00081B50">
      <w:pPr>
        <w:pBdr>
          <w:top w:val="nil"/>
          <w:left w:val="nil"/>
          <w:bottom w:val="nil"/>
          <w:right w:val="nil"/>
          <w:between w:val="nil"/>
        </w:pBdr>
        <w:spacing w:after="120"/>
        <w:jc w:val="both"/>
        <w:rPr>
          <w:color w:val="000000"/>
        </w:rPr>
      </w:pPr>
      <w:r>
        <w:rPr>
          <w:color w:val="000000"/>
        </w:rPr>
        <w:t>II. - Producătorii și importatorii trebuie să transmită, în mod gratuit și în format electronic, distribuitorilor sau vânzătorilor, în momentul listării și al livrării echipamentelor electrice și electronice, pentru fiecare model de echipament introdus pe piață:</w:t>
      </w:r>
    </w:p>
    <w:p w14:paraId="0000003D" w14:textId="2E1C1C4A" w:rsidR="00EF7252" w:rsidRPr="00020895" w:rsidRDefault="007C6B33" w:rsidP="00081B50">
      <w:pPr>
        <w:pBdr>
          <w:top w:val="nil"/>
          <w:left w:val="nil"/>
          <w:bottom w:val="nil"/>
          <w:right w:val="nil"/>
          <w:between w:val="nil"/>
        </w:pBdr>
        <w:spacing w:after="120"/>
        <w:jc w:val="both"/>
        <w:rPr>
          <w:color w:val="000000"/>
          <w:spacing w:val="-4"/>
        </w:rPr>
      </w:pPr>
      <w:r w:rsidRPr="00020895">
        <w:rPr>
          <w:color w:val="000000"/>
          <w:spacing w:val="-4"/>
        </w:rPr>
        <w:t>(a) indicele potențialului de reparare în conformitate cu modalitățile și descrierea prevăzute prin decret.</w:t>
      </w:r>
    </w:p>
    <w:p w14:paraId="0000003E" w14:textId="433562A7" w:rsidR="00EF7252" w:rsidRDefault="00535D26" w:rsidP="00081B50">
      <w:pPr>
        <w:pBdr>
          <w:top w:val="nil"/>
          <w:left w:val="nil"/>
          <w:bottom w:val="nil"/>
          <w:right w:val="nil"/>
          <w:between w:val="nil"/>
        </w:pBdr>
        <w:spacing w:after="120"/>
        <w:jc w:val="both"/>
        <w:rPr>
          <w:color w:val="000000"/>
        </w:rPr>
      </w:pPr>
      <w:r>
        <w:rPr>
          <w:color w:val="000000"/>
        </w:rPr>
        <w:t xml:space="preserve">(b) parametrii utilizați pentru stabilirea indicelui potențialului de reparare în conformitate cu formatul prevăzut prin decret. </w:t>
      </w:r>
    </w:p>
    <w:p w14:paraId="0000003F" w14:textId="77777777" w:rsidR="00EF7252" w:rsidRDefault="007C6B33" w:rsidP="00081B50">
      <w:pPr>
        <w:pBdr>
          <w:top w:val="nil"/>
          <w:left w:val="nil"/>
          <w:bottom w:val="nil"/>
          <w:right w:val="nil"/>
          <w:between w:val="nil"/>
        </w:pBdr>
        <w:spacing w:after="120"/>
        <w:jc w:val="both"/>
        <w:rPr>
          <w:color w:val="000000"/>
        </w:rPr>
      </w:pPr>
      <w:r>
        <w:rPr>
          <w:color w:val="000000"/>
        </w:rPr>
        <w:t>III.- Atunci când nu este și vânzător, distribuitorul trebuie să transmită vânzătorului, în mod gratuit și în aceleași condiții menționate la literele (a) și (b) de mai sus, indicele potențialului de reparare și parametrii pentru calcularea acestuia, în momentul listării și al livrării echipamentelor electrice și electronice.</w:t>
      </w:r>
    </w:p>
    <w:p w14:paraId="00000040" w14:textId="5D5D04B5" w:rsidR="00EF7252" w:rsidRDefault="007C6B33" w:rsidP="00081B50">
      <w:pPr>
        <w:pBdr>
          <w:top w:val="nil"/>
          <w:left w:val="nil"/>
          <w:bottom w:val="nil"/>
          <w:right w:val="nil"/>
          <w:between w:val="nil"/>
        </w:pBdr>
        <w:spacing w:after="120"/>
        <w:jc w:val="both"/>
        <w:rPr>
          <w:color w:val="000000"/>
        </w:rPr>
      </w:pPr>
      <w:r>
        <w:rPr>
          <w:color w:val="000000"/>
        </w:rPr>
        <w:t>IV. - Indicele poate fi, de asemenea, aplicat direct pe fiecare model de echipament sau pe ambalaj prin etichetare sau marcare, respectând descrierea prevăzută prin decret.</w:t>
      </w:r>
    </w:p>
    <w:p w14:paraId="00000041" w14:textId="7B50DCAD" w:rsidR="00EF7252" w:rsidRDefault="00535D26" w:rsidP="00081B50">
      <w:pPr>
        <w:pBdr>
          <w:top w:val="nil"/>
          <w:left w:val="nil"/>
          <w:bottom w:val="nil"/>
          <w:right w:val="nil"/>
          <w:between w:val="nil"/>
        </w:pBdr>
        <w:spacing w:after="120"/>
        <w:jc w:val="both"/>
        <w:rPr>
          <w:color w:val="000000"/>
        </w:rPr>
      </w:pPr>
      <w:r>
        <w:rPr>
          <w:color w:val="000000"/>
        </w:rPr>
        <w:t>V. - Informațiile menționate la punctul 2 trebuie transmise în mod gratuit de către producători și importatori, în termen de 15 zile, oricărei persoane care le solicită pe parcursul unei perioade de cel puțin doi ani de la data introducerii pe piață a ultimei unități a unui model de echipament.</w:t>
      </w:r>
    </w:p>
    <w:p w14:paraId="00000042" w14:textId="77777777" w:rsidR="00EF7252" w:rsidRDefault="00EF7252" w:rsidP="00081B50">
      <w:pPr>
        <w:pBdr>
          <w:top w:val="nil"/>
          <w:left w:val="nil"/>
          <w:bottom w:val="nil"/>
          <w:right w:val="nil"/>
          <w:between w:val="nil"/>
        </w:pBdr>
        <w:spacing w:after="120"/>
        <w:jc w:val="both"/>
        <w:rPr>
          <w:strike/>
          <w:color w:val="000000"/>
        </w:rPr>
      </w:pPr>
    </w:p>
    <w:p w14:paraId="00000043"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Articolul 544-4.-</w:t>
      </w:r>
    </w:p>
    <w:p w14:paraId="00000044"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Atunci când echipamentele electrice sau electronice sunt oferite spre vânzare în magazin, vânzătorul trebuie să afișeze în mod vizibil pe echipamentele respective sau în imediata apropiere a acestora și în conformitate cu termenii și descrierile prevăzute prin decret, indicele potențialului de reparare furnizat de către producător sau importator. </w:t>
      </w:r>
    </w:p>
    <w:p w14:paraId="00000045" w14:textId="5D2DF6CE" w:rsidR="00EF7252" w:rsidRDefault="007C6B33" w:rsidP="00081B50">
      <w:pPr>
        <w:pBdr>
          <w:top w:val="nil"/>
          <w:left w:val="nil"/>
          <w:bottom w:val="nil"/>
          <w:right w:val="nil"/>
          <w:between w:val="nil"/>
        </w:pBdr>
        <w:spacing w:after="120"/>
        <w:jc w:val="both"/>
        <w:rPr>
          <w:color w:val="000000"/>
        </w:rPr>
      </w:pPr>
      <w:r>
        <w:rPr>
          <w:color w:val="000000"/>
        </w:rPr>
        <w:t>II. - Atunci când echipamentele electrice sau electronice sunt oferite spre vânzare în cadrul unei activități de vânzare la distanță, vânzătorul trebuie să afișeze în mod vizibil în prezentarea echipamentelor respective și în apropierea prețului acestora, indicele potențialului de reparare, în conformitate cu termenii și descrierea prevăzute prin decret.</w:t>
      </w:r>
    </w:p>
    <w:p w14:paraId="00000046" w14:textId="77777777" w:rsidR="00EF7252" w:rsidRDefault="007C6B33" w:rsidP="00081B50">
      <w:pPr>
        <w:pBdr>
          <w:top w:val="nil"/>
          <w:left w:val="nil"/>
          <w:bottom w:val="nil"/>
          <w:right w:val="nil"/>
          <w:between w:val="nil"/>
        </w:pBdr>
        <w:spacing w:after="120"/>
        <w:jc w:val="both"/>
        <w:rPr>
          <w:color w:val="000000"/>
        </w:rPr>
      </w:pPr>
      <w:r>
        <w:rPr>
          <w:color w:val="000000"/>
        </w:rPr>
        <w:t>III. - Vânzătorul trebuie să furnizeze, de asemenea, consumatorilor, prin orice modalitate corespunzătoare, parametrii utilizați pentru stabilirea indicelui potențialului de reparare al echipamentelor, în conformitate cu formatul prevăzut prin decret.</w:t>
      </w:r>
    </w:p>
    <w:p w14:paraId="773EA3DE" w14:textId="77777777" w:rsidR="00081B50" w:rsidRDefault="00081B50" w:rsidP="00081B50">
      <w:pPr>
        <w:pBdr>
          <w:top w:val="nil"/>
          <w:left w:val="nil"/>
          <w:bottom w:val="nil"/>
          <w:right w:val="nil"/>
          <w:between w:val="nil"/>
        </w:pBdr>
        <w:spacing w:after="120"/>
        <w:jc w:val="both"/>
        <w:rPr>
          <w:color w:val="000000"/>
        </w:rPr>
      </w:pPr>
    </w:p>
    <w:p w14:paraId="00000047" w14:textId="197437DE" w:rsidR="00EF7252" w:rsidRDefault="007C6B33" w:rsidP="00081B50">
      <w:pPr>
        <w:pBdr>
          <w:top w:val="nil"/>
          <w:left w:val="nil"/>
          <w:bottom w:val="nil"/>
          <w:right w:val="nil"/>
          <w:between w:val="nil"/>
        </w:pBdr>
        <w:spacing w:after="120"/>
        <w:jc w:val="both"/>
        <w:rPr>
          <w:strike/>
          <w:color w:val="000000"/>
        </w:rPr>
      </w:pPr>
      <w:r>
        <w:rPr>
          <w:color w:val="000000"/>
        </w:rPr>
        <w:lastRenderedPageBreak/>
        <w:t xml:space="preserve">Articolul 544-5.- Indicele potențialului de reparare, precum și parametrii utilizați pentru stabilirea acestuia trebuie puși la dispoziția consumatorilor de către producători sau importatori pe parcursul unei perioade de cel puțin doi ani de la data introducerii pe piață a ultimei unități a unui model de echipament vizat. </w:t>
      </w:r>
    </w:p>
    <w:p w14:paraId="00000048" w14:textId="77777777" w:rsidR="00EF7252" w:rsidRDefault="00EF7252" w:rsidP="00081B50">
      <w:pPr>
        <w:pBdr>
          <w:top w:val="nil"/>
          <w:left w:val="nil"/>
          <w:bottom w:val="nil"/>
          <w:right w:val="nil"/>
          <w:between w:val="nil"/>
        </w:pBdr>
        <w:spacing w:after="120"/>
        <w:jc w:val="both"/>
        <w:rPr>
          <w:strike/>
          <w:color w:val="000000"/>
        </w:rPr>
      </w:pPr>
    </w:p>
    <w:p w14:paraId="00000049" w14:textId="77777777" w:rsidR="00EF7252" w:rsidRDefault="007C6B33" w:rsidP="00081B50">
      <w:pPr>
        <w:keepNext/>
        <w:keepLines/>
        <w:pBdr>
          <w:top w:val="nil"/>
          <w:left w:val="nil"/>
          <w:bottom w:val="nil"/>
          <w:right w:val="nil"/>
          <w:between w:val="nil"/>
        </w:pBdr>
        <w:spacing w:after="120"/>
        <w:jc w:val="both"/>
        <w:rPr>
          <w:color w:val="000000"/>
        </w:rPr>
      </w:pPr>
      <w:r>
        <w:rPr>
          <w:color w:val="000000"/>
        </w:rPr>
        <w:t xml:space="preserve">Articolul 544-6.- </w:t>
      </w:r>
    </w:p>
    <w:p w14:paraId="0000004A" w14:textId="77777777" w:rsidR="00EF7252" w:rsidRDefault="007C6B33" w:rsidP="00081B50">
      <w:pPr>
        <w:pBdr>
          <w:top w:val="nil"/>
          <w:left w:val="nil"/>
          <w:bottom w:val="nil"/>
          <w:right w:val="nil"/>
          <w:between w:val="nil"/>
        </w:pBdr>
        <w:spacing w:after="120"/>
        <w:jc w:val="both"/>
        <w:rPr>
          <w:color w:val="000000"/>
        </w:rPr>
      </w:pPr>
      <w:r>
        <w:rPr>
          <w:color w:val="000000"/>
        </w:rPr>
        <w:t xml:space="preserve">I. - Indicele potențialului de reparare este calculat pe baza următorilor parametri: </w:t>
      </w:r>
    </w:p>
    <w:p w14:paraId="0000004B" w14:textId="548716C4" w:rsidR="00EF7252" w:rsidRDefault="007C6B33" w:rsidP="00081B50">
      <w:pPr>
        <w:pBdr>
          <w:top w:val="nil"/>
          <w:left w:val="nil"/>
          <w:bottom w:val="nil"/>
          <w:right w:val="nil"/>
          <w:between w:val="nil"/>
        </w:pBdr>
        <w:spacing w:after="120"/>
        <w:jc w:val="both"/>
        <w:rPr>
          <w:color w:val="000000"/>
        </w:rPr>
      </w:pPr>
      <w:r>
        <w:rPr>
          <w:color w:val="000000"/>
        </w:rPr>
        <w:t xml:space="preserve">(a) o notă din douăzeci pentru perioada de disponibilitate a documentației tehnice și pentru instrucțiunile de utilizare și de întreținere pentru producători, service-uri și consumatori; </w:t>
      </w:r>
    </w:p>
    <w:p w14:paraId="0000004C" w14:textId="4296823E" w:rsidR="00EF7252" w:rsidRDefault="007C6B33" w:rsidP="00081B50">
      <w:pPr>
        <w:pBdr>
          <w:top w:val="nil"/>
          <w:left w:val="nil"/>
          <w:bottom w:val="nil"/>
          <w:right w:val="nil"/>
          <w:between w:val="nil"/>
        </w:pBdr>
        <w:spacing w:after="120"/>
        <w:jc w:val="both"/>
        <w:rPr>
          <w:color w:val="000000"/>
        </w:rPr>
      </w:pPr>
      <w:r>
        <w:rPr>
          <w:color w:val="000000"/>
        </w:rPr>
        <w:t>(b) o notă din douăzeci pentru caracterul demontabil al echipamentului: numărul etapelor de demontare pentru accesul ușor la piesele de schimb, caracteristicile instrumentelor necesare și ale elementelor de fixare ale pieselor de schimb;</w:t>
      </w:r>
    </w:p>
    <w:p w14:paraId="0000004D" w14:textId="74B0C666" w:rsidR="00EF7252" w:rsidRPr="00020895" w:rsidRDefault="007C6B33" w:rsidP="00081B50">
      <w:pPr>
        <w:pBdr>
          <w:top w:val="nil"/>
          <w:left w:val="nil"/>
          <w:bottom w:val="nil"/>
          <w:right w:val="nil"/>
          <w:between w:val="nil"/>
        </w:pBdr>
        <w:spacing w:after="120"/>
        <w:jc w:val="both"/>
        <w:rPr>
          <w:color w:val="000000"/>
          <w:spacing w:val="-4"/>
        </w:rPr>
      </w:pPr>
      <w:r w:rsidRPr="00020895">
        <w:rPr>
          <w:color w:val="000000"/>
          <w:spacing w:val="-4"/>
        </w:rPr>
        <w:t>(c) o notă din douăzeci pentru perioadele de disponibilitate pe piață a pieselor de schimb și pentru termenele de livrare pentru producători, distribuitorii de piese de schimb, service-uri și consumatori;</w:t>
      </w:r>
    </w:p>
    <w:p w14:paraId="0000004E" w14:textId="20211C48" w:rsidR="00EF7252" w:rsidRDefault="007C6B33" w:rsidP="00081B50">
      <w:pPr>
        <w:pBdr>
          <w:top w:val="nil"/>
          <w:left w:val="nil"/>
          <w:bottom w:val="nil"/>
          <w:right w:val="nil"/>
          <w:between w:val="nil"/>
        </w:pBdr>
        <w:spacing w:after="120"/>
        <w:jc w:val="both"/>
        <w:rPr>
          <w:color w:val="000000"/>
        </w:rPr>
      </w:pPr>
      <w:r>
        <w:rPr>
          <w:color w:val="000000"/>
        </w:rPr>
        <w:t>(d) o notă din douăzeci pentru raportul dintre prețul de vânzare al pieselor de schimb cerut de către producător sau importator și prețul de vânzare al echipamentelor cerut de către producător sau importator, calculat conform modalităților prevăzute prin decret.</w:t>
      </w:r>
    </w:p>
    <w:p w14:paraId="0000004F" w14:textId="695D1F87" w:rsidR="00EF7252" w:rsidRDefault="007C6B33" w:rsidP="00081B50">
      <w:pPr>
        <w:pBdr>
          <w:top w:val="nil"/>
          <w:left w:val="nil"/>
          <w:bottom w:val="nil"/>
          <w:right w:val="nil"/>
          <w:between w:val="nil"/>
        </w:pBdr>
        <w:spacing w:after="120"/>
        <w:jc w:val="both"/>
        <w:rPr>
          <w:color w:val="000000"/>
        </w:rPr>
      </w:pPr>
      <w:r>
        <w:rPr>
          <w:color w:val="000000"/>
        </w:rPr>
        <w:t>(e) o notă din douăzeci pentru criteriile specifice categoriei de echipamente vizate.</w:t>
      </w:r>
    </w:p>
    <w:p w14:paraId="00000051" w14:textId="1A917FCE" w:rsidR="00EF7252" w:rsidRDefault="007C6B33" w:rsidP="00081B50">
      <w:pPr>
        <w:pBdr>
          <w:top w:val="nil"/>
          <w:left w:val="nil"/>
          <w:bottom w:val="nil"/>
          <w:right w:val="nil"/>
          <w:between w:val="nil"/>
        </w:pBdr>
        <w:spacing w:after="120"/>
        <w:jc w:val="both"/>
        <w:rPr>
          <w:color w:val="000000"/>
        </w:rPr>
      </w:pPr>
      <w:r>
        <w:rPr>
          <w:color w:val="000000"/>
        </w:rPr>
        <w:t xml:space="preserve">II-. Indicele potențialului de repare este obținut prin adunarea celor cinci note obținute și apoi prin împărțirea numărului obținut la zece pentru a obține o notă sintetică pe o scară de la 1 la 10. </w:t>
      </w:r>
    </w:p>
    <w:p w14:paraId="00000053" w14:textId="1E079AA9" w:rsidR="00EF7252" w:rsidRDefault="00276444" w:rsidP="00081B50">
      <w:pPr>
        <w:pBdr>
          <w:top w:val="nil"/>
          <w:left w:val="nil"/>
          <w:bottom w:val="nil"/>
          <w:right w:val="nil"/>
          <w:between w:val="nil"/>
        </w:pBdr>
        <w:spacing w:after="120"/>
        <w:jc w:val="both"/>
        <w:rPr>
          <w:color w:val="000000"/>
        </w:rPr>
      </w:pPr>
      <w:r>
        <w:rPr>
          <w:color w:val="000000"/>
        </w:rPr>
        <w:t xml:space="preserve">III-. Toate criteriile și subcriteriile, inclusiv criteriile specifice fiecărei categorii, precum și modurile de calculare a indicelui sunt stabilite prin ordin al ministrului mediului și al ministrului economiei și finanțelor pentru fiecare categorie de echipamente electrice și electronice. </w:t>
      </w:r>
    </w:p>
    <w:p w14:paraId="00000054" w14:textId="77777777" w:rsidR="00EF7252" w:rsidRDefault="00EF7252" w:rsidP="00081B50">
      <w:pPr>
        <w:pBdr>
          <w:top w:val="nil"/>
          <w:left w:val="nil"/>
          <w:bottom w:val="nil"/>
          <w:right w:val="nil"/>
          <w:between w:val="nil"/>
        </w:pBdr>
        <w:spacing w:after="120"/>
        <w:jc w:val="both"/>
        <w:rPr>
          <w:b/>
          <w:color w:val="000000"/>
        </w:rPr>
      </w:pPr>
    </w:p>
    <w:p w14:paraId="00000055" w14:textId="77777777" w:rsidR="00EF7252" w:rsidRDefault="007C6B33" w:rsidP="00081B50">
      <w:pPr>
        <w:pBdr>
          <w:top w:val="nil"/>
          <w:left w:val="nil"/>
          <w:bottom w:val="nil"/>
          <w:right w:val="nil"/>
          <w:between w:val="nil"/>
        </w:pBdr>
        <w:spacing w:after="120"/>
        <w:jc w:val="both"/>
        <w:rPr>
          <w:color w:val="000000"/>
        </w:rPr>
      </w:pPr>
      <w:r>
        <w:rPr>
          <w:color w:val="000000"/>
        </w:rPr>
        <w:t xml:space="preserve">Articolul 544-7.- Începând cu 1 ianuarie 2024, indicele potențialului de reparare va fi completat sau înlocuit, pentru anumite categorii de echipamente, cu indicele de durabilitate, care va include criterii noi, în special fiabilitatea și soliditatea echipamentului.” </w:t>
      </w:r>
    </w:p>
    <w:p w14:paraId="00000057" w14:textId="77777777" w:rsidR="00EF7252" w:rsidRDefault="007C6B33" w:rsidP="00020895">
      <w:pPr>
        <w:keepNext/>
        <w:keepLines/>
        <w:pageBreakBefore/>
        <w:pBdr>
          <w:top w:val="nil"/>
          <w:left w:val="nil"/>
          <w:bottom w:val="nil"/>
          <w:right w:val="nil"/>
          <w:between w:val="nil"/>
        </w:pBdr>
        <w:spacing w:before="240" w:after="240"/>
        <w:jc w:val="center"/>
        <w:rPr>
          <w:b/>
          <w:color w:val="000000"/>
        </w:rPr>
      </w:pPr>
      <w:r>
        <w:rPr>
          <w:b/>
          <w:color w:val="000000"/>
        </w:rPr>
        <w:lastRenderedPageBreak/>
        <w:t>Articolul 2</w:t>
      </w:r>
    </w:p>
    <w:p w14:paraId="00000058" w14:textId="77777777" w:rsidR="00EF7252" w:rsidRDefault="007C6B33" w:rsidP="00081B50">
      <w:pPr>
        <w:pBdr>
          <w:top w:val="nil"/>
          <w:left w:val="nil"/>
          <w:bottom w:val="nil"/>
          <w:right w:val="nil"/>
          <w:between w:val="nil"/>
        </w:pBdr>
        <w:spacing w:after="120"/>
        <w:jc w:val="both"/>
        <w:rPr>
          <w:color w:val="000000"/>
        </w:rPr>
      </w:pPr>
      <w:r>
        <w:rPr>
          <w:color w:val="000000"/>
        </w:rPr>
        <w:t>Dispozițiile din prezentul decret intră în vigoare la 1 ianuarie 2021.</w:t>
      </w:r>
    </w:p>
    <w:p w14:paraId="0000005A" w14:textId="77777777" w:rsidR="00EF7252" w:rsidRDefault="007C6B33" w:rsidP="00081B50">
      <w:pPr>
        <w:keepNext/>
        <w:keepLines/>
        <w:pBdr>
          <w:top w:val="nil"/>
          <w:left w:val="nil"/>
          <w:bottom w:val="nil"/>
          <w:right w:val="nil"/>
          <w:between w:val="nil"/>
        </w:pBdr>
        <w:spacing w:before="240" w:after="240"/>
        <w:jc w:val="center"/>
        <w:rPr>
          <w:b/>
          <w:color w:val="000000"/>
        </w:rPr>
      </w:pPr>
      <w:r>
        <w:rPr>
          <w:b/>
          <w:color w:val="000000"/>
        </w:rPr>
        <w:t>Articolul 3</w:t>
      </w:r>
    </w:p>
    <w:p w14:paraId="0000005B" w14:textId="35995E0E" w:rsidR="00EF7252" w:rsidRDefault="007C6B33" w:rsidP="00081B50">
      <w:pPr>
        <w:pBdr>
          <w:top w:val="nil"/>
          <w:left w:val="nil"/>
          <w:bottom w:val="nil"/>
          <w:right w:val="nil"/>
          <w:between w:val="nil"/>
        </w:pBdr>
        <w:spacing w:before="240" w:after="240"/>
        <w:jc w:val="both"/>
        <w:rPr>
          <w:color w:val="000000"/>
        </w:rPr>
      </w:pPr>
      <w:r>
        <w:rPr>
          <w:color w:val="000000"/>
        </w:rPr>
        <w:t xml:space="preserve">Ministrul tranziției ecologice și ministrul economiei și finanțelor sunt responsabili, fiecare în sfera sa de competență, cu punerea în aplicare a prezentului decret care va fi publicat în </w:t>
      </w:r>
      <w:r>
        <w:rPr>
          <w:i/>
          <w:color w:val="000000"/>
        </w:rPr>
        <w:t>Jurnalul Oficial</w:t>
      </w:r>
      <w:r>
        <w:rPr>
          <w:color w:val="000000"/>
        </w:rPr>
        <w:t xml:space="preserve"> al Republicii Franceze. </w:t>
      </w:r>
    </w:p>
    <w:p w14:paraId="0000005D" w14:textId="77777777" w:rsidR="00EF7252" w:rsidRDefault="007C6B33" w:rsidP="00020895">
      <w:pPr>
        <w:pBdr>
          <w:top w:val="nil"/>
          <w:left w:val="nil"/>
          <w:bottom w:val="nil"/>
          <w:right w:val="nil"/>
          <w:between w:val="nil"/>
        </w:pBdr>
        <w:spacing w:before="160" w:after="160"/>
        <w:ind w:firstLine="720"/>
        <w:jc w:val="both"/>
        <w:rPr>
          <w:color w:val="000000"/>
        </w:rPr>
      </w:pPr>
      <w:r>
        <w:rPr>
          <w:color w:val="000000"/>
        </w:rPr>
        <w:t>Adoptat la xx xx 2020</w:t>
      </w:r>
    </w:p>
    <w:p w14:paraId="6DD4078F" w14:textId="77777777" w:rsidR="00081B50" w:rsidRDefault="007C6B33" w:rsidP="00020895">
      <w:pPr>
        <w:keepNext/>
        <w:keepLines/>
        <w:pBdr>
          <w:top w:val="nil"/>
          <w:left w:val="nil"/>
          <w:bottom w:val="nil"/>
          <w:right w:val="nil"/>
          <w:between w:val="nil"/>
        </w:pBdr>
        <w:spacing w:before="360"/>
        <w:ind w:left="720"/>
        <w:rPr>
          <w:color w:val="000000"/>
        </w:rPr>
      </w:pPr>
      <w:bookmarkStart w:id="1" w:name="_heading=h.30j0zll"/>
      <w:bookmarkEnd w:id="1"/>
      <w:r>
        <w:rPr>
          <w:color w:val="000000"/>
        </w:rPr>
        <w:t>De către prim-ministru:</w:t>
      </w:r>
    </w:p>
    <w:p w14:paraId="039D5CE4" w14:textId="0EC6F35A" w:rsidR="00081B50" w:rsidRDefault="007C6B33" w:rsidP="00081B50">
      <w:pPr>
        <w:pBdr>
          <w:top w:val="nil"/>
          <w:left w:val="nil"/>
          <w:bottom w:val="nil"/>
          <w:right w:val="nil"/>
          <w:between w:val="nil"/>
        </w:pBdr>
        <w:ind w:left="720"/>
        <w:rPr>
          <w:color w:val="000000"/>
        </w:rPr>
      </w:pPr>
      <w:r>
        <w:rPr>
          <w:color w:val="000000"/>
        </w:rPr>
        <w:t>Jean CASTEX</w:t>
      </w:r>
    </w:p>
    <w:p w14:paraId="01727CB8" w14:textId="77777777" w:rsidR="00081B50" w:rsidRDefault="007C6B33" w:rsidP="00020895">
      <w:pPr>
        <w:keepNext/>
        <w:keepLines/>
        <w:pBdr>
          <w:top w:val="nil"/>
          <w:left w:val="nil"/>
          <w:bottom w:val="nil"/>
          <w:right w:val="nil"/>
          <w:between w:val="nil"/>
        </w:pBdr>
        <w:spacing w:before="360"/>
        <w:ind w:left="720"/>
        <w:rPr>
          <w:color w:val="000000"/>
        </w:rPr>
      </w:pPr>
      <w:r>
        <w:rPr>
          <w:color w:val="000000"/>
        </w:rPr>
        <w:t>Ministrul tranziției ecologice</w:t>
      </w:r>
    </w:p>
    <w:p w14:paraId="60ACC114" w14:textId="20DE3655" w:rsidR="00081B50" w:rsidRDefault="007C6B33" w:rsidP="00081B50">
      <w:pPr>
        <w:pBdr>
          <w:top w:val="nil"/>
          <w:left w:val="nil"/>
          <w:bottom w:val="nil"/>
          <w:right w:val="nil"/>
          <w:between w:val="nil"/>
        </w:pBdr>
        <w:ind w:left="720"/>
        <w:rPr>
          <w:color w:val="000000"/>
        </w:rPr>
      </w:pPr>
      <w:r>
        <w:rPr>
          <w:color w:val="000000"/>
        </w:rPr>
        <w:t>Barbara POMPILI</w:t>
      </w:r>
    </w:p>
    <w:p w14:paraId="679F4E3A" w14:textId="77777777" w:rsidR="00081B50" w:rsidRDefault="007C6B33" w:rsidP="00020895">
      <w:pPr>
        <w:keepNext/>
        <w:keepLines/>
        <w:pBdr>
          <w:top w:val="nil"/>
          <w:left w:val="nil"/>
          <w:bottom w:val="nil"/>
          <w:right w:val="nil"/>
          <w:between w:val="nil"/>
        </w:pBdr>
        <w:spacing w:before="400"/>
        <w:ind w:left="720"/>
        <w:rPr>
          <w:color w:val="000000"/>
        </w:rPr>
      </w:pPr>
      <w:r>
        <w:rPr>
          <w:color w:val="000000"/>
        </w:rPr>
        <w:t>Ministrul economiei și finanțelor,</w:t>
      </w:r>
    </w:p>
    <w:p w14:paraId="0000005E" w14:textId="52901521" w:rsidR="00EF7252" w:rsidRDefault="007C6B33" w:rsidP="00081B50">
      <w:pPr>
        <w:pBdr>
          <w:top w:val="nil"/>
          <w:left w:val="nil"/>
          <w:bottom w:val="nil"/>
          <w:right w:val="nil"/>
          <w:between w:val="nil"/>
        </w:pBdr>
        <w:ind w:left="720"/>
        <w:rPr>
          <w:color w:val="000000"/>
        </w:rPr>
      </w:pPr>
      <w:r>
        <w:rPr>
          <w:color w:val="000000"/>
        </w:rPr>
        <w:t>Bruno LE MAIRE</w:t>
      </w:r>
    </w:p>
    <w:sectPr w:rsidR="00EF7252">
      <w:headerReference w:type="default" r:id="rId9"/>
      <w:footerReference w:type="default" r:id="rId10"/>
      <w:pgSz w:w="11906" w:h="16838"/>
      <w:pgMar w:top="1134" w:right="1418" w:bottom="1418" w:left="1134" w:header="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CE4F1" w14:textId="77777777" w:rsidR="00115349" w:rsidRDefault="00115349">
      <w:r>
        <w:separator/>
      </w:r>
    </w:p>
  </w:endnote>
  <w:endnote w:type="continuationSeparator" w:id="0">
    <w:p w14:paraId="15040677" w14:textId="77777777" w:rsidR="00115349" w:rsidRDefault="0011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8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ingFang SC">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5" w14:textId="452CF919" w:rsidR="00EF7252" w:rsidRDefault="00EF725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A9C49" w14:textId="77777777" w:rsidR="00115349" w:rsidRDefault="00115349">
      <w:r>
        <w:separator/>
      </w:r>
    </w:p>
  </w:footnote>
  <w:footnote w:type="continuationSeparator" w:id="0">
    <w:p w14:paraId="1505A8CD" w14:textId="77777777" w:rsidR="00115349" w:rsidRDefault="0011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4" w14:textId="77777777" w:rsidR="00EF7252" w:rsidRDefault="00EF7252">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A46FB"/>
    <w:multiLevelType w:val="multilevel"/>
    <w:tmpl w:val="87AAF71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52"/>
    <w:rsid w:val="00020895"/>
    <w:rsid w:val="00081B50"/>
    <w:rsid w:val="00106E77"/>
    <w:rsid w:val="00115349"/>
    <w:rsid w:val="00276444"/>
    <w:rsid w:val="003B1438"/>
    <w:rsid w:val="00535D26"/>
    <w:rsid w:val="0066778A"/>
    <w:rsid w:val="007C6B33"/>
    <w:rsid w:val="00817DDD"/>
    <w:rsid w:val="00956AEB"/>
    <w:rsid w:val="00A751E7"/>
    <w:rsid w:val="00EF7252"/>
  </w:rsids>
  <m:mathPr>
    <m:mathFont m:val="Cambria Math"/>
    <m:brkBin m:val="before"/>
    <m:brkBinSub m:val="--"/>
    <m:smallFrac m:val="0"/>
    <m:dispDef/>
    <m:lMargin m:val="0"/>
    <m:rMargin m:val="0"/>
    <m:defJc m:val="centerGroup"/>
    <m:wrapIndent m:val="1440"/>
    <m:intLim m:val="subSup"/>
    <m:naryLim m:val="undOvr"/>
  </m:mathPr>
  <w:themeFontLang w:val="fr-FR"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FA7B22"/>
  <w15:docId w15:val="{08CA6458-BF09-46FF-9804-11B3429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qFormat/>
    <w:pPr>
      <w:keepNext/>
      <w:numPr>
        <w:numId w:val="1"/>
      </w:numPr>
      <w:spacing w:before="240"/>
      <w:jc w:val="center"/>
      <w:outlineLvl w:val="0"/>
    </w:pPr>
    <w:rPr>
      <w:b/>
      <w:bCs/>
      <w:caps/>
    </w:rPr>
  </w:style>
  <w:style w:type="paragraph" w:styleId="Heading2">
    <w:name w:val="heading 2"/>
    <w:basedOn w:val="Normal"/>
    <w:next w:val="Normal"/>
    <w:qFormat/>
    <w:pPr>
      <w:keepNext/>
      <w:numPr>
        <w:ilvl w:val="1"/>
        <w:numId w:val="1"/>
      </w:numPr>
      <w:spacing w:before="360"/>
      <w:jc w:val="center"/>
      <w:outlineLvl w:val="1"/>
    </w:pPr>
    <w:rPr>
      <w:b/>
      <w:bCs/>
      <w:iCs/>
      <w:smallCaps/>
    </w:rPr>
  </w:style>
  <w:style w:type="paragraph" w:styleId="Heading3">
    <w:name w:val="heading 3"/>
    <w:basedOn w:val="Normal"/>
    <w:next w:val="Normal"/>
    <w:qFormat/>
    <w:pPr>
      <w:keepNext/>
      <w:numPr>
        <w:ilvl w:val="2"/>
        <w:numId w:val="1"/>
      </w:numPr>
      <w:spacing w:before="360"/>
      <w:jc w:val="center"/>
      <w:outlineLvl w:val="2"/>
    </w:pPr>
    <w:rPr>
      <w:b/>
      <w:szCs w:val="26"/>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Liberation Sans" w:hAnsi="Liberation Sans" w:cs="Liberation Sans"/>
    </w:rPr>
  </w:style>
  <w:style w:type="character" w:customStyle="1" w:styleId="WW8Num3z0">
    <w:name w:val="WW8Num3z0"/>
    <w:qFormat/>
    <w:rPr>
      <w:rFonts w:ascii="Liberation Sans" w:hAnsi="Liberation Sans" w:cs="Liberation Sans"/>
    </w:rPr>
  </w:style>
  <w:style w:type="character" w:customStyle="1" w:styleId="Policepardfaut5">
    <w:name w:val="Police par défaut5"/>
    <w:qFormat/>
  </w:style>
  <w:style w:type="character" w:customStyle="1" w:styleId="Policepardfaut4">
    <w:name w:val="Police par défaut4"/>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sz w:val="20"/>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Policepardfaut3">
    <w:name w:val="Police par défaut3"/>
    <w:qFormat/>
  </w:style>
  <w:style w:type="character" w:customStyle="1" w:styleId="Policepardfaut2">
    <w:name w:val="Police par défaut2"/>
    <w:qFormat/>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WW8Num12z0">
    <w:name w:val="WW8Num12z0"/>
    <w:qFormat/>
    <w:rPr>
      <w:rFonts w:ascii="Times New Roman" w:eastAsia="Arial Unicode MS" w:hAnsi="Times New Roman" w:cs="Times New Roman"/>
      <w:color w:val="FF0000"/>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eastAsia="Times New Roman" w:hAnsi="Times New Roman"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7z0">
    <w:name w:val="WW8Num17z0"/>
    <w:qFormat/>
    <w:rPr>
      <w:rFonts w:ascii="Times New Roman" w:eastAsia="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Courier New" w:hAnsi="Courier New" w:cs="Courier New"/>
      <w:sz w:val="20"/>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Times New Roman" w:eastAsia="Times New Roman" w:hAnsi="Times New Roman" w:cs="Times New Roma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Times New Roman"/>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ro-RO" w:bidi="ar-SA"/>
    </w:rPr>
  </w:style>
  <w:style w:type="character" w:customStyle="1" w:styleId="SNDateCar">
    <w:name w:val="SNDate Car"/>
    <w:qFormat/>
    <w:rPr>
      <w:sz w:val="24"/>
      <w:szCs w:val="24"/>
      <w:lang w:val="ro-RO" w:bidi="ar-SA"/>
    </w:rPr>
  </w:style>
  <w:style w:type="character" w:customStyle="1" w:styleId="SNArticleCar">
    <w:name w:val="SNArticle Car"/>
    <w:qFormat/>
    <w:rPr>
      <w:b/>
      <w:bCs/>
      <w:sz w:val="24"/>
      <w:szCs w:val="24"/>
      <w:lang w:val="ro-RO"/>
    </w:rPr>
  </w:style>
  <w:style w:type="character" w:customStyle="1" w:styleId="SNenProjet">
    <w:name w:val="SNenProjet"/>
    <w:basedOn w:val="Policepardfaut1"/>
    <w:qFormat/>
  </w:style>
  <w:style w:type="character" w:customStyle="1" w:styleId="CarCar5">
    <w:name w:val="Car Car5"/>
    <w:qFormat/>
    <w:rPr>
      <w:b/>
      <w:sz w:val="24"/>
      <w:szCs w:val="26"/>
      <w:lang w:val="ro-RO"/>
    </w:rPr>
  </w:style>
  <w:style w:type="character" w:customStyle="1" w:styleId="Marquedecommentaire1">
    <w:name w:val="Marque de commentaire1"/>
    <w:qFormat/>
    <w:rPr>
      <w:sz w:val="16"/>
      <w:szCs w:val="16"/>
    </w:rPr>
  </w:style>
  <w:style w:type="character" w:customStyle="1" w:styleId="CarCar3">
    <w:name w:val="Car Car3"/>
    <w:basedOn w:val="Policepardfaut1"/>
    <w:qFormat/>
  </w:style>
  <w:style w:type="character" w:customStyle="1" w:styleId="CarCar2">
    <w:name w:val="Car Car2"/>
    <w:qFormat/>
    <w:rPr>
      <w:b/>
      <w:bCs/>
    </w:rPr>
  </w:style>
  <w:style w:type="character" w:customStyle="1" w:styleId="CarCar4">
    <w:name w:val="Car Car4"/>
    <w:qFormat/>
    <w:rPr>
      <w:sz w:val="24"/>
      <w:szCs w:val="24"/>
    </w:rPr>
  </w:style>
  <w:style w:type="character" w:customStyle="1" w:styleId="CarCar7">
    <w:name w:val="Car Car7"/>
    <w:qFormat/>
    <w:rPr>
      <w:rFonts w:cs="Arial"/>
      <w:b/>
      <w:bCs/>
      <w:caps/>
      <w:sz w:val="24"/>
      <w:szCs w:val="24"/>
    </w:rPr>
  </w:style>
  <w:style w:type="character" w:customStyle="1" w:styleId="CarCar6">
    <w:name w:val="Car Car6"/>
    <w:qFormat/>
    <w:rPr>
      <w:b/>
      <w:bCs/>
      <w:iCs/>
      <w:smallCaps/>
      <w:sz w:val="24"/>
      <w:szCs w:val="24"/>
      <w:lang w:val="ro-RO"/>
    </w:rPr>
  </w:style>
  <w:style w:type="character" w:customStyle="1" w:styleId="CarCar1">
    <w:name w:val="Car Car1"/>
    <w:qFormat/>
    <w:rPr>
      <w:sz w:val="24"/>
      <w:szCs w:val="24"/>
    </w:rPr>
  </w:style>
  <w:style w:type="character" w:customStyle="1" w:styleId="CarCar">
    <w:name w:val="Car Car"/>
    <w:qFormat/>
    <w:rPr>
      <w:sz w:val="24"/>
      <w:szCs w:val="24"/>
    </w:rPr>
  </w:style>
  <w:style w:type="character" w:customStyle="1" w:styleId="LienInternet">
    <w:name w:val="Lien Internet"/>
    <w:qFormat/>
    <w:rPr>
      <w:color w:val="0000FF"/>
      <w:u w:val="single"/>
    </w:rPr>
  </w:style>
  <w:style w:type="character" w:customStyle="1" w:styleId="surlignage">
    <w:name w:val="surlignage"/>
    <w:qFormat/>
  </w:style>
  <w:style w:type="character" w:styleId="FollowedHyperlink">
    <w:name w:val="FollowedHyperlink"/>
    <w:qFormat/>
    <w:rPr>
      <w:color w:val="800080"/>
      <w:u w:val="single"/>
    </w:rPr>
  </w:style>
  <w:style w:type="character" w:styleId="Strong">
    <w:name w:val="Strong"/>
    <w:qFormat/>
    <w:rPr>
      <w:b/>
      <w:bCs/>
    </w:rPr>
  </w:style>
  <w:style w:type="character" w:customStyle="1" w:styleId="tm2code">
    <w:name w:val="tm2code"/>
    <w:basedOn w:val="Policepardfaut1"/>
    <w:qFormat/>
  </w:style>
  <w:style w:type="character" w:customStyle="1" w:styleId="tm3code">
    <w:name w:val="tm3code"/>
    <w:basedOn w:val="Policepardfaut1"/>
    <w:qFormat/>
  </w:style>
  <w:style w:type="character" w:customStyle="1" w:styleId="tm4code">
    <w:name w:val="tm4code"/>
    <w:basedOn w:val="Policepardfaut1"/>
    <w:qFormat/>
  </w:style>
  <w:style w:type="character" w:customStyle="1" w:styleId="citation">
    <w:name w:val="citation"/>
    <w:basedOn w:val="Policepardfaut1"/>
    <w:qFormat/>
  </w:style>
  <w:style w:type="character" w:customStyle="1" w:styleId="WW8Num11z5">
    <w:name w:val="WW8Num11z5"/>
    <w:qFormat/>
  </w:style>
  <w:style w:type="character" w:customStyle="1" w:styleId="Caractresdenotedebasdepage">
    <w:name w:val="Caractères de note de bas de page"/>
    <w:qFormat/>
    <w:rPr>
      <w:vertAlign w:val="superscript"/>
    </w:rPr>
  </w:style>
  <w:style w:type="character" w:styleId="Emphasis">
    <w:name w:val="Emphasis"/>
    <w:qFormat/>
    <w:rPr>
      <w:i/>
      <w:iCs/>
    </w:rPr>
  </w:style>
  <w:style w:type="character" w:customStyle="1" w:styleId="Marquedecommentaire2">
    <w:name w:val="Marque de commentaire2"/>
    <w:qFormat/>
    <w:rPr>
      <w:sz w:val="16"/>
      <w:szCs w:val="16"/>
    </w:rPr>
  </w:style>
  <w:style w:type="character" w:customStyle="1" w:styleId="CommentaireCar">
    <w:name w:val="Commentaire Car"/>
    <w:qFormat/>
    <w:rPr>
      <w:lang w:eastAsia="zh-CN"/>
    </w:rPr>
  </w:style>
  <w:style w:type="character" w:customStyle="1" w:styleId="tm5code">
    <w:name w:val="tm5code"/>
    <w:qFormat/>
  </w:style>
  <w:style w:type="character" w:customStyle="1" w:styleId="Marquedecommentaire3">
    <w:name w:val="Marque de commentaire3"/>
    <w:qFormat/>
    <w:rPr>
      <w:sz w:val="16"/>
      <w:szCs w:val="16"/>
    </w:rPr>
  </w:style>
  <w:style w:type="character" w:customStyle="1" w:styleId="stddocNumber">
    <w:name w:val="std_docNumber"/>
    <w:qFormat/>
    <w:rsid w:val="00C16C8D"/>
    <w:rPr>
      <w:rFonts w:ascii="Arial" w:hAnsi="Arial"/>
      <w:shd w:val="clear" w:color="auto" w:fill="F2DBDB"/>
    </w:rPr>
  </w:style>
  <w:style w:type="character" w:customStyle="1" w:styleId="stdpublisher">
    <w:name w:val="std_publisher"/>
    <w:qFormat/>
    <w:rsid w:val="00C16C8D"/>
    <w:rPr>
      <w:rFonts w:ascii="Arial" w:hAnsi="Arial"/>
      <w:shd w:val="clear" w:color="auto" w:fill="C6D9F1"/>
    </w:rPr>
  </w:style>
  <w:style w:type="character" w:customStyle="1" w:styleId="TabletitleChar">
    <w:name w:val="Table title Char"/>
    <w:link w:val="Tabletitle"/>
    <w:qFormat/>
    <w:rsid w:val="00C16C8D"/>
    <w:rPr>
      <w:rFonts w:ascii="Arial" w:eastAsia="Calibri" w:hAnsi="Arial"/>
      <w:b/>
      <w:szCs w:val="24"/>
      <w:lang w:val="ro-RO" w:eastAsia="en-US"/>
    </w:rPr>
  </w:style>
  <w:style w:type="character" w:customStyle="1" w:styleId="TablebodyChar">
    <w:name w:val="Table body Char"/>
    <w:link w:val="Tablebody"/>
    <w:qFormat/>
    <w:rsid w:val="00C16C8D"/>
    <w:rPr>
      <w:rFonts w:ascii="Arial" w:eastAsia="Calibri" w:hAnsi="Arial"/>
      <w:szCs w:val="22"/>
      <w:lang w:val="ro-RO" w:eastAsia="en-US"/>
    </w:rPr>
  </w:style>
  <w:style w:type="character" w:customStyle="1" w:styleId="TableheaderChar">
    <w:name w:val="Table header Char"/>
    <w:link w:val="Tableheader"/>
    <w:qFormat/>
    <w:rsid w:val="00C16C8D"/>
    <w:rPr>
      <w:rFonts w:ascii="Arial" w:eastAsia="Calibri" w:hAnsi="Arial"/>
      <w:szCs w:val="22"/>
      <w:lang w:val="ro-RO" w:eastAsia="en-US"/>
    </w:rPr>
  </w:style>
  <w:style w:type="character" w:styleId="CommentReference">
    <w:name w:val="annotation reference"/>
    <w:basedOn w:val="DefaultParagraphFont"/>
    <w:uiPriority w:val="99"/>
    <w:semiHidden/>
    <w:unhideWhenUsed/>
    <w:qFormat/>
    <w:rsid w:val="00A80B02"/>
    <w:rPr>
      <w:sz w:val="16"/>
      <w:szCs w:val="16"/>
    </w:rPr>
  </w:style>
  <w:style w:type="character" w:customStyle="1" w:styleId="CommentTextChar">
    <w:name w:val="Comment Text Char"/>
    <w:basedOn w:val="DefaultParagraphFont"/>
    <w:link w:val="CommentText"/>
    <w:uiPriority w:val="99"/>
    <w:qFormat/>
    <w:rsid w:val="00A80B02"/>
    <w:rPr>
      <w:lang w:eastAsia="zh-CN"/>
    </w:rPr>
  </w:style>
  <w:style w:type="character" w:customStyle="1" w:styleId="highlight">
    <w:name w:val="highlight"/>
    <w:basedOn w:val="DefaultParagraphFont"/>
    <w:qFormat/>
    <w:rsid w:val="00EB71C2"/>
  </w:style>
  <w:style w:type="character" w:customStyle="1" w:styleId="En-tteCar">
    <w:name w:val="En-tête Car"/>
    <w:basedOn w:val="DefaultParagraphFont"/>
    <w:qFormat/>
    <w:rsid w:val="002D37A3"/>
    <w:rPr>
      <w:sz w:val="24"/>
      <w:szCs w:val="24"/>
      <w:lang w:val="ro-RO" w:eastAsia="zh-CN"/>
    </w:rPr>
  </w:style>
  <w:style w:type="character" w:customStyle="1" w:styleId="PlainTextChar">
    <w:name w:val="Plain Text Char"/>
    <w:basedOn w:val="DefaultParagraphFont"/>
    <w:link w:val="PlainText"/>
    <w:uiPriority w:val="99"/>
    <w:qFormat/>
    <w:rsid w:val="000F71B4"/>
    <w:rPr>
      <w:rFonts w:ascii="Calibri" w:eastAsiaTheme="minorHAnsi" w:hAnsi="Calibri" w:cstheme="minorBidi"/>
      <w:sz w:val="22"/>
      <w:szCs w:val="21"/>
      <w:lang w:eastAsia="en-US"/>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20"/>
      <w:jc w:val="both"/>
    </w:pPr>
  </w:style>
  <w:style w:type="paragraph" w:styleId="List">
    <w:name w:val="List"/>
    <w:basedOn w:val="BodyText"/>
    <w:rPr>
      <w:rFonts w:ascii="Liberation Sans" w:hAnsi="Liberation Sans" w:cs="Mangal"/>
    </w:rPr>
  </w:style>
  <w:style w:type="paragraph" w:styleId="Caption">
    <w:name w:val="caption"/>
    <w:basedOn w:val="Normal"/>
    <w:qFormat/>
    <w:pPr>
      <w:suppressLineNumbers/>
      <w:spacing w:before="120" w:after="120"/>
    </w:pPr>
    <w:rPr>
      <w:rFonts w:ascii="Liberation Sans" w:hAnsi="Liberation Sans" w:cs="Mangal"/>
      <w:i/>
      <w:iCs/>
    </w:rPr>
  </w:style>
  <w:style w:type="paragraph" w:customStyle="1" w:styleId="Index">
    <w:name w:val="Index"/>
    <w:basedOn w:val="Normal"/>
    <w:qFormat/>
    <w:pPr>
      <w:suppressLineNumbers/>
    </w:pPr>
    <w:rPr>
      <w:rFonts w:ascii="Liberation Sans" w:hAnsi="Liberation Sans" w:cs="Mangal"/>
    </w:rPr>
  </w:style>
  <w:style w:type="paragraph" w:customStyle="1" w:styleId="Titre5">
    <w:name w:val="Titre5"/>
    <w:basedOn w:val="Normal"/>
    <w:qFormat/>
    <w:pPr>
      <w:keepNext/>
      <w:spacing w:before="240" w:after="120"/>
    </w:pPr>
    <w:rPr>
      <w:rFonts w:ascii="Garamond" w:eastAsia="Microsoft YaHei" w:hAnsi="Garamond" w:cs="Mangal"/>
      <w:sz w:val="28"/>
      <w:szCs w:val="28"/>
    </w:rPr>
  </w:style>
  <w:style w:type="paragraph" w:customStyle="1" w:styleId="Titre4">
    <w:name w:val="Titre4"/>
    <w:basedOn w:val="Normal"/>
    <w:qFormat/>
    <w:pPr>
      <w:keepNext/>
      <w:spacing w:before="240" w:after="120"/>
    </w:pPr>
    <w:rPr>
      <w:rFonts w:ascii="Liberation Sans" w:eastAsia="Microsoft YaHei" w:hAnsi="Liberation Sans" w:cs="Mangal"/>
      <w:sz w:val="28"/>
      <w:szCs w:val="28"/>
    </w:rPr>
  </w:style>
  <w:style w:type="paragraph" w:customStyle="1" w:styleId="Titre3">
    <w:name w:val="Titre3"/>
    <w:basedOn w:val="Normal"/>
    <w:qFormat/>
    <w:pPr>
      <w:keepNext/>
      <w:spacing w:before="240" w:after="120"/>
    </w:pPr>
    <w:rPr>
      <w:rFonts w:ascii="Liberation Sans" w:eastAsia="Microsoft YaHei" w:hAnsi="Liberation Sans" w:cs="Mangal"/>
      <w:sz w:val="28"/>
      <w:szCs w:val="28"/>
    </w:rPr>
  </w:style>
  <w:style w:type="paragraph" w:customStyle="1" w:styleId="Titre2">
    <w:name w:val="Titre2"/>
    <w:basedOn w:val="Normal"/>
    <w:qFormat/>
    <w:pPr>
      <w:keepNext/>
      <w:spacing w:before="240" w:after="120"/>
    </w:pPr>
    <w:rPr>
      <w:rFonts w:ascii="Garamond" w:eastAsia="Microsoft YaHei" w:hAnsi="Garamond" w:cs="Mangal"/>
      <w:sz w:val="28"/>
      <w:szCs w:val="28"/>
    </w:rPr>
  </w:style>
  <w:style w:type="paragraph" w:customStyle="1" w:styleId="Titre1">
    <w:name w:val="Titre1"/>
    <w:basedOn w:val="Normal"/>
    <w:qFormat/>
    <w:pPr>
      <w:keepNext/>
      <w:spacing w:before="240" w:after="120"/>
    </w:pPr>
    <w:rPr>
      <w:rFonts w:ascii="Liberation Sans" w:eastAsia="Microsoft YaHei" w:hAnsi="Liberation Sans" w:cs="Mangal"/>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titre">
    <w:name w:val="SNtitre"/>
    <w:basedOn w:val="Normal"/>
    <w:qFormat/>
    <w:pPr>
      <w:widowControl w:val="0"/>
      <w:suppressLineNumbers/>
      <w:spacing w:after="360"/>
      <w:jc w:val="center"/>
    </w:pPr>
    <w:rPr>
      <w:rFonts w:eastAsia="Lucida Sans Unicode"/>
      <w:b/>
    </w:rPr>
  </w:style>
  <w:style w:type="paragraph" w:customStyle="1" w:styleId="SNNORCentr">
    <w:name w:val="SNNOR+Centré"/>
    <w:qFormat/>
    <w:pPr>
      <w:jc w:val="center"/>
    </w:pPr>
    <w:rPr>
      <w:bCs/>
      <w:lang w:eastAsia="zh-CN"/>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qFormat/>
    <w:pPr>
      <w:spacing w:before="120" w:after="1680"/>
      <w:ind w:left="5040"/>
      <w:jc w:val="right"/>
    </w:pPr>
    <w:rPr>
      <w:color w:val="000000"/>
    </w:rPr>
  </w:style>
  <w:style w:type="paragraph" w:customStyle="1" w:styleId="SNSignatureprnomnomDroite">
    <w:name w:val="SNSignature prénom+nom Droite"/>
    <w:basedOn w:val="SNSignatureDroite"/>
    <w:qFormat/>
    <w:pPr>
      <w:spacing w:after="120"/>
      <w:ind w:left="5041"/>
    </w:pPr>
  </w:style>
  <w:style w:type="paragraph" w:customStyle="1" w:styleId="SNSignatureGauche">
    <w:name w:val="SNSignatureGauche"/>
    <w:basedOn w:val="Normal"/>
    <w:qFormat/>
    <w:pPr>
      <w:spacing w:before="120" w:after="1680"/>
      <w:ind w:left="720" w:right="-6" w:firstLine="1080"/>
      <w:jc w:val="right"/>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qFormat/>
    <w:pPr>
      <w:spacing w:before="280" w:after="280"/>
      <w:ind w:firstLine="720"/>
      <w:jc w:val="both"/>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qFormat/>
    <w:pPr>
      <w:spacing w:before="360" w:after="240"/>
      <w:jc w:val="center"/>
    </w:pPr>
    <w:rPr>
      <w:b/>
      <w:bCs/>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val="0"/>
    </w:rPr>
  </w:style>
  <w:style w:type="paragraph" w:customStyle="1" w:styleId="Titre2objet">
    <w:name w:val="Titre 2 objet"/>
    <w:basedOn w:val="Heading2"/>
    <w:next w:val="Normal"/>
    <w:qFormat/>
    <w:pPr>
      <w:numPr>
        <w:ilvl w:val="0"/>
        <w:numId w:val="0"/>
      </w:numPr>
      <w:spacing w:before="0" w:after="120"/>
    </w:pPr>
    <w:rPr>
      <w:b w:val="0"/>
    </w:rPr>
  </w:style>
  <w:style w:type="paragraph" w:customStyle="1" w:styleId="titre3objet">
    <w:name w:val="titre 3 objet"/>
    <w:basedOn w:val="Heading3"/>
    <w:next w:val="Normal"/>
    <w:qFormat/>
    <w:pPr>
      <w:numPr>
        <w:ilvl w:val="0"/>
        <w:numId w:val="0"/>
      </w:numPr>
      <w:spacing w:before="0" w:after="120"/>
    </w:pPr>
    <w:rPr>
      <w:b w:val="0"/>
    </w:rPr>
  </w:style>
  <w:style w:type="paragraph" w:styleId="NormalWeb">
    <w:name w:val="Normal (Web)"/>
    <w:basedOn w:val="Normal"/>
    <w:uiPriority w:val="99"/>
    <w:qFormat/>
    <w:pPr>
      <w:spacing w:before="280" w:after="280"/>
    </w:p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HeaderandFooter">
    <w:name w:val="Header and Footer"/>
    <w:basedOn w:val="Normal"/>
    <w:qFormat/>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ointDouble2">
    <w:name w:val="PointDouble 2"/>
    <w:basedOn w:val="Normal"/>
    <w:qFormat/>
    <w:pPr>
      <w:tabs>
        <w:tab w:val="left" w:pos="1984"/>
      </w:tabs>
      <w:spacing w:before="120" w:after="120" w:line="360" w:lineRule="auto"/>
      <w:ind w:left="2551" w:hanging="1134"/>
    </w:pPr>
  </w:style>
  <w:style w:type="paragraph" w:customStyle="1" w:styleId="Tiret0">
    <w:name w:val="Tiret 0"/>
    <w:basedOn w:val="Normal"/>
    <w:qFormat/>
    <w:pPr>
      <w:spacing w:before="120" w:after="120" w:line="360" w:lineRule="auto"/>
    </w:pPr>
  </w:style>
  <w:style w:type="paragraph" w:customStyle="1" w:styleId="Tiret1">
    <w:name w:val="Tiret 1"/>
    <w:basedOn w:val="Normal"/>
    <w:qFormat/>
    <w:pPr>
      <w:spacing w:before="120" w:after="120" w:line="360" w:lineRule="auto"/>
    </w:pPr>
  </w:style>
  <w:style w:type="paragraph" w:customStyle="1" w:styleId="Text1">
    <w:name w:val="Text 1"/>
    <w:basedOn w:val="Normal"/>
    <w:qFormat/>
    <w:pPr>
      <w:spacing w:before="120" w:after="120" w:line="360" w:lineRule="auto"/>
      <w:ind w:left="850"/>
    </w:pPr>
  </w:style>
  <w:style w:type="paragraph" w:customStyle="1" w:styleId="Point0">
    <w:name w:val="Point 0"/>
    <w:basedOn w:val="Normal"/>
    <w:qFormat/>
    <w:pPr>
      <w:spacing w:before="120" w:after="120" w:line="360" w:lineRule="auto"/>
      <w:ind w:left="850" w:hanging="850"/>
    </w:pPr>
  </w:style>
  <w:style w:type="paragraph" w:customStyle="1" w:styleId="Point1">
    <w:name w:val="Point 1"/>
    <w:basedOn w:val="Normal"/>
    <w:qFormat/>
    <w:pPr>
      <w:spacing w:before="120" w:after="120" w:line="360" w:lineRule="auto"/>
      <w:ind w:left="1417" w:hanging="567"/>
    </w:pPr>
  </w:style>
  <w:style w:type="paragraph" w:customStyle="1" w:styleId="ManualNumPar1">
    <w:name w:val="Manual NumPar 1"/>
    <w:basedOn w:val="Normal"/>
    <w:qFormat/>
    <w:pPr>
      <w:spacing w:before="120" w:after="120" w:line="360" w:lineRule="auto"/>
      <w:ind w:left="850" w:hanging="850"/>
    </w:pPr>
  </w:style>
  <w:style w:type="paragraph" w:styleId="Revision">
    <w:name w:val="Revision"/>
    <w:qFormat/>
    <w:rPr>
      <w:lang w:eastAsia="zh-CN"/>
    </w:rPr>
  </w:style>
  <w:style w:type="paragraph" w:customStyle="1" w:styleId="Default">
    <w:name w:val="Default"/>
    <w:qFormat/>
    <w:rPr>
      <w:color w:val="000000"/>
      <w:lang w:eastAsia="zh-CN"/>
    </w:rPr>
  </w:style>
  <w:style w:type="paragraph" w:styleId="FootnoteText">
    <w:name w:val="footnote text"/>
    <w:basedOn w:val="Normal"/>
    <w:qFormat/>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rPr>
      <w:sz w:val="20"/>
      <w:szCs w:val="20"/>
    </w:rPr>
  </w:style>
  <w:style w:type="paragraph" w:customStyle="1" w:styleId="western">
    <w:name w:val="western"/>
    <w:basedOn w:val="Normal"/>
    <w:qFormat/>
    <w:pPr>
      <w:spacing w:before="280" w:after="119"/>
      <w:jc w:val="both"/>
    </w:pPr>
    <w:rPr>
      <w:color w:val="000000"/>
    </w:rPr>
  </w:style>
  <w:style w:type="paragraph" w:customStyle="1" w:styleId="Commentaire3">
    <w:name w:val="Commentaire3"/>
    <w:basedOn w:val="Normal"/>
    <w:qFormat/>
    <w:rPr>
      <w:sz w:val="20"/>
      <w:szCs w:val="20"/>
    </w:rPr>
  </w:style>
  <w:style w:type="paragraph" w:styleId="ListParagraph">
    <w:name w:val="List Paragraph"/>
    <w:basedOn w:val="Normal"/>
    <w:uiPriority w:val="34"/>
    <w:qFormat/>
    <w:rsid w:val="0011775C"/>
    <w:pPr>
      <w:ind w:left="720"/>
      <w:contextualSpacing/>
    </w:pPr>
  </w:style>
  <w:style w:type="paragraph" w:customStyle="1" w:styleId="Tabletitle">
    <w:name w:val="Table title"/>
    <w:basedOn w:val="Normal"/>
    <w:link w:val="TabletitleChar"/>
    <w:qFormat/>
    <w:rsid w:val="00C16C8D"/>
    <w:pPr>
      <w:keepNext/>
      <w:spacing w:before="120" w:after="120" w:line="240" w:lineRule="atLeast"/>
      <w:jc w:val="center"/>
      <w:outlineLvl w:val="0"/>
    </w:pPr>
    <w:rPr>
      <w:rFonts w:ascii="Arial" w:eastAsia="Calibri" w:hAnsi="Arial"/>
      <w:b/>
      <w:sz w:val="20"/>
      <w:lang w:eastAsia="en-US"/>
    </w:rPr>
  </w:style>
  <w:style w:type="paragraph" w:customStyle="1" w:styleId="Tablebody">
    <w:name w:val="Table body"/>
    <w:basedOn w:val="Normal"/>
    <w:link w:val="TablebodyChar"/>
    <w:qFormat/>
    <w:rsid w:val="00C16C8D"/>
    <w:pPr>
      <w:spacing w:before="60" w:after="60" w:line="210" w:lineRule="atLeast"/>
    </w:pPr>
    <w:rPr>
      <w:rFonts w:ascii="Arial" w:eastAsia="Calibri" w:hAnsi="Arial"/>
      <w:sz w:val="20"/>
      <w:szCs w:val="22"/>
      <w:lang w:eastAsia="en-US"/>
    </w:rPr>
  </w:style>
  <w:style w:type="paragraph" w:customStyle="1" w:styleId="Tableheader">
    <w:name w:val="Table header"/>
    <w:basedOn w:val="Tablebody"/>
    <w:link w:val="TableheaderChar"/>
    <w:qFormat/>
    <w:rsid w:val="00C16C8D"/>
  </w:style>
  <w:style w:type="paragraph" w:customStyle="1" w:styleId="CM1">
    <w:name w:val="CM1"/>
    <w:basedOn w:val="Default"/>
    <w:next w:val="Default"/>
    <w:uiPriority w:val="99"/>
    <w:qFormat/>
    <w:rsid w:val="009A03FA"/>
    <w:rPr>
      <w:rFonts w:ascii="EUAlbertina" w:hAnsi="EUAlbertina"/>
      <w:color w:val="00000A"/>
      <w:lang w:eastAsia="fr-FR"/>
    </w:rPr>
  </w:style>
  <w:style w:type="paragraph" w:customStyle="1" w:styleId="CM3">
    <w:name w:val="CM3"/>
    <w:basedOn w:val="Default"/>
    <w:next w:val="Default"/>
    <w:uiPriority w:val="99"/>
    <w:qFormat/>
    <w:rsid w:val="009A03FA"/>
    <w:rPr>
      <w:rFonts w:ascii="EUAlbertina" w:hAnsi="EUAlbertina"/>
      <w:color w:val="00000A"/>
      <w:lang w:eastAsia="fr-FR"/>
    </w:rPr>
  </w:style>
  <w:style w:type="paragraph" w:customStyle="1" w:styleId="CM4">
    <w:name w:val="CM4"/>
    <w:basedOn w:val="Default"/>
    <w:next w:val="Default"/>
    <w:uiPriority w:val="99"/>
    <w:qFormat/>
    <w:rsid w:val="009A03FA"/>
    <w:rPr>
      <w:rFonts w:ascii="EUAlbertina" w:hAnsi="EUAlbertina"/>
      <w:color w:val="00000A"/>
      <w:lang w:eastAsia="fr-FR"/>
    </w:rPr>
  </w:style>
  <w:style w:type="paragraph" w:styleId="CommentText">
    <w:name w:val="annotation text"/>
    <w:basedOn w:val="Normal"/>
    <w:link w:val="CommentTextChar"/>
    <w:uiPriority w:val="99"/>
    <w:unhideWhenUsed/>
    <w:qFormat/>
    <w:rsid w:val="00A80B02"/>
    <w:rPr>
      <w:sz w:val="20"/>
      <w:szCs w:val="20"/>
    </w:rPr>
  </w:style>
  <w:style w:type="paragraph" w:styleId="PlainText">
    <w:name w:val="Plain Text"/>
    <w:basedOn w:val="Normal"/>
    <w:link w:val="PlainTextChar"/>
    <w:uiPriority w:val="99"/>
    <w:unhideWhenUsed/>
    <w:qFormat/>
    <w:rsid w:val="000F71B4"/>
    <w:rPr>
      <w:rFonts w:ascii="Calibri" w:eastAsiaTheme="minorHAnsi" w:hAnsi="Calibri" w:cstheme="minorBidi"/>
      <w:sz w:val="22"/>
      <w:szCs w:val="21"/>
      <w:lang w:eastAsia="en-US"/>
    </w:rPr>
  </w:style>
  <w:style w:type="character" w:customStyle="1" w:styleId="ListLabel8">
    <w:name w:val="ListLabel 8"/>
    <w:qFormat/>
    <w:rsid w:val="00382738"/>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1"/>
    <w:tblPr>
      <w:tblStyleRowBandSize w:val="1"/>
      <w:tblStyleColBandSize w:val="1"/>
      <w:tblCellMar>
        <w:top w:w="57" w:type="dxa"/>
        <w:left w:w="57" w:type="dxa"/>
        <w:bottom w:w="57"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996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DRlpeGrJh6cXEqXDWDreKoc8vQ==">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1590</Words>
  <Characters>9065</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Diana STOICA</cp:lastModifiedBy>
  <cp:revision>3</cp:revision>
  <dcterms:created xsi:type="dcterms:W3CDTF">2020-07-08T10:11:00Z</dcterms:created>
  <dcterms:modified xsi:type="dcterms:W3CDTF">2020-07-29T13:59:00Z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