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rPr>
        <w:t>1. ------IND- 2020 0468 F-- SL- ------ 20200729 --- --- OSNUTEK</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FRANCOSKA REPUBLIKA</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Ministrstvo za ekološko preoblikovanje Ministrstvo za gospodarstvo in finance</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Uredba št. 2020-xxx z dne xx xxx 2020</w:t>
      </w:r>
      <w:r>
        <w:rPr>
          <w:b/>
          <w:color w:val="000000"/>
        </w:rPr>
        <w:br/>
        <w:t>o indeksu popravljivosti električne in elektronske opreme</w:t>
      </w:r>
    </w:p>
    <w:p w14:paraId="00000015" w14:textId="3A2425A6" w:rsidR="00EF7252" w:rsidRDefault="00817DDD" w:rsidP="00081B50">
      <w:pPr>
        <w:pBdr>
          <w:top w:val="nil"/>
          <w:left w:val="nil"/>
          <w:bottom w:val="nil"/>
          <w:right w:val="nil"/>
          <w:between w:val="nil"/>
        </w:pBdr>
        <w:jc w:val="center"/>
        <w:rPr>
          <w:i/>
          <w:color w:val="000000"/>
        </w:rPr>
      </w:pPr>
      <w:r>
        <w:rPr>
          <w:color w:val="000000"/>
        </w:rPr>
        <w:t>NOR:</w:t>
      </w:r>
    </w:p>
    <w:p w14:paraId="00000016" w14:textId="334BF5BD" w:rsidR="00EF7252" w:rsidRPr="00364BB6" w:rsidRDefault="007C6B33" w:rsidP="00081B50">
      <w:pPr>
        <w:pBdr>
          <w:top w:val="nil"/>
          <w:left w:val="nil"/>
          <w:bottom w:val="nil"/>
          <w:right w:val="nil"/>
          <w:between w:val="nil"/>
        </w:pBdr>
        <w:spacing w:before="720" w:after="240"/>
        <w:ind w:firstLine="720"/>
        <w:jc w:val="both"/>
        <w:rPr>
          <w:b/>
          <w:i/>
          <w:color w:val="000000"/>
          <w:spacing w:val="-4"/>
        </w:rPr>
      </w:pPr>
      <w:r w:rsidRPr="00364BB6">
        <w:rPr>
          <w:b/>
          <w:i/>
          <w:color w:val="000000"/>
          <w:spacing w:val="-4"/>
        </w:rPr>
        <w:t xml:space="preserve">Ciljna javnost: </w:t>
      </w:r>
      <w:r w:rsidRPr="00364BB6">
        <w:rPr>
          <w:i/>
          <w:color w:val="000000"/>
          <w:spacing w:val="-4"/>
        </w:rPr>
        <w:t xml:space="preserve">proizvajalci, uvozniki, distributerji ali drugi dajalci električne in elektronske opreme na trg in prodajalci te opreme, kot tudi osebe, ki uporabljajo internet, platformo ali katero koli drugo spletno distribucijsko pot v okviru svoje trgovinske dejavnosti v Franciji.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bCs/>
          <w:i/>
          <w:color w:val="000000"/>
        </w:rPr>
        <w:t>Zadeva:</w:t>
      </w:r>
      <w:r>
        <w:rPr>
          <w:b/>
          <w:i/>
          <w:color w:val="000000"/>
        </w:rPr>
        <w:t xml:space="preserve"> </w:t>
      </w:r>
      <w:r>
        <w:rPr>
          <w:i/>
          <w:color w:val="000000"/>
        </w:rPr>
        <w:t>podrobna pravila za uporabo indeksa popravljivosti, določenega v členu L 541-9-2 Okoljskega zakonika</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Začetek veljavnosti:</w:t>
      </w:r>
      <w:r>
        <w:rPr>
          <w:i/>
          <w:color w:val="000000"/>
        </w:rPr>
        <w:t xml:space="preserve"> besedilo začne veljati 1. januarja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i/>
          <w:color w:val="000000"/>
        </w:rPr>
        <w:t xml:space="preserve">Obvestilo: </w:t>
      </w:r>
      <w:r>
        <w:rPr>
          <w:i/>
          <w:color w:val="000000"/>
        </w:rPr>
        <w:t>ta uredba opredeljuje podrobna pravila za izvajanje člena L 541-9-2 Okoljskega zakonika, ki določa uporabo indeksa popravljivosti za določene kategorije električne in elektronske opreme. Natančno določa zlasti merila in način izračuna za sestavo tega indeksa. Proizvajalci in uvozniki zadevne opreme distributerjem in vsaki drugi osebi, ki to zahteva, brezplačno posredujejo indeks popravljivosti in njegove parametre za izračun. Distributerji, vključno s tistimi za prodajo na daljavo, potrošnika v času nakupa z označevanje, etiketiranjem, prikazom ali s katerim koli drugim ustreznim postopkom brezplačno obvestilo o indeksu popravljivosti zadevne opreme.</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 xml:space="preserve">Referenčna besedila: </w:t>
      </w:r>
      <w:r>
        <w:rPr>
          <w:i/>
          <w:color w:val="000000"/>
        </w:rPr>
        <w:t>ta uredba je na voljo na spletnem mestu Légifrance (</w:t>
      </w:r>
      <w:hyperlink r:id="rId8">
        <w:r>
          <w:rPr>
            <w:i/>
            <w:color w:val="000000"/>
            <w:u w:val="single"/>
          </w:rPr>
          <w:t>http://www.legifrance.gouv.fr</w:t>
        </w:r>
      </w:hyperlink>
      <w:r>
        <w:rPr>
          <w:i/>
          <w:color w:val="000000"/>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Predsednik vlade –</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poročila ministrice za ekološko preoblikovanje ter ministra za gospodarstvo in finance;</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spremenjene Direktive 2008/98/ES Evropskega parlamenta in Sveta z dne 19. novembra 2008 o odpadkih in razveljavitvi nekaterih direktiv;</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Direktive (EU) 2015/1535 Evropskega parlamenta in Sveta z dne 9. septembra 2015 o določitvi postopka za zbiranje informacij na področju tehničnih predpisov in pravil za storitve informacijske družbe;</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 xml:space="preserve">ob upoštevanju Potrošniškega zakonika, zlasti uvodnega člena v različici, ki izhaja iz Zakona št. 2017-203 z dne 21. februarja 2017 o ratifikaciji odlokov št. 2016-301 z dne 14. marca 2016 in št. 2016-351 z dne 25. marca 2016;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Okoljskega zakonika, zlasti člena L. 541-9-2 v različici, ki izhaja iz člena 16 Zakona št. 2020-105 z dne 10. februarja 2020 o preprečevanju nastajanja odpadkov in krožnem gospodarstvu;</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uradnega obvestila št. XXXX/XXXX/X, naslovljenega na Evropsko komisijo na podlagi Direktive (EU)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ob upoštevanju mnenja Državnega sveta (oddelka za javna dela) –</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odreja:</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Člen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V poglavje III naslova IV knjige V urejevalnega besedila Okoljskega zakonika se vstavi naslednji oddelek 1:</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„poglavje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„Informacije za javnost o izdelkih, ki povzročajo odpadke</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„oddelek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„Prikaz indeksa popravljivosti</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„Člen R 544-1. – Indeks popravljivosti električne ali elektronske opreme, opredeljen v členu L. 541-9-2 Okoljskega zakonika, vključuje oceno do deset, namenjeno obveščanju potrošnikov v času nakupa nove opreme.</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„Ta indeks se nanaša na vsak model te opreme.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„Člen R 544-2. – V tej uredbe se uporabljajo naslednje opredelitve pojmov:</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„Omogočanje dostopnosti na trgu“: vsako zagotavljanje električne ali elektronske opreme v okviru trgovinske dejavnosti, namenjene plačljivi ali brezplačni distribuciji ali uporabi na nacionalnem trgu;</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„Dajanje na trg“ pomeni prvo dajanje električne ali elektronske opreme na razpolago na nacionalnem trgu;</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„Proizvajalec“: vsaka fizična ali pravna oseba, ki proizvaja električno ali elektronsko opremo ali omogoča njeno zasnovo ter jo prodaja pod svojim lastnim imenom ali lastno znamko;</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„Uvoznik“: vsaka fizična ali pravna oseba, ki daje električno ali elektronsko opremo s poreklom iz držav članic Evropske unije ali tretjih držav na trg;</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„Distributer“: vsaka pravna ali fizična oseba, ki je del dobavne verige, razen proizvajalca ali uvoznika, ki električno ali elektronsko opremo ponuja v prodajo na nacionalnem trgu;</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„Prodajalec“: vsaka fizična ali pravna oseba, ki v okviru trgovske dejavnosti s prodajo daje električno ali elektronsko opremo na trg, vključno s prodajo potrošnikom na daljavo; </w:t>
      </w:r>
    </w:p>
    <w:p w14:paraId="00000036" w14:textId="77777777" w:rsidR="00EF7252" w:rsidRDefault="007C6B33" w:rsidP="00364BB6">
      <w:pPr>
        <w:keepLines/>
        <w:pBdr>
          <w:top w:val="nil"/>
          <w:left w:val="nil"/>
          <w:bottom w:val="nil"/>
          <w:right w:val="nil"/>
          <w:between w:val="nil"/>
        </w:pBdr>
        <w:spacing w:after="120"/>
        <w:jc w:val="both"/>
        <w:rPr>
          <w:b/>
          <w:color w:val="000000"/>
        </w:rPr>
      </w:pPr>
      <w:r>
        <w:rPr>
          <w:color w:val="000000"/>
        </w:rPr>
        <w:lastRenderedPageBreak/>
        <w:t>„7. „Prodaja na daljavo“: pogodba, sklenjena na daljavo med poklicnim prodajalcem in potrošnikom, v okviru organiziranega sistema prodaje, brez istočasne fizične prisotnosti poklicnega uporabnika ali potrošnika, izključno z uporabo ene ali več komunikacijskih tehnik na daljavo, dokler se pogodba ne sklene“;</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 različica opreme, katere vse enote imajo enake ustrezne tehnične značilnosti za namene izračuna indeksa popravljivosti.</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„Člen 544-3. –</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Proizvajalci ali uvozniki za električno ali elektronsko opremo, ki jo dajejo na trg, sestavijo indeks popravljivosti, kot tudi parametre, ki omogočajo njegovo sestavo, skladno s podrobnimi pravili, ki jih natančno določa odredba.</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 Proizvajalci in uvozniki v nematerializirani obliki distributerjem ali prodajalcem v času referenciranja in dobave električne in elektronske opreme za vsak model opreme, dane na trg, brezplačno posredujejo:</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indeks popravljivosti skladno s podrobnimi pravili in oznakami iz odredbe,</w:t>
      </w:r>
    </w:p>
    <w:p w14:paraId="0000003E" w14:textId="433562A7" w:rsidR="00EF7252" w:rsidRPr="00364BB6" w:rsidRDefault="00535D26" w:rsidP="00081B50">
      <w:pPr>
        <w:pBdr>
          <w:top w:val="nil"/>
          <w:left w:val="nil"/>
          <w:bottom w:val="nil"/>
          <w:right w:val="nil"/>
          <w:between w:val="nil"/>
        </w:pBdr>
        <w:spacing w:after="120"/>
        <w:jc w:val="both"/>
        <w:rPr>
          <w:color w:val="000000"/>
          <w:spacing w:val="-4"/>
        </w:rPr>
      </w:pPr>
      <w:r w:rsidRPr="00364BB6">
        <w:rPr>
          <w:color w:val="000000"/>
          <w:spacing w:val="-4"/>
        </w:rPr>
        <w:t xml:space="preserve">„b) parametre, ki omogočajo sestavo indeksa popravljivosti, skladno z obliko, ki jo določa odredba.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 Kadar se distributerja ne zamenja za prodajalca, pod pogoji, navedenimi v točki a) in b), le-ta prodajalcu v času referenciranja in dobave električne in elektronske opreme brezplačno posreduje indeks popravljivosti svojega izračuna.</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 Poleg tega se indeks lahko na vsako enoto modela ali na embalažo namesti z etiketiranjem ali označevanjem, ob upoštevanju oznak iz odredbe.</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 Proizvajalci in uvozniki v roku 15 dni posredujejo informacije, navedene v 2. točki, vsaki osebi, ki jih zahteva v obdobju najmanj dveh let po dajanju zadnje enote modela opreme na trg.</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„Člen 544-4. –</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Kadar se električna ali elektronska oprema ponuja v prodajo v trgovini, prodajalec skladno s podrobnimi pravili in oznakami iz odredbe na ponujeni opremi ali v njeni neposredni bližini omogoči vidno navedbo indeksa popravljivosti, ki ga zagotovi proizvajalec ali uvoznik.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 Kadar se električna ali elektronska oprema ponuja za prodajo v okviru prodaje na daljavo, prodajalec v predstavitvi opreme in v bližini cen omogoči vidni prikaz indeksa popravljivosti, skladno s podrobnimi pravili in oznakami iz odredbe.</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 Prodajalec z vsakim ustreznim postopkom daje potrošnikom na razpolago tudi parametre, ki omogočajo sestavo indeksa popravljivosti opreme, skladno z obliko iz te odredbe.</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„Člen 544-5. – Indeks popravljivosti, kot tudi parametre, ki omogočajo njegovo sestavo, potrošnikom dajejo na razpolago proizvajalci ali uvozniki v obdobju najmanj dveh let po dajanju zadnje enote modela zadevne opreme na trg.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„Člen 544-6. –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Indeks popravljivosti se izračuna z naslednjimi parametri: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Ocena do dvajset glede časa razpoložljivosti tehnične dokumentacije ter nasvetov za uporabo in vzdrževanje pri proizvajalcih, serviserjih in potrošnikih;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lastRenderedPageBreak/>
        <w:t>„b) Ocena do dvajset glede odstranljivosti opreme: število korakov demontaže za enkratni dostop do rezervnih delov, značilnosti potrebnih orodij in pritrdilnih elementov med rezervnimi deli;</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Ocena do dvajset glede časa razpoložljivosti rezervnih delov na trgu in dobavnih rokov pri proizvajalcih, distributerjih rezervnih delov, serviserjih in potrošnikih;</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Ocena do dvajset glede razmerja med proizvajalčevo ali uvoznikovo prodajno ceno delov ter proizvajalčevo ali uvoznikovo prodajno ceno opreme, izračunana skladno s podrobnimi pravili iz odredbe.</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Ocena do dvajset glede posebnih meril za zadevno kategorijo opreme.</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 Indeks popravljivosti se izračuna tako, da se prišteje pet doseženih ocen, nato pa se ta seštevek deli za pridobitev skupne ocene na lestvici od 1 do 10.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 Odredba ministra, odgovornega za okolje, in ministra, odgovornega za gospodarstvo in finance, za vsako kategorijo električne in elektronske opreme natančno določa vsa merila in podmerila, vključno s posebnimi merili za kategorijo in načine izračuna indeksa.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Pr="00364BB6" w:rsidRDefault="007C6B33" w:rsidP="00081B50">
      <w:pPr>
        <w:pBdr>
          <w:top w:val="nil"/>
          <w:left w:val="nil"/>
          <w:bottom w:val="nil"/>
          <w:right w:val="nil"/>
          <w:between w:val="nil"/>
        </w:pBdr>
        <w:spacing w:after="120"/>
        <w:jc w:val="both"/>
        <w:rPr>
          <w:color w:val="000000"/>
          <w:spacing w:val="-4"/>
        </w:rPr>
      </w:pPr>
      <w:r w:rsidRPr="00364BB6">
        <w:rPr>
          <w:color w:val="000000"/>
          <w:spacing w:val="-4"/>
        </w:rPr>
        <w:t xml:space="preserve">„Člen 544-7. – Indeks trajnosti po 1. januarju 2024 za določene kategorije opreme dopolnjuje ali nadomešča indeks popravljivosti, vključno z novimi merili, zlasti zanesljivostjo in trpežnostjo opreme.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Člen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Določbe te uredbe začnejo veljati 1. januarja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Člen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Ministrica za ekološko preoblikovanje ter minister za gospodarstvo in finance sta vsak v skladu s svojimi pristojnostmi odgovorna za izvajanje te uredbe, ki bo objavljena v </w:t>
      </w:r>
      <w:r>
        <w:rPr>
          <w:i/>
          <w:color w:val="000000"/>
        </w:rPr>
        <w:t>Uradnem listu</w:t>
      </w:r>
      <w:r>
        <w:rPr>
          <w:color w:val="000000"/>
        </w:rPr>
        <w:t xml:space="preserve"> Francoske republike.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V, xx xxx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Za predsednika vlade:</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Ministrica za ekološko preoblikovanje</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Minister za gospodarstvo in finance,</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64BB6"/>
    <w:rsid w:val="003B1438"/>
    <w:rsid w:val="00535D26"/>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l-SI"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sl-SI" w:bidi="ar-SA"/>
    </w:rPr>
  </w:style>
  <w:style w:type="character" w:customStyle="1" w:styleId="SNDateCar">
    <w:name w:val="SNDate Car"/>
    <w:qFormat/>
    <w:rPr>
      <w:sz w:val="24"/>
      <w:szCs w:val="24"/>
      <w:lang w:val="sl-SI" w:bidi="ar-SA"/>
    </w:rPr>
  </w:style>
  <w:style w:type="character" w:customStyle="1" w:styleId="SNArticleCar">
    <w:name w:val="SNArticle Car"/>
    <w:qFormat/>
    <w:rPr>
      <w:b/>
      <w:bCs/>
      <w:sz w:val="24"/>
      <w:szCs w:val="24"/>
      <w:lang w:val="sl-SI"/>
    </w:rPr>
  </w:style>
  <w:style w:type="character" w:customStyle="1" w:styleId="SNenProjet">
    <w:name w:val="SNenProjet"/>
    <w:basedOn w:val="Policepardfaut1"/>
    <w:qFormat/>
  </w:style>
  <w:style w:type="character" w:customStyle="1" w:styleId="CarCar5">
    <w:name w:val="Car Car5"/>
    <w:qFormat/>
    <w:rPr>
      <w:b/>
      <w:sz w:val="24"/>
      <w:szCs w:val="26"/>
      <w:lang w:val="sl-SI"/>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sl-SI"/>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sl-SI" w:eastAsia="en-US"/>
    </w:rPr>
  </w:style>
  <w:style w:type="character" w:customStyle="1" w:styleId="TablebodyChar">
    <w:name w:val="Table body Char"/>
    <w:link w:val="Tablebody"/>
    <w:qFormat/>
    <w:rsid w:val="00C16C8D"/>
    <w:rPr>
      <w:rFonts w:ascii="Arial" w:eastAsia="Calibri" w:hAnsi="Arial"/>
      <w:szCs w:val="22"/>
      <w:lang w:val="sl-SI" w:eastAsia="en-US"/>
    </w:rPr>
  </w:style>
  <w:style w:type="character" w:customStyle="1" w:styleId="TableheaderChar">
    <w:name w:val="Table header Char"/>
    <w:link w:val="Tableheader"/>
    <w:qFormat/>
    <w:rsid w:val="00C16C8D"/>
    <w:rPr>
      <w:rFonts w:ascii="Arial" w:eastAsia="Calibri" w:hAnsi="Arial"/>
      <w:szCs w:val="22"/>
      <w:lang w:val="sl-SI"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sl-SI"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1315</Words>
  <Characters>7496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