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5247" w14:textId="77777777" w:rsidR="004F7E45" w:rsidRPr="004F7E45" w:rsidRDefault="004F7E45" w:rsidP="004F7E45">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Dekret nr. 2020-1757 af 29. december 2020</w:t>
      </w:r>
      <w:r>
        <w:rPr>
          <w:rFonts w:ascii="Times New Roman" w:hAnsi="Times New Roman"/>
          <w:b/>
          <w:sz w:val="36"/>
        </w:rPr>
        <w:br/>
        <w:t>om reparerbarhedsindeks for elektrisk og elektronisk udstyr</w:t>
      </w:r>
    </w:p>
    <w:p w14:paraId="122A44DD" w14:textId="77777777" w:rsidR="004F7E45" w:rsidRPr="004F7E45" w:rsidRDefault="004F7E45" w:rsidP="004F7E45">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hAnsi="Times New Roman"/>
          <w:b/>
          <w:sz w:val="24"/>
        </w:rPr>
        <w:t xml:space="preserve">Oprindelig version </w:t>
      </w:r>
    </w:p>
    <w:p w14:paraId="7AA0884E" w14:textId="77777777" w:rsidR="004F7E45" w:rsidRPr="004F7E45" w:rsidRDefault="004F7E45" w:rsidP="004F7E4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Berørte grupper: producenter, importører, distributører eller andre markedsførere af elektrisk og elektronisk udstyr samt forhandlere af sådant udstyr og virksomheder, som bruger et websted, en platform eller en anden onlinedistributionsform som led i deres erhvervsaktivitet i Frankrig </w:t>
      </w:r>
      <w:r>
        <w:rPr>
          <w:rFonts w:ascii="Times New Roman" w:hAnsi="Times New Roman"/>
          <w:sz w:val="24"/>
        </w:rPr>
        <w:br/>
        <w:t xml:space="preserve">Vedr.: gennemførelsesbestemmelser til det reparerbarhedsindeks, der er defineret i artikel L541-9-2 i miljøloven. </w:t>
      </w:r>
      <w:r>
        <w:rPr>
          <w:rFonts w:ascii="Times New Roman" w:hAnsi="Times New Roman"/>
          <w:sz w:val="24"/>
        </w:rPr>
        <w:br/>
        <w:t xml:space="preserve">Ikrafttrædelse: teksten træder i kraft den 1. januar 2021. </w:t>
      </w:r>
      <w:r>
        <w:rPr>
          <w:rFonts w:ascii="Times New Roman" w:hAnsi="Times New Roman"/>
          <w:sz w:val="24"/>
        </w:rPr>
        <w:br/>
        <w:t xml:space="preserve">Bemærkning: i dette dekret fastlægges regler for anvendelse af miljølovens artikel L.541-9-2 om indførelse af et reparerbarhedsindeks for visse kategorier af elektrisk og elektronisk udstyr. Den skal navnlig angive kriterierne og parametrene for den beregning, der er anvendt ved udarbejdelsen af dette indeks, samt den generelle ramme for forpligtelserne i forbindelse med dets meddelelse og visning. </w:t>
      </w:r>
      <w:r>
        <w:rPr>
          <w:rFonts w:ascii="Times New Roman" w:hAnsi="Times New Roman"/>
          <w:sz w:val="24"/>
        </w:rPr>
        <w:br/>
        <w:t xml:space="preserve">Henvisning: Nærværende dekret findes på Légifrances websted (http://www.legifrance.gouv.fr). </w:t>
      </w:r>
    </w:p>
    <w:p w14:paraId="09C3F7EC" w14:textId="77777777" w:rsidR="004C7568" w:rsidRDefault="004F7E45" w:rsidP="004C7568">
      <w:pPr>
        <w:spacing w:after="0" w:line="240" w:lineRule="auto"/>
        <w:rPr>
          <w:rFonts w:ascii="Times New Roman" w:eastAsia="Times New Roman" w:hAnsi="Times New Roman" w:cs="Times New Roman"/>
          <w:sz w:val="24"/>
          <w:szCs w:val="24"/>
        </w:rPr>
      </w:pPr>
      <w:r>
        <w:rPr>
          <w:rFonts w:ascii="Times New Roman" w:hAnsi="Times New Roman"/>
          <w:sz w:val="24"/>
        </w:rPr>
        <w:br/>
        <w:t>Premierministeren har</w:t>
      </w:r>
    </w:p>
    <w:p w14:paraId="40611F90" w14:textId="77777777" w:rsidR="004C7568" w:rsidRDefault="004F7E45" w:rsidP="004C7568">
      <w:pPr>
        <w:spacing w:after="0" w:line="240" w:lineRule="auto"/>
        <w:rPr>
          <w:rFonts w:ascii="Times New Roman" w:eastAsia="Times New Roman" w:hAnsi="Times New Roman" w:cs="Times New Roman"/>
          <w:sz w:val="24"/>
          <w:szCs w:val="24"/>
        </w:rPr>
      </w:pPr>
      <w:r>
        <w:rPr>
          <w:rFonts w:ascii="Times New Roman" w:hAnsi="Times New Roman"/>
          <w:sz w:val="24"/>
        </w:rPr>
        <w:t>Om rapporten fra ministeren for grøn omstilling og ministeren for økonomi, finans og genopretning,</w:t>
      </w:r>
    </w:p>
    <w:p w14:paraId="1A81B9F1" w14:textId="77777777" w:rsidR="004C7568" w:rsidRDefault="004F7E45" w:rsidP="004C7568">
      <w:pPr>
        <w:spacing w:after="0" w:line="240" w:lineRule="auto"/>
        <w:rPr>
          <w:rFonts w:ascii="Times New Roman" w:eastAsia="Times New Roman" w:hAnsi="Times New Roman" w:cs="Times New Roman"/>
          <w:sz w:val="24"/>
          <w:szCs w:val="24"/>
        </w:rPr>
      </w:pPr>
      <w:r>
        <w:rPr>
          <w:rFonts w:ascii="Times New Roman" w:hAnsi="Times New Roman"/>
          <w:sz w:val="24"/>
        </w:rPr>
        <w:t>Under henvisning til Europa-Parlamentets og Rådets direktiv 2008/98/EF af 19. november 2008 om affald og om ophævelse af visse direktiver, senest ændret ved direktiv (EU) 2018/851 af 30. maj 2018,</w:t>
      </w:r>
    </w:p>
    <w:p w14:paraId="581D6C66" w14:textId="77777777" w:rsidR="004C7568" w:rsidRDefault="004F7E45" w:rsidP="004C7568">
      <w:pPr>
        <w:spacing w:after="0" w:line="240" w:lineRule="auto"/>
        <w:rPr>
          <w:rFonts w:ascii="Times New Roman" w:eastAsia="Times New Roman" w:hAnsi="Times New Roman" w:cs="Times New Roman"/>
          <w:sz w:val="24"/>
          <w:szCs w:val="24"/>
        </w:rPr>
      </w:pPr>
      <w:r>
        <w:rPr>
          <w:rFonts w:ascii="Times New Roman" w:hAnsi="Times New Roman"/>
          <w:sz w:val="24"/>
        </w:rPr>
        <w:t>Under henvisning til Europa-Parlamentets og Rådets direktiv (EU) 2015/1535 af 9. september 2015 om en informationsprocedure med hensyn til tekniske forskrifter samt forskrifter for informationssamfundets tjenester, sammen med anmeldelsen til Europa-Kommissionen den 21. juli 2020</w:t>
      </w:r>
    </w:p>
    <w:p w14:paraId="546BA7DD" w14:textId="77777777" w:rsidR="004C7568" w:rsidRDefault="004F7E45" w:rsidP="004C7568">
      <w:pPr>
        <w:spacing w:after="0" w:line="240" w:lineRule="auto"/>
        <w:rPr>
          <w:rFonts w:ascii="Times New Roman" w:eastAsia="Times New Roman" w:hAnsi="Times New Roman" w:cs="Times New Roman"/>
          <w:sz w:val="24"/>
          <w:szCs w:val="24"/>
        </w:rPr>
      </w:pPr>
      <w:r>
        <w:rPr>
          <w:rFonts w:ascii="Times New Roman" w:hAnsi="Times New Roman"/>
          <w:sz w:val="24"/>
        </w:rPr>
        <w:t>under henvisning til miljøloven, især artikel L.541-9-2, i den affattelse, der følger af artikel 16 i lov nr. 2020-105 af 10. februar 2020 om bekæmpelse af spild og om cirkulær økonomi</w:t>
      </w:r>
    </w:p>
    <w:p w14:paraId="09557C55" w14:textId="77777777" w:rsidR="004C7568" w:rsidRDefault="004F7E45" w:rsidP="004C7568">
      <w:pPr>
        <w:spacing w:after="0" w:line="240" w:lineRule="auto"/>
        <w:rPr>
          <w:rFonts w:ascii="Times New Roman" w:eastAsia="Times New Roman" w:hAnsi="Times New Roman" w:cs="Times New Roman"/>
          <w:sz w:val="24"/>
          <w:szCs w:val="24"/>
        </w:rPr>
      </w:pPr>
      <w:r>
        <w:rPr>
          <w:rFonts w:ascii="Times New Roman" w:hAnsi="Times New Roman"/>
          <w:sz w:val="24"/>
        </w:rPr>
        <w:t>Under henvisning til lov nr. 2020-105 om bekæmpelse af affald og om cirkulær økonomi, særlig artikel 16, 29 og 130,</w:t>
      </w:r>
    </w:p>
    <w:p w14:paraId="48736AEC" w14:textId="77777777" w:rsidR="004C7568" w:rsidRDefault="004F7E45" w:rsidP="004C7568">
      <w:pPr>
        <w:spacing w:after="0" w:line="240" w:lineRule="auto"/>
        <w:rPr>
          <w:rFonts w:ascii="Times New Roman" w:eastAsia="Times New Roman" w:hAnsi="Times New Roman" w:cs="Times New Roman"/>
          <w:sz w:val="24"/>
          <w:szCs w:val="24"/>
        </w:rPr>
      </w:pPr>
      <w:r>
        <w:rPr>
          <w:rFonts w:ascii="Times New Roman" w:hAnsi="Times New Roman"/>
          <w:sz w:val="24"/>
        </w:rPr>
        <w:t>Under henvisning til bemærkningerne under den offentlige høring mellem den 21. juli 2020 og den 17. august 2020 i henhold til artikel L123-19-1 i miljøloven, og</w:t>
      </w:r>
    </w:p>
    <w:p w14:paraId="514A1D37" w14:textId="77777777" w:rsidR="004C7568" w:rsidRDefault="004F7E45" w:rsidP="004C7568">
      <w:pPr>
        <w:spacing w:after="0" w:line="240" w:lineRule="auto"/>
        <w:rPr>
          <w:rFonts w:ascii="Times New Roman" w:eastAsia="Times New Roman" w:hAnsi="Times New Roman" w:cs="Times New Roman"/>
          <w:sz w:val="24"/>
          <w:szCs w:val="24"/>
        </w:rPr>
      </w:pPr>
      <w:r>
        <w:rPr>
          <w:rFonts w:ascii="Times New Roman" w:hAnsi="Times New Roman"/>
          <w:sz w:val="24"/>
        </w:rPr>
        <w:t>og efter høring af statsrådet (Conseil d'Etat) (sektion for offentlige arbejder)</w:t>
      </w:r>
    </w:p>
    <w:p w14:paraId="7B9A171C" w14:textId="529FA357" w:rsidR="004F7E45" w:rsidRPr="004F7E45" w:rsidRDefault="004F7E45" w:rsidP="004C7568">
      <w:pPr>
        <w:spacing w:after="0" w:line="240" w:lineRule="auto"/>
        <w:rPr>
          <w:rFonts w:ascii="Times New Roman" w:eastAsia="Times New Roman" w:hAnsi="Times New Roman" w:cs="Times New Roman"/>
          <w:sz w:val="24"/>
          <w:szCs w:val="24"/>
        </w:rPr>
      </w:pPr>
      <w:r>
        <w:rPr>
          <w:rFonts w:ascii="Times New Roman" w:hAnsi="Times New Roman"/>
          <w:sz w:val="24"/>
        </w:rPr>
        <w:t>udstedt følgende dekret:</w:t>
      </w:r>
    </w:p>
    <w:p w14:paraId="61759A43" w14:textId="77777777" w:rsidR="004F7E45" w:rsidRPr="004F7E45" w:rsidRDefault="004F7E45" w:rsidP="004F7E4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1</w:t>
      </w:r>
    </w:p>
    <w:p w14:paraId="77ABD760" w14:textId="77777777"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Kapitel I i afsnit IV i bog V i miljølovens forskriftsmæssige del suppleres med et afsnit 9 med følgende ordlyd:</w:t>
      </w:r>
    </w:p>
    <w:p w14:paraId="16727251" w14:textId="77777777"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Afsnit 9</w:t>
      </w:r>
      <w:r>
        <w:rPr>
          <w:rFonts w:ascii="Times New Roman" w:hAnsi="Times New Roman"/>
          <w:sz w:val="24"/>
        </w:rPr>
        <w:br/>
        <w:t>Underretning af offentligheden om affaldsdannende produkter</w:t>
      </w:r>
    </w:p>
    <w:p w14:paraId="3F984B64" w14:textId="77777777"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Underafsnit 1</w:t>
      </w:r>
      <w:r>
        <w:rPr>
          <w:rFonts w:ascii="Times New Roman" w:hAnsi="Times New Roman"/>
          <w:sz w:val="24"/>
        </w:rPr>
        <w:br/>
        <w:t>Opstilling af reparerbarhedsindekset</w:t>
      </w:r>
    </w:p>
    <w:p w14:paraId="50911D7C" w14:textId="77777777"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Artikel R541-210. — Reparerbarhedsindekset for elektrisk og elektronisk udstyr som defineret i artikel L541-9-2 består af en score ud af ti, som forbrugerne skal gøre opmærksom på, når de køber nyt udstyr.</w:t>
      </w:r>
      <w:r>
        <w:rPr>
          <w:rFonts w:ascii="Times New Roman" w:hAnsi="Times New Roman"/>
          <w:sz w:val="24"/>
        </w:rPr>
        <w:br/>
        <w:t>Dette indeks vedrører hver af dette udstyrs modeller.</w:t>
      </w:r>
    </w:p>
    <w:p w14:paraId="377464DC" w14:textId="77777777" w:rsidR="004C7568" w:rsidRDefault="004F7E45" w:rsidP="004C7568">
      <w:pPr>
        <w:spacing w:after="0" w:line="240" w:lineRule="auto"/>
        <w:ind w:left="446"/>
        <w:rPr>
          <w:rFonts w:ascii="Times New Roman" w:eastAsia="Times New Roman" w:hAnsi="Times New Roman" w:cs="Times New Roman"/>
          <w:sz w:val="24"/>
          <w:szCs w:val="24"/>
        </w:rPr>
      </w:pPr>
      <w:r>
        <w:rPr>
          <w:rFonts w:ascii="Times New Roman" w:hAnsi="Times New Roman"/>
          <w:sz w:val="24"/>
        </w:rPr>
        <w:br/>
        <w:t>Artikel R541-211. — I dette afsnit forstås ved:</w:t>
      </w:r>
      <w:r>
        <w:rPr>
          <w:rFonts w:ascii="Times New Roman" w:hAnsi="Times New Roman"/>
          <w:sz w:val="24"/>
        </w:rPr>
        <w:br/>
        <w:t>1. "gøre tilgængelig på markedet": enhver levering af elektrisk eller elektronisk udstyr, der er bestemt til at blive distribueret eller anvendt på det nationale marked som led i en kommerciel aktivitet, mod eller uden vederlag</w:t>
      </w:r>
    </w:p>
    <w:p w14:paraId="712B5E64" w14:textId="77777777" w:rsidR="004C7568" w:rsidRDefault="004F7E45" w:rsidP="004C7568">
      <w:pPr>
        <w:spacing w:after="0" w:line="240" w:lineRule="auto"/>
        <w:ind w:left="446"/>
        <w:rPr>
          <w:rFonts w:ascii="Times New Roman" w:eastAsia="Times New Roman" w:hAnsi="Times New Roman" w:cs="Times New Roman"/>
          <w:sz w:val="24"/>
          <w:szCs w:val="24"/>
        </w:rPr>
      </w:pPr>
      <w:r>
        <w:rPr>
          <w:rFonts w:ascii="Times New Roman" w:hAnsi="Times New Roman"/>
          <w:sz w:val="24"/>
        </w:rPr>
        <w:t>2. "markedsføring": første tilgængeliggørelse af elektrisk eller elektronisk udstyr på det nationale marked</w:t>
      </w:r>
    </w:p>
    <w:p w14:paraId="38196A95" w14:textId="77777777" w:rsidR="004C7568" w:rsidRDefault="004F7E45" w:rsidP="004C7568">
      <w:pPr>
        <w:spacing w:after="0" w:line="240" w:lineRule="auto"/>
        <w:ind w:left="446"/>
        <w:rPr>
          <w:rFonts w:ascii="Times New Roman" w:eastAsia="Times New Roman" w:hAnsi="Times New Roman" w:cs="Times New Roman"/>
          <w:sz w:val="24"/>
          <w:szCs w:val="24"/>
        </w:rPr>
      </w:pPr>
      <w:r>
        <w:rPr>
          <w:rFonts w:ascii="Times New Roman" w:hAnsi="Times New Roman"/>
          <w:sz w:val="24"/>
        </w:rPr>
        <w:t>3. "importør": fysisk eller juridisk person, som bringer elektrisk eller elektronisk udstyr på det nationale marked med oprindelse i EU-medlemsstater eller tredjelande</w:t>
      </w:r>
    </w:p>
    <w:p w14:paraId="3814DEE0" w14:textId="77777777" w:rsidR="004C7568" w:rsidRDefault="004F7E45" w:rsidP="004C7568">
      <w:pPr>
        <w:spacing w:after="0" w:line="240" w:lineRule="auto"/>
        <w:ind w:left="446"/>
        <w:rPr>
          <w:rFonts w:ascii="Times New Roman" w:eastAsia="Times New Roman" w:hAnsi="Times New Roman" w:cs="Times New Roman"/>
          <w:sz w:val="24"/>
          <w:szCs w:val="24"/>
        </w:rPr>
      </w:pPr>
      <w:r>
        <w:rPr>
          <w:rFonts w:ascii="Times New Roman" w:hAnsi="Times New Roman"/>
          <w:sz w:val="24"/>
        </w:rPr>
        <w:t>4. "forhandler": fysisk eller juridisk person, der som led i en forretningsaktivitet gør elektrisk eller elektronisk udstyr tilgængeligt på markedet og sælger det til forbrugere, herunder ved fjernsalg</w:t>
      </w:r>
    </w:p>
    <w:p w14:paraId="596FE06B" w14:textId="77777777" w:rsidR="004C7568" w:rsidRDefault="004F7E45" w:rsidP="004C7568">
      <w:pPr>
        <w:spacing w:after="0" w:line="240" w:lineRule="auto"/>
        <w:ind w:left="446"/>
        <w:rPr>
          <w:rFonts w:ascii="Times New Roman" w:eastAsia="Times New Roman" w:hAnsi="Times New Roman" w:cs="Times New Roman"/>
          <w:sz w:val="24"/>
          <w:szCs w:val="24"/>
        </w:rPr>
      </w:pPr>
      <w:r>
        <w:rPr>
          <w:rFonts w:ascii="Times New Roman" w:hAnsi="Times New Roman"/>
          <w:sz w:val="24"/>
        </w:rPr>
        <w:t>5. "fjernsalg": aftale indgået via telekommunikationsmedier mellem en professionel forhandler og en forbruger i et organiseret salgssystem, uden at forhandleren og forbrugeren er fysisk til stede samtidig, udelukkende ved brug af en eller flere telekommunikationsteknikker indtil aftalens afslutning</w:t>
      </w:r>
    </w:p>
    <w:p w14:paraId="76DB3484" w14:textId="77777777" w:rsidR="004C7568" w:rsidRDefault="004F7E45" w:rsidP="004C7568">
      <w:pPr>
        <w:spacing w:after="0" w:line="240" w:lineRule="auto"/>
        <w:ind w:left="446"/>
        <w:rPr>
          <w:rFonts w:ascii="Times New Roman" w:eastAsia="Times New Roman" w:hAnsi="Times New Roman" w:cs="Times New Roman"/>
          <w:sz w:val="24"/>
          <w:szCs w:val="24"/>
        </w:rPr>
      </w:pPr>
      <w:r>
        <w:rPr>
          <w:rFonts w:ascii="Times New Roman" w:hAnsi="Times New Roman"/>
          <w:sz w:val="24"/>
        </w:rPr>
        <w:t>6. "model": en udstyrsudgave, hvor alle enheder har samme relevante tekniske specifikationer med henblik på beregning af reparerbarhedsindekset.</w:t>
      </w:r>
    </w:p>
    <w:p w14:paraId="6A24F5EF" w14:textId="2E831C23" w:rsidR="004F7E45" w:rsidRPr="004F7E45" w:rsidRDefault="004F7E45" w:rsidP="004C7568">
      <w:pPr>
        <w:spacing w:after="0" w:line="240" w:lineRule="auto"/>
        <w:ind w:left="446"/>
        <w:rPr>
          <w:rFonts w:ascii="Times New Roman" w:eastAsia="Times New Roman" w:hAnsi="Times New Roman" w:cs="Times New Roman"/>
          <w:sz w:val="24"/>
          <w:szCs w:val="24"/>
        </w:rPr>
      </w:pPr>
      <w:r>
        <w:rPr>
          <w:rFonts w:ascii="Times New Roman" w:hAnsi="Times New Roman"/>
          <w:sz w:val="24"/>
        </w:rPr>
        <w:t>De øvrige udtryk forstås i overensstemmelse med bestemmelserne i artikel R543-171-2, "producent", der betyder "fabrikant" i denne artikels forstand.</w:t>
      </w:r>
    </w:p>
    <w:p w14:paraId="26FBD480" w14:textId="77777777"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Artikel R541-212. I. — Producenterne eller importørerne fastlægger reparerbarhedsindekset for det elektriske eller elektroniske udstyr, de markedsfører, samt de parametre, som ligger til grund for beregningen, efter nogle regler, der fastsættes ved bekendtgørelse anført i artikel R541-212, stk. III.</w:t>
      </w:r>
      <w:r>
        <w:rPr>
          <w:rFonts w:ascii="Times New Roman" w:hAnsi="Times New Roman"/>
          <w:sz w:val="24"/>
        </w:rPr>
        <w:br/>
        <w:t>IІ. II. — Producenter og importører underretter elektronisk distributører og forhandlere vederlagsfrit og i et format uden papir, ved optagelse i sortimentet og levering af elektrisk og elektronisk udstyr for hver markedsført udstyrsmodel om:</w:t>
      </w:r>
      <w:r>
        <w:rPr>
          <w:rFonts w:ascii="Times New Roman" w:hAnsi="Times New Roman"/>
          <w:sz w:val="24"/>
        </w:rPr>
        <w:br/>
        <w:t>1. Reparationsindekset i overensstemmelse med de betingelser og de tegn, der er fastsat i bekendtgørelsen, jf. artikel R541-213, stk. I</w:t>
      </w:r>
      <w:r>
        <w:rPr>
          <w:rFonts w:ascii="Times New Roman" w:hAnsi="Times New Roman"/>
          <w:sz w:val="24"/>
        </w:rPr>
        <w:br/>
        <w:t>2. De parametre, der gjorde det muligt at fastsætte reparerbarhedsindekset i det format, der er fastsat i bekendtgørelsen, jf. artikel R541-213, stk. I.</w:t>
      </w:r>
      <w:r>
        <w:rPr>
          <w:rFonts w:ascii="Times New Roman" w:hAnsi="Times New Roman"/>
          <w:sz w:val="24"/>
        </w:rPr>
        <w:br/>
        <w:t xml:space="preserve">III. — Er distributøren og sælgeren ikke den samme, skal distributøren vederlagsfrit og på de samme betingelser, der er nævnt i II, underrette sælgeren om indekset og parametrene for dens beregning på tidspunktet for henvisning og levering af elektrisk og </w:t>
      </w:r>
      <w:r>
        <w:rPr>
          <w:rFonts w:ascii="Times New Roman" w:hAnsi="Times New Roman"/>
          <w:sz w:val="24"/>
        </w:rPr>
        <w:lastRenderedPageBreak/>
        <w:t>elektronisk udstyr.</w:t>
      </w:r>
      <w:r>
        <w:rPr>
          <w:rFonts w:ascii="Times New Roman" w:hAnsi="Times New Roman"/>
          <w:sz w:val="24"/>
        </w:rPr>
        <w:br/>
        <w:t>IV. — Endvidere kan indekset anbringes direkte på hvert enkelt udstyr eller på emballagen ved etikettering eller mærkning i overensstemmelse med de tegn, der er foreskrevet i den i artikel R541-213, stk. I, i omhandlede bekendtgørelse.</w:t>
      </w:r>
      <w:r>
        <w:rPr>
          <w:rFonts w:ascii="Times New Roman" w:hAnsi="Times New Roman"/>
          <w:sz w:val="24"/>
        </w:rPr>
        <w:br/>
        <w:t>V. — Oplysningerne i stk. II formidles vederlagsfrit af producenterne og importørerne inden for 15 dage til enhver, som anmoder herom, i mindst to år efter markedsføringen af den sidste enhed af en given udstyrsmodel.</w:t>
      </w:r>
    </w:p>
    <w:p w14:paraId="261403F3" w14:textId="77777777"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Artikel R541-213. I. — Når elektrisk eller elektronisk udstyr udbydes til salg i butikker, skal sælgeren i overensstemmelse med de procedurer og de tegn, der er foreskrevet i den minister, der er ansvarlig for miljø og økonomi, angive det af producenten eller importøren leverede reparationsindeks for hvert materiel, der påtænkes solgt, eller i umiddelbar nærhed.</w:t>
      </w:r>
      <w:r>
        <w:rPr>
          <w:rFonts w:ascii="Times New Roman" w:hAnsi="Times New Roman"/>
          <w:sz w:val="24"/>
        </w:rPr>
        <w:br/>
        <w:t>IІ. — Hvis elektrisk eller elektronisk udstyr udbydes til salg på afstand, skal sælgeren synligt vise reparationsindekset ved fremvisning af udstyret og i nærheden af dets pris i overensstemmelse med de vilkår og betingelser, der er fastsat i den i punkt I i nævnte bekendtgørelse.</w:t>
      </w:r>
      <w:r>
        <w:rPr>
          <w:rFonts w:ascii="Times New Roman" w:hAnsi="Times New Roman"/>
          <w:sz w:val="24"/>
        </w:rPr>
        <w:br/>
        <w:t>III. — Sælgeren skal også stille de parametre til rådighed for forbrugerne, som har gjort det muligt at opstille reparationsindekset for udstyret ved hjælp af en passende proces.</w:t>
      </w:r>
    </w:p>
    <w:p w14:paraId="09FA1FE2" w14:textId="77777777" w:rsidR="004C7568" w:rsidRDefault="004F7E45" w:rsidP="004C7568">
      <w:pPr>
        <w:spacing w:after="0" w:line="240" w:lineRule="auto"/>
        <w:ind w:left="446"/>
        <w:rPr>
          <w:rFonts w:ascii="Times New Roman" w:eastAsia="Times New Roman" w:hAnsi="Times New Roman" w:cs="Times New Roman"/>
          <w:sz w:val="24"/>
          <w:szCs w:val="24"/>
        </w:rPr>
      </w:pPr>
      <w:r>
        <w:rPr>
          <w:rFonts w:ascii="Times New Roman" w:hAnsi="Times New Roman"/>
          <w:sz w:val="24"/>
        </w:rPr>
        <w:br/>
        <w:t>Artikel R541-214. I. — Reparerbarhedsindekset beregnes ved hjælp af følgende parametre:</w:t>
      </w:r>
      <w:r>
        <w:rPr>
          <w:rFonts w:ascii="Times New Roman" w:hAnsi="Times New Roman"/>
          <w:sz w:val="24"/>
        </w:rPr>
        <w:br/>
        <w:t>a) et pointtal ud af 20 for den tekniske dokumentations og anvendelses- og vedligeholdelsesvejledningens tilgængelighedsperiode for producenter, reparatører og forbrugere</w:t>
      </w:r>
    </w:p>
    <w:p w14:paraId="2403791F" w14:textId="77777777" w:rsidR="004C7568" w:rsidRDefault="004F7E45" w:rsidP="004C7568">
      <w:pPr>
        <w:spacing w:after="0" w:line="240" w:lineRule="auto"/>
        <w:ind w:left="446"/>
        <w:rPr>
          <w:rFonts w:ascii="Times New Roman" w:eastAsia="Times New Roman" w:hAnsi="Times New Roman" w:cs="Times New Roman"/>
          <w:sz w:val="24"/>
          <w:szCs w:val="24"/>
        </w:rPr>
      </w:pPr>
      <w:r>
        <w:rPr>
          <w:rFonts w:ascii="Times New Roman" w:hAnsi="Times New Roman"/>
          <w:sz w:val="24"/>
        </w:rPr>
        <w:t>b) et pointtal ud af 20 for udstyrets demonteringsvenlighed: antal demonteringstrin for adgang til de enkelte reservedele, specifikationer for nødvendigt værktøj og reservedelenes indbyrdes fastgørelse</w:t>
      </w:r>
    </w:p>
    <w:p w14:paraId="681FCAC1" w14:textId="77777777" w:rsidR="004C7568" w:rsidRDefault="004F7E45" w:rsidP="004C7568">
      <w:pPr>
        <w:spacing w:after="0" w:line="240" w:lineRule="auto"/>
        <w:ind w:left="446"/>
        <w:rPr>
          <w:rFonts w:ascii="Times New Roman" w:eastAsia="Times New Roman" w:hAnsi="Times New Roman" w:cs="Times New Roman"/>
          <w:sz w:val="24"/>
          <w:szCs w:val="24"/>
        </w:rPr>
      </w:pPr>
      <w:r>
        <w:rPr>
          <w:rFonts w:ascii="Times New Roman" w:hAnsi="Times New Roman"/>
          <w:sz w:val="24"/>
        </w:rPr>
        <w:t>c) et pointtal ud af 20 for reservedelenes tilgængelighedsperiode på markedet og for leveringsfrister til producenter, reservedelsdistributører, reparatører og forbrugere</w:t>
      </w:r>
    </w:p>
    <w:p w14:paraId="4133FD83" w14:textId="77777777" w:rsidR="004C7568" w:rsidRDefault="004F7E45" w:rsidP="004C7568">
      <w:pPr>
        <w:spacing w:after="0" w:line="240" w:lineRule="auto"/>
        <w:ind w:left="446"/>
        <w:rPr>
          <w:rFonts w:ascii="Times New Roman" w:eastAsia="Times New Roman" w:hAnsi="Times New Roman" w:cs="Times New Roman"/>
          <w:sz w:val="24"/>
          <w:szCs w:val="24"/>
        </w:rPr>
      </w:pPr>
      <w:r>
        <w:rPr>
          <w:rFonts w:ascii="Times New Roman" w:hAnsi="Times New Roman"/>
          <w:sz w:val="24"/>
        </w:rPr>
        <w:t>d) et pointtal ud af 20 for forholdet mellem fabrikantens eller importørens salgspris for reservedele og fabrikantens eller importørens salgspris for udstyret, som beregnes efter regler, der fastsættes ved bekendtgørelse</w:t>
      </w:r>
    </w:p>
    <w:p w14:paraId="68E845C2" w14:textId="2AC29C9D" w:rsidR="004F7E45" w:rsidRPr="004F7E45" w:rsidRDefault="004F7E45" w:rsidP="004C7568">
      <w:pPr>
        <w:spacing w:after="0" w:line="240" w:lineRule="auto"/>
        <w:ind w:left="446"/>
        <w:rPr>
          <w:rFonts w:ascii="Times New Roman" w:eastAsia="Times New Roman" w:hAnsi="Times New Roman" w:cs="Times New Roman"/>
          <w:sz w:val="24"/>
          <w:szCs w:val="24"/>
        </w:rPr>
      </w:pPr>
      <w:r>
        <w:rPr>
          <w:rFonts w:ascii="Times New Roman" w:hAnsi="Times New Roman"/>
          <w:sz w:val="24"/>
        </w:rPr>
        <w:t>e) et pointtal ud af 20 for specifikke kriterier for den pågældende udstyrskategori.</w:t>
      </w:r>
      <w:r>
        <w:rPr>
          <w:rFonts w:ascii="Times New Roman" w:hAnsi="Times New Roman"/>
          <w:sz w:val="24"/>
        </w:rPr>
        <w:br/>
        <w:t>IІ. — Reparerbarhedsindekset fremkommer ved at sammentælle de fem pointtal, som er opnået, og derefter dividere resultatet med 10 med henblik på at udtrykke et sammenfattende pointtal på en skala fra 1 til 10.</w:t>
      </w:r>
      <w:r>
        <w:rPr>
          <w:rFonts w:ascii="Times New Roman" w:hAnsi="Times New Roman"/>
          <w:sz w:val="24"/>
        </w:rPr>
        <w:br/>
        <w:t>III.— For hver kategori elektrisk og elektronisk udstyr fastlægges samtlige kriterier og underkriterier, herunder specifikke kriterier for den enkelte kategori, samt metoderne til beregning af indekset ved bekendtgørelse fra miljøministeren og økonomi- og finansministeren.</w:t>
      </w:r>
    </w:p>
    <w:p w14:paraId="31C9246E" w14:textId="77777777" w:rsidR="004F7E45" w:rsidRPr="004F7E45" w:rsidRDefault="004F7E45" w:rsidP="004F7E4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2</w:t>
      </w:r>
    </w:p>
    <w:p w14:paraId="0C875A98" w14:textId="77777777"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Bestemmelserne i nærværende dekret træder i kraft den 1. januar 2021.</w:t>
      </w:r>
    </w:p>
    <w:p w14:paraId="3FAB2966" w14:textId="77777777" w:rsidR="004F7E45" w:rsidRPr="004F7E45" w:rsidRDefault="004F7E45" w:rsidP="004F7E4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3</w:t>
      </w:r>
    </w:p>
    <w:p w14:paraId="24600007" w14:textId="77777777"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Ministeren for grøn omstilling og ministeren for økonomi, finans og genopretning er, hver inden for sit område, ansvarlige for gennemførelsen af nærværende dekret, som offentliggøres i Den Franske Republiks officielle tidende.</w:t>
      </w:r>
    </w:p>
    <w:p w14:paraId="11EDDB72" w14:textId="77777777" w:rsidR="004F7E45" w:rsidRPr="004F7E45" w:rsidRDefault="004F7E45" w:rsidP="004F7E4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Dateret den 29. december 2020</w:t>
      </w:r>
    </w:p>
    <w:p w14:paraId="6D086227" w14:textId="77777777" w:rsidR="004F7E45" w:rsidRPr="004F7E45" w:rsidRDefault="004F7E45" w:rsidP="004F7E4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Jean Castex </w:t>
      </w:r>
      <w:r>
        <w:rPr>
          <w:rFonts w:ascii="Times New Roman" w:hAnsi="Times New Roman"/>
          <w:sz w:val="24"/>
        </w:rPr>
        <w:br/>
        <w:t>Af premierministeren:</w:t>
      </w:r>
    </w:p>
    <w:p w14:paraId="75AA65C8" w14:textId="77777777" w:rsidR="004F7E45" w:rsidRPr="004F7E45" w:rsidRDefault="004F7E45" w:rsidP="004F7E4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Ministeren for grøn omstilling</w:t>
      </w:r>
      <w:r>
        <w:rPr>
          <w:rFonts w:ascii="Times New Roman" w:hAnsi="Times New Roman"/>
          <w:sz w:val="24"/>
        </w:rPr>
        <w:br/>
        <w:t>Barbara Pompili</w:t>
      </w:r>
    </w:p>
    <w:p w14:paraId="250F8DFD" w14:textId="77777777" w:rsidR="004F7E45" w:rsidRPr="004F7E45" w:rsidRDefault="004F7E45" w:rsidP="004F7E4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Ministeren for økonomi, finans og genopretning</w:t>
      </w:r>
      <w:r>
        <w:rPr>
          <w:rFonts w:ascii="Times New Roman" w:hAnsi="Times New Roman"/>
          <w:sz w:val="24"/>
        </w:rPr>
        <w:br/>
        <w:t>Bruno Le Maire</w:t>
      </w:r>
    </w:p>
    <w:p w14:paraId="60C6DEC7" w14:textId="77777777" w:rsidR="00CF4D53" w:rsidRDefault="00CF4D53"/>
    <w:sectPr w:rsidR="00CF4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45"/>
    <w:rsid w:val="004C7568"/>
    <w:rsid w:val="004F7E45"/>
    <w:rsid w:val="00536614"/>
    <w:rsid w:val="00CF4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4B5C"/>
  <w15:chartTrackingRefBased/>
  <w15:docId w15:val="{A73B6F73-6A2C-4EF9-AF88-F4CB7DAB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7498">
      <w:bodyDiv w:val="1"/>
      <w:marLeft w:val="0"/>
      <w:marRight w:val="0"/>
      <w:marTop w:val="0"/>
      <w:marBottom w:val="0"/>
      <w:divBdr>
        <w:top w:val="none" w:sz="0" w:space="0" w:color="auto"/>
        <w:left w:val="none" w:sz="0" w:space="0" w:color="auto"/>
        <w:bottom w:val="none" w:sz="0" w:space="0" w:color="auto"/>
        <w:right w:val="none" w:sz="0" w:space="0" w:color="auto"/>
      </w:divBdr>
      <w:divsChild>
        <w:div w:id="1589196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1256</Words>
  <Characters>7162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4</cp:revision>
  <dcterms:created xsi:type="dcterms:W3CDTF">2021-01-04T14:42:00Z</dcterms:created>
  <dcterms:modified xsi:type="dcterms:W3CDTF">2021-04-27T11:27:00Z</dcterms:modified>
</cp:coreProperties>
</file>