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18" w:rsidRPr="00C81795" w:rsidRDefault="00000018" w:rsidP="00000018">
      <w:pPr>
        <w:jc w:val="center"/>
        <w:rPr>
          <w:rFonts w:ascii="Courier New" w:hAnsi="Courier New"/>
          <w:sz w:val="20"/>
        </w:rPr>
      </w:pPr>
      <w:r w:rsidRPr="00C81795">
        <w:rPr>
          <w:rFonts w:ascii="Courier New" w:hAnsi="Courier New"/>
          <w:sz w:val="20"/>
        </w:rPr>
        <w:t>1. ------IND- 2020 0469 F-- LT- ------ 20210228 --- --- FINAL</w:t>
      </w:r>
    </w:p>
    <w:p w:rsidR="00E53DB4" w:rsidRPr="00C81795" w:rsidRDefault="00E53DB4" w:rsidP="00ED3F8B">
      <w:pPr>
        <w:spacing w:after="0" w:line="240" w:lineRule="auto"/>
      </w:pPr>
    </w:p>
    <w:p w:rsidR="004C4E44" w:rsidRPr="00C81795" w:rsidRDefault="004C4E44" w:rsidP="00ED3F8B">
      <w:pPr>
        <w:spacing w:after="0" w:line="240" w:lineRule="auto"/>
        <w:outlineLvl w:val="1"/>
        <w:rPr>
          <w:rFonts w:ascii="Times New Roman" w:eastAsia="Times New Roman" w:hAnsi="Times New Roman" w:cs="Times New Roman"/>
          <w:b/>
          <w:bCs/>
          <w:sz w:val="36"/>
          <w:szCs w:val="36"/>
        </w:rPr>
      </w:pPr>
      <w:r w:rsidRPr="00C81795">
        <w:rPr>
          <w:rFonts w:ascii="Times New Roman" w:hAnsi="Times New Roman"/>
          <w:b/>
          <w:sz w:val="36"/>
        </w:rPr>
        <w:t>2020 m. gruodžio 29 d. nutarimas dėl taisomumo indekso rodymo tvarkos, ženklų ir bendrųjų apskaičiavimo parametrų</w:t>
      </w:r>
    </w:p>
    <w:p w:rsidR="00ED3F8B" w:rsidRPr="00C81795" w:rsidRDefault="00ED3F8B" w:rsidP="00ED3F8B">
      <w:pPr>
        <w:spacing w:after="0" w:line="240" w:lineRule="auto"/>
        <w:outlineLvl w:val="1"/>
        <w:rPr>
          <w:rFonts w:ascii="Times New Roman" w:eastAsia="Times New Roman" w:hAnsi="Times New Roman" w:cs="Times New Roman"/>
          <w:b/>
          <w:bCs/>
          <w:sz w:val="36"/>
          <w:szCs w:val="36"/>
          <w:lang w:eastAsia="fr-FR"/>
        </w:rPr>
      </w:pPr>
    </w:p>
    <w:p w:rsidR="004C4E44" w:rsidRPr="00C81795" w:rsidRDefault="004C4E44" w:rsidP="00ED3F8B">
      <w:pPr>
        <w:spacing w:after="0" w:line="240" w:lineRule="auto"/>
        <w:outlineLvl w:val="3"/>
        <w:rPr>
          <w:rFonts w:ascii="Times New Roman" w:eastAsia="Times New Roman" w:hAnsi="Times New Roman" w:cs="Times New Roman"/>
          <w:b/>
          <w:bCs/>
          <w:sz w:val="24"/>
          <w:szCs w:val="24"/>
        </w:rPr>
      </w:pPr>
      <w:r w:rsidRPr="00C81795">
        <w:rPr>
          <w:rFonts w:ascii="Times New Roman" w:hAnsi="Times New Roman"/>
          <w:b/>
          <w:sz w:val="24"/>
        </w:rPr>
        <w:t xml:space="preserve">Pradinė versija </w:t>
      </w:r>
    </w:p>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ED3F8B" w:rsidRPr="00C81795" w:rsidRDefault="00ED3F8B" w:rsidP="00ED3F8B">
      <w:pPr>
        <w:spacing w:after="0" w:line="240" w:lineRule="auto"/>
        <w:rPr>
          <w:rFonts w:ascii="Times New Roman" w:eastAsia="Times New Roman" w:hAnsi="Times New Roman" w:cs="Times New Roman"/>
          <w:sz w:val="24"/>
          <w:szCs w:val="24"/>
          <w:lang w:eastAsia="fr-FR"/>
        </w:rPr>
      </w:pP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 xml:space="preserve">Susiję subjektai: elektros ir elektroninės įrangos gamintojai, importuotojai, platintojai ir kiti teikėjai rinkai, įrangos pardavėjai ir asmenys, parduodantys ją per interneto svetainę, platformą ar kitu platinimo būdu internetu, užsiimdami komercine veikla Prancūzijoje. </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 xml:space="preserve">Tema: taisomumo indekso rodymo tvarka, ženklai ir bendrieji apskaičiavimo parametrai. </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 xml:space="preserve">Įsigaliojimas: dokumentas įsigalioja 2021 m. sausio 1 d. </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 xml:space="preserve">Santrauka: šiuo nutarimu nustatoma taisomumo indekso rodymo tvarka, ženklai ir bendrieji apskaičiavimo parametrai. </w:t>
      </w: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 xml:space="preserve">Nuorodos: šį nutarimą bus galima gauti „Légifrance“ interneto svetainėje (http://www.legifrance.gouv.fr). </w:t>
      </w:r>
    </w:p>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ED3F8B" w:rsidRPr="00C81795" w:rsidRDefault="00ED3F8B" w:rsidP="00ED3F8B">
      <w:pPr>
        <w:spacing w:after="0" w:line="240" w:lineRule="auto"/>
        <w:rPr>
          <w:rFonts w:ascii="Times New Roman" w:eastAsia="Times New Roman" w:hAnsi="Times New Roman" w:cs="Times New Roman"/>
          <w:sz w:val="24"/>
          <w:szCs w:val="24"/>
          <w:lang w:eastAsia="fr-FR"/>
        </w:rPr>
      </w:pP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Perėjimo prie ekologiškos ekonomikos ministrė bei ekonomikos, finansų ir ekonomikos atkūrimo ministras,</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atsižvelgdami į 2019 m. spalio 1 d. Komisijos reglamentą (ES) 2019/2021, kuriuo pagal Europos Parlamento ir Tarybos direktyvą 2009/125/EB nustatomi elektroninių vaizduoklių ekologinio projektavimo reikalavimai, iš dalies keičiamas Komisijos reglamentas (EB) Nr.</w:t>
      </w:r>
      <w:r w:rsidR="003163B3" w:rsidRPr="00C81795">
        <w:rPr>
          <w:rFonts w:ascii="Times New Roman" w:hAnsi="Times New Roman"/>
          <w:sz w:val="24"/>
        </w:rPr>
        <w:t> </w:t>
      </w:r>
      <w:r w:rsidRPr="00C81795">
        <w:rPr>
          <w:rFonts w:ascii="Times New Roman" w:hAnsi="Times New Roman"/>
          <w:sz w:val="24"/>
        </w:rPr>
        <w:t>1275/2008 ir panaikinamas Komisijos reglamentas (EB) Nr. 642/2009,</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atsižvelgdami į Aplinkosaugos kodeksą, ypač į jo L. 541-9-2 straipsnį,</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atsižvelgdami į 2020 m. gruodžio 29 d. Dekretą Nr. 2020-1757 dėl elektros ir elektroninės įrangos taisomumo indekso,</w:t>
      </w:r>
    </w:p>
    <w:p w:rsidR="004C4E44" w:rsidRPr="00C81795" w:rsidRDefault="004C4E44" w:rsidP="00ED3F8B">
      <w:pPr>
        <w:keepNext/>
        <w:spacing w:after="0" w:line="240" w:lineRule="auto"/>
        <w:rPr>
          <w:rFonts w:ascii="Times New Roman" w:eastAsia="Times New Roman" w:hAnsi="Times New Roman" w:cs="Times New Roman"/>
          <w:sz w:val="24"/>
          <w:szCs w:val="24"/>
        </w:rPr>
      </w:pPr>
      <w:r w:rsidRPr="00C81795">
        <w:rPr>
          <w:rFonts w:ascii="Times New Roman" w:hAnsi="Times New Roman"/>
          <w:sz w:val="24"/>
        </w:rPr>
        <w:t>nutarė:</w:t>
      </w:r>
    </w:p>
    <w:p w:rsidR="00ED3F8B" w:rsidRPr="00C81795" w:rsidRDefault="00ED3F8B" w:rsidP="00ED3F8B">
      <w:pPr>
        <w:keepNext/>
        <w:spacing w:after="0" w:line="240" w:lineRule="auto"/>
        <w:rPr>
          <w:rFonts w:ascii="Times New Roman" w:eastAsia="Times New Roman" w:hAnsi="Times New Roman" w:cs="Times New Roman"/>
          <w:sz w:val="24"/>
          <w:szCs w:val="24"/>
          <w:lang w:eastAsia="fr-FR"/>
        </w:rPr>
      </w:pPr>
    </w:p>
    <w:p w:rsidR="004C4E44" w:rsidRPr="00C81795" w:rsidRDefault="004C4E44" w:rsidP="00ED3F8B">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t>1 straipsnis</w:t>
      </w:r>
    </w:p>
    <w:p w:rsidR="00ED3F8B" w:rsidRPr="00C81795" w:rsidRDefault="00ED3F8B" w:rsidP="00ED3F8B">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C81795" w:rsidRDefault="00FB0990" w:rsidP="00ED3F8B">
      <w:pPr>
        <w:keepNext/>
        <w:spacing w:after="0" w:line="240" w:lineRule="auto"/>
        <w:ind w:left="450"/>
        <w:rPr>
          <w:rFonts w:ascii="Times New Roman" w:eastAsia="Times New Roman" w:hAnsi="Times New Roman" w:cs="Times New Roman"/>
          <w:sz w:val="24"/>
          <w:szCs w:val="24"/>
          <w:lang w:eastAsia="fr-FR"/>
        </w:rPr>
      </w:pP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Šis nutarimas taikomas visai elektros ir elektroninei įrangai, kuriai apskaičiuojamas ir rodomas taisomumo indeksas pagal Aplinkosaugos kodekso R. 541-210–R. 541-214 straipsnių nuostatas.</w:t>
      </w:r>
    </w:p>
    <w:p w:rsidR="00ED3F8B" w:rsidRPr="00C8179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C81795" w:rsidRDefault="004C4E44" w:rsidP="00ED3F8B">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t>2 straipsnis</w:t>
      </w:r>
    </w:p>
    <w:p w:rsidR="00FB0990" w:rsidRPr="00C81795"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C8179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Visiems 1 straipsnyje nurodytiems elektros ir elektroniniams įrenginiams taisomumo indeksas teikiamas kaip 10 taškų, kurie gali būti reiškiami ir su skaičiais po kablelio, reitingas.</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Jei šimtųjų skaičius yra mažesnis nei 5, apvalinama iki mažesnės dešimtosios.</w:t>
      </w: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Jei šimtųjų skaičius yra lygus 5 ar didesnis, apvalinama iki didesnės dešimtosios.</w:t>
      </w:r>
    </w:p>
    <w:p w:rsidR="00ED3F8B" w:rsidRPr="00C8179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C81795" w:rsidRDefault="004C4E44" w:rsidP="00ED3F8B">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lastRenderedPageBreak/>
        <w:t>3 straipsnis</w:t>
      </w:r>
    </w:p>
    <w:p w:rsidR="00FB0990" w:rsidRPr="00C81795"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C8179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C81795" w:rsidRDefault="004C4E44" w:rsidP="00ED3F8B">
      <w:pPr>
        <w:keepNext/>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Atsižvelgiant į taip gautą reitingą, teikiant indeksą rodomi šie spalvų kodai:</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1) reitingas nuo 0 iki 1,9: raudona „Pantone 186 C“;</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2) reitingas nuo 2 iki 3,9: oranžinė „Pantone 1.585“;</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3) reitingas nuo 4 iki 5,9: geltona „Pantone 7.548 C“;</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4) reitingas nuo 6 iki 7,9: šviesiai žalia „Pantone 2.291“;</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5) reitingas nuo 8 iki 10</w:t>
      </w:r>
      <w:r w:rsidR="003163B3" w:rsidRPr="00C81795">
        <w:rPr>
          <w:rFonts w:ascii="Times New Roman" w:hAnsi="Times New Roman"/>
          <w:sz w:val="24"/>
        </w:rPr>
        <w:t>: tamsiai žalia „Pantone 347 C“.</w:t>
      </w: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Privalomi taisomumo indekso rodymo ženklai yra grafinis vaizdas su užrašu „Taisomumo indeksas“ (</w:t>
      </w:r>
      <w:r w:rsidRPr="00C81795">
        <w:rPr>
          <w:rFonts w:ascii="Times New Roman" w:hAnsi="Times New Roman"/>
          <w:i/>
          <w:iCs/>
          <w:sz w:val="24"/>
        </w:rPr>
        <w:t>Indice de réparabilité</w:t>
      </w:r>
      <w:r w:rsidRPr="00C81795">
        <w:rPr>
          <w:rFonts w:ascii="Times New Roman" w:hAnsi="Times New Roman"/>
          <w:sz w:val="24"/>
        </w:rPr>
        <w:t>) ir apačioje nurodyta piktograma, kurioje pateiktas indekso reitingas.</w:t>
      </w:r>
    </w:p>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Visą tekstą su paveikslais galite peržiūrėti puslapio apačioje esančioje elektroninio Oficialiojo leidinio ištraukoje, kurios autentiškumas buvo patvirtintas.</w:t>
      </w:r>
    </w:p>
    <w:p w:rsidR="00FB0990" w:rsidRPr="00C81795" w:rsidRDefault="00FB0990" w:rsidP="00ED3F8B">
      <w:pPr>
        <w:spacing w:after="0" w:line="240" w:lineRule="auto"/>
        <w:ind w:left="450"/>
        <w:rPr>
          <w:rFonts w:ascii="Times New Roman" w:eastAsia="Times New Roman" w:hAnsi="Times New Roman" w:cs="Times New Roman"/>
          <w:sz w:val="24"/>
          <w:szCs w:val="24"/>
          <w:lang w:eastAsia="fr-FR"/>
        </w:rPr>
      </w:pPr>
    </w:p>
    <w:p w:rsidR="003D645A" w:rsidRPr="00C81795" w:rsidRDefault="003D645A" w:rsidP="00ED3F8B">
      <w:pPr>
        <w:spacing w:after="0" w:line="240" w:lineRule="auto"/>
        <w:ind w:left="450"/>
        <w:rPr>
          <w:rFonts w:ascii="Times New Roman" w:eastAsia="Times New Roman" w:hAnsi="Times New Roman" w:cs="Times New Roman"/>
          <w:sz w:val="24"/>
          <w:szCs w:val="24"/>
          <w:lang w:eastAsia="fr-FR"/>
        </w:rPr>
      </w:pP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10 balų skalėje esančio reitingo skaičių simbolių dydis turi būti bent lygiavertis lentynoje pateiktos kainos skaičių simbolių dydžiui. Bet koks šio ženklo dydis turi būti derinamas proporcingai.</w:t>
      </w: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Jei indeksas taip pat teikiamas etiketėje ar ženkle tiesiogiai ant kiekvieno modelio bloko ar pakuotės, grafinio vaizdo dydis turi būti toks, kad indeksas būtų matomas ir įskaitomas.</w:t>
      </w:r>
    </w:p>
    <w:p w:rsidR="00ED3F8B" w:rsidRPr="00C8179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C81795" w:rsidRDefault="004C4E44" w:rsidP="00A74E8F">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t>4 straipsnis</w:t>
      </w:r>
    </w:p>
    <w:p w:rsidR="00FB0990" w:rsidRPr="00C81795"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C8179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Kiekvienas papildomas indekso kriterijus pažymimas dešimties balų skalėje ir jam priskiriamas koeficientas, iš kurio galima sudaryti reitingą 20 balų sistemoje kiekvienam kriterijui, kaip nurodyta tolesnėje lentelėje. Kiekvieno kriterijaus reitingo sudėtis esant vienodai svertinei vertei sudaro bendrą dydį iš šimto, kuria remiantis apskaičiuojamas indekso reitingas dešimtbalėje skalėje.</w:t>
      </w: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Parametrai, pagal kuriuos nustatytas kiekvienos įrangos taisomumo indeksas, teikiami ir rodomi tolesnėje lentelėje skaitmeniniu nekeičiamu formatu 21 × 29,7 cm matmenimis.</w:t>
      </w:r>
    </w:p>
    <w:p w:rsidR="004C4E44" w:rsidRPr="00C81795" w:rsidRDefault="004C4E44" w:rsidP="00ED3F8B">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64"/>
        <w:gridCol w:w="2266"/>
        <w:gridCol w:w="1319"/>
        <w:gridCol w:w="1439"/>
        <w:gridCol w:w="1292"/>
        <w:gridCol w:w="1176"/>
      </w:tblGrid>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Kriterijus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Papildomas kriterijus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Papildomo kriterijaus reitingas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Papildomo kriterijaus koeficientas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Kriterijaus reitingas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Kriterijų reitingų bendras dydis</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1. Dokumentai</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1.1. Techninių dokumentų ir dokumentų, kuriuose teikiamos naudojimo ir priežiūros rekomendacijos, prieinamumo trukmė</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▀▀/100</w:t>
            </w:r>
          </w:p>
        </w:tc>
      </w:tr>
      <w:tr w:rsidR="004C4E44" w:rsidRPr="00C8179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2. Galimybė išmontuoti ir prieiga, įrankiai, tvirtinimo detalės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2.1. 2 sąraše pateiktų dalių išmontavimo paprastumas (*)</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2.2. Reikalingi įrankiai (2 sąrašas)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2.3. Tvirtinimo tarp 1 sąraše (**) ir 2 sąraše pateiktų dalių detalių charakteristikos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3. Galimybė gauti atsarginių dalių</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3.1. Galimybė gauti 2 sąraše pateiktų dalių trukmė</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3.2. Galimybė gauti 1 sąraše pateiktų detalių trukmė</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3.3. 2 sąraše pateiktų dalių tiekimo trukmė</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0,3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3.4. 1 sąraše pateiktų dalių tiekimo trukmė</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0,2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4. Atsarginių dalių kaina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4.1. 2 sąrašo dalių kainos ir naujos įrangos kainos santykis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5. Specialus kriterijus</w:t>
            </w: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(3 papildomų kriterijų pavyzdys)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C81795" w:rsidRDefault="004C4E44" w:rsidP="00ED3F8B">
            <w:pPr>
              <w:spacing w:after="0" w:line="240" w:lineRule="auto"/>
              <w:rPr>
                <w:rFonts w:ascii="Times New Roman" w:eastAsia="Times New Roman" w:hAnsi="Times New Roman" w:cs="Times New Roman"/>
                <w:sz w:val="24"/>
                <w:szCs w:val="24"/>
                <w:lang w:eastAsia="fr-FR"/>
              </w:rPr>
            </w:pPr>
          </w:p>
        </w:tc>
      </w:tr>
      <w:tr w:rsidR="004C4E44" w:rsidRPr="00C81795" w:rsidTr="004C4E44">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right"/>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right"/>
              <w:rPr>
                <w:rFonts w:ascii="Times New Roman" w:eastAsia="Times New Roman" w:hAnsi="Times New Roman" w:cs="Times New Roman"/>
                <w:sz w:val="24"/>
                <w:szCs w:val="24"/>
              </w:rPr>
            </w:pPr>
            <w:r w:rsidRPr="00C81795">
              <w:rPr>
                <w:rFonts w:ascii="Times New Roman" w:hAnsi="Times New Roman"/>
                <w:sz w:val="24"/>
              </w:rPr>
              <w:t>Indekso reitingas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C81795" w:rsidRDefault="004C4E44" w:rsidP="00ED3F8B">
            <w:pPr>
              <w:spacing w:after="0" w:line="240" w:lineRule="auto"/>
              <w:jc w:val="center"/>
              <w:rPr>
                <w:rFonts w:ascii="Times New Roman" w:eastAsia="Times New Roman" w:hAnsi="Times New Roman" w:cs="Times New Roman"/>
                <w:sz w:val="24"/>
                <w:szCs w:val="24"/>
              </w:rPr>
            </w:pPr>
            <w:r w:rsidRPr="00C81795">
              <w:rPr>
                <w:rFonts w:ascii="Times New Roman" w:hAnsi="Times New Roman"/>
                <w:sz w:val="24"/>
              </w:rPr>
              <w:t>▀▀/10</w:t>
            </w:r>
          </w:p>
        </w:tc>
      </w:tr>
      <w:tr w:rsidR="004C4E44" w:rsidRPr="00C81795" w:rsidTr="004C4E44">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 2 sąrašas: ne daugiau kaip 3–5 atsarginių dalių (atsižvelgiant į atitinkamos įrangos kategoriją), kurios dažniausiai lūžta ar sugenda, sąrašas;</w:t>
            </w: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 1 sąrašas: kitų ne daugiau kaip 10 atsarginių dalių (atsižvelgiant į atitinkamos įrangos kategoriją), kurių tinkama būklė yra svarbi įrenginio veikimui, sąrašas.</w:t>
            </w:r>
          </w:p>
        </w:tc>
      </w:tr>
    </w:tbl>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lang w:eastAsia="fr-FR"/>
        </w:rPr>
      </w:pP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lastRenderedPageBreak/>
        <w:t>Vieno kriterijaus papildomų kriterijų koeficientų suma lygi 2.</w:t>
      </w: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Išsamios vertinimo lentelės, taikomos kiekvienai įrangos kategorijai, kuriose pateikiamas dalių sąrašas ir kiekvieno papildomo kriterijaus išsamūs duomenys, nustatomos nutarimu.</w:t>
      </w:r>
    </w:p>
    <w:p w:rsidR="00ED3F8B" w:rsidRPr="00C8179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C81795" w:rsidRDefault="004C4E44" w:rsidP="00A74E8F">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t>5 straipsnis</w:t>
      </w:r>
    </w:p>
    <w:p w:rsidR="00FB0990" w:rsidRPr="00C81795" w:rsidRDefault="00FB0990" w:rsidP="00A74E8F">
      <w:pPr>
        <w:keepNext/>
        <w:spacing w:after="0" w:line="240" w:lineRule="auto"/>
        <w:ind w:left="446"/>
        <w:rPr>
          <w:rFonts w:ascii="Times New Roman" w:eastAsia="Times New Roman" w:hAnsi="Times New Roman" w:cs="Times New Roman"/>
          <w:sz w:val="24"/>
          <w:szCs w:val="24"/>
          <w:lang w:eastAsia="fr-FR"/>
        </w:rPr>
      </w:pPr>
    </w:p>
    <w:p w:rsidR="00ED3F8B" w:rsidRPr="00C81795" w:rsidRDefault="00ED3F8B" w:rsidP="00A74E8F">
      <w:pPr>
        <w:keepNext/>
        <w:spacing w:after="0" w:line="240" w:lineRule="auto"/>
        <w:ind w:left="446"/>
        <w:rPr>
          <w:rFonts w:ascii="Times New Roman" w:eastAsia="Times New Roman" w:hAnsi="Times New Roman" w:cs="Times New Roman"/>
          <w:sz w:val="24"/>
          <w:szCs w:val="24"/>
          <w:lang w:eastAsia="fr-FR"/>
        </w:rPr>
      </w:pP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1 kriterijus. Dokumentai:</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1.1 papildomas kriterijus: Techninių dokumentų ir dokumentų, kuriuose teikiamos naudojimo ir priežiūros rekomendacijos, prieinamumo trukmė:</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įvertinus, kiek ilgai (metų skaičiumi) nuo paskutinio vieneto pateikimo rinkai gamintojas yra įsipareigojęs nemokamai teikti techninius dokumentus patvirtintiems ir nepriklausomiems remontininkams bei vartotojams, taip pat dokumentus, susijusius su naudojimo ir priežiūros patarimais vartotojams.</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2 kriterijus. Galimybė išmontuoti ir prieiga, įrankiai, tvirtinimo detalės:</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2.1 papildomas kriterijus. 2 sąraše pateiktų dalių išmontavimo paprastumas:</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atsižvelgiant į tai, kiek etapų atliekant išmontavimo darbus reikia kiekvienai 2</w:t>
      </w:r>
      <w:r w:rsidR="003163B3" w:rsidRPr="00C81795">
        <w:rPr>
          <w:rFonts w:ascii="Times New Roman" w:hAnsi="Times New Roman"/>
          <w:sz w:val="24"/>
        </w:rPr>
        <w:t> </w:t>
      </w:r>
      <w:r w:rsidRPr="00C81795">
        <w:rPr>
          <w:rFonts w:ascii="Times New Roman" w:hAnsi="Times New Roman"/>
          <w:sz w:val="24"/>
        </w:rPr>
        <w:t>sąrašo daliai, kad būtų galima ją pasiekti individualiai ir atskirti nuo įrangos norint ją pakeisti. Jei kuri nors dalis nėra išmontuojama, tarp šio papildomo kriterijaus ir 3.1</w:t>
      </w:r>
      <w:r w:rsidR="003163B3" w:rsidRPr="00C81795">
        <w:rPr>
          <w:rFonts w:ascii="Times New Roman" w:hAnsi="Times New Roman"/>
          <w:sz w:val="24"/>
        </w:rPr>
        <w:t> </w:t>
      </w:r>
      <w:r w:rsidRPr="00C81795">
        <w:rPr>
          <w:rFonts w:ascii="Times New Roman" w:hAnsi="Times New Roman"/>
          <w:sz w:val="24"/>
        </w:rPr>
        <w:t>papildomo kriterijaus žymėjimo sudaroma sąsaja: reitingas „0“ tuomet perkeliamas iš vieno kriterijaus į kitą.</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2.2 papildomas kriterijus. Reikalingi įrankiai:</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atsižvelgiant į įrankių, kurių reikia norint išmontuoti kiekvieną 2 sąraše nurodytą dalį, tipą – „bendri“, „</w:t>
      </w:r>
      <w:r w:rsidR="003163B3" w:rsidRPr="00C81795">
        <w:rPr>
          <w:rFonts w:ascii="Times New Roman" w:hAnsi="Times New Roman"/>
          <w:sz w:val="24"/>
        </w:rPr>
        <w:t>konkretūs</w:t>
      </w:r>
      <w:r w:rsidRPr="00C81795">
        <w:rPr>
          <w:rFonts w:ascii="Times New Roman" w:hAnsi="Times New Roman"/>
          <w:sz w:val="24"/>
        </w:rPr>
        <w:t>“ ar „nuosavybiniai“.</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2.3 papildomas kriterijus. Tvirtinimo detalių charakteristikos:</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kiekvienai 1 ir 2 sąrašo daliai, atsižvelgiant į tvirtinimo detalių, kuriomis užtikrinamas jų derinimas su kitomis įrangos dalimis, tipą: „nuimamos ir pakartotinai naudojamos“, „nuimamos ir pakartotinai nenaudojamos“ arba „nenuimamos ir pakartotinai nenaudojamos“.</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3 kriterijus. Galimybė gauti atsarginių dalių:</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3.1 papildomas kriterijus. Galimybės gauti 2 sąrašo dalių trukmė:</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įvertinus, kiek ilgai (metų skaičiumi) nuo paskutinio vieneto pateikimo rinkai gamintojas yra įsipareigojęs teikti 2 sąraše nurodytas atsargines dalis platintojams, patvirtintiems ir remontininkams bei vartotojams.</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3.2 papildomas kriterijus. Galimybės gauti 1 sąrašo dalių trukmė:</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įvertinus, kiek ilgai (metų skaičiumi) nuo paskutinio vieneto pateikimo rinkai gamintojas yra įsipareigojęs teikti 1 sąraše nurodytas atsargines dalis platintojams, patvirtintiems ir remontininkams bei vartotojams.</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3.3 papildomas kriterijus. 2 sąraše pateiktų dalių tiekimo trukmė:</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atsižvelgiant į gamintojo įsipareigojimą laikytis tiekimo termino. Reiškiama darbo dienomis nuo 2 sąrašo dalių užsakymo, kurį pateikė atsarginių dalių platintojai, patvirtinti ir nepriklausomi remontininkai bei vartotojai, dienos.</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3.4 papildomas kriterijus. 1 sąraše pateiktų dalių tiekimo trukmė:</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Nustatoma atsižvelgiant į gamintojo įsipareigojimą laikytis tiekimo termino. Reiškiama darbo dienomis nuo 1 sąrašo dalių užsakymo, kurį pateikė atsarginių dalių platintojai, patvirtinti ir nepriklausomi remontininkai bei vartotojai, dienos.</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lastRenderedPageBreak/>
        <w:t>4 kriterijus. Atsarginių dalių kaina:</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 xml:space="preserve">4.1 papildomas kriterijus. Santykis tarp gamintojo ar importuotojo parduodamų dalių kainos ir gamintojo ar importuotojo įrangos pardavimo kainos. </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Kriterijus nustatomas pagal tokį santykį:</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tarp šių dydžių:</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2 sąrašo brangiausios dalies kainos be mokesčių + (kitų 2 sąrašo dalių kainų be mokesčių vidurkis)/2</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ir</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atitinkamos įrangos modelio kainos be mokesčių,</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kai kiekviena kaina yra suprantama kaip kaina be mokesčių pagal tarifų skalę, galiojančią indekso skaičiavimo momentu ir pateiktą bendrosiose gamintojo ar importuotojo pardavimo sąlygose arba, jei jų nėra, bet kokiame atitinkamame sutartiniame dokumente.</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Jei gamintojas arba importuotojas atitinkamoms dalims ar įrangai taiko kelias tarifų skales skirtingoms klientų (platintojų ar pardavėjų) kategorijoms, kainos, taikomos apskaičiuojant indeksą, imamos iš tos tarifų skalės, kuri atitinka didžiausią gamintojo ar importuotojo tų dalių ar įrangos apyvartą paskutiniais užbaigtais finansiniais metais. Jei rinkai pateiktos naujos įrangos ar dalių tarifų skalės skiriasi, naudojama tarifų skalė, kurios kainos yra mažiausios.</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Jei kai kurios iš šių dalių yra neatskiriamos arba jei tikslinė dalis yra integruota į modulį, kuris yra vienintelis galimas, taikoma kaina yra bendra dalių kaina arba modulio kaina.</w:t>
      </w: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5 kriterijus. Atitinkamai įrangos kategorijai taikomas konkretus kriterijus:</w:t>
      </w:r>
    </w:p>
    <w:p w:rsidR="004C4E44"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Šį kriterijų sudaro vienas ar keli papildomi kriterijai, būdingi atitinkamos įrangos kategorijai. Jei tai aktualu atitinkamos kategorijos įrangai, 5 kriterijus, būdingas tik tai kategorijai, apima papildomą kriterijų, susijusį su tuo, ar įrengtas vartotojui matomas naudojimo skaitiklis. Tokiu atveju šio kriterijaus koeficientas yra ne mažesnis kaip 1.</w:t>
      </w:r>
    </w:p>
    <w:p w:rsidR="00ED3F8B" w:rsidRPr="00C8179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Pr="00C81795" w:rsidRDefault="004C4E44" w:rsidP="00A74E8F">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t>6 straipsnis</w:t>
      </w:r>
    </w:p>
    <w:p w:rsidR="00234310" w:rsidRPr="00C81795" w:rsidRDefault="00234310"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ED3F8B" w:rsidRPr="00C8179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C81795" w:rsidRDefault="004C4E44" w:rsidP="00A74E8F">
      <w:pPr>
        <w:keepNext/>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I. Dalių sąrašai</w:t>
      </w:r>
    </w:p>
    <w:p w:rsidR="004C4E44" w:rsidRPr="00C81795" w:rsidRDefault="004C4E44" w:rsidP="00A74E8F">
      <w:pPr>
        <w:keepNext/>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Kiekvienos kategorijos įrangai sudaromi du dalių sąrašai:</w:t>
      </w:r>
    </w:p>
    <w:p w:rsidR="00FB0990" w:rsidRPr="00C81795"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C8179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 2 sąrašas: ne daugiau kaip 3–5 atsarginių dalių (atsižvelgiant į atitinkamos įrangos kategoriją), kurios dažniausiai lūžta ar sugenda, sąrašas;</w:t>
      </w: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 1 sąrašas: kitų ne daugiau kaip 10 atsarginių dalių (atsižvelgiant į atitinkamos įrangos kategoriją), kurių tinkama būklė yra svarbi įrangos veikimui, sąrašas.</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Šie sąrašai nebūtinai apima visas įrangą sudarančias dalis.</w:t>
      </w:r>
    </w:p>
    <w:p w:rsidR="00FB0990" w:rsidRPr="00C81795" w:rsidRDefault="004C4E44" w:rsidP="00A74E8F">
      <w:pPr>
        <w:keepNext/>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II. Etapo sąvoka</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Etapas yra veiksmas, kurį užbaigus nuimamas komponentas arba dalis arba pakeičiamas įrankis. Komponentą gali sudaryti viena ar kelios dalys.</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Nuo šios bendros apibrėžties galima pagrįstu atveju nukrypti dėl praktinių ar saugumo priežasčių. Šios išimtys nustatomos už aplinką atsakingo ministro bei už ekonomiką ir finansus atsakingo ministro nutarimu kiekvienai įrangos kategorijai.</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 xml:space="preserve">Tvirtinimo detalės ar jungtys apibrėžiamos kaip surinkimo, tvirtinimo ar sandarinimo technika. Tvirtinimo ar jungimo elementai dalimis nelaikomi. </w:t>
      </w:r>
    </w:p>
    <w:p w:rsidR="00FB0990" w:rsidRPr="00C81795" w:rsidRDefault="004C4E44" w:rsidP="00A74E8F">
      <w:pPr>
        <w:keepNext/>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III. Tvirtinimo detalių tipai</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Nuimamos ir pakartotinai naudojamos: originali tvirtinimo detalių sistema, kurią galima visiškai išimti nepadarant žalos įrangai ir nepaliekant likučių bei kurią galima pakartotinai panaudoti.</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lastRenderedPageBreak/>
        <w:t>Nuimamos ir pakartotinai nenaudojamos: originali tvirtinimo detalių sistema, kurią galima visiškai išimti nepadarant žalos įrangai ir nepaliekant likučių, tačiau kurios pakartotinai panaudoti negalima.</w:t>
      </w:r>
    </w:p>
    <w:p w:rsidR="00FB0990"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Nenuimamos ir pakartotinai nenaudojamos: originali tvirtinimo detalių sistema, kurios negalima visiškai išimti nepadarant žalos įrangai ir nepaliekant likučių bei negalima pakartotinai panaudoti.</w:t>
      </w:r>
    </w:p>
    <w:p w:rsidR="00FB0990" w:rsidRPr="00C81795" w:rsidRDefault="004C4E44" w:rsidP="00A74E8F">
      <w:pPr>
        <w:keepNext/>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IV. Įrankių tipai</w:t>
      </w:r>
    </w:p>
    <w:p w:rsidR="004C4E44" w:rsidRPr="00C81795" w:rsidRDefault="004C4E44" w:rsidP="00A74E8F">
      <w:pPr>
        <w:keepNext/>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Bendrųjų įrankių sąrašas pateiktas toliau su atskaitos standartais:</w:t>
      </w:r>
    </w:p>
    <w:p w:rsidR="004C4E44" w:rsidRPr="00C81795" w:rsidRDefault="004C4E44" w:rsidP="00A74E8F">
      <w:pPr>
        <w:keepNext/>
        <w:spacing w:after="0" w:line="240" w:lineRule="auto"/>
        <w:rPr>
          <w:rFonts w:ascii="Times New Roman" w:eastAsia="Times New Roman" w:hAnsi="Times New Roman" w:cs="Times New Roman"/>
          <w:sz w:val="24"/>
          <w:szCs w:val="24"/>
          <w:lang w:eastAsia="fr-FR"/>
        </w:rPr>
      </w:pPr>
    </w:p>
    <w:p w:rsidR="00ED3F8B" w:rsidRPr="00C81795" w:rsidRDefault="00ED3F8B" w:rsidP="00A74E8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85"/>
        <w:gridCol w:w="2471"/>
      </w:tblGrid>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Bendrieji įrankiai</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C81795" w:rsidRDefault="004C4E44" w:rsidP="00A74E8F">
            <w:pPr>
              <w:keepNext/>
              <w:spacing w:after="0" w:line="240" w:lineRule="auto"/>
              <w:jc w:val="center"/>
              <w:rPr>
                <w:rFonts w:ascii="Times New Roman" w:eastAsia="Times New Roman" w:hAnsi="Times New Roman" w:cs="Times New Roman"/>
                <w:b/>
                <w:bCs/>
                <w:sz w:val="24"/>
                <w:szCs w:val="24"/>
              </w:rPr>
            </w:pPr>
            <w:r w:rsidRPr="00C81795">
              <w:rPr>
                <w:rFonts w:ascii="Times New Roman" w:hAnsi="Times New Roman"/>
                <w:b/>
                <w:sz w:val="24"/>
              </w:rPr>
              <w:t>Nuoroda</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Atsuktuvas su įpjauta galvute, kryžminiu antgaliu ir antgaliu su šešiomis vidinėmis išpjovomis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2380, ISO 8764, ISO 10664</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Savisriegis šešiabriaune galvute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2936</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Mišrus veržliaraktis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7738</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Universalios žnyplės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5746</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Replės pusapvaliais galais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5745</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Šoninio kirpimo žnyplės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5749</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Replės su keliomis rankenomis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8976</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Spaudžiamosios replės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Universalios replės terminalams trumpinti ir tvirtinti</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Rankena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Žnyplės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Plaktukas (su metaline galvute)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ISO 15601</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Universalus peilis (</w:t>
            </w:r>
            <w:r w:rsidRPr="00C81795">
              <w:rPr>
                <w:rFonts w:ascii="Times New Roman" w:hAnsi="Times New Roman"/>
                <w:i/>
                <w:sz w:val="24"/>
              </w:rPr>
              <w:t>cutter</w:t>
            </w:r>
            <w:r w:rsidRPr="00C81795">
              <w:rPr>
                <w:rFonts w:ascii="Times New Roman" w:hAnsi="Times New Roman"/>
                <w:sz w:val="24"/>
              </w:rPr>
              <w:t>) su įtraukiamu ašmeniu</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Multimetras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Votmetras (įtampos tikrintuvas)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Lituoklis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Klijų purškiklis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r w:rsidR="004C4E44" w:rsidRPr="00C8179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Lupa</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w:t>
            </w:r>
          </w:p>
        </w:tc>
      </w:tr>
    </w:tbl>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lang w:eastAsia="fr-FR"/>
        </w:rPr>
      </w:pPr>
    </w:p>
    <w:p w:rsidR="00FB0990" w:rsidRPr="00C81795" w:rsidRDefault="003163B3"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Konkret</w:t>
      </w:r>
      <w:r w:rsidRPr="00C81795">
        <w:rPr>
          <w:rFonts w:ascii="Times New Roman" w:eastAsiaTheme="minorEastAsia" w:hAnsi="Times New Roman"/>
          <w:sz w:val="24"/>
          <w:lang w:eastAsia="zh-CN"/>
        </w:rPr>
        <w:t>ūs</w:t>
      </w:r>
      <w:r w:rsidR="004C4E44" w:rsidRPr="00C81795">
        <w:rPr>
          <w:rFonts w:ascii="Times New Roman" w:hAnsi="Times New Roman"/>
          <w:sz w:val="24"/>
        </w:rPr>
        <w:t xml:space="preserve"> įrankiai yra tokie, kurie nepateikti bendrųjų įrankių sąraše, tačiau nėra nuosavybiniai įrankiai.</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Nuosavybiniai įrankiai yra tokie, kurių intelektinė nuosavybė priklauso konkrečiam gamintojui ar veiklos vykdytojui.</w:t>
      </w:r>
    </w:p>
    <w:p w:rsidR="00FB0990"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V. Naudojimo skaitiklis</w:t>
      </w:r>
    </w:p>
    <w:p w:rsidR="004C4E44" w:rsidRPr="00C81795" w:rsidRDefault="004C4E44" w:rsidP="00ED3F8B">
      <w:pPr>
        <w:spacing w:after="0" w:line="240" w:lineRule="auto"/>
        <w:ind w:left="446"/>
        <w:rPr>
          <w:rFonts w:ascii="Times New Roman" w:eastAsia="Times New Roman" w:hAnsi="Times New Roman" w:cs="Times New Roman"/>
          <w:sz w:val="24"/>
          <w:szCs w:val="24"/>
        </w:rPr>
      </w:pPr>
      <w:r w:rsidRPr="00C81795">
        <w:rPr>
          <w:rFonts w:ascii="Times New Roman" w:hAnsi="Times New Roman"/>
          <w:sz w:val="24"/>
        </w:rPr>
        <w:t>Prietaisas, registruojantis bendrą įrangos naudojimą vienetų skaičiumi. Naudojimo skaitiklis gali būti tiesiogiai matomas vartotojui kiekvieną kartą paleidžiant prietaisą arba naudotojui gali prireikti atlikti sąmoningą veiksmą, kad jis sužinotų naudojimo skaitiklyje rodomą vertę.</w:t>
      </w:r>
    </w:p>
    <w:p w:rsidR="00ED3F8B" w:rsidRPr="00C8179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Pr="00C81795" w:rsidRDefault="004C4E44" w:rsidP="00A74E8F">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t>7 straipsnis</w:t>
      </w:r>
    </w:p>
    <w:p w:rsidR="00ED3F8B" w:rsidRPr="00C8179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C81795" w:rsidRDefault="00FB0990" w:rsidP="00A74E8F">
      <w:pPr>
        <w:keepNext/>
        <w:spacing w:after="0" w:line="240" w:lineRule="auto"/>
        <w:ind w:left="450"/>
        <w:rPr>
          <w:rFonts w:ascii="Times New Roman" w:eastAsia="Times New Roman" w:hAnsi="Times New Roman" w:cs="Times New Roman"/>
          <w:sz w:val="24"/>
          <w:szCs w:val="24"/>
          <w:lang w:eastAsia="fr-FR"/>
        </w:rPr>
      </w:pP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Šio nutarimo nuostatos įsigalioja 2021 m. sausio 1 d.</w:t>
      </w:r>
    </w:p>
    <w:p w:rsidR="00ED3F8B" w:rsidRPr="00C8179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C81795" w:rsidRDefault="004C4E44" w:rsidP="00A74E8F">
      <w:pPr>
        <w:keepNext/>
        <w:spacing w:after="0" w:line="240" w:lineRule="auto"/>
        <w:ind w:left="446"/>
        <w:outlineLvl w:val="3"/>
        <w:rPr>
          <w:rFonts w:ascii="Times New Roman" w:eastAsia="Times New Roman" w:hAnsi="Times New Roman" w:cs="Times New Roman"/>
          <w:b/>
          <w:bCs/>
          <w:sz w:val="24"/>
          <w:szCs w:val="24"/>
        </w:rPr>
      </w:pPr>
      <w:r w:rsidRPr="00C81795">
        <w:rPr>
          <w:rFonts w:ascii="Times New Roman" w:hAnsi="Times New Roman"/>
          <w:b/>
          <w:sz w:val="24"/>
        </w:rPr>
        <w:t>8 straipsnis</w:t>
      </w:r>
    </w:p>
    <w:p w:rsidR="00FB0990" w:rsidRPr="00C81795"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C81795" w:rsidRDefault="00ED3F8B" w:rsidP="00A74E8F">
      <w:pPr>
        <w:keepNext/>
        <w:spacing w:after="0" w:line="240" w:lineRule="auto"/>
        <w:ind w:left="450"/>
        <w:rPr>
          <w:rFonts w:ascii="Times New Roman" w:eastAsia="Times New Roman" w:hAnsi="Times New Roman" w:cs="Times New Roman"/>
          <w:sz w:val="24"/>
          <w:szCs w:val="24"/>
          <w:lang w:eastAsia="fr-FR"/>
        </w:rPr>
      </w:pPr>
    </w:p>
    <w:p w:rsidR="004C4E44" w:rsidRPr="00C81795" w:rsidRDefault="004C4E44" w:rsidP="00ED3F8B">
      <w:pPr>
        <w:spacing w:after="0" w:line="240" w:lineRule="auto"/>
        <w:ind w:left="450"/>
        <w:rPr>
          <w:rFonts w:ascii="Times New Roman" w:eastAsia="Times New Roman" w:hAnsi="Times New Roman" w:cs="Times New Roman"/>
          <w:sz w:val="24"/>
          <w:szCs w:val="24"/>
        </w:rPr>
      </w:pPr>
      <w:r w:rsidRPr="00C81795">
        <w:rPr>
          <w:rFonts w:ascii="Times New Roman" w:hAnsi="Times New Roman"/>
          <w:sz w:val="24"/>
        </w:rPr>
        <w:t>Šis nutarimas bus paskelbtas Prancūzijos Respublikos oficialiajame leidinyje.</w:t>
      </w:r>
    </w:p>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F23DB7" w:rsidRPr="00C81795" w:rsidRDefault="00F23DB7" w:rsidP="00ED3F8B">
      <w:pPr>
        <w:spacing w:after="0" w:line="240" w:lineRule="auto"/>
        <w:rPr>
          <w:rFonts w:ascii="Times New Roman" w:eastAsia="Times New Roman" w:hAnsi="Times New Roman" w:cs="Times New Roman"/>
          <w:sz w:val="24"/>
          <w:szCs w:val="24"/>
          <w:lang w:eastAsia="fr-FR"/>
        </w:rPr>
      </w:pP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Parengta 2020 m. gruodžio 29 d.</w:t>
      </w:r>
    </w:p>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Perėjimo prie ekologiškos ekonomikos ministrė</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Ministrės vardu ir įgaliojimu:</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Generalinis tvaraus vystymosi komis</w:t>
      </w:r>
      <w:bookmarkStart w:id="0" w:name="_GoBack"/>
      <w:bookmarkEnd w:id="0"/>
      <w:r w:rsidRPr="00C81795">
        <w:rPr>
          <w:rFonts w:ascii="Times New Roman" w:hAnsi="Times New Roman"/>
          <w:sz w:val="24"/>
        </w:rPr>
        <w:t>aras</w:t>
      </w: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T. Lesueur</w:t>
      </w:r>
    </w:p>
    <w:p w:rsidR="00FB0990" w:rsidRPr="00C81795" w:rsidRDefault="00FB0990" w:rsidP="00ED3F8B">
      <w:pPr>
        <w:spacing w:after="0" w:line="240" w:lineRule="auto"/>
        <w:rPr>
          <w:rFonts w:ascii="Times New Roman" w:eastAsia="Times New Roman" w:hAnsi="Times New Roman" w:cs="Times New Roman"/>
          <w:sz w:val="24"/>
          <w:szCs w:val="24"/>
          <w:lang w:eastAsia="fr-FR"/>
        </w:rPr>
      </w:pPr>
    </w:p>
    <w:p w:rsidR="00ED3F8B" w:rsidRPr="00C81795" w:rsidRDefault="00ED3F8B" w:rsidP="00ED3F8B">
      <w:pPr>
        <w:spacing w:after="0" w:line="240" w:lineRule="auto"/>
        <w:rPr>
          <w:rFonts w:ascii="Times New Roman" w:eastAsia="Times New Roman" w:hAnsi="Times New Roman" w:cs="Times New Roman"/>
          <w:sz w:val="24"/>
          <w:szCs w:val="24"/>
          <w:lang w:eastAsia="fr-FR"/>
        </w:rPr>
      </w:pP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Ekonomikos, finansų ir ekonomikos atkūrimo ministras,</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Ministro vardu ir įgaliojimu:</w:t>
      </w:r>
    </w:p>
    <w:p w:rsidR="00FB0990"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Konkurencijos, vartotojų reikalų ir kovos su sukčiavimu generalinė direktorė</w:t>
      </w:r>
    </w:p>
    <w:p w:rsidR="004C4E44" w:rsidRPr="00C81795" w:rsidRDefault="004C4E44" w:rsidP="00ED3F8B">
      <w:pPr>
        <w:spacing w:after="0" w:line="240" w:lineRule="auto"/>
        <w:rPr>
          <w:rFonts w:ascii="Times New Roman" w:eastAsia="Times New Roman" w:hAnsi="Times New Roman" w:cs="Times New Roman"/>
          <w:sz w:val="24"/>
          <w:szCs w:val="24"/>
        </w:rPr>
      </w:pPr>
      <w:r w:rsidRPr="00C81795">
        <w:rPr>
          <w:rFonts w:ascii="Times New Roman" w:hAnsi="Times New Roman"/>
          <w:sz w:val="24"/>
        </w:rPr>
        <w:t>V. Beaumeunier</w:t>
      </w:r>
    </w:p>
    <w:sectPr w:rsidR="004C4E44" w:rsidRPr="00C817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395" w:rsidRDefault="00AD2395" w:rsidP="00573A33">
      <w:pPr>
        <w:spacing w:after="0" w:line="240" w:lineRule="auto"/>
      </w:pPr>
      <w:r>
        <w:separator/>
      </w:r>
    </w:p>
  </w:endnote>
  <w:endnote w:type="continuationSeparator" w:id="0">
    <w:p w:rsidR="00AD2395" w:rsidRDefault="00AD2395" w:rsidP="0057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395" w:rsidRDefault="00AD2395" w:rsidP="00573A33">
      <w:pPr>
        <w:spacing w:after="0" w:line="240" w:lineRule="auto"/>
      </w:pPr>
      <w:r>
        <w:separator/>
      </w:r>
    </w:p>
  </w:footnote>
  <w:footnote w:type="continuationSeparator" w:id="0">
    <w:p w:rsidR="00AD2395" w:rsidRDefault="00AD2395" w:rsidP="00573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E44"/>
    <w:rsid w:val="00000018"/>
    <w:rsid w:val="000B7DA7"/>
    <w:rsid w:val="000F132F"/>
    <w:rsid w:val="00192BA8"/>
    <w:rsid w:val="00234310"/>
    <w:rsid w:val="003163B3"/>
    <w:rsid w:val="003D645A"/>
    <w:rsid w:val="004C4E44"/>
    <w:rsid w:val="004D0FF9"/>
    <w:rsid w:val="00573A33"/>
    <w:rsid w:val="009318CB"/>
    <w:rsid w:val="00970505"/>
    <w:rsid w:val="00A74E8F"/>
    <w:rsid w:val="00AD2395"/>
    <w:rsid w:val="00C81795"/>
    <w:rsid w:val="00E53DB4"/>
    <w:rsid w:val="00ED3F8B"/>
    <w:rsid w:val="00F23DB7"/>
    <w:rsid w:val="00FB099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A3F75DC-D5BD-40CC-AF8C-05B6F9D8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A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3A33"/>
  </w:style>
  <w:style w:type="paragraph" w:styleId="Footer">
    <w:name w:val="footer"/>
    <w:basedOn w:val="Normal"/>
    <w:link w:val="FooterChar"/>
    <w:uiPriority w:val="99"/>
    <w:unhideWhenUsed/>
    <w:rsid w:val="00573A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181901">
      <w:bodyDiv w:val="1"/>
      <w:marLeft w:val="0"/>
      <w:marRight w:val="0"/>
      <w:marTop w:val="0"/>
      <w:marBottom w:val="0"/>
      <w:divBdr>
        <w:top w:val="none" w:sz="0" w:space="0" w:color="auto"/>
        <w:left w:val="none" w:sz="0" w:space="0" w:color="auto"/>
        <w:bottom w:val="none" w:sz="0" w:space="0" w:color="auto"/>
        <w:right w:val="none" w:sz="0" w:space="0" w:color="auto"/>
      </w:divBdr>
    </w:div>
    <w:div w:id="1511601776">
      <w:bodyDiv w:val="1"/>
      <w:marLeft w:val="0"/>
      <w:marRight w:val="0"/>
      <w:marTop w:val="0"/>
      <w:marBottom w:val="0"/>
      <w:divBdr>
        <w:top w:val="none" w:sz="0" w:space="0" w:color="auto"/>
        <w:left w:val="none" w:sz="0" w:space="0" w:color="auto"/>
        <w:bottom w:val="none" w:sz="0" w:space="0" w:color="auto"/>
        <w:right w:val="none" w:sz="0" w:space="0" w:color="auto"/>
      </w:divBdr>
      <w:divsChild>
        <w:div w:id="451559851">
          <w:marLeft w:val="0"/>
          <w:marRight w:val="0"/>
          <w:marTop w:val="0"/>
          <w:marBottom w:val="0"/>
          <w:divBdr>
            <w:top w:val="none" w:sz="0" w:space="0" w:color="auto"/>
            <w:left w:val="none" w:sz="0" w:space="0" w:color="auto"/>
            <w:bottom w:val="none" w:sz="0" w:space="0" w:color="auto"/>
            <w:right w:val="none" w:sz="0" w:space="0" w:color="auto"/>
          </w:divBdr>
          <w:divsChild>
            <w:div w:id="1274484901">
              <w:marLeft w:val="0"/>
              <w:marRight w:val="0"/>
              <w:marTop w:val="0"/>
              <w:marBottom w:val="0"/>
              <w:divBdr>
                <w:top w:val="none" w:sz="0" w:space="0" w:color="auto"/>
                <w:left w:val="none" w:sz="0" w:space="0" w:color="auto"/>
                <w:bottom w:val="none" w:sz="0" w:space="0" w:color="auto"/>
                <w:right w:val="none" w:sz="0" w:space="0" w:color="auto"/>
              </w:divBdr>
            </w:div>
            <w:div w:id="5002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8163B9-A96E-47B1-A99C-A07EEA6B7E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F48440-920E-419E-BB95-26E6CD8A2035}">
  <ds:schemaRefs>
    <ds:schemaRef ds:uri="http://schemas.microsoft.com/sharepoint/v3/contenttype/forms"/>
  </ds:schemaRefs>
</ds:datastoreItem>
</file>

<file path=customXml/itemProps3.xml><?xml version="1.0" encoding="utf-8"?>
<ds:datastoreItem xmlns:ds="http://schemas.openxmlformats.org/officeDocument/2006/customXml" ds:itemID="{38D68643-B4E1-4B98-94AC-E3F669A9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2007</Words>
  <Characters>11444</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GRYBAUSKAITE, Laura</cp:lastModifiedBy>
  <cp:revision>12</cp:revision>
  <dcterms:created xsi:type="dcterms:W3CDTF">2021-01-04T15:30:00Z</dcterms:created>
  <dcterms:modified xsi:type="dcterms:W3CDTF">2021-02-15T11:45:00Z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