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3047"/>
      </w:tblGrid>
      <w:tr w:rsidR="00043CB1" w:rsidRPr="00043CB1" w14:paraId="2A53A754" w14:textId="77777777" w:rsidTr="00CF0BC5">
        <w:trPr>
          <w:trHeight w:val="426"/>
        </w:trPr>
        <w:tc>
          <w:tcPr>
            <w:tcW w:w="3047" w:type="dxa"/>
            <w:vAlign w:val="center"/>
          </w:tcPr>
          <w:p w14:paraId="6444468E" w14:textId="77777777" w:rsidR="0047258D" w:rsidRPr="00043CB1" w:rsidRDefault="0047258D" w:rsidP="00700DB8">
            <w:pPr>
              <w:pStyle w:val="Textonotapie"/>
              <w:framePr w:hSpace="141" w:wrap="around" w:vAnchor="text" w:hAnchor="text" w:x="1131" w:y="1"/>
              <w:tabs>
                <w:tab w:val="left" w:pos="1021"/>
                <w:tab w:val="left" w:pos="8080"/>
              </w:tabs>
              <w:spacing w:before="0"/>
              <w:rPr>
                <w:color w:val="FF0000"/>
                <w:lang w:val="es-ES"/>
              </w:rPr>
            </w:pPr>
            <w:bookmarkStart w:id="0" w:name="_GoBack"/>
            <w:bookmarkEnd w:id="0"/>
          </w:p>
        </w:tc>
      </w:tr>
      <w:tr w:rsidR="00043CB1" w:rsidRPr="00043CB1" w14:paraId="4F649594" w14:textId="77777777" w:rsidTr="00CF0BC5">
        <w:trPr>
          <w:trHeight w:val="690"/>
        </w:trPr>
        <w:tc>
          <w:tcPr>
            <w:tcW w:w="3047" w:type="dxa"/>
            <w:vAlign w:val="center"/>
          </w:tcPr>
          <w:p w14:paraId="66471103" w14:textId="77777777" w:rsidR="0047258D" w:rsidRPr="00043CB1" w:rsidRDefault="0047258D" w:rsidP="00413042">
            <w:pPr>
              <w:pStyle w:val="Textonotapie"/>
              <w:framePr w:hSpace="141" w:wrap="around" w:vAnchor="text" w:hAnchor="text" w:x="1131" w:y="1"/>
              <w:tabs>
                <w:tab w:val="left" w:pos="1021"/>
                <w:tab w:val="left" w:pos="8080"/>
              </w:tabs>
              <w:spacing w:before="0"/>
              <w:jc w:val="left"/>
              <w:rPr>
                <w:rFonts w:ascii="Gill Sans MT" w:hAnsi="Gill Sans MT"/>
                <w:snapToGrid w:val="0"/>
                <w:sz w:val="18"/>
                <w:lang w:val="es-ES"/>
              </w:rPr>
            </w:pPr>
            <w:r w:rsidRPr="00043CB1">
              <w:rPr>
                <w:rFonts w:ascii="Gill Sans MT" w:hAnsi="Gill Sans MT"/>
                <w:snapToGrid w:val="0"/>
                <w:sz w:val="18"/>
                <w:lang w:val="es-ES"/>
              </w:rPr>
              <w:t>MINISTERIO</w:t>
            </w:r>
            <w:r w:rsidR="00CA23FE" w:rsidRPr="00043CB1">
              <w:rPr>
                <w:rFonts w:ascii="Gill Sans MT" w:hAnsi="Gill Sans MT"/>
                <w:snapToGrid w:val="0"/>
                <w:sz w:val="18"/>
                <w:lang w:val="es-ES"/>
              </w:rPr>
              <w:t xml:space="preserve"> DE AGRICULTURA, </w:t>
            </w:r>
            <w:r w:rsidR="00043CB1" w:rsidRPr="00043CB1">
              <w:rPr>
                <w:rFonts w:ascii="Gill Sans MT" w:hAnsi="Gill Sans MT"/>
                <w:snapToGrid w:val="0"/>
                <w:sz w:val="18"/>
                <w:lang w:val="es-ES"/>
              </w:rPr>
              <w:t>P</w:t>
            </w:r>
            <w:r w:rsidR="00043CB1">
              <w:rPr>
                <w:rFonts w:ascii="Gill Sans MT" w:hAnsi="Gill Sans MT"/>
                <w:snapToGrid w:val="0"/>
                <w:sz w:val="18"/>
                <w:lang w:val="es-ES"/>
              </w:rPr>
              <w:t>ESCA Y</w:t>
            </w:r>
            <w:r w:rsidR="00043CB1" w:rsidRPr="00043CB1">
              <w:rPr>
                <w:rFonts w:ascii="Gill Sans MT" w:hAnsi="Gill Sans MT"/>
                <w:snapToGrid w:val="0"/>
                <w:sz w:val="18"/>
                <w:lang w:val="es-ES"/>
              </w:rPr>
              <w:t xml:space="preserve"> ALIMENTACIÓN</w:t>
            </w:r>
          </w:p>
        </w:tc>
      </w:tr>
      <w:tr w:rsidR="00043CB1" w:rsidRPr="00043CB1" w14:paraId="6BCDA065" w14:textId="77777777" w:rsidTr="00CF0BC5">
        <w:tc>
          <w:tcPr>
            <w:tcW w:w="3047" w:type="dxa"/>
          </w:tcPr>
          <w:p w14:paraId="60CB2169" w14:textId="77777777" w:rsidR="0047258D" w:rsidRPr="00043CB1" w:rsidRDefault="0047258D" w:rsidP="00700DB8">
            <w:pPr>
              <w:pStyle w:val="Textonotapie"/>
              <w:framePr w:hSpace="141" w:wrap="around" w:vAnchor="text" w:hAnchor="text" w:x="1131" w:y="1"/>
              <w:tabs>
                <w:tab w:val="left" w:pos="1021"/>
                <w:tab w:val="left" w:pos="8080"/>
              </w:tabs>
              <w:spacing w:before="0"/>
              <w:rPr>
                <w:lang w:val="es-ES"/>
              </w:rPr>
            </w:pPr>
          </w:p>
        </w:tc>
      </w:tr>
    </w:tbl>
    <w:tbl>
      <w:tblPr>
        <w:tblW w:w="0" w:type="auto"/>
        <w:tblLayout w:type="fixed"/>
        <w:tblCellMar>
          <w:left w:w="0" w:type="dxa"/>
          <w:right w:w="0" w:type="dxa"/>
        </w:tblCellMar>
        <w:tblLook w:val="0000" w:firstRow="0" w:lastRow="0" w:firstColumn="0" w:lastColumn="0" w:noHBand="0" w:noVBand="0"/>
      </w:tblPr>
      <w:tblGrid>
        <w:gridCol w:w="1418"/>
        <w:gridCol w:w="283"/>
        <w:gridCol w:w="2845"/>
      </w:tblGrid>
      <w:tr w:rsidR="00043CB1" w:rsidRPr="00043CB1" w14:paraId="6789B35F" w14:textId="77777777" w:rsidTr="00A17334">
        <w:trPr>
          <w:trHeight w:val="277"/>
        </w:trPr>
        <w:tc>
          <w:tcPr>
            <w:tcW w:w="1418" w:type="dxa"/>
          </w:tcPr>
          <w:p w14:paraId="4A8F2812" w14:textId="77777777" w:rsidR="0047258D" w:rsidRPr="00043CB1" w:rsidRDefault="0047258D" w:rsidP="00A17334">
            <w:pPr>
              <w:pStyle w:val="Textonotapie"/>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3" w:type="dxa"/>
            <w:tcBorders>
              <w:right w:val="single" w:sz="4" w:space="0" w:color="auto"/>
            </w:tcBorders>
          </w:tcPr>
          <w:p w14:paraId="71010B3C" w14:textId="77777777" w:rsidR="0047258D" w:rsidRPr="00043CB1" w:rsidRDefault="0047258D" w:rsidP="00A17334">
            <w:pPr>
              <w:pStyle w:val="Textonotapie"/>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45" w:type="dxa"/>
            <w:tcBorders>
              <w:top w:val="single" w:sz="4" w:space="0" w:color="auto"/>
              <w:left w:val="single" w:sz="4" w:space="0" w:color="auto"/>
              <w:bottom w:val="single" w:sz="4" w:space="0" w:color="auto"/>
              <w:right w:val="single" w:sz="4" w:space="0" w:color="auto"/>
            </w:tcBorders>
            <w:vAlign w:val="center"/>
          </w:tcPr>
          <w:p w14:paraId="5018EEB0" w14:textId="77777777" w:rsidR="0047258D" w:rsidRPr="00043CB1" w:rsidRDefault="00EB39A3" w:rsidP="008C40B7">
            <w:pPr>
              <w:pStyle w:val="Textonotapie"/>
              <w:framePr w:hSpace="142" w:wrap="around" w:vAnchor="text" w:hAnchor="margin" w:xAlign="right" w:y="1"/>
              <w:tabs>
                <w:tab w:val="left" w:pos="1021"/>
                <w:tab w:val="left" w:pos="8080"/>
              </w:tabs>
              <w:spacing w:after="120"/>
              <w:ind w:left="57" w:right="57"/>
              <w:jc w:val="left"/>
              <w:rPr>
                <w:rFonts w:ascii="Gill Sans MT" w:hAnsi="Gill Sans MT"/>
                <w:sz w:val="14"/>
                <w:lang w:val="es-ES"/>
              </w:rPr>
            </w:pPr>
            <w:r w:rsidRPr="00043CB1">
              <w:rPr>
                <w:rFonts w:ascii="Gill Sans MT" w:hAnsi="Gill Sans MT"/>
                <w:sz w:val="14"/>
                <w:lang w:val="es-ES"/>
              </w:rPr>
              <w:t xml:space="preserve">SECRETARÍA GENERAL DE </w:t>
            </w:r>
            <w:r w:rsidR="00CA23FE" w:rsidRPr="00043CB1">
              <w:rPr>
                <w:rFonts w:ascii="Gill Sans MT" w:hAnsi="Gill Sans MT"/>
                <w:sz w:val="14"/>
                <w:lang w:val="es-ES"/>
              </w:rPr>
              <w:t>AGRICULTURA Y ALIMENTACIÓN</w:t>
            </w:r>
          </w:p>
        </w:tc>
      </w:tr>
      <w:tr w:rsidR="00043CB1" w:rsidRPr="00043CB1" w14:paraId="4FFE42E0" w14:textId="77777777" w:rsidTr="00A17334">
        <w:trPr>
          <w:trHeight w:hRule="exact" w:val="57"/>
        </w:trPr>
        <w:tc>
          <w:tcPr>
            <w:tcW w:w="1418" w:type="dxa"/>
          </w:tcPr>
          <w:p w14:paraId="28B330C2" w14:textId="77777777" w:rsidR="0047258D" w:rsidRPr="00043CB1" w:rsidRDefault="0047258D" w:rsidP="00A17334">
            <w:pPr>
              <w:pStyle w:val="Textonotapie"/>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3" w:type="dxa"/>
          </w:tcPr>
          <w:p w14:paraId="7D6255DE" w14:textId="77777777" w:rsidR="0047258D" w:rsidRPr="00043CB1" w:rsidRDefault="0047258D" w:rsidP="00A17334">
            <w:pPr>
              <w:pStyle w:val="Textonotapie"/>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45" w:type="dxa"/>
            <w:tcBorders>
              <w:top w:val="single" w:sz="4" w:space="0" w:color="auto"/>
            </w:tcBorders>
          </w:tcPr>
          <w:p w14:paraId="40852C38" w14:textId="77777777" w:rsidR="0047258D" w:rsidRPr="00043CB1" w:rsidRDefault="0047258D" w:rsidP="00A17334">
            <w:pPr>
              <w:pStyle w:val="Textonotapie"/>
              <w:framePr w:hSpace="142" w:wrap="around" w:vAnchor="text" w:hAnchor="margin" w:xAlign="right" w:y="1"/>
              <w:tabs>
                <w:tab w:val="left" w:pos="1021"/>
                <w:tab w:val="left" w:pos="8080"/>
              </w:tabs>
              <w:spacing w:before="0"/>
              <w:ind w:left="142"/>
              <w:jc w:val="left"/>
              <w:rPr>
                <w:rFonts w:ascii="Gill Sans MT" w:hAnsi="Gill Sans MT"/>
                <w:sz w:val="14"/>
                <w:lang w:val="es-ES"/>
              </w:rPr>
            </w:pPr>
          </w:p>
        </w:tc>
      </w:tr>
      <w:tr w:rsidR="00043CB1" w:rsidRPr="00043CB1" w14:paraId="7E8C4EDE" w14:textId="77777777" w:rsidTr="00A17334">
        <w:trPr>
          <w:trHeight w:val="567"/>
        </w:trPr>
        <w:tc>
          <w:tcPr>
            <w:tcW w:w="1418" w:type="dxa"/>
          </w:tcPr>
          <w:p w14:paraId="68585FBE" w14:textId="77777777" w:rsidR="00EB39A3" w:rsidRPr="00043CB1" w:rsidRDefault="00EB39A3" w:rsidP="00A17334">
            <w:pPr>
              <w:pStyle w:val="Textonotapie"/>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3" w:type="dxa"/>
          </w:tcPr>
          <w:p w14:paraId="215DEA18" w14:textId="77777777" w:rsidR="00EB39A3" w:rsidRPr="00043CB1" w:rsidRDefault="00EB39A3" w:rsidP="00A17334">
            <w:pPr>
              <w:pStyle w:val="Textonotapie"/>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45" w:type="dxa"/>
          </w:tcPr>
          <w:p w14:paraId="2AEA6E0A" w14:textId="77777777" w:rsidR="00EB39A3" w:rsidRPr="00043CB1" w:rsidRDefault="00EB39A3" w:rsidP="008C40B7">
            <w:pPr>
              <w:pStyle w:val="Textonotapie"/>
              <w:framePr w:hSpace="142" w:wrap="around" w:vAnchor="text" w:hAnchor="margin" w:xAlign="right" w:y="1"/>
              <w:tabs>
                <w:tab w:val="left" w:pos="1021"/>
                <w:tab w:val="left" w:pos="8080"/>
              </w:tabs>
              <w:ind w:left="113" w:right="113"/>
              <w:jc w:val="left"/>
              <w:rPr>
                <w:rFonts w:ascii="Gill Sans MT" w:hAnsi="Gill Sans MT"/>
                <w:sz w:val="14"/>
                <w:lang w:val="es-ES"/>
              </w:rPr>
            </w:pPr>
            <w:r w:rsidRPr="00043CB1">
              <w:rPr>
                <w:rFonts w:ascii="Gill Sans MT" w:hAnsi="Gill Sans MT"/>
                <w:sz w:val="14"/>
                <w:lang w:val="es-ES"/>
              </w:rPr>
              <w:t xml:space="preserve">DIRECCIÓN GENERAL DE </w:t>
            </w:r>
            <w:r w:rsidR="00CA23FE" w:rsidRPr="00043CB1">
              <w:rPr>
                <w:rFonts w:ascii="Gill Sans MT" w:hAnsi="Gill Sans MT"/>
                <w:sz w:val="14"/>
                <w:lang w:val="es-ES"/>
              </w:rPr>
              <w:t xml:space="preserve">LA </w:t>
            </w:r>
            <w:r w:rsidRPr="00043CB1">
              <w:rPr>
                <w:rFonts w:ascii="Gill Sans MT" w:hAnsi="Gill Sans MT"/>
                <w:sz w:val="14"/>
                <w:lang w:val="es-ES"/>
              </w:rPr>
              <w:t>INDUSTRIA</w:t>
            </w:r>
            <w:r w:rsidR="00CA23FE" w:rsidRPr="00043CB1">
              <w:rPr>
                <w:rFonts w:ascii="Gill Sans MT" w:hAnsi="Gill Sans MT"/>
                <w:sz w:val="14"/>
                <w:lang w:val="es-ES"/>
              </w:rPr>
              <w:t xml:space="preserve"> ALIMENTARIA</w:t>
            </w:r>
          </w:p>
        </w:tc>
      </w:tr>
    </w:tbl>
    <w:p w14:paraId="67BAA7A9" w14:textId="77777777" w:rsidR="0047258D" w:rsidRPr="00043CB1" w:rsidRDefault="000A37B3" w:rsidP="00F71C6E">
      <w:pPr>
        <w:rPr>
          <w:color w:val="FF0000"/>
          <w:lang w:val="es-ES"/>
        </w:rPr>
      </w:pPr>
      <w:r w:rsidRPr="00043CB1">
        <w:rPr>
          <w:noProof/>
          <w:color w:val="FF0000"/>
          <w:lang w:val="es-ES"/>
        </w:rPr>
        <w:drawing>
          <wp:anchor distT="0" distB="0" distL="114300" distR="114300" simplePos="0" relativeHeight="251657728" behindDoc="0" locked="0" layoutInCell="0" allowOverlap="1" wp14:anchorId="21A3A3C7" wp14:editId="1DCEC264">
            <wp:simplePos x="0" y="0"/>
            <wp:positionH relativeFrom="column">
              <wp:posOffset>-288848</wp:posOffset>
            </wp:positionH>
            <wp:positionV relativeFrom="paragraph">
              <wp:posOffset>127</wp:posOffset>
            </wp:positionV>
            <wp:extent cx="838200" cy="876300"/>
            <wp:effectExtent l="19050" t="0" r="0" b="0"/>
            <wp:wrapTopAndBottom/>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srcRect/>
                    <a:stretch>
                      <a:fillRect/>
                    </a:stretch>
                  </pic:blipFill>
                  <pic:spPr bwMode="auto">
                    <a:xfrm>
                      <a:off x="0" y="0"/>
                      <a:ext cx="838200" cy="876300"/>
                    </a:xfrm>
                    <a:prstGeom prst="rect">
                      <a:avLst/>
                    </a:prstGeom>
                    <a:noFill/>
                    <a:ln w="9525">
                      <a:noFill/>
                      <a:miter lim="800000"/>
                      <a:headEnd/>
                      <a:tailEnd/>
                    </a:ln>
                  </pic:spPr>
                </pic:pic>
              </a:graphicData>
            </a:graphic>
          </wp:anchor>
        </w:drawing>
      </w:r>
    </w:p>
    <w:p w14:paraId="7EBEF8E6" w14:textId="57CEE839" w:rsidR="00A96FD6" w:rsidRPr="00043CB1" w:rsidRDefault="00D52412" w:rsidP="00CF523F">
      <w:pPr>
        <w:pStyle w:val="EstiloTtulo1Izquierda0cmPrimeralnea0cm1"/>
        <w:numPr>
          <w:ilvl w:val="0"/>
          <w:numId w:val="0"/>
        </w:numPr>
        <w:rPr>
          <w:lang w:val="es-ES"/>
        </w:rPr>
      </w:pPr>
      <w:r w:rsidRPr="00043CB1">
        <w:t>MEMORIA DE</w:t>
      </w:r>
      <w:r w:rsidR="00AB2C8C" w:rsidRPr="00043CB1">
        <w:t>L</w:t>
      </w:r>
      <w:r w:rsidRPr="00043CB1">
        <w:t xml:space="preserve"> ANÁLISIS DE IMPACTO NORMATIVO SOBRE EL</w:t>
      </w:r>
      <w:r w:rsidR="008A551E" w:rsidRPr="00043CB1">
        <w:t xml:space="preserve"> PROYECTO </w:t>
      </w:r>
      <w:r w:rsidR="0014033D" w:rsidRPr="00043CB1">
        <w:t xml:space="preserve">DE </w:t>
      </w:r>
      <w:r w:rsidR="0014033D" w:rsidRPr="0014033D">
        <w:t xml:space="preserve">REAL DECRETO POR EL QUE SE </w:t>
      </w:r>
      <w:r w:rsidR="00DE7E2F">
        <w:rPr>
          <w:rFonts w:cs="Arial"/>
        </w:rPr>
        <w:t xml:space="preserve">APRUEBA LA </w:t>
      </w:r>
      <w:r w:rsidR="00DE7E2F" w:rsidRPr="00032E4D">
        <w:rPr>
          <w:rFonts w:cs="Arial"/>
        </w:rPr>
        <w:t xml:space="preserve">NORMA </w:t>
      </w:r>
      <w:r w:rsidR="00DE7E2F">
        <w:rPr>
          <w:rFonts w:cs="Arial"/>
        </w:rPr>
        <w:t>DE CALIDAD</w:t>
      </w:r>
      <w:r w:rsidR="0014033D" w:rsidRPr="0014033D">
        <w:t xml:space="preserve"> DE LOS ACEITES DE OLIVA Y DE ORUJO DE OLIVA</w:t>
      </w:r>
      <w:r w:rsidR="009B3355">
        <w:t>.</w:t>
      </w:r>
    </w:p>
    <w:p w14:paraId="7F5F8F14" w14:textId="77777777" w:rsidR="00D52412" w:rsidRPr="00043CB1" w:rsidRDefault="00D52412" w:rsidP="00C62737">
      <w:pPr>
        <w:pStyle w:val="Ttulo2"/>
        <w:numPr>
          <w:ilvl w:val="0"/>
          <w:numId w:val="0"/>
        </w:numPr>
        <w:spacing w:after="240"/>
      </w:pPr>
      <w:r w:rsidRPr="00043CB1">
        <w:t>RESUMEN EJECUTIVO:</w:t>
      </w:r>
    </w:p>
    <w:p w14:paraId="1000F877" w14:textId="77777777" w:rsidR="001F563E" w:rsidRPr="00043CB1" w:rsidRDefault="001F563E" w:rsidP="001F563E">
      <w:pPr>
        <w:rPr>
          <w:color w:val="FF0000"/>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713"/>
        <w:gridCol w:w="2750"/>
        <w:gridCol w:w="1072"/>
        <w:gridCol w:w="964"/>
        <w:gridCol w:w="1646"/>
      </w:tblGrid>
      <w:tr w:rsidR="00043CB1" w:rsidRPr="00043CB1" w14:paraId="4C724DFB" w14:textId="77777777" w:rsidTr="00CF523F">
        <w:trPr>
          <w:cantSplit/>
        </w:trPr>
        <w:tc>
          <w:tcPr>
            <w:tcW w:w="2713" w:type="dxa"/>
          </w:tcPr>
          <w:p w14:paraId="1048ACFF" w14:textId="77777777" w:rsidR="00D52412" w:rsidRPr="00043CB1" w:rsidRDefault="00D52412" w:rsidP="00724849">
            <w:pPr>
              <w:pStyle w:val="Sangra3detindependiente"/>
              <w:spacing w:before="120"/>
              <w:ind w:left="0"/>
              <w:rPr>
                <w:rFonts w:ascii="Arial" w:hAnsi="Arial" w:cs="Arial"/>
                <w:b/>
                <w:spacing w:val="-3"/>
                <w:sz w:val="22"/>
                <w:szCs w:val="22"/>
              </w:rPr>
            </w:pPr>
            <w:r w:rsidRPr="00043CB1">
              <w:rPr>
                <w:rFonts w:ascii="Arial" w:hAnsi="Arial" w:cs="Arial"/>
                <w:b/>
                <w:spacing w:val="-3"/>
                <w:sz w:val="22"/>
                <w:szCs w:val="22"/>
              </w:rPr>
              <w:t>Ministerio/Órgano proponente</w:t>
            </w:r>
          </w:p>
        </w:tc>
        <w:tc>
          <w:tcPr>
            <w:tcW w:w="3822" w:type="dxa"/>
            <w:gridSpan w:val="2"/>
          </w:tcPr>
          <w:p w14:paraId="4F217C37" w14:textId="1436F5C3" w:rsidR="00473014" w:rsidRPr="00043CB1" w:rsidRDefault="00D52412" w:rsidP="00724849">
            <w:pPr>
              <w:pStyle w:val="Sangra3detindependiente"/>
              <w:spacing w:before="120"/>
              <w:ind w:left="0"/>
              <w:jc w:val="both"/>
              <w:rPr>
                <w:rFonts w:ascii="Arial" w:hAnsi="Arial" w:cs="Arial"/>
                <w:spacing w:val="-3"/>
                <w:sz w:val="22"/>
                <w:szCs w:val="22"/>
              </w:rPr>
            </w:pPr>
            <w:r w:rsidRPr="00043CB1">
              <w:rPr>
                <w:rFonts w:ascii="Arial" w:hAnsi="Arial" w:cs="Arial"/>
                <w:spacing w:val="-3"/>
                <w:sz w:val="22"/>
                <w:szCs w:val="22"/>
              </w:rPr>
              <w:t xml:space="preserve">Ministerio de </w:t>
            </w:r>
            <w:r w:rsidR="00043CB1" w:rsidRPr="00043CB1">
              <w:rPr>
                <w:rFonts w:ascii="Arial" w:hAnsi="Arial" w:cs="Arial"/>
                <w:spacing w:val="-3"/>
                <w:sz w:val="22"/>
                <w:szCs w:val="22"/>
              </w:rPr>
              <w:t xml:space="preserve">Agricultura, Pesca </w:t>
            </w:r>
            <w:r w:rsidR="00165C77" w:rsidRPr="00043CB1">
              <w:rPr>
                <w:rFonts w:ascii="Arial" w:hAnsi="Arial" w:cs="Arial"/>
                <w:spacing w:val="-3"/>
                <w:sz w:val="22"/>
                <w:szCs w:val="22"/>
              </w:rPr>
              <w:t>y Alimentación</w:t>
            </w:r>
            <w:r w:rsidRPr="00043CB1">
              <w:rPr>
                <w:rFonts w:ascii="Arial" w:hAnsi="Arial" w:cs="Arial"/>
                <w:spacing w:val="-3"/>
                <w:sz w:val="22"/>
                <w:szCs w:val="22"/>
              </w:rPr>
              <w:t xml:space="preserve"> </w:t>
            </w:r>
            <w:r w:rsidR="006343F2" w:rsidRPr="00043CB1">
              <w:rPr>
                <w:rFonts w:ascii="Arial" w:hAnsi="Arial" w:cs="Arial"/>
                <w:spacing w:val="-3"/>
                <w:sz w:val="22"/>
                <w:szCs w:val="22"/>
              </w:rPr>
              <w:t>(</w:t>
            </w:r>
            <w:r w:rsidR="008A551E" w:rsidRPr="00043CB1">
              <w:rPr>
                <w:rFonts w:ascii="Arial" w:hAnsi="Arial" w:cs="Arial"/>
                <w:spacing w:val="-3"/>
                <w:sz w:val="22"/>
                <w:szCs w:val="22"/>
              </w:rPr>
              <w:t xml:space="preserve">Dirección General </w:t>
            </w:r>
            <w:r w:rsidRPr="00043CB1">
              <w:rPr>
                <w:rFonts w:ascii="Arial" w:hAnsi="Arial" w:cs="Arial"/>
                <w:spacing w:val="-3"/>
                <w:sz w:val="22"/>
                <w:szCs w:val="22"/>
              </w:rPr>
              <w:t xml:space="preserve">de </w:t>
            </w:r>
            <w:r w:rsidR="00CA23FE" w:rsidRPr="00043CB1">
              <w:rPr>
                <w:rFonts w:ascii="Arial" w:hAnsi="Arial" w:cs="Arial"/>
                <w:spacing w:val="-3"/>
                <w:sz w:val="22"/>
                <w:szCs w:val="22"/>
              </w:rPr>
              <w:t xml:space="preserve">la </w:t>
            </w:r>
            <w:r w:rsidRPr="00043CB1">
              <w:rPr>
                <w:rFonts w:ascii="Arial" w:hAnsi="Arial" w:cs="Arial"/>
                <w:spacing w:val="-3"/>
                <w:sz w:val="22"/>
                <w:szCs w:val="22"/>
              </w:rPr>
              <w:t xml:space="preserve">Industria </w:t>
            </w:r>
            <w:r w:rsidR="00CA23FE" w:rsidRPr="00043CB1">
              <w:rPr>
                <w:rFonts w:ascii="Arial" w:hAnsi="Arial" w:cs="Arial"/>
                <w:spacing w:val="-3"/>
                <w:sz w:val="22"/>
                <w:szCs w:val="22"/>
              </w:rPr>
              <w:t>Alimentaria</w:t>
            </w:r>
            <w:r w:rsidR="006343F2" w:rsidRPr="00043CB1">
              <w:rPr>
                <w:rFonts w:ascii="Arial" w:hAnsi="Arial" w:cs="Arial"/>
                <w:spacing w:val="-3"/>
                <w:sz w:val="22"/>
                <w:szCs w:val="22"/>
              </w:rPr>
              <w:t>)</w:t>
            </w:r>
            <w:r w:rsidRPr="00043CB1">
              <w:rPr>
                <w:rFonts w:ascii="Arial" w:hAnsi="Arial" w:cs="Arial"/>
                <w:spacing w:val="-3"/>
                <w:sz w:val="22"/>
                <w:szCs w:val="22"/>
              </w:rPr>
              <w:t>.</w:t>
            </w:r>
          </w:p>
        </w:tc>
        <w:tc>
          <w:tcPr>
            <w:tcW w:w="964" w:type="dxa"/>
          </w:tcPr>
          <w:p w14:paraId="52A7320E" w14:textId="77777777" w:rsidR="00D52412" w:rsidRPr="00043CB1" w:rsidRDefault="00D52412" w:rsidP="00724849">
            <w:pPr>
              <w:pStyle w:val="Sangra3detindependiente"/>
              <w:spacing w:before="120"/>
              <w:ind w:left="0"/>
              <w:jc w:val="both"/>
              <w:rPr>
                <w:rFonts w:ascii="Arial" w:hAnsi="Arial" w:cs="Arial"/>
                <w:b/>
                <w:spacing w:val="-3"/>
                <w:sz w:val="22"/>
                <w:szCs w:val="22"/>
              </w:rPr>
            </w:pPr>
            <w:r w:rsidRPr="00043CB1">
              <w:rPr>
                <w:rFonts w:ascii="Arial" w:hAnsi="Arial" w:cs="Arial"/>
                <w:b/>
                <w:spacing w:val="-3"/>
                <w:sz w:val="22"/>
                <w:szCs w:val="22"/>
              </w:rPr>
              <w:t>Fecha</w:t>
            </w:r>
          </w:p>
        </w:tc>
        <w:tc>
          <w:tcPr>
            <w:tcW w:w="1646" w:type="dxa"/>
          </w:tcPr>
          <w:p w14:paraId="73382863" w14:textId="14FD7C87" w:rsidR="00D52412" w:rsidRPr="00043CB1" w:rsidRDefault="001B780A" w:rsidP="00724849">
            <w:pPr>
              <w:pStyle w:val="Sangra3detindependiente"/>
              <w:spacing w:before="120"/>
              <w:ind w:left="0"/>
              <w:jc w:val="both"/>
              <w:rPr>
                <w:rFonts w:ascii="Arial" w:hAnsi="Arial" w:cs="Arial"/>
                <w:spacing w:val="-3"/>
                <w:sz w:val="22"/>
                <w:szCs w:val="22"/>
              </w:rPr>
            </w:pPr>
            <w:r w:rsidRPr="00043CB1">
              <w:rPr>
                <w:rFonts w:ascii="Arial" w:hAnsi="Arial" w:cs="Arial"/>
                <w:spacing w:val="-3"/>
                <w:sz w:val="22"/>
                <w:szCs w:val="22"/>
              </w:rPr>
              <w:t xml:space="preserve"> </w:t>
            </w:r>
            <w:r w:rsidR="00C95394">
              <w:rPr>
                <w:rFonts w:ascii="Arial" w:hAnsi="Arial" w:cs="Arial"/>
                <w:spacing w:val="-3"/>
                <w:sz w:val="22"/>
                <w:szCs w:val="22"/>
              </w:rPr>
              <w:t>27</w:t>
            </w:r>
            <w:r w:rsidR="001A04FF">
              <w:rPr>
                <w:rFonts w:ascii="Arial" w:hAnsi="Arial" w:cs="Arial"/>
                <w:spacing w:val="-3"/>
                <w:sz w:val="22"/>
                <w:szCs w:val="22"/>
              </w:rPr>
              <w:t>/0</w:t>
            </w:r>
            <w:r w:rsidR="00C95394">
              <w:rPr>
                <w:rFonts w:ascii="Arial" w:hAnsi="Arial" w:cs="Arial"/>
                <w:spacing w:val="-3"/>
                <w:sz w:val="22"/>
                <w:szCs w:val="22"/>
              </w:rPr>
              <w:t>8</w:t>
            </w:r>
            <w:r w:rsidR="00043CB1" w:rsidRPr="00043CB1">
              <w:rPr>
                <w:rFonts w:ascii="Arial" w:hAnsi="Arial" w:cs="Arial"/>
                <w:spacing w:val="-3"/>
                <w:sz w:val="22"/>
                <w:szCs w:val="22"/>
              </w:rPr>
              <w:t>/2020</w:t>
            </w:r>
          </w:p>
        </w:tc>
      </w:tr>
      <w:tr w:rsidR="00043CB1" w:rsidRPr="00043CB1" w14:paraId="754E6888" w14:textId="77777777" w:rsidTr="00CF523F">
        <w:trPr>
          <w:cantSplit/>
        </w:trPr>
        <w:tc>
          <w:tcPr>
            <w:tcW w:w="2713" w:type="dxa"/>
          </w:tcPr>
          <w:p w14:paraId="5826854D" w14:textId="77777777" w:rsidR="00D52412" w:rsidRPr="0014033D" w:rsidRDefault="00D52412" w:rsidP="00724849">
            <w:pPr>
              <w:pStyle w:val="Sangra3detindependiente"/>
              <w:spacing w:before="120"/>
              <w:ind w:left="0"/>
              <w:rPr>
                <w:rFonts w:ascii="Arial" w:hAnsi="Arial" w:cs="Arial"/>
                <w:b/>
                <w:spacing w:val="-3"/>
                <w:sz w:val="22"/>
                <w:szCs w:val="22"/>
              </w:rPr>
            </w:pPr>
            <w:r w:rsidRPr="0014033D">
              <w:rPr>
                <w:rFonts w:ascii="Arial" w:hAnsi="Arial" w:cs="Arial"/>
                <w:b/>
                <w:spacing w:val="-3"/>
                <w:sz w:val="22"/>
                <w:szCs w:val="22"/>
              </w:rPr>
              <w:t>Título de la norma</w:t>
            </w:r>
          </w:p>
        </w:tc>
        <w:tc>
          <w:tcPr>
            <w:tcW w:w="6432" w:type="dxa"/>
            <w:gridSpan w:val="4"/>
          </w:tcPr>
          <w:p w14:paraId="58D4C31F" w14:textId="77777777" w:rsidR="00A96FD6" w:rsidRPr="0014033D" w:rsidRDefault="0014033D" w:rsidP="00043CB1">
            <w:pPr>
              <w:pStyle w:val="Sangra3detindependiente"/>
              <w:spacing w:before="120"/>
              <w:ind w:left="0"/>
              <w:jc w:val="both"/>
              <w:rPr>
                <w:rFonts w:ascii="Arial" w:hAnsi="Arial" w:cs="Arial"/>
                <w:color w:val="FF0000"/>
                <w:sz w:val="22"/>
                <w:szCs w:val="22"/>
              </w:rPr>
            </w:pPr>
            <w:r w:rsidRPr="0014033D">
              <w:rPr>
                <w:rFonts w:ascii="Arial" w:hAnsi="Arial" w:cs="Arial"/>
                <w:sz w:val="22"/>
                <w:szCs w:val="22"/>
              </w:rPr>
              <w:t xml:space="preserve">Proyecto de real decreto por el que se </w:t>
            </w:r>
            <w:r w:rsidR="00DE7E2F" w:rsidRPr="00DE7E2F">
              <w:rPr>
                <w:rFonts w:ascii="Arial" w:hAnsi="Arial" w:cs="Arial"/>
                <w:sz w:val="22"/>
                <w:szCs w:val="22"/>
              </w:rPr>
              <w:t>aprueba la norma de calidad</w:t>
            </w:r>
            <w:r w:rsidRPr="0014033D">
              <w:rPr>
                <w:rFonts w:ascii="Arial" w:hAnsi="Arial" w:cs="Arial"/>
                <w:sz w:val="22"/>
                <w:szCs w:val="22"/>
              </w:rPr>
              <w:t xml:space="preserve"> de los aceites de oliva y de orujo de oliva</w:t>
            </w:r>
            <w:r>
              <w:rPr>
                <w:rFonts w:ascii="Arial" w:hAnsi="Arial" w:cs="Arial"/>
                <w:sz w:val="22"/>
                <w:szCs w:val="22"/>
              </w:rPr>
              <w:t>.</w:t>
            </w:r>
          </w:p>
        </w:tc>
      </w:tr>
      <w:tr w:rsidR="00043CB1" w:rsidRPr="00043CB1" w14:paraId="58855BC7" w14:textId="77777777" w:rsidTr="00CF523F">
        <w:trPr>
          <w:cantSplit/>
          <w:trHeight w:val="815"/>
        </w:trPr>
        <w:tc>
          <w:tcPr>
            <w:tcW w:w="2713" w:type="dxa"/>
          </w:tcPr>
          <w:p w14:paraId="5C0D154D" w14:textId="77777777" w:rsidR="00D52412" w:rsidRPr="00043CB1" w:rsidRDefault="00D52412" w:rsidP="00724849">
            <w:pPr>
              <w:pStyle w:val="Sangra3detindependiente"/>
              <w:spacing w:before="120"/>
              <w:ind w:left="0"/>
              <w:rPr>
                <w:rFonts w:ascii="Arial" w:hAnsi="Arial" w:cs="Arial"/>
                <w:b/>
                <w:spacing w:val="-3"/>
                <w:sz w:val="22"/>
                <w:szCs w:val="22"/>
              </w:rPr>
            </w:pPr>
            <w:r w:rsidRPr="00043CB1">
              <w:rPr>
                <w:rFonts w:ascii="Arial" w:hAnsi="Arial" w:cs="Arial"/>
                <w:b/>
                <w:spacing w:val="-3"/>
                <w:sz w:val="22"/>
                <w:szCs w:val="22"/>
              </w:rPr>
              <w:t>Tipo de Memoria</w:t>
            </w:r>
          </w:p>
        </w:tc>
        <w:tc>
          <w:tcPr>
            <w:tcW w:w="6432" w:type="dxa"/>
            <w:gridSpan w:val="4"/>
          </w:tcPr>
          <w:tbl>
            <w:tblPr>
              <w:tblpPr w:leftFromText="141" w:rightFromText="141" w:vertAnchor="text" w:horzAnchor="page" w:tblpX="2024"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043CB1" w:rsidRPr="00043CB1" w14:paraId="2EBC4BFD" w14:textId="77777777" w:rsidTr="00724849">
              <w:tc>
                <w:tcPr>
                  <w:tcW w:w="419" w:type="dxa"/>
                </w:tcPr>
                <w:p w14:paraId="7CF71A63" w14:textId="77777777" w:rsidR="00D52412" w:rsidRPr="00043CB1" w:rsidRDefault="00202648" w:rsidP="00724849">
                  <w:pPr>
                    <w:pStyle w:val="Sangra3detindependiente"/>
                    <w:spacing w:before="120"/>
                    <w:ind w:left="0"/>
                    <w:jc w:val="center"/>
                    <w:rPr>
                      <w:rFonts w:ascii="Arial" w:hAnsi="Arial" w:cs="Arial"/>
                      <w:spacing w:val="-3"/>
                      <w:sz w:val="22"/>
                      <w:szCs w:val="22"/>
                    </w:rPr>
                  </w:pPr>
                  <w:r w:rsidRPr="00043CB1">
                    <w:rPr>
                      <w:rFonts w:ascii="Arial" w:hAnsi="Arial" w:cs="Arial"/>
                      <w:spacing w:val="-3"/>
                      <w:sz w:val="22"/>
                      <w:szCs w:val="22"/>
                    </w:rPr>
                    <w:t>X</w:t>
                  </w:r>
                </w:p>
              </w:tc>
            </w:tr>
          </w:tbl>
          <w:tbl>
            <w:tblPr>
              <w:tblpPr w:leftFromText="141" w:rightFromText="141" w:vertAnchor="text" w:horzAnchor="page" w:tblpX="4522"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043CB1" w:rsidRPr="00043CB1" w14:paraId="3012CDCD" w14:textId="77777777" w:rsidTr="00724849">
              <w:tc>
                <w:tcPr>
                  <w:tcW w:w="419" w:type="dxa"/>
                </w:tcPr>
                <w:p w14:paraId="08BC04DA" w14:textId="77777777" w:rsidR="00D52412" w:rsidRPr="00043CB1" w:rsidRDefault="00D52412" w:rsidP="00724849">
                  <w:pPr>
                    <w:pStyle w:val="Sangra3detindependiente"/>
                    <w:spacing w:before="120"/>
                    <w:ind w:left="0"/>
                    <w:jc w:val="center"/>
                    <w:rPr>
                      <w:rFonts w:ascii="Arial" w:hAnsi="Arial" w:cs="Arial"/>
                      <w:spacing w:val="-3"/>
                      <w:sz w:val="22"/>
                      <w:szCs w:val="22"/>
                    </w:rPr>
                  </w:pPr>
                </w:p>
              </w:tc>
            </w:tr>
          </w:tbl>
          <w:p w14:paraId="5C6E0A90" w14:textId="77777777" w:rsidR="00D52412" w:rsidRPr="00043CB1" w:rsidRDefault="00D52412" w:rsidP="00724849">
            <w:pPr>
              <w:pStyle w:val="Sangra3detindependiente"/>
              <w:spacing w:before="120"/>
              <w:ind w:left="0"/>
              <w:jc w:val="both"/>
              <w:rPr>
                <w:rFonts w:ascii="Arial" w:hAnsi="Arial" w:cs="Arial"/>
                <w:spacing w:val="-3"/>
                <w:sz w:val="22"/>
                <w:szCs w:val="22"/>
              </w:rPr>
            </w:pPr>
            <w:r w:rsidRPr="00043CB1">
              <w:rPr>
                <w:rFonts w:ascii="Arial" w:hAnsi="Arial" w:cs="Arial"/>
                <w:b/>
                <w:spacing w:val="-3"/>
                <w:sz w:val="22"/>
                <w:szCs w:val="22"/>
              </w:rPr>
              <w:t>Norma</w:t>
            </w:r>
            <w:r w:rsidR="0034762B" w:rsidRPr="00043CB1">
              <w:rPr>
                <w:rFonts w:ascii="Arial" w:hAnsi="Arial" w:cs="Arial"/>
                <w:b/>
                <w:spacing w:val="-3"/>
                <w:sz w:val="22"/>
                <w:szCs w:val="22"/>
              </w:rPr>
              <w:t>l</w:t>
            </w:r>
            <w:r w:rsidRPr="00043CB1">
              <w:rPr>
                <w:rFonts w:ascii="Arial" w:hAnsi="Arial" w:cs="Arial"/>
                <w:spacing w:val="-3"/>
                <w:sz w:val="22"/>
                <w:szCs w:val="22"/>
              </w:rPr>
              <w:t>………..</w:t>
            </w:r>
            <w:r w:rsidR="00202648" w:rsidRPr="00043CB1">
              <w:rPr>
                <w:rFonts w:ascii="Arial" w:hAnsi="Arial" w:cs="Arial"/>
                <w:spacing w:val="-3"/>
                <w:sz w:val="22"/>
                <w:szCs w:val="22"/>
              </w:rPr>
              <w:t xml:space="preserve"> </w:t>
            </w:r>
            <w:r w:rsidRPr="00043CB1">
              <w:rPr>
                <w:rFonts w:ascii="Arial" w:hAnsi="Arial" w:cs="Arial"/>
                <w:b/>
                <w:spacing w:val="-3"/>
                <w:sz w:val="22"/>
                <w:szCs w:val="22"/>
              </w:rPr>
              <w:t>Abreviada</w:t>
            </w:r>
            <w:r w:rsidRPr="00043CB1">
              <w:rPr>
                <w:rFonts w:ascii="Arial" w:hAnsi="Arial" w:cs="Arial"/>
                <w:spacing w:val="-3"/>
                <w:sz w:val="22"/>
                <w:szCs w:val="22"/>
              </w:rPr>
              <w:t>……</w:t>
            </w:r>
          </w:p>
          <w:p w14:paraId="04980F08" w14:textId="77777777" w:rsidR="00D52412" w:rsidRPr="00043CB1" w:rsidRDefault="00F51C2D" w:rsidP="00724849">
            <w:pPr>
              <w:pStyle w:val="Sangra3detindependiente"/>
              <w:spacing w:before="120"/>
              <w:ind w:left="0"/>
              <w:jc w:val="right"/>
              <w:rPr>
                <w:rFonts w:ascii="Arial" w:hAnsi="Arial" w:cs="Arial"/>
                <w:spacing w:val="-3"/>
                <w:sz w:val="22"/>
                <w:szCs w:val="22"/>
              </w:rPr>
            </w:pPr>
            <w:r w:rsidRPr="00043CB1">
              <w:rPr>
                <w:rFonts w:ascii="Arial" w:hAnsi="Arial" w:cs="Arial"/>
                <w:spacing w:val="-3"/>
                <w:sz w:val="22"/>
                <w:szCs w:val="22"/>
              </w:rPr>
              <w:t xml:space="preserve">  </w:t>
            </w:r>
            <w:r w:rsidR="00D52412" w:rsidRPr="00043CB1">
              <w:rPr>
                <w:rFonts w:ascii="Arial" w:hAnsi="Arial" w:cs="Arial"/>
                <w:spacing w:val="-3"/>
                <w:sz w:val="22"/>
                <w:szCs w:val="22"/>
              </w:rPr>
              <w:t xml:space="preserve"> </w:t>
            </w:r>
          </w:p>
        </w:tc>
      </w:tr>
      <w:tr w:rsidR="00043CB1" w:rsidRPr="00043CB1" w14:paraId="2C705152" w14:textId="77777777" w:rsidTr="00CF523F">
        <w:trPr>
          <w:cantSplit/>
        </w:trPr>
        <w:tc>
          <w:tcPr>
            <w:tcW w:w="9145" w:type="dxa"/>
            <w:gridSpan w:val="5"/>
          </w:tcPr>
          <w:p w14:paraId="0F1ED223" w14:textId="77777777" w:rsidR="00D52412" w:rsidRPr="00043CB1" w:rsidRDefault="00D52412" w:rsidP="00724849">
            <w:pPr>
              <w:pStyle w:val="Sangra3detindependiente"/>
              <w:spacing w:before="240" w:after="240"/>
              <w:ind w:left="0"/>
              <w:jc w:val="center"/>
              <w:rPr>
                <w:rFonts w:ascii="Arial" w:hAnsi="Arial" w:cs="Arial"/>
                <w:b/>
                <w:spacing w:val="-3"/>
                <w:sz w:val="22"/>
                <w:szCs w:val="22"/>
              </w:rPr>
            </w:pPr>
            <w:r w:rsidRPr="00043CB1">
              <w:rPr>
                <w:rFonts w:ascii="Arial" w:hAnsi="Arial" w:cs="Arial"/>
                <w:b/>
                <w:spacing w:val="-3"/>
                <w:sz w:val="22"/>
                <w:szCs w:val="22"/>
              </w:rPr>
              <w:t>OPORTUNIDAD DE LA PROPUESTA</w:t>
            </w:r>
          </w:p>
        </w:tc>
      </w:tr>
      <w:tr w:rsidR="00043CB1" w:rsidRPr="00043CB1" w14:paraId="6DD809CF" w14:textId="77777777" w:rsidTr="00CF523F">
        <w:trPr>
          <w:cantSplit/>
        </w:trPr>
        <w:tc>
          <w:tcPr>
            <w:tcW w:w="2713" w:type="dxa"/>
          </w:tcPr>
          <w:p w14:paraId="6BEC9100" w14:textId="77777777" w:rsidR="00D52412" w:rsidRPr="00043CB1" w:rsidRDefault="00D52412" w:rsidP="00724849">
            <w:pPr>
              <w:pStyle w:val="Sangra3detindependiente"/>
              <w:spacing w:before="120"/>
              <w:ind w:left="0"/>
              <w:rPr>
                <w:rFonts w:ascii="Arial" w:hAnsi="Arial" w:cs="Arial"/>
                <w:b/>
                <w:spacing w:val="-3"/>
                <w:sz w:val="22"/>
                <w:szCs w:val="22"/>
              </w:rPr>
            </w:pPr>
            <w:r w:rsidRPr="00043CB1">
              <w:rPr>
                <w:rFonts w:ascii="Arial" w:hAnsi="Arial" w:cs="Arial"/>
                <w:b/>
                <w:spacing w:val="-3"/>
                <w:sz w:val="22"/>
                <w:szCs w:val="22"/>
              </w:rPr>
              <w:t>Situación que se regula</w:t>
            </w:r>
          </w:p>
        </w:tc>
        <w:tc>
          <w:tcPr>
            <w:tcW w:w="6432" w:type="dxa"/>
            <w:gridSpan w:val="4"/>
          </w:tcPr>
          <w:p w14:paraId="6D83A183" w14:textId="77777777" w:rsidR="00A96FD6" w:rsidRPr="00043CB1" w:rsidRDefault="00A96FD6" w:rsidP="00043CB1">
            <w:pPr>
              <w:tabs>
                <w:tab w:val="left" w:pos="-720"/>
              </w:tabs>
              <w:suppressAutoHyphens/>
              <w:spacing w:after="120"/>
              <w:rPr>
                <w:rFonts w:cs="Arial"/>
                <w:sz w:val="22"/>
                <w:szCs w:val="22"/>
                <w:lang w:val="es-ES"/>
              </w:rPr>
            </w:pPr>
            <w:r w:rsidRPr="00043CB1">
              <w:rPr>
                <w:rFonts w:cs="Arial"/>
                <w:sz w:val="22"/>
                <w:szCs w:val="22"/>
                <w:lang w:val="es-ES"/>
              </w:rPr>
              <w:t xml:space="preserve">La producción </w:t>
            </w:r>
            <w:r w:rsidR="00043CB1" w:rsidRPr="00043CB1">
              <w:rPr>
                <w:rFonts w:cs="Arial"/>
                <w:sz w:val="22"/>
                <w:szCs w:val="22"/>
                <w:lang w:val="es-ES"/>
              </w:rPr>
              <w:t>y comercialización de los aceites de oliva y orujo de oliva elaborado</w:t>
            </w:r>
            <w:r w:rsidR="003D4E5D" w:rsidRPr="00043CB1">
              <w:rPr>
                <w:rFonts w:cs="Arial"/>
                <w:sz w:val="22"/>
                <w:szCs w:val="22"/>
                <w:lang w:val="es-ES"/>
              </w:rPr>
              <w:t>s</w:t>
            </w:r>
            <w:r w:rsidR="00DE7E2F">
              <w:rPr>
                <w:rFonts w:cs="Arial"/>
                <w:sz w:val="22"/>
                <w:szCs w:val="22"/>
                <w:lang w:val="es-ES"/>
              </w:rPr>
              <w:t xml:space="preserve"> y</w:t>
            </w:r>
            <w:r w:rsidR="00043CB1" w:rsidRPr="00043CB1">
              <w:rPr>
                <w:rFonts w:cs="Arial"/>
                <w:sz w:val="22"/>
                <w:szCs w:val="22"/>
                <w:lang w:val="es-ES"/>
              </w:rPr>
              <w:t xml:space="preserve"> comercializado</w:t>
            </w:r>
            <w:r w:rsidR="00A466AD" w:rsidRPr="00043CB1">
              <w:rPr>
                <w:rFonts w:cs="Arial"/>
                <w:sz w:val="22"/>
                <w:szCs w:val="22"/>
                <w:lang w:val="es-ES"/>
              </w:rPr>
              <w:t>s</w:t>
            </w:r>
            <w:r w:rsidR="003D4E5D" w:rsidRPr="00043CB1">
              <w:rPr>
                <w:rFonts w:cs="Arial"/>
                <w:sz w:val="22"/>
                <w:szCs w:val="22"/>
                <w:lang w:val="es-ES"/>
              </w:rPr>
              <w:t xml:space="preserve"> </w:t>
            </w:r>
            <w:r w:rsidRPr="00043CB1">
              <w:rPr>
                <w:rFonts w:cs="Arial"/>
                <w:sz w:val="22"/>
                <w:szCs w:val="22"/>
                <w:lang w:val="es-ES"/>
              </w:rPr>
              <w:t>en España.</w:t>
            </w:r>
          </w:p>
        </w:tc>
      </w:tr>
      <w:tr w:rsidR="00136D02" w:rsidRPr="00136D02" w14:paraId="2799DA0F" w14:textId="77777777" w:rsidTr="00CF523F">
        <w:trPr>
          <w:cantSplit/>
        </w:trPr>
        <w:tc>
          <w:tcPr>
            <w:tcW w:w="2713" w:type="dxa"/>
          </w:tcPr>
          <w:p w14:paraId="13FD47B5" w14:textId="77777777" w:rsidR="00D52412" w:rsidRPr="00136D02" w:rsidRDefault="00D52412" w:rsidP="00724849">
            <w:pPr>
              <w:pStyle w:val="Sangra3detindependiente"/>
              <w:spacing w:before="120"/>
              <w:ind w:left="0"/>
              <w:rPr>
                <w:rFonts w:ascii="Arial" w:hAnsi="Arial" w:cs="Arial"/>
                <w:b/>
                <w:spacing w:val="-3"/>
                <w:sz w:val="22"/>
                <w:szCs w:val="22"/>
              </w:rPr>
            </w:pPr>
            <w:r w:rsidRPr="00136D02">
              <w:rPr>
                <w:rFonts w:ascii="Arial" w:hAnsi="Arial" w:cs="Arial"/>
                <w:b/>
                <w:spacing w:val="-3"/>
                <w:sz w:val="22"/>
                <w:szCs w:val="22"/>
              </w:rPr>
              <w:t>Objetivos que se persiguen</w:t>
            </w:r>
          </w:p>
        </w:tc>
        <w:tc>
          <w:tcPr>
            <w:tcW w:w="6432" w:type="dxa"/>
            <w:gridSpan w:val="4"/>
          </w:tcPr>
          <w:p w14:paraId="76B4A7D1" w14:textId="77777777" w:rsidR="003D2687" w:rsidRPr="003D2687" w:rsidRDefault="003D2687" w:rsidP="003D2687">
            <w:pPr>
              <w:numPr>
                <w:ilvl w:val="0"/>
                <w:numId w:val="3"/>
              </w:numPr>
              <w:rPr>
                <w:rFonts w:cs="Arial"/>
                <w:sz w:val="22"/>
                <w:szCs w:val="22"/>
                <w:lang w:val="es-ES"/>
              </w:rPr>
            </w:pPr>
            <w:r w:rsidRPr="003D2687">
              <w:rPr>
                <w:rFonts w:cs="Arial"/>
                <w:sz w:val="22"/>
                <w:szCs w:val="22"/>
                <w:lang w:val="es-ES"/>
              </w:rPr>
              <w:t>Mejorar la competitividad del sector nacional del aceite de oliva y de orujo de oliva, garantizar la leal competencia entre las industrias y dotar de las mismas condiciones a todos los productores.</w:t>
            </w:r>
          </w:p>
          <w:p w14:paraId="0B96FE8E" w14:textId="77777777" w:rsidR="003D2687" w:rsidRPr="003D2687" w:rsidRDefault="003D2687" w:rsidP="003D2687">
            <w:pPr>
              <w:numPr>
                <w:ilvl w:val="0"/>
                <w:numId w:val="3"/>
              </w:numPr>
              <w:rPr>
                <w:rFonts w:cs="Arial"/>
                <w:sz w:val="22"/>
                <w:szCs w:val="22"/>
                <w:lang w:val="es-ES"/>
              </w:rPr>
            </w:pPr>
            <w:r w:rsidRPr="003D2687">
              <w:rPr>
                <w:rFonts w:cs="Arial"/>
                <w:sz w:val="22"/>
                <w:szCs w:val="22"/>
                <w:lang w:val="es-ES"/>
              </w:rPr>
              <w:t>Actualizar, desde el punto de vista de la calidad alimentaria, la normativa nacional aplicable al aceite de oliva y de orujo de oliva.</w:t>
            </w:r>
          </w:p>
          <w:p w14:paraId="3AB04A5A" w14:textId="77777777" w:rsidR="003D2687" w:rsidRPr="003D2687" w:rsidRDefault="003D2687" w:rsidP="003D2687">
            <w:pPr>
              <w:numPr>
                <w:ilvl w:val="0"/>
                <w:numId w:val="3"/>
              </w:numPr>
              <w:rPr>
                <w:rFonts w:cs="Arial"/>
                <w:sz w:val="22"/>
                <w:szCs w:val="22"/>
                <w:lang w:val="es-ES"/>
              </w:rPr>
            </w:pPr>
            <w:r w:rsidRPr="003D2687">
              <w:rPr>
                <w:rFonts w:cs="Arial"/>
                <w:sz w:val="22"/>
                <w:szCs w:val="22"/>
                <w:lang w:val="es-ES"/>
              </w:rPr>
              <w:t>Introducir requisitos de trazabilidad adicionales en la producción y comercialización de aceite de oliva.</w:t>
            </w:r>
          </w:p>
          <w:p w14:paraId="18214473" w14:textId="77777777" w:rsidR="003D2687" w:rsidRPr="003D2687" w:rsidRDefault="003D2687" w:rsidP="003D2687">
            <w:pPr>
              <w:numPr>
                <w:ilvl w:val="0"/>
                <w:numId w:val="3"/>
              </w:numPr>
              <w:rPr>
                <w:rFonts w:cs="Arial"/>
                <w:sz w:val="22"/>
                <w:szCs w:val="22"/>
                <w:lang w:val="es-ES"/>
              </w:rPr>
            </w:pPr>
            <w:r w:rsidRPr="003D2687">
              <w:rPr>
                <w:rFonts w:cs="Arial"/>
                <w:sz w:val="22"/>
                <w:szCs w:val="22"/>
                <w:lang w:val="es-ES"/>
              </w:rPr>
              <w:t>Proporcionar una información adecuada al consumidor, que facilite su derecho a la elección de compra.</w:t>
            </w:r>
          </w:p>
          <w:p w14:paraId="4F4BBCE1" w14:textId="77777777" w:rsidR="00266861" w:rsidRPr="00136D02" w:rsidRDefault="003D2687" w:rsidP="003D2687">
            <w:pPr>
              <w:numPr>
                <w:ilvl w:val="0"/>
                <w:numId w:val="3"/>
              </w:numPr>
              <w:rPr>
                <w:rFonts w:cs="Arial"/>
                <w:spacing w:val="-3"/>
                <w:sz w:val="22"/>
                <w:szCs w:val="22"/>
                <w:lang w:val="es-ES"/>
              </w:rPr>
            </w:pPr>
            <w:r w:rsidRPr="003D2687">
              <w:rPr>
                <w:rFonts w:cs="Arial"/>
                <w:sz w:val="22"/>
                <w:szCs w:val="22"/>
                <w:lang w:val="es-ES"/>
              </w:rPr>
              <w:t>Poner en valor la calidad de los aceites de oliva y de orujo de oliva producidos en nuestro país e impedir la comisión de prácticas fraudulentas que afecten negativamente a dicha calidad.</w:t>
            </w:r>
          </w:p>
        </w:tc>
      </w:tr>
      <w:tr w:rsidR="00757FCA" w:rsidRPr="00757FCA" w14:paraId="695B5E49" w14:textId="77777777" w:rsidTr="00CF523F">
        <w:trPr>
          <w:cantSplit/>
        </w:trPr>
        <w:tc>
          <w:tcPr>
            <w:tcW w:w="2713" w:type="dxa"/>
          </w:tcPr>
          <w:p w14:paraId="544F2E84" w14:textId="77777777" w:rsidR="00D52412" w:rsidRPr="00757FCA" w:rsidRDefault="00D52412" w:rsidP="00724849">
            <w:pPr>
              <w:pStyle w:val="Sangra3detindependiente"/>
              <w:spacing w:before="120"/>
              <w:ind w:left="0"/>
              <w:rPr>
                <w:rFonts w:ascii="Arial" w:hAnsi="Arial" w:cs="Arial"/>
                <w:b/>
                <w:spacing w:val="-3"/>
                <w:sz w:val="22"/>
                <w:szCs w:val="22"/>
              </w:rPr>
            </w:pPr>
            <w:r w:rsidRPr="00757FCA">
              <w:rPr>
                <w:rFonts w:ascii="Arial" w:hAnsi="Arial" w:cs="Arial"/>
                <w:b/>
                <w:spacing w:val="-3"/>
                <w:sz w:val="22"/>
                <w:szCs w:val="22"/>
              </w:rPr>
              <w:lastRenderedPageBreak/>
              <w:t>Principales alternativas consideradas</w:t>
            </w:r>
          </w:p>
        </w:tc>
        <w:tc>
          <w:tcPr>
            <w:tcW w:w="6432" w:type="dxa"/>
            <w:gridSpan w:val="4"/>
          </w:tcPr>
          <w:p w14:paraId="7CB85936" w14:textId="77777777" w:rsidR="003F5699" w:rsidRPr="00757FCA" w:rsidRDefault="001F563E" w:rsidP="00724849">
            <w:pPr>
              <w:numPr>
                <w:ilvl w:val="0"/>
                <w:numId w:val="3"/>
              </w:numPr>
              <w:rPr>
                <w:rFonts w:cs="Arial"/>
                <w:sz w:val="22"/>
                <w:szCs w:val="22"/>
                <w:lang w:val="es-ES"/>
              </w:rPr>
            </w:pPr>
            <w:r w:rsidRPr="00757FCA">
              <w:rPr>
                <w:rFonts w:cs="Arial"/>
                <w:spacing w:val="-3"/>
                <w:sz w:val="22"/>
                <w:szCs w:val="22"/>
              </w:rPr>
              <w:t xml:space="preserve">Elaborar el Proyecto </w:t>
            </w:r>
            <w:r w:rsidR="00127270">
              <w:rPr>
                <w:rFonts w:cs="Arial"/>
                <w:spacing w:val="-3"/>
                <w:sz w:val="22"/>
                <w:szCs w:val="22"/>
              </w:rPr>
              <w:t>de norma que se propone, que</w:t>
            </w:r>
            <w:r w:rsidRPr="00757FCA">
              <w:rPr>
                <w:rFonts w:cs="Arial"/>
                <w:spacing w:val="-3"/>
                <w:sz w:val="22"/>
                <w:szCs w:val="22"/>
              </w:rPr>
              <w:t xml:space="preserve"> regula la producción y comercialización de</w:t>
            </w:r>
            <w:r w:rsidR="00757FCA" w:rsidRPr="00757FCA">
              <w:rPr>
                <w:rFonts w:cs="Arial"/>
                <w:spacing w:val="-3"/>
                <w:sz w:val="22"/>
                <w:szCs w:val="22"/>
              </w:rPr>
              <w:t xml:space="preserve">l aceite de oliva y de orujo de oliva </w:t>
            </w:r>
            <w:r w:rsidRPr="00757FCA">
              <w:rPr>
                <w:rFonts w:cs="Arial"/>
                <w:spacing w:val="-3"/>
                <w:sz w:val="22"/>
                <w:szCs w:val="22"/>
              </w:rPr>
              <w:t xml:space="preserve">en España y </w:t>
            </w:r>
            <w:r w:rsidR="00371449" w:rsidRPr="00757FCA">
              <w:rPr>
                <w:rFonts w:cs="Arial"/>
                <w:spacing w:val="-3"/>
                <w:sz w:val="22"/>
                <w:szCs w:val="22"/>
              </w:rPr>
              <w:t xml:space="preserve">deroga </w:t>
            </w:r>
            <w:r w:rsidR="003F5699" w:rsidRPr="00757FCA">
              <w:rPr>
                <w:rFonts w:cs="Arial"/>
                <w:spacing w:val="-3"/>
                <w:sz w:val="22"/>
                <w:szCs w:val="22"/>
              </w:rPr>
              <w:t xml:space="preserve">la normativa nacional </w:t>
            </w:r>
            <w:r w:rsidR="003D4E5D" w:rsidRPr="00757FCA">
              <w:rPr>
                <w:rFonts w:cs="Arial"/>
                <w:spacing w:val="-3"/>
                <w:sz w:val="22"/>
                <w:szCs w:val="22"/>
              </w:rPr>
              <w:t xml:space="preserve">vigente </w:t>
            </w:r>
            <w:r w:rsidR="003F5699" w:rsidRPr="00757FCA">
              <w:rPr>
                <w:rFonts w:cs="Arial"/>
                <w:spacing w:val="-3"/>
                <w:sz w:val="22"/>
                <w:szCs w:val="22"/>
              </w:rPr>
              <w:t xml:space="preserve">sobre </w:t>
            </w:r>
            <w:r w:rsidR="00757FCA" w:rsidRPr="00757FCA">
              <w:rPr>
                <w:rFonts w:cs="Arial"/>
                <w:spacing w:val="-3"/>
                <w:sz w:val="22"/>
                <w:szCs w:val="22"/>
              </w:rPr>
              <w:t>estos productos</w:t>
            </w:r>
            <w:r w:rsidR="00A9609E" w:rsidRPr="00757FCA">
              <w:rPr>
                <w:rFonts w:cs="Arial"/>
                <w:spacing w:val="-3"/>
                <w:sz w:val="22"/>
                <w:szCs w:val="22"/>
              </w:rPr>
              <w:t>, en lo que a calidad alimentaria se refiere</w:t>
            </w:r>
            <w:r w:rsidR="003F5699" w:rsidRPr="00757FCA">
              <w:rPr>
                <w:rFonts w:cs="Arial"/>
                <w:spacing w:val="-3"/>
                <w:sz w:val="22"/>
                <w:szCs w:val="22"/>
              </w:rPr>
              <w:t>.</w:t>
            </w:r>
          </w:p>
          <w:p w14:paraId="474375F6" w14:textId="77777777" w:rsidR="00B627A3" w:rsidRDefault="00B627A3" w:rsidP="002118F6">
            <w:pPr>
              <w:numPr>
                <w:ilvl w:val="0"/>
                <w:numId w:val="3"/>
              </w:numPr>
              <w:spacing w:after="120"/>
              <w:ind w:left="357" w:hanging="357"/>
              <w:rPr>
                <w:rFonts w:cs="Arial"/>
                <w:spacing w:val="-3"/>
                <w:sz w:val="22"/>
                <w:szCs w:val="22"/>
              </w:rPr>
            </w:pPr>
            <w:r w:rsidRPr="00757FCA">
              <w:rPr>
                <w:rFonts w:cs="Arial"/>
                <w:spacing w:val="-3"/>
                <w:sz w:val="22"/>
                <w:szCs w:val="22"/>
              </w:rPr>
              <w:t xml:space="preserve">Mantener la situación actual, </w:t>
            </w:r>
            <w:r w:rsidR="002118F6">
              <w:rPr>
                <w:rFonts w:cs="Arial"/>
                <w:spacing w:val="-3"/>
                <w:sz w:val="22"/>
                <w:szCs w:val="22"/>
              </w:rPr>
              <w:t>con una norma que data del año 1983</w:t>
            </w:r>
            <w:r w:rsidR="00515CC5">
              <w:rPr>
                <w:rFonts w:cs="Arial"/>
                <w:spacing w:val="-3"/>
                <w:sz w:val="22"/>
                <w:szCs w:val="22"/>
              </w:rPr>
              <w:t>, considerada obsoleta.</w:t>
            </w:r>
          </w:p>
          <w:p w14:paraId="02113643" w14:textId="77777777" w:rsidR="00515CC5" w:rsidRPr="00757FCA" w:rsidRDefault="00515CC5" w:rsidP="002118F6">
            <w:pPr>
              <w:numPr>
                <w:ilvl w:val="0"/>
                <w:numId w:val="3"/>
              </w:numPr>
              <w:spacing w:after="120"/>
              <w:ind w:left="357" w:hanging="357"/>
              <w:rPr>
                <w:rFonts w:cs="Arial"/>
                <w:spacing w:val="-3"/>
                <w:sz w:val="22"/>
                <w:szCs w:val="22"/>
              </w:rPr>
            </w:pPr>
            <w:r>
              <w:rPr>
                <w:rFonts w:cs="Arial"/>
                <w:spacing w:val="-3"/>
                <w:sz w:val="22"/>
                <w:szCs w:val="22"/>
              </w:rPr>
              <w:t>Modificar la norma actual (</w:t>
            </w:r>
            <w:r w:rsidR="00E50382" w:rsidRPr="00E50382">
              <w:rPr>
                <w:rFonts w:cs="Arial"/>
                <w:spacing w:val="-3"/>
                <w:sz w:val="22"/>
                <w:szCs w:val="22"/>
              </w:rPr>
              <w:t>Real Decreto 308/1983, de 25 de enero, por el que se aprueba la Reglamentación Técnico Sanitaria de Aceites Vegetales Comestibles</w:t>
            </w:r>
            <w:r w:rsidR="00E50382">
              <w:rPr>
                <w:rFonts w:cs="Arial"/>
                <w:spacing w:val="-3"/>
                <w:sz w:val="22"/>
                <w:szCs w:val="22"/>
              </w:rPr>
              <w:t>)</w:t>
            </w:r>
          </w:p>
        </w:tc>
      </w:tr>
      <w:tr w:rsidR="00757FCA" w:rsidRPr="00757FCA" w14:paraId="4E5BAE5E" w14:textId="77777777" w:rsidTr="00CF523F">
        <w:trPr>
          <w:cantSplit/>
        </w:trPr>
        <w:tc>
          <w:tcPr>
            <w:tcW w:w="9145" w:type="dxa"/>
            <w:gridSpan w:val="5"/>
          </w:tcPr>
          <w:p w14:paraId="713D0E54" w14:textId="77777777" w:rsidR="00D52412" w:rsidRPr="00757FCA" w:rsidRDefault="00D52412" w:rsidP="00724849">
            <w:pPr>
              <w:pStyle w:val="Sangra3detindependiente"/>
              <w:spacing w:before="240" w:after="240"/>
              <w:ind w:left="0"/>
              <w:jc w:val="center"/>
              <w:rPr>
                <w:rFonts w:ascii="Arial" w:hAnsi="Arial" w:cs="Arial"/>
                <w:b/>
                <w:spacing w:val="-3"/>
                <w:sz w:val="22"/>
                <w:szCs w:val="22"/>
              </w:rPr>
            </w:pPr>
            <w:r w:rsidRPr="00757FCA">
              <w:rPr>
                <w:rFonts w:ascii="Arial" w:hAnsi="Arial" w:cs="Arial"/>
                <w:b/>
                <w:spacing w:val="-3"/>
                <w:sz w:val="22"/>
                <w:szCs w:val="22"/>
              </w:rPr>
              <w:t>CONTENIDO Y ANÁLISIS JURÍDICO</w:t>
            </w:r>
          </w:p>
        </w:tc>
      </w:tr>
      <w:tr w:rsidR="00757FCA" w:rsidRPr="00757FCA" w14:paraId="2F64A98C" w14:textId="77777777" w:rsidTr="00CF523F">
        <w:trPr>
          <w:cantSplit/>
        </w:trPr>
        <w:tc>
          <w:tcPr>
            <w:tcW w:w="2713" w:type="dxa"/>
          </w:tcPr>
          <w:p w14:paraId="2E3D1DBF" w14:textId="77777777" w:rsidR="00D52412" w:rsidRPr="00757FCA" w:rsidRDefault="00D52412" w:rsidP="00724849">
            <w:pPr>
              <w:pStyle w:val="Sangra3detindependiente"/>
              <w:spacing w:before="120"/>
              <w:ind w:left="0"/>
              <w:rPr>
                <w:rFonts w:ascii="Arial" w:hAnsi="Arial" w:cs="Arial"/>
                <w:b/>
                <w:spacing w:val="-3"/>
                <w:sz w:val="22"/>
                <w:szCs w:val="22"/>
              </w:rPr>
            </w:pPr>
            <w:r w:rsidRPr="00757FCA">
              <w:rPr>
                <w:rFonts w:ascii="Arial" w:hAnsi="Arial" w:cs="Arial"/>
                <w:b/>
                <w:spacing w:val="-3"/>
                <w:sz w:val="22"/>
                <w:szCs w:val="22"/>
              </w:rPr>
              <w:t>Tipo de norma</w:t>
            </w:r>
          </w:p>
        </w:tc>
        <w:tc>
          <w:tcPr>
            <w:tcW w:w="6432" w:type="dxa"/>
            <w:gridSpan w:val="4"/>
          </w:tcPr>
          <w:p w14:paraId="79AAFACE" w14:textId="77777777" w:rsidR="00D52412" w:rsidRPr="00757FCA" w:rsidRDefault="00D52412" w:rsidP="00724849">
            <w:pPr>
              <w:pStyle w:val="Sangra3detindependiente"/>
              <w:spacing w:before="120"/>
              <w:ind w:left="0"/>
              <w:jc w:val="both"/>
              <w:rPr>
                <w:rFonts w:ascii="Arial" w:hAnsi="Arial" w:cs="Arial"/>
                <w:spacing w:val="-3"/>
                <w:sz w:val="22"/>
                <w:szCs w:val="22"/>
              </w:rPr>
            </w:pPr>
            <w:r w:rsidRPr="00757FCA">
              <w:rPr>
                <w:rFonts w:ascii="Arial" w:hAnsi="Arial" w:cs="Arial"/>
                <w:spacing w:val="-3"/>
                <w:sz w:val="22"/>
                <w:szCs w:val="22"/>
              </w:rPr>
              <w:t>Real Decreto</w:t>
            </w:r>
            <w:r w:rsidR="00042209" w:rsidRPr="00757FCA">
              <w:rPr>
                <w:rFonts w:ascii="Arial" w:hAnsi="Arial" w:cs="Arial"/>
                <w:spacing w:val="-3"/>
                <w:sz w:val="22"/>
                <w:szCs w:val="22"/>
              </w:rPr>
              <w:t>.</w:t>
            </w:r>
          </w:p>
        </w:tc>
      </w:tr>
      <w:tr w:rsidR="00757FCA" w:rsidRPr="00757FCA" w14:paraId="17C9FD13" w14:textId="77777777" w:rsidTr="00CF523F">
        <w:trPr>
          <w:cantSplit/>
        </w:trPr>
        <w:tc>
          <w:tcPr>
            <w:tcW w:w="2713" w:type="dxa"/>
          </w:tcPr>
          <w:p w14:paraId="43C92B50" w14:textId="77777777" w:rsidR="00D52412" w:rsidRPr="00757FCA" w:rsidRDefault="00D52412" w:rsidP="00724849">
            <w:pPr>
              <w:pStyle w:val="Sangra3detindependiente"/>
              <w:spacing w:before="120"/>
              <w:ind w:left="0"/>
              <w:rPr>
                <w:rFonts w:ascii="Arial" w:hAnsi="Arial" w:cs="Arial"/>
                <w:b/>
                <w:spacing w:val="-3"/>
                <w:sz w:val="22"/>
                <w:szCs w:val="22"/>
              </w:rPr>
            </w:pPr>
            <w:r w:rsidRPr="00757FCA">
              <w:rPr>
                <w:rFonts w:ascii="Arial" w:hAnsi="Arial" w:cs="Arial"/>
                <w:b/>
                <w:spacing w:val="-3"/>
                <w:sz w:val="22"/>
                <w:szCs w:val="22"/>
              </w:rPr>
              <w:t>Estructura de la norma</w:t>
            </w:r>
          </w:p>
        </w:tc>
        <w:tc>
          <w:tcPr>
            <w:tcW w:w="6432" w:type="dxa"/>
            <w:gridSpan w:val="4"/>
          </w:tcPr>
          <w:p w14:paraId="178F7288" w14:textId="468E64BA" w:rsidR="00E849A9" w:rsidRPr="00757FCA" w:rsidRDefault="004214CD" w:rsidP="00724849">
            <w:pPr>
              <w:pStyle w:val="Sangra3detindependiente"/>
              <w:numPr>
                <w:ilvl w:val="0"/>
                <w:numId w:val="4"/>
              </w:numPr>
              <w:spacing w:before="120" w:after="0"/>
              <w:ind w:left="357" w:hanging="357"/>
              <w:jc w:val="both"/>
              <w:rPr>
                <w:rFonts w:ascii="Arial" w:hAnsi="Arial" w:cs="Arial"/>
                <w:spacing w:val="-3"/>
                <w:sz w:val="22"/>
                <w:szCs w:val="22"/>
              </w:rPr>
            </w:pPr>
            <w:r>
              <w:rPr>
                <w:rFonts w:ascii="Arial" w:hAnsi="Arial" w:cs="Arial"/>
                <w:spacing w:val="-3"/>
                <w:sz w:val="22"/>
                <w:szCs w:val="22"/>
              </w:rPr>
              <w:t>9</w:t>
            </w:r>
            <w:r w:rsidR="006761D8" w:rsidRPr="00757FCA">
              <w:rPr>
                <w:rFonts w:ascii="Arial" w:hAnsi="Arial" w:cs="Arial"/>
                <w:spacing w:val="-3"/>
                <w:sz w:val="22"/>
                <w:szCs w:val="22"/>
              </w:rPr>
              <w:t xml:space="preserve"> </w:t>
            </w:r>
            <w:r w:rsidR="00E849A9" w:rsidRPr="00757FCA">
              <w:rPr>
                <w:rFonts w:ascii="Arial" w:hAnsi="Arial" w:cs="Arial"/>
                <w:spacing w:val="-3"/>
                <w:sz w:val="22"/>
                <w:szCs w:val="22"/>
              </w:rPr>
              <w:t>artículos.</w:t>
            </w:r>
          </w:p>
          <w:p w14:paraId="75299668" w14:textId="253ACF9D" w:rsidR="00E849A9" w:rsidRDefault="004214CD" w:rsidP="00724849">
            <w:pPr>
              <w:pStyle w:val="Sangra3detindependiente"/>
              <w:numPr>
                <w:ilvl w:val="0"/>
                <w:numId w:val="4"/>
              </w:numPr>
              <w:spacing w:before="120" w:after="0"/>
              <w:ind w:left="357" w:hanging="357"/>
              <w:jc w:val="both"/>
              <w:rPr>
                <w:rFonts w:ascii="Arial" w:hAnsi="Arial" w:cs="Arial"/>
                <w:spacing w:val="-3"/>
                <w:sz w:val="22"/>
                <w:szCs w:val="22"/>
              </w:rPr>
            </w:pPr>
            <w:r>
              <w:rPr>
                <w:rFonts w:ascii="Arial" w:hAnsi="Arial" w:cs="Arial"/>
                <w:spacing w:val="-3"/>
                <w:sz w:val="22"/>
                <w:szCs w:val="22"/>
              </w:rPr>
              <w:t>2</w:t>
            </w:r>
            <w:r w:rsidR="00737110" w:rsidRPr="00757FCA">
              <w:rPr>
                <w:rFonts w:ascii="Arial" w:hAnsi="Arial" w:cs="Arial"/>
                <w:spacing w:val="-3"/>
                <w:sz w:val="22"/>
                <w:szCs w:val="22"/>
              </w:rPr>
              <w:t xml:space="preserve"> </w:t>
            </w:r>
            <w:r w:rsidR="003357CB" w:rsidRPr="00757FCA">
              <w:rPr>
                <w:rFonts w:ascii="Arial" w:hAnsi="Arial" w:cs="Arial"/>
                <w:spacing w:val="-3"/>
                <w:sz w:val="22"/>
                <w:szCs w:val="22"/>
              </w:rPr>
              <w:t>disposici</w:t>
            </w:r>
            <w:r>
              <w:rPr>
                <w:rFonts w:ascii="Arial" w:hAnsi="Arial" w:cs="Arial"/>
                <w:spacing w:val="-3"/>
                <w:sz w:val="22"/>
                <w:szCs w:val="22"/>
              </w:rPr>
              <w:t>ones</w:t>
            </w:r>
            <w:r w:rsidR="003357CB" w:rsidRPr="00757FCA">
              <w:rPr>
                <w:rFonts w:ascii="Arial" w:hAnsi="Arial" w:cs="Arial"/>
                <w:spacing w:val="-3"/>
                <w:sz w:val="22"/>
                <w:szCs w:val="22"/>
              </w:rPr>
              <w:t xml:space="preserve"> adicional</w:t>
            </w:r>
            <w:r>
              <w:rPr>
                <w:rFonts w:ascii="Arial" w:hAnsi="Arial" w:cs="Arial"/>
                <w:spacing w:val="-3"/>
                <w:sz w:val="22"/>
                <w:szCs w:val="22"/>
              </w:rPr>
              <w:t>es</w:t>
            </w:r>
            <w:r w:rsidR="003357CB" w:rsidRPr="00757FCA">
              <w:rPr>
                <w:rFonts w:ascii="Arial" w:hAnsi="Arial" w:cs="Arial"/>
                <w:spacing w:val="-3"/>
                <w:sz w:val="22"/>
                <w:szCs w:val="22"/>
              </w:rPr>
              <w:t>.</w:t>
            </w:r>
          </w:p>
          <w:p w14:paraId="717F6776" w14:textId="2925475F" w:rsidR="00800486" w:rsidRPr="00757FCA" w:rsidRDefault="00800486" w:rsidP="00724849">
            <w:pPr>
              <w:pStyle w:val="Sangra3detindependiente"/>
              <w:numPr>
                <w:ilvl w:val="0"/>
                <w:numId w:val="4"/>
              </w:numPr>
              <w:spacing w:before="120" w:after="0"/>
              <w:ind w:left="357" w:hanging="357"/>
              <w:jc w:val="both"/>
              <w:rPr>
                <w:rFonts w:ascii="Arial" w:hAnsi="Arial" w:cs="Arial"/>
                <w:spacing w:val="-3"/>
                <w:sz w:val="22"/>
                <w:szCs w:val="22"/>
              </w:rPr>
            </w:pPr>
            <w:r>
              <w:rPr>
                <w:rFonts w:ascii="Arial" w:hAnsi="Arial" w:cs="Arial"/>
                <w:spacing w:val="-3"/>
                <w:sz w:val="22"/>
                <w:szCs w:val="22"/>
              </w:rPr>
              <w:t>1 disposición transitoria</w:t>
            </w:r>
            <w:r w:rsidR="007E14B0">
              <w:rPr>
                <w:rFonts w:ascii="Arial" w:hAnsi="Arial" w:cs="Arial"/>
                <w:spacing w:val="-3"/>
                <w:sz w:val="22"/>
                <w:szCs w:val="22"/>
              </w:rPr>
              <w:t xml:space="preserve"> (única)</w:t>
            </w:r>
            <w:r>
              <w:rPr>
                <w:rFonts w:ascii="Arial" w:hAnsi="Arial" w:cs="Arial"/>
                <w:spacing w:val="-3"/>
                <w:sz w:val="22"/>
                <w:szCs w:val="22"/>
              </w:rPr>
              <w:t>.</w:t>
            </w:r>
          </w:p>
          <w:p w14:paraId="577C0D2A" w14:textId="77777777" w:rsidR="00E849A9" w:rsidRPr="00757FCA" w:rsidRDefault="00E849A9" w:rsidP="00724849">
            <w:pPr>
              <w:pStyle w:val="Sangra3detindependiente"/>
              <w:numPr>
                <w:ilvl w:val="0"/>
                <w:numId w:val="4"/>
              </w:numPr>
              <w:spacing w:before="120" w:after="0"/>
              <w:ind w:left="357" w:hanging="357"/>
              <w:jc w:val="both"/>
              <w:rPr>
                <w:rFonts w:ascii="Arial" w:hAnsi="Arial" w:cs="Arial"/>
                <w:spacing w:val="-3"/>
                <w:sz w:val="22"/>
                <w:szCs w:val="22"/>
              </w:rPr>
            </w:pPr>
            <w:r w:rsidRPr="00757FCA">
              <w:rPr>
                <w:rFonts w:ascii="Arial" w:hAnsi="Arial" w:cs="Arial"/>
                <w:spacing w:val="-3"/>
                <w:sz w:val="22"/>
                <w:szCs w:val="22"/>
              </w:rPr>
              <w:t>1 disposición derogatoria</w:t>
            </w:r>
            <w:r w:rsidR="002105E1" w:rsidRPr="00757FCA">
              <w:rPr>
                <w:rFonts w:ascii="Arial" w:hAnsi="Arial" w:cs="Arial"/>
                <w:spacing w:val="-3"/>
                <w:sz w:val="22"/>
                <w:szCs w:val="22"/>
              </w:rPr>
              <w:t xml:space="preserve"> (única)</w:t>
            </w:r>
            <w:r w:rsidRPr="00757FCA">
              <w:rPr>
                <w:rFonts w:ascii="Arial" w:hAnsi="Arial" w:cs="Arial"/>
                <w:spacing w:val="-3"/>
                <w:sz w:val="22"/>
                <w:szCs w:val="22"/>
              </w:rPr>
              <w:t>.</w:t>
            </w:r>
          </w:p>
          <w:p w14:paraId="4D11E7FD" w14:textId="024E54AA" w:rsidR="00AF43AA" w:rsidRPr="00757FCA" w:rsidRDefault="00C03093" w:rsidP="00FD04F7">
            <w:pPr>
              <w:pStyle w:val="Sangra3detindependiente"/>
              <w:numPr>
                <w:ilvl w:val="0"/>
                <w:numId w:val="4"/>
              </w:numPr>
              <w:spacing w:before="120"/>
              <w:ind w:left="357" w:hanging="357"/>
              <w:jc w:val="both"/>
              <w:rPr>
                <w:rFonts w:ascii="Arial" w:hAnsi="Arial" w:cs="Arial"/>
                <w:spacing w:val="-3"/>
                <w:sz w:val="22"/>
                <w:szCs w:val="22"/>
              </w:rPr>
            </w:pPr>
            <w:r>
              <w:rPr>
                <w:rFonts w:ascii="Arial" w:hAnsi="Arial" w:cs="Arial"/>
                <w:spacing w:val="-3"/>
                <w:sz w:val="22"/>
                <w:szCs w:val="22"/>
              </w:rPr>
              <w:t>3</w:t>
            </w:r>
            <w:r w:rsidR="00E849A9" w:rsidRPr="00757FCA">
              <w:rPr>
                <w:rFonts w:ascii="Arial" w:hAnsi="Arial" w:cs="Arial"/>
                <w:spacing w:val="-3"/>
                <w:sz w:val="22"/>
                <w:szCs w:val="22"/>
              </w:rPr>
              <w:t xml:space="preserve"> disposiciones finales.</w:t>
            </w:r>
          </w:p>
          <w:p w14:paraId="42FDA5AF" w14:textId="1FA97737" w:rsidR="00757FCA" w:rsidRPr="00757FCA" w:rsidRDefault="00757FCA" w:rsidP="00FD04F7">
            <w:pPr>
              <w:pStyle w:val="Sangra3detindependiente"/>
              <w:numPr>
                <w:ilvl w:val="0"/>
                <w:numId w:val="4"/>
              </w:numPr>
              <w:spacing w:before="120"/>
              <w:ind w:left="357" w:hanging="357"/>
              <w:jc w:val="both"/>
              <w:rPr>
                <w:rFonts w:ascii="Arial" w:hAnsi="Arial" w:cs="Arial"/>
                <w:spacing w:val="-3"/>
                <w:sz w:val="22"/>
                <w:szCs w:val="22"/>
              </w:rPr>
            </w:pPr>
            <w:r w:rsidRPr="00757FCA">
              <w:rPr>
                <w:rFonts w:ascii="Arial" w:hAnsi="Arial" w:cs="Arial"/>
                <w:spacing w:val="-3"/>
                <w:sz w:val="22"/>
                <w:szCs w:val="22"/>
              </w:rPr>
              <w:t xml:space="preserve"> anexos</w:t>
            </w:r>
          </w:p>
        </w:tc>
      </w:tr>
      <w:tr w:rsidR="00043CB1" w:rsidRPr="00043CB1" w14:paraId="78B96DCC" w14:textId="77777777" w:rsidTr="00CF523F">
        <w:trPr>
          <w:cantSplit/>
        </w:trPr>
        <w:tc>
          <w:tcPr>
            <w:tcW w:w="2713" w:type="dxa"/>
          </w:tcPr>
          <w:p w14:paraId="3AFE74DB" w14:textId="77777777" w:rsidR="00D52412" w:rsidRPr="00127270" w:rsidRDefault="00D52412" w:rsidP="00CF523F">
            <w:pPr>
              <w:pStyle w:val="Sangra3detindependiente"/>
              <w:spacing w:after="0"/>
              <w:ind w:left="0"/>
              <w:rPr>
                <w:rFonts w:ascii="Arial" w:hAnsi="Arial" w:cs="Arial"/>
                <w:b/>
                <w:spacing w:val="-3"/>
                <w:sz w:val="22"/>
                <w:szCs w:val="22"/>
              </w:rPr>
            </w:pPr>
            <w:r w:rsidRPr="00127270">
              <w:rPr>
                <w:rFonts w:ascii="Arial" w:hAnsi="Arial" w:cs="Arial"/>
                <w:b/>
                <w:spacing w:val="-3"/>
                <w:sz w:val="22"/>
                <w:szCs w:val="22"/>
              </w:rPr>
              <w:lastRenderedPageBreak/>
              <w:t>Informes recabados</w:t>
            </w:r>
          </w:p>
        </w:tc>
        <w:tc>
          <w:tcPr>
            <w:tcW w:w="6432" w:type="dxa"/>
            <w:gridSpan w:val="4"/>
          </w:tcPr>
          <w:p w14:paraId="44A60BAC" w14:textId="709438DC" w:rsidR="00D84F54" w:rsidRPr="00CF523F" w:rsidRDefault="00D84F54" w:rsidP="00CF523F">
            <w:pPr>
              <w:pStyle w:val="Prrafodelista"/>
              <w:numPr>
                <w:ilvl w:val="0"/>
                <w:numId w:val="28"/>
              </w:numPr>
              <w:spacing w:before="0"/>
              <w:rPr>
                <w:sz w:val="22"/>
                <w:szCs w:val="22"/>
              </w:rPr>
            </w:pPr>
            <w:r w:rsidRPr="00CF523F">
              <w:rPr>
                <w:sz w:val="22"/>
                <w:szCs w:val="22"/>
              </w:rPr>
              <w:t>Informe del Ministerio de Política Territorial y Función Pública.</w:t>
            </w:r>
            <w:r w:rsidR="00AA2FE0" w:rsidRPr="00865D70">
              <w:rPr>
                <w:rFonts w:cs="Arial"/>
                <w:sz w:val="22"/>
                <w:szCs w:val="22"/>
              </w:rPr>
              <w:t xml:space="preserve"> (art. 26.5</w:t>
            </w:r>
            <w:r w:rsidR="00AA2FE0">
              <w:rPr>
                <w:rFonts w:cs="Arial"/>
                <w:sz w:val="22"/>
                <w:szCs w:val="22"/>
              </w:rPr>
              <w:t>,</w:t>
            </w:r>
            <w:r w:rsidR="00AA2FE0" w:rsidRPr="00865D70">
              <w:rPr>
                <w:rFonts w:cs="Arial"/>
                <w:sz w:val="22"/>
                <w:szCs w:val="22"/>
              </w:rPr>
              <w:t xml:space="preserve"> párrafo </w:t>
            </w:r>
            <w:r w:rsidR="00941620">
              <w:rPr>
                <w:rFonts w:cs="Arial"/>
                <w:sz w:val="22"/>
                <w:szCs w:val="22"/>
              </w:rPr>
              <w:t>6º</w:t>
            </w:r>
            <w:r w:rsidR="00AA2FE0" w:rsidRPr="00865D70">
              <w:rPr>
                <w:rFonts w:cs="Arial"/>
                <w:sz w:val="22"/>
                <w:szCs w:val="22"/>
              </w:rPr>
              <w:t>, relativo a competencias CCAA-Estado</w:t>
            </w:r>
            <w:r w:rsidR="00AA2FE0">
              <w:rPr>
                <w:rFonts w:cs="Arial"/>
                <w:sz w:val="22"/>
                <w:szCs w:val="22"/>
              </w:rPr>
              <w:t xml:space="preserve"> y </w:t>
            </w:r>
            <w:r w:rsidR="00AA2FE0" w:rsidRPr="00CF523F">
              <w:rPr>
                <w:rFonts w:cs="Arial"/>
                <w:color w:val="FF0000"/>
                <w:sz w:val="22"/>
                <w:szCs w:val="22"/>
              </w:rPr>
              <w:t>26.9</w:t>
            </w:r>
            <w:r w:rsidR="00AA2FE0" w:rsidRPr="00865D70">
              <w:rPr>
                <w:rFonts w:cs="Arial"/>
                <w:sz w:val="22"/>
                <w:szCs w:val="22"/>
              </w:rPr>
              <w:t>,</w:t>
            </w:r>
            <w:r w:rsidR="00AA2FE0">
              <w:rPr>
                <w:rFonts w:cs="Arial"/>
                <w:sz w:val="22"/>
                <w:szCs w:val="22"/>
              </w:rPr>
              <w:t xml:space="preserve"> sobre la calidad de la actividad normativa, de la</w:t>
            </w:r>
            <w:r w:rsidR="00AA2FE0" w:rsidRPr="00865D70">
              <w:rPr>
                <w:rFonts w:cs="Arial"/>
                <w:sz w:val="22"/>
                <w:szCs w:val="22"/>
              </w:rPr>
              <w:t xml:space="preserve"> </w:t>
            </w:r>
            <w:r w:rsidR="00AA2FE0" w:rsidRPr="004730AE">
              <w:rPr>
                <w:rFonts w:cs="Arial"/>
                <w:sz w:val="22"/>
                <w:szCs w:val="22"/>
              </w:rPr>
              <w:t>Ley 50/1997</w:t>
            </w:r>
            <w:r w:rsidR="00135C66">
              <w:rPr>
                <w:rFonts w:cs="Arial"/>
                <w:sz w:val="22"/>
                <w:szCs w:val="22"/>
              </w:rPr>
              <w:t xml:space="preserve"> </w:t>
            </w:r>
            <w:r w:rsidR="00135C66" w:rsidRPr="00C35909">
              <w:rPr>
                <w:rFonts w:cs="Arial"/>
                <w:color w:val="FF0000"/>
                <w:sz w:val="22"/>
                <w:szCs w:val="22"/>
              </w:rPr>
              <w:t>Pendiente</w:t>
            </w:r>
            <w:r w:rsidR="00AA2FE0" w:rsidRPr="00865D70">
              <w:rPr>
                <w:rFonts w:cs="Arial"/>
                <w:sz w:val="22"/>
                <w:szCs w:val="22"/>
              </w:rPr>
              <w:t>)</w:t>
            </w:r>
            <w:r w:rsidR="00AA2FE0">
              <w:rPr>
                <w:rFonts w:cs="Arial"/>
                <w:sz w:val="22"/>
                <w:szCs w:val="22"/>
              </w:rPr>
              <w:t>.</w:t>
            </w:r>
          </w:p>
          <w:p w14:paraId="311AA9E4" w14:textId="77777777" w:rsidR="00D84F54" w:rsidRPr="00CF523F" w:rsidRDefault="00D84F54" w:rsidP="00CF523F">
            <w:pPr>
              <w:spacing w:before="0"/>
              <w:ind w:left="367"/>
              <w:rPr>
                <w:sz w:val="22"/>
                <w:szCs w:val="22"/>
              </w:rPr>
            </w:pPr>
          </w:p>
          <w:p w14:paraId="66F45296" w14:textId="0151162C" w:rsidR="00D84F54" w:rsidRPr="00CF523F" w:rsidRDefault="00D84F54" w:rsidP="00CF523F">
            <w:pPr>
              <w:pStyle w:val="Prrafodelista"/>
              <w:numPr>
                <w:ilvl w:val="0"/>
                <w:numId w:val="28"/>
              </w:numPr>
              <w:spacing w:before="0"/>
              <w:rPr>
                <w:sz w:val="22"/>
                <w:szCs w:val="22"/>
              </w:rPr>
            </w:pPr>
            <w:r w:rsidRPr="00CF523F">
              <w:rPr>
                <w:sz w:val="22"/>
                <w:szCs w:val="22"/>
              </w:rPr>
              <w:t>Informe del Ministerio de Consumo</w:t>
            </w:r>
            <w:r w:rsidR="007F0907">
              <w:rPr>
                <w:rFonts w:cs="Arial"/>
                <w:sz w:val="22"/>
                <w:szCs w:val="22"/>
              </w:rPr>
              <w:t xml:space="preserve"> (art. 26.5, párrafo 4º, Ley </w:t>
            </w:r>
            <w:r w:rsidR="007F0907" w:rsidRPr="004730AE">
              <w:rPr>
                <w:rFonts w:cs="Arial"/>
                <w:sz w:val="22"/>
                <w:szCs w:val="22"/>
              </w:rPr>
              <w:t>50/1997).</w:t>
            </w:r>
          </w:p>
          <w:p w14:paraId="46113EA0" w14:textId="77777777" w:rsidR="00D84F54" w:rsidRPr="00CF523F" w:rsidRDefault="00D84F54" w:rsidP="00CF523F">
            <w:pPr>
              <w:spacing w:before="0"/>
              <w:ind w:left="367"/>
              <w:rPr>
                <w:sz w:val="22"/>
                <w:szCs w:val="22"/>
              </w:rPr>
            </w:pPr>
            <w:r w:rsidRPr="00CF523F">
              <w:rPr>
                <w:sz w:val="22"/>
                <w:szCs w:val="22"/>
              </w:rPr>
              <w:tab/>
            </w:r>
          </w:p>
          <w:p w14:paraId="37CAF9D6" w14:textId="1C08DE1D" w:rsidR="005D4DBC" w:rsidRDefault="00D84F54" w:rsidP="007F0907">
            <w:pPr>
              <w:pStyle w:val="Prrafodelista"/>
              <w:numPr>
                <w:ilvl w:val="0"/>
                <w:numId w:val="28"/>
              </w:numPr>
              <w:spacing w:before="0"/>
              <w:rPr>
                <w:sz w:val="22"/>
                <w:szCs w:val="22"/>
              </w:rPr>
            </w:pPr>
            <w:r w:rsidRPr="00CF523F">
              <w:rPr>
                <w:sz w:val="22"/>
                <w:szCs w:val="22"/>
              </w:rPr>
              <w:t>Informe del Ministerio de Sanidad</w:t>
            </w:r>
            <w:r w:rsidR="00BA7C66">
              <w:rPr>
                <w:sz w:val="22"/>
                <w:szCs w:val="22"/>
              </w:rPr>
              <w:t xml:space="preserve"> </w:t>
            </w:r>
            <w:r w:rsidR="00BA7C66">
              <w:rPr>
                <w:rFonts w:cs="Arial"/>
                <w:sz w:val="22"/>
                <w:szCs w:val="22"/>
              </w:rPr>
              <w:t xml:space="preserve">(art. 26.5, párrafo 4º, Ley </w:t>
            </w:r>
            <w:r w:rsidR="00BA7C66" w:rsidRPr="004730AE">
              <w:rPr>
                <w:rFonts w:cs="Arial"/>
                <w:sz w:val="22"/>
                <w:szCs w:val="22"/>
              </w:rPr>
              <w:t>50/1997).</w:t>
            </w:r>
          </w:p>
          <w:p w14:paraId="00DF5F9C" w14:textId="77777777" w:rsidR="00AE5667" w:rsidRPr="00CF523F" w:rsidRDefault="00AE5667" w:rsidP="00CF523F">
            <w:pPr>
              <w:pStyle w:val="Prrafodelista"/>
              <w:rPr>
                <w:sz w:val="22"/>
                <w:szCs w:val="22"/>
              </w:rPr>
            </w:pPr>
          </w:p>
          <w:p w14:paraId="1DE2AA88" w14:textId="6694B5A6" w:rsidR="00AE5667" w:rsidRPr="00CF523F" w:rsidRDefault="00AE5667" w:rsidP="00CF523F">
            <w:pPr>
              <w:pStyle w:val="Prrafodelista"/>
              <w:numPr>
                <w:ilvl w:val="0"/>
                <w:numId w:val="28"/>
              </w:numPr>
              <w:spacing w:before="0"/>
              <w:rPr>
                <w:sz w:val="22"/>
                <w:szCs w:val="22"/>
              </w:rPr>
            </w:pPr>
            <w:r w:rsidRPr="00BA7C66">
              <w:rPr>
                <w:sz w:val="22"/>
                <w:szCs w:val="22"/>
              </w:rPr>
              <w:t>Informe del Ministerio de Industria</w:t>
            </w:r>
            <w:r w:rsidR="00940CED">
              <w:rPr>
                <w:sz w:val="22"/>
                <w:szCs w:val="22"/>
              </w:rPr>
              <w:t>, Comercio</w:t>
            </w:r>
            <w:r w:rsidRPr="00BA7C66">
              <w:rPr>
                <w:sz w:val="22"/>
                <w:szCs w:val="22"/>
              </w:rPr>
              <w:t xml:space="preserve"> y Turismo</w:t>
            </w:r>
            <w:r w:rsidR="00BA7C66" w:rsidRPr="00BA7C66">
              <w:rPr>
                <w:sz w:val="22"/>
                <w:szCs w:val="22"/>
              </w:rPr>
              <w:t xml:space="preserve"> </w:t>
            </w:r>
            <w:r w:rsidR="00BA7C66" w:rsidRPr="00BA7C66">
              <w:rPr>
                <w:rFonts w:cs="Arial"/>
                <w:sz w:val="22"/>
                <w:szCs w:val="22"/>
              </w:rPr>
              <w:t>(art. 26.5, párrafo 4º, Ley 50/1997).</w:t>
            </w:r>
          </w:p>
          <w:p w14:paraId="23D8CF16" w14:textId="77777777" w:rsidR="007F0907" w:rsidRPr="00CF523F" w:rsidRDefault="007F0907" w:rsidP="00CF523F">
            <w:pPr>
              <w:pStyle w:val="Prrafodelista"/>
              <w:rPr>
                <w:sz w:val="22"/>
                <w:szCs w:val="22"/>
              </w:rPr>
            </w:pPr>
          </w:p>
          <w:p w14:paraId="38961B42" w14:textId="7108349A" w:rsidR="00BA7C66" w:rsidRPr="00BA7C66" w:rsidRDefault="007F0907">
            <w:pPr>
              <w:pStyle w:val="Cuerpo"/>
              <w:numPr>
                <w:ilvl w:val="0"/>
                <w:numId w:val="2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right="57"/>
              <w:jc w:val="both"/>
              <w:rPr>
                <w:rFonts w:ascii="Arial" w:hAnsi="Arial" w:cs="Arial"/>
                <w:color w:val="auto"/>
                <w:sz w:val="22"/>
                <w:szCs w:val="22"/>
              </w:rPr>
            </w:pPr>
            <w:r w:rsidRPr="00BA7C66">
              <w:rPr>
                <w:rFonts w:ascii="Arial" w:hAnsi="Arial" w:cs="Arial"/>
                <w:color w:val="auto"/>
                <w:sz w:val="22"/>
                <w:szCs w:val="22"/>
              </w:rPr>
              <w:t xml:space="preserve">Informe </w:t>
            </w:r>
            <w:r w:rsidR="00BA7C66" w:rsidRPr="00BA7C66">
              <w:rPr>
                <w:rFonts w:ascii="Arial" w:hAnsi="Arial" w:cs="Arial"/>
                <w:color w:val="auto"/>
                <w:sz w:val="22"/>
                <w:szCs w:val="22"/>
              </w:rPr>
              <w:t xml:space="preserve">del Ministerio de Agricultura, Pesca y Alimentación </w:t>
            </w:r>
            <w:r w:rsidRPr="00BA7C66">
              <w:rPr>
                <w:rFonts w:ascii="Arial" w:hAnsi="Arial" w:cs="Arial"/>
                <w:color w:val="auto"/>
                <w:sz w:val="22"/>
                <w:szCs w:val="22"/>
              </w:rPr>
              <w:t>(art. 26.5, párrafo 4º, Ley 50/1997).</w:t>
            </w:r>
          </w:p>
          <w:p w14:paraId="219A5405" w14:textId="77777777" w:rsidR="00BA7C66" w:rsidRPr="00BA7C66" w:rsidRDefault="00BA7C66" w:rsidP="00CF523F">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720" w:right="57"/>
              <w:jc w:val="both"/>
              <w:rPr>
                <w:rFonts w:ascii="Arial" w:hAnsi="Arial" w:cs="Arial"/>
                <w:color w:val="auto"/>
                <w:sz w:val="22"/>
                <w:szCs w:val="22"/>
              </w:rPr>
            </w:pPr>
          </w:p>
          <w:p w14:paraId="48B31777" w14:textId="2534149E" w:rsidR="007F0907" w:rsidRPr="00CF523F" w:rsidRDefault="00270DC1" w:rsidP="007F0907">
            <w:pPr>
              <w:pStyle w:val="Cuerpo"/>
              <w:numPr>
                <w:ilvl w:val="0"/>
                <w:numId w:val="2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right="57"/>
              <w:jc w:val="both"/>
              <w:rPr>
                <w:rFonts w:ascii="Arial" w:hAnsi="Arial" w:cs="Arial"/>
                <w:b/>
                <w:color w:val="auto"/>
                <w:sz w:val="22"/>
                <w:szCs w:val="22"/>
              </w:rPr>
            </w:pPr>
            <w:r>
              <w:rPr>
                <w:rFonts w:ascii="Arial" w:hAnsi="Arial" w:cs="Arial"/>
                <w:color w:val="auto"/>
                <w:sz w:val="22"/>
                <w:szCs w:val="22"/>
              </w:rPr>
              <w:t>I</w:t>
            </w:r>
            <w:r w:rsidR="007F0907" w:rsidRPr="004A424C">
              <w:rPr>
                <w:rFonts w:ascii="Arial" w:hAnsi="Arial" w:cs="Arial"/>
                <w:color w:val="auto"/>
                <w:sz w:val="22"/>
                <w:szCs w:val="22"/>
              </w:rPr>
              <w:t>nforme de la Comisión Interministerial para la Ordenación Alimentaria (CIOA</w:t>
            </w:r>
            <w:r w:rsidR="007F0907" w:rsidRPr="00462244">
              <w:rPr>
                <w:rFonts w:ascii="Arial" w:hAnsi="Arial" w:cs="Arial"/>
                <w:color w:val="auto"/>
                <w:sz w:val="22"/>
                <w:szCs w:val="22"/>
              </w:rPr>
              <w:t xml:space="preserve">) </w:t>
            </w:r>
            <w:r w:rsidR="007F0907" w:rsidRPr="00F71254">
              <w:rPr>
                <w:rFonts w:ascii="Arial" w:hAnsi="Arial" w:cs="Arial"/>
                <w:color w:val="auto"/>
                <w:sz w:val="22"/>
                <w:szCs w:val="22"/>
              </w:rPr>
              <w:t xml:space="preserve">de </w:t>
            </w:r>
            <w:r w:rsidRPr="00F71254">
              <w:rPr>
                <w:rFonts w:ascii="Arial" w:hAnsi="Arial" w:cs="Arial"/>
                <w:iCs/>
                <w:color w:val="auto"/>
                <w:sz w:val="22"/>
                <w:szCs w:val="22"/>
              </w:rPr>
              <w:t>fecha</w:t>
            </w:r>
            <w:r w:rsidR="00F71254" w:rsidRPr="00F71254">
              <w:rPr>
                <w:rFonts w:ascii="Arial" w:hAnsi="Arial" w:cs="Arial"/>
                <w:iCs/>
                <w:color w:val="auto"/>
                <w:sz w:val="22"/>
                <w:szCs w:val="22"/>
              </w:rPr>
              <w:t xml:space="preserve"> 15 de julio de 2020</w:t>
            </w:r>
            <w:r w:rsidR="00940CED" w:rsidRPr="00F44124">
              <w:rPr>
                <w:rFonts w:ascii="Arial" w:hAnsi="Arial" w:cs="Arial"/>
                <w:iCs/>
                <w:color w:val="auto"/>
                <w:sz w:val="22"/>
                <w:szCs w:val="22"/>
              </w:rPr>
              <w:t>.</w:t>
            </w:r>
            <w:r w:rsidRPr="00F44124">
              <w:rPr>
                <w:rFonts w:ascii="Arial" w:hAnsi="Arial" w:cs="Arial"/>
                <w:iCs/>
                <w:color w:val="auto"/>
                <w:sz w:val="22"/>
                <w:szCs w:val="22"/>
              </w:rPr>
              <w:t xml:space="preserve"> </w:t>
            </w:r>
          </w:p>
          <w:p w14:paraId="1CEB53E2" w14:textId="77777777" w:rsidR="00270DC1" w:rsidRPr="004A424C" w:rsidRDefault="00270DC1" w:rsidP="00CF523F">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720" w:right="57"/>
              <w:jc w:val="both"/>
              <w:rPr>
                <w:rFonts w:ascii="Arial" w:hAnsi="Arial" w:cs="Arial"/>
                <w:b/>
                <w:color w:val="auto"/>
                <w:sz w:val="22"/>
                <w:szCs w:val="22"/>
              </w:rPr>
            </w:pPr>
          </w:p>
          <w:p w14:paraId="19981D41" w14:textId="7B05E455" w:rsidR="007F0907" w:rsidRPr="000D6E76" w:rsidRDefault="007F0907" w:rsidP="007F0907">
            <w:pPr>
              <w:pStyle w:val="Cuerpo"/>
              <w:numPr>
                <w:ilvl w:val="0"/>
                <w:numId w:val="2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right="57"/>
              <w:jc w:val="both"/>
              <w:rPr>
                <w:rFonts w:ascii="Arial" w:hAnsi="Arial" w:cs="Arial"/>
                <w:color w:val="auto"/>
                <w:sz w:val="22"/>
                <w:szCs w:val="22"/>
              </w:rPr>
            </w:pPr>
            <w:r w:rsidRPr="004A424C">
              <w:rPr>
                <w:rFonts w:ascii="Arial" w:hAnsi="Arial" w:cs="Arial"/>
                <w:color w:val="auto"/>
                <w:sz w:val="22"/>
                <w:szCs w:val="22"/>
              </w:rPr>
              <w:t xml:space="preserve">Notificación a la Comisión Europea, de conformidad con la Directiva 2015/1535/UE del Parlamento Europeo y del Consejo, de 9 de septiembre de 2015, por la que se establece un procedimiento de información en materia de reglamentaciones técnicas y de reglas relativas a los servicios de la sociedad de la información. Asimismo, la norma se ha notificado de conformidad con el artículo 45 del Reglamento (UE) 1169/2011 del Parlamento Europeo y del Consejo, de 25 de octubre de 2011, sobre la información alimentaria facilitada al consumidor (RIAC), por contener disposiciones obligatorias sobre información alimentaria. </w:t>
            </w:r>
            <w:r w:rsidR="00270DC1" w:rsidRPr="00C35909">
              <w:rPr>
                <w:rFonts w:ascii="Arial" w:hAnsi="Arial" w:cs="Arial"/>
                <w:color w:val="FF0000"/>
                <w:sz w:val="22"/>
                <w:szCs w:val="22"/>
              </w:rPr>
              <w:t>Pendiente</w:t>
            </w:r>
          </w:p>
          <w:p w14:paraId="4FE7C158" w14:textId="77777777" w:rsidR="00940CED" w:rsidRDefault="00940CED" w:rsidP="000D6E76">
            <w:pPr>
              <w:pStyle w:val="Prrafodelista"/>
              <w:rPr>
                <w:rFonts w:cs="Arial"/>
                <w:sz w:val="22"/>
                <w:szCs w:val="22"/>
              </w:rPr>
            </w:pPr>
          </w:p>
          <w:p w14:paraId="2C15804C" w14:textId="1DBD709D" w:rsidR="00940CED" w:rsidRPr="000D6E76" w:rsidRDefault="00940CED" w:rsidP="007F0907">
            <w:pPr>
              <w:pStyle w:val="Cuerpo"/>
              <w:numPr>
                <w:ilvl w:val="0"/>
                <w:numId w:val="2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right="57"/>
              <w:jc w:val="both"/>
              <w:rPr>
                <w:rFonts w:ascii="Arial" w:hAnsi="Arial" w:cs="Arial"/>
                <w:color w:val="FF0000"/>
                <w:sz w:val="22"/>
                <w:szCs w:val="22"/>
              </w:rPr>
            </w:pPr>
            <w:r>
              <w:rPr>
                <w:rFonts w:ascii="Arial" w:hAnsi="Arial" w:cs="Arial"/>
                <w:color w:val="auto"/>
                <w:sz w:val="22"/>
                <w:szCs w:val="22"/>
              </w:rPr>
              <w:t>N</w:t>
            </w:r>
            <w:r w:rsidRPr="00940CED">
              <w:rPr>
                <w:rFonts w:ascii="Arial" w:hAnsi="Arial" w:cs="Arial"/>
                <w:color w:val="auto"/>
                <w:sz w:val="22"/>
                <w:szCs w:val="22"/>
              </w:rPr>
              <w:t>otificación a la Organización Mundial de Comercio</w:t>
            </w:r>
            <w:r>
              <w:rPr>
                <w:rFonts w:ascii="Arial" w:hAnsi="Arial" w:cs="Arial"/>
                <w:color w:val="auto"/>
                <w:sz w:val="22"/>
                <w:szCs w:val="22"/>
              </w:rPr>
              <w:t xml:space="preserve">. </w:t>
            </w:r>
            <w:r w:rsidRPr="000D6E76">
              <w:rPr>
                <w:rFonts w:ascii="Arial" w:hAnsi="Arial" w:cs="Arial"/>
                <w:color w:val="FF0000"/>
                <w:sz w:val="22"/>
                <w:szCs w:val="22"/>
              </w:rPr>
              <w:t>Pendiente</w:t>
            </w:r>
          </w:p>
          <w:p w14:paraId="454A9152" w14:textId="77777777" w:rsidR="009667A5" w:rsidRDefault="009667A5" w:rsidP="00CF523F">
            <w:pPr>
              <w:pStyle w:val="Prrafodelista"/>
              <w:rPr>
                <w:rFonts w:cs="Arial"/>
                <w:sz w:val="22"/>
                <w:szCs w:val="22"/>
              </w:rPr>
            </w:pPr>
          </w:p>
          <w:p w14:paraId="7BA7051A" w14:textId="751F904A" w:rsidR="007F0907" w:rsidRPr="0051070E" w:rsidRDefault="007F0907" w:rsidP="007F0907">
            <w:pPr>
              <w:pStyle w:val="Cuerpo"/>
              <w:numPr>
                <w:ilvl w:val="0"/>
                <w:numId w:val="2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right="57"/>
              <w:jc w:val="both"/>
              <w:rPr>
                <w:rFonts w:ascii="Arial" w:hAnsi="Arial" w:cs="Arial"/>
                <w:sz w:val="22"/>
                <w:szCs w:val="22"/>
              </w:rPr>
            </w:pPr>
            <w:r>
              <w:rPr>
                <w:rFonts w:ascii="Arial" w:hAnsi="Arial" w:cs="Arial"/>
                <w:color w:val="auto"/>
                <w:sz w:val="22"/>
                <w:szCs w:val="22"/>
              </w:rPr>
              <w:t>Dic</w:t>
            </w:r>
            <w:r w:rsidRPr="009D5527">
              <w:rPr>
                <w:rFonts w:ascii="Arial" w:hAnsi="Arial" w:cs="Arial"/>
                <w:sz w:val="22"/>
                <w:szCs w:val="22"/>
              </w:rPr>
              <w:t>tamen preceptivo del</w:t>
            </w:r>
            <w:r w:rsidRPr="0031473B">
              <w:rPr>
                <w:rFonts w:ascii="Arial" w:hAnsi="Arial" w:cs="Arial"/>
                <w:color w:val="auto"/>
                <w:sz w:val="22"/>
                <w:szCs w:val="22"/>
              </w:rPr>
              <w:t xml:space="preserve"> Consejo de Estado</w:t>
            </w:r>
            <w:r w:rsidRPr="00A03691">
              <w:rPr>
                <w:rFonts w:ascii="Arial" w:hAnsi="Arial" w:cs="Arial"/>
                <w:color w:val="auto"/>
                <w:sz w:val="22"/>
                <w:szCs w:val="22"/>
              </w:rPr>
              <w:t>.</w:t>
            </w:r>
            <w:r>
              <w:rPr>
                <w:rFonts w:ascii="Arial" w:hAnsi="Arial" w:cs="Arial"/>
                <w:color w:val="auto"/>
                <w:sz w:val="22"/>
                <w:szCs w:val="22"/>
              </w:rPr>
              <w:t xml:space="preserve"> </w:t>
            </w:r>
            <w:r w:rsidR="00952CF1" w:rsidRPr="00C35909">
              <w:rPr>
                <w:rFonts w:ascii="Arial" w:hAnsi="Arial" w:cs="Arial"/>
                <w:color w:val="FF0000"/>
                <w:sz w:val="22"/>
                <w:szCs w:val="22"/>
              </w:rPr>
              <w:t>Pendiente</w:t>
            </w:r>
          </w:p>
          <w:p w14:paraId="4ED5BCD1" w14:textId="0CFAC24E" w:rsidR="007F0907" w:rsidRPr="00CF523F" w:rsidRDefault="007F0907" w:rsidP="00CF523F">
            <w:pPr>
              <w:pStyle w:val="Prrafodelista"/>
              <w:spacing w:before="0"/>
              <w:rPr>
                <w:sz w:val="22"/>
                <w:szCs w:val="22"/>
              </w:rPr>
            </w:pPr>
          </w:p>
        </w:tc>
      </w:tr>
      <w:tr w:rsidR="00AA2FE0" w:rsidRPr="00043CB1" w14:paraId="4746E768" w14:textId="77777777" w:rsidTr="00CF523F">
        <w:trPr>
          <w:cantSplit/>
          <w:trHeight w:val="9822"/>
        </w:trPr>
        <w:tc>
          <w:tcPr>
            <w:tcW w:w="2713" w:type="dxa"/>
          </w:tcPr>
          <w:p w14:paraId="7CB61D12" w14:textId="77777777" w:rsidR="00AA2FE0" w:rsidRPr="00043CB1" w:rsidRDefault="00AA2FE0" w:rsidP="00AA2FE0">
            <w:pPr>
              <w:pStyle w:val="Sangra3detindependiente"/>
              <w:spacing w:before="120"/>
              <w:ind w:left="0"/>
              <w:rPr>
                <w:rFonts w:ascii="Arial" w:hAnsi="Arial" w:cs="Arial"/>
                <w:b/>
                <w:color w:val="FF0000"/>
                <w:spacing w:val="-3"/>
                <w:sz w:val="22"/>
                <w:szCs w:val="22"/>
              </w:rPr>
            </w:pPr>
            <w:r w:rsidRPr="00127270">
              <w:rPr>
                <w:rFonts w:ascii="Arial" w:hAnsi="Arial" w:cs="Arial"/>
                <w:b/>
                <w:spacing w:val="-3"/>
                <w:sz w:val="22"/>
                <w:szCs w:val="22"/>
              </w:rPr>
              <w:t>Trámite de audiencia</w:t>
            </w:r>
          </w:p>
        </w:tc>
        <w:tc>
          <w:tcPr>
            <w:tcW w:w="6432" w:type="dxa"/>
            <w:gridSpan w:val="4"/>
          </w:tcPr>
          <w:p w14:paraId="0AB4C838" w14:textId="53E15014" w:rsidR="00AA2FE0" w:rsidRPr="00441C44" w:rsidRDefault="00AA2FE0" w:rsidP="00AA2FE0">
            <w:pPr>
              <w:pStyle w:val="Cuerpo"/>
              <w:numPr>
                <w:ilvl w:val="0"/>
                <w:numId w:val="3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215" w:right="57" w:hanging="215"/>
              <w:jc w:val="both"/>
              <w:rPr>
                <w:rFonts w:ascii="Arial" w:hAnsi="Arial" w:cs="Arial"/>
                <w:color w:val="auto"/>
                <w:sz w:val="22"/>
                <w:szCs w:val="22"/>
              </w:rPr>
            </w:pPr>
            <w:r w:rsidRPr="00552012">
              <w:rPr>
                <w:rFonts w:ascii="Arial" w:hAnsi="Arial" w:cs="Arial"/>
                <w:color w:val="auto"/>
                <w:sz w:val="22"/>
                <w:szCs w:val="22"/>
              </w:rPr>
              <w:t xml:space="preserve">Consulta pública </w:t>
            </w:r>
            <w:r>
              <w:rPr>
                <w:rFonts w:ascii="Arial" w:hAnsi="Arial" w:cs="Arial"/>
                <w:color w:val="auto"/>
                <w:sz w:val="22"/>
                <w:szCs w:val="22"/>
              </w:rPr>
              <w:t xml:space="preserve">previa </w:t>
            </w:r>
            <w:r w:rsidRPr="00552012">
              <w:rPr>
                <w:rFonts w:ascii="Arial" w:hAnsi="Arial" w:cs="Arial"/>
                <w:color w:val="auto"/>
                <w:sz w:val="22"/>
                <w:szCs w:val="22"/>
              </w:rPr>
              <w:t>(art. 26.2</w:t>
            </w:r>
            <w:r>
              <w:rPr>
                <w:rFonts w:ascii="Arial" w:hAnsi="Arial" w:cs="Arial"/>
                <w:color w:val="auto"/>
                <w:sz w:val="22"/>
                <w:szCs w:val="22"/>
              </w:rPr>
              <w:t>,</w:t>
            </w:r>
            <w:r w:rsidRPr="00552012">
              <w:rPr>
                <w:rFonts w:ascii="Arial" w:hAnsi="Arial" w:cs="Arial"/>
                <w:color w:val="auto"/>
                <w:sz w:val="22"/>
                <w:szCs w:val="22"/>
              </w:rPr>
              <w:t xml:space="preserve"> </w:t>
            </w:r>
            <w:r w:rsidRPr="004730AE">
              <w:rPr>
                <w:rFonts w:ascii="Arial" w:hAnsi="Arial" w:cs="Arial"/>
                <w:color w:val="auto"/>
                <w:sz w:val="22"/>
                <w:szCs w:val="22"/>
              </w:rPr>
              <w:t>Ley 50/1997, del Gobierno).</w:t>
            </w:r>
            <w:r w:rsidRPr="00552012">
              <w:rPr>
                <w:rFonts w:ascii="Arial" w:hAnsi="Arial" w:cs="Arial"/>
                <w:color w:val="auto"/>
                <w:sz w:val="22"/>
                <w:szCs w:val="22"/>
              </w:rPr>
              <w:t xml:space="preserve">  </w:t>
            </w:r>
            <w:r w:rsidRPr="00441C44">
              <w:rPr>
                <w:rFonts w:ascii="Arial" w:hAnsi="Arial" w:cs="Arial"/>
                <w:color w:val="auto"/>
                <w:sz w:val="22"/>
                <w:szCs w:val="22"/>
              </w:rPr>
              <w:t xml:space="preserve">Plazo: </w:t>
            </w:r>
            <w:r w:rsidR="00952CF1">
              <w:rPr>
                <w:rFonts w:ascii="Arial" w:hAnsi="Arial" w:cs="Arial"/>
                <w:color w:val="auto"/>
                <w:sz w:val="22"/>
                <w:szCs w:val="22"/>
              </w:rPr>
              <w:t>0</w:t>
            </w:r>
            <w:r w:rsidR="00952CF1" w:rsidRPr="00952CF1">
              <w:rPr>
                <w:rFonts w:ascii="Arial" w:hAnsi="Arial" w:cs="Arial"/>
                <w:color w:val="auto"/>
                <w:sz w:val="22"/>
                <w:szCs w:val="22"/>
              </w:rPr>
              <w:t>8</w:t>
            </w:r>
            <w:r w:rsidRPr="00952CF1">
              <w:rPr>
                <w:rFonts w:ascii="Arial" w:hAnsi="Arial" w:cs="Arial"/>
                <w:color w:val="auto"/>
                <w:sz w:val="22"/>
                <w:szCs w:val="22"/>
              </w:rPr>
              <w:t>/0</w:t>
            </w:r>
            <w:r w:rsidR="00952CF1" w:rsidRPr="00952CF1">
              <w:rPr>
                <w:rFonts w:ascii="Arial" w:hAnsi="Arial" w:cs="Arial"/>
                <w:color w:val="auto"/>
                <w:sz w:val="22"/>
                <w:szCs w:val="22"/>
              </w:rPr>
              <w:t>2</w:t>
            </w:r>
            <w:r w:rsidRPr="00952CF1">
              <w:rPr>
                <w:rFonts w:ascii="Arial" w:hAnsi="Arial" w:cs="Arial"/>
                <w:color w:val="auto"/>
                <w:sz w:val="22"/>
                <w:szCs w:val="22"/>
              </w:rPr>
              <w:t>/201</w:t>
            </w:r>
            <w:r w:rsidR="00952CF1" w:rsidRPr="00952CF1">
              <w:rPr>
                <w:rFonts w:ascii="Arial" w:hAnsi="Arial" w:cs="Arial"/>
                <w:color w:val="auto"/>
                <w:sz w:val="22"/>
                <w:szCs w:val="22"/>
              </w:rPr>
              <w:t>8</w:t>
            </w:r>
            <w:r w:rsidRPr="00952CF1">
              <w:rPr>
                <w:rFonts w:ascii="Arial" w:hAnsi="Arial" w:cs="Arial"/>
                <w:color w:val="auto"/>
                <w:sz w:val="22"/>
                <w:szCs w:val="22"/>
              </w:rPr>
              <w:t xml:space="preserve"> al </w:t>
            </w:r>
            <w:r w:rsidR="00952CF1" w:rsidRPr="00952CF1">
              <w:rPr>
                <w:rFonts w:ascii="Arial" w:hAnsi="Arial" w:cs="Arial"/>
                <w:color w:val="auto"/>
                <w:sz w:val="22"/>
                <w:szCs w:val="22"/>
              </w:rPr>
              <w:t>0</w:t>
            </w:r>
            <w:r w:rsidRPr="00952CF1">
              <w:rPr>
                <w:rFonts w:ascii="Arial" w:hAnsi="Arial" w:cs="Arial"/>
                <w:color w:val="auto"/>
                <w:sz w:val="22"/>
                <w:szCs w:val="22"/>
              </w:rPr>
              <w:t>1/0</w:t>
            </w:r>
            <w:r w:rsidR="00952CF1" w:rsidRPr="00952CF1">
              <w:rPr>
                <w:rFonts w:ascii="Arial" w:hAnsi="Arial" w:cs="Arial"/>
                <w:color w:val="auto"/>
                <w:sz w:val="22"/>
                <w:szCs w:val="22"/>
              </w:rPr>
              <w:t>3</w:t>
            </w:r>
            <w:r w:rsidRPr="00952CF1">
              <w:rPr>
                <w:rFonts w:ascii="Arial" w:hAnsi="Arial" w:cs="Arial"/>
                <w:color w:val="auto"/>
                <w:sz w:val="22"/>
                <w:szCs w:val="22"/>
              </w:rPr>
              <w:t>/201</w:t>
            </w:r>
            <w:r w:rsidR="00952CF1" w:rsidRPr="00952CF1">
              <w:rPr>
                <w:rFonts w:ascii="Arial" w:hAnsi="Arial" w:cs="Arial"/>
                <w:color w:val="auto"/>
                <w:sz w:val="22"/>
                <w:szCs w:val="22"/>
              </w:rPr>
              <w:t>8</w:t>
            </w:r>
            <w:r w:rsidRPr="00952CF1">
              <w:rPr>
                <w:rFonts w:ascii="Arial" w:hAnsi="Arial" w:cs="Arial"/>
                <w:color w:val="auto"/>
                <w:sz w:val="22"/>
                <w:szCs w:val="22"/>
              </w:rPr>
              <w:t>.</w:t>
            </w:r>
          </w:p>
          <w:p w14:paraId="5471B734" w14:textId="77777777" w:rsidR="00AA2FE0" w:rsidRPr="004730AE" w:rsidRDefault="00AA2FE0" w:rsidP="00AA2FE0">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215" w:right="57"/>
              <w:jc w:val="both"/>
              <w:rPr>
                <w:rFonts w:ascii="Arial" w:hAnsi="Arial" w:cs="Arial"/>
                <w:color w:val="auto"/>
                <w:sz w:val="22"/>
                <w:szCs w:val="22"/>
              </w:rPr>
            </w:pPr>
          </w:p>
          <w:p w14:paraId="298E1BD6" w14:textId="63B1D0A0" w:rsidR="00AA2FE0" w:rsidRPr="009667A5" w:rsidRDefault="00AA2FE0" w:rsidP="00AA2FE0">
            <w:pPr>
              <w:pStyle w:val="Cuerpo"/>
              <w:numPr>
                <w:ilvl w:val="0"/>
                <w:numId w:val="3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215" w:right="57" w:hanging="215"/>
              <w:jc w:val="both"/>
              <w:rPr>
                <w:rFonts w:ascii="Arial" w:hAnsi="Arial" w:cs="Arial"/>
                <w:color w:val="auto"/>
                <w:sz w:val="22"/>
                <w:szCs w:val="22"/>
              </w:rPr>
            </w:pPr>
            <w:r>
              <w:rPr>
                <w:rFonts w:ascii="Arial" w:hAnsi="Arial" w:cs="Arial"/>
                <w:color w:val="auto"/>
                <w:sz w:val="22"/>
                <w:szCs w:val="22"/>
              </w:rPr>
              <w:t>Audiencia e información pública (art. 26.6</w:t>
            </w:r>
            <w:r w:rsidR="00FE03CF">
              <w:rPr>
                <w:rFonts w:ascii="Arial" w:hAnsi="Arial" w:cs="Arial"/>
                <w:color w:val="auto"/>
                <w:sz w:val="22"/>
                <w:szCs w:val="22"/>
              </w:rPr>
              <w:t>,</w:t>
            </w:r>
            <w:r>
              <w:rPr>
                <w:rFonts w:ascii="Arial" w:hAnsi="Arial" w:cs="Arial"/>
                <w:color w:val="auto"/>
                <w:sz w:val="22"/>
                <w:szCs w:val="22"/>
              </w:rPr>
              <w:t xml:space="preserve"> </w:t>
            </w:r>
            <w:r w:rsidRPr="004730AE">
              <w:rPr>
                <w:rFonts w:ascii="Arial" w:hAnsi="Arial" w:cs="Arial"/>
                <w:color w:val="auto"/>
                <w:sz w:val="22"/>
                <w:szCs w:val="22"/>
              </w:rPr>
              <w:t>Ley 50/1997 y art</w:t>
            </w:r>
            <w:r w:rsidR="00875357">
              <w:rPr>
                <w:rFonts w:ascii="Arial" w:hAnsi="Arial" w:cs="Arial"/>
                <w:color w:val="auto"/>
                <w:sz w:val="22"/>
                <w:szCs w:val="22"/>
              </w:rPr>
              <w:t>.</w:t>
            </w:r>
            <w:r w:rsidRPr="004730AE">
              <w:rPr>
                <w:rFonts w:ascii="Arial" w:hAnsi="Arial" w:cs="Arial"/>
                <w:color w:val="auto"/>
                <w:sz w:val="22"/>
                <w:szCs w:val="22"/>
              </w:rPr>
              <w:t xml:space="preserve"> 133.2</w:t>
            </w:r>
            <w:r w:rsidR="00FE03CF">
              <w:rPr>
                <w:rFonts w:ascii="Arial" w:hAnsi="Arial" w:cs="Arial"/>
                <w:color w:val="auto"/>
                <w:sz w:val="22"/>
                <w:szCs w:val="22"/>
              </w:rPr>
              <w:t>,</w:t>
            </w:r>
            <w:r w:rsidRPr="004730AE">
              <w:rPr>
                <w:rFonts w:ascii="Arial" w:hAnsi="Arial" w:cs="Arial"/>
                <w:color w:val="auto"/>
                <w:sz w:val="22"/>
                <w:szCs w:val="22"/>
              </w:rPr>
              <w:t xml:space="preserve"> Ley 39/2015</w:t>
            </w:r>
            <w:r w:rsidRPr="009667A5">
              <w:rPr>
                <w:rFonts w:ascii="Arial" w:hAnsi="Arial" w:cs="Arial"/>
                <w:color w:val="auto"/>
                <w:sz w:val="22"/>
                <w:szCs w:val="22"/>
              </w:rPr>
              <w:t xml:space="preserve">). Plazo: </w:t>
            </w:r>
            <w:r w:rsidR="009667A5" w:rsidRPr="00CF523F">
              <w:rPr>
                <w:rFonts w:ascii="Arial" w:hAnsi="Arial" w:cs="Arial"/>
                <w:color w:val="auto"/>
                <w:sz w:val="22"/>
                <w:szCs w:val="22"/>
              </w:rPr>
              <w:t>13</w:t>
            </w:r>
            <w:r w:rsidRPr="009667A5">
              <w:rPr>
                <w:rFonts w:ascii="Arial" w:hAnsi="Arial" w:cs="Arial"/>
                <w:color w:val="auto"/>
                <w:sz w:val="22"/>
                <w:szCs w:val="22"/>
              </w:rPr>
              <w:t>/</w:t>
            </w:r>
            <w:r w:rsidR="009667A5" w:rsidRPr="00CF523F">
              <w:rPr>
                <w:rFonts w:ascii="Arial" w:hAnsi="Arial" w:cs="Arial"/>
                <w:color w:val="auto"/>
                <w:sz w:val="22"/>
                <w:szCs w:val="22"/>
              </w:rPr>
              <w:t>02</w:t>
            </w:r>
            <w:r w:rsidRPr="009667A5">
              <w:rPr>
                <w:rFonts w:ascii="Arial" w:hAnsi="Arial" w:cs="Arial"/>
                <w:color w:val="auto"/>
                <w:sz w:val="22"/>
                <w:szCs w:val="22"/>
              </w:rPr>
              <w:t>/20</w:t>
            </w:r>
            <w:r w:rsidR="009667A5" w:rsidRPr="00CF523F">
              <w:rPr>
                <w:rFonts w:ascii="Arial" w:hAnsi="Arial" w:cs="Arial"/>
                <w:color w:val="auto"/>
                <w:sz w:val="22"/>
                <w:szCs w:val="22"/>
              </w:rPr>
              <w:t>20</w:t>
            </w:r>
            <w:r w:rsidRPr="009667A5">
              <w:rPr>
                <w:rFonts w:ascii="Arial" w:hAnsi="Arial" w:cs="Arial"/>
                <w:color w:val="auto"/>
                <w:sz w:val="22"/>
                <w:szCs w:val="22"/>
              </w:rPr>
              <w:t xml:space="preserve"> al 0</w:t>
            </w:r>
            <w:r w:rsidR="009667A5" w:rsidRPr="00CF523F">
              <w:rPr>
                <w:rFonts w:ascii="Arial" w:hAnsi="Arial" w:cs="Arial"/>
                <w:color w:val="auto"/>
                <w:sz w:val="22"/>
                <w:szCs w:val="22"/>
              </w:rPr>
              <w:t>5</w:t>
            </w:r>
            <w:r w:rsidRPr="009667A5">
              <w:rPr>
                <w:rFonts w:ascii="Arial" w:hAnsi="Arial" w:cs="Arial"/>
                <w:color w:val="auto"/>
                <w:sz w:val="22"/>
                <w:szCs w:val="22"/>
              </w:rPr>
              <w:t>/</w:t>
            </w:r>
            <w:r w:rsidR="009667A5" w:rsidRPr="00CF523F">
              <w:rPr>
                <w:rFonts w:ascii="Arial" w:hAnsi="Arial" w:cs="Arial"/>
                <w:color w:val="auto"/>
                <w:sz w:val="22"/>
                <w:szCs w:val="22"/>
              </w:rPr>
              <w:t>03</w:t>
            </w:r>
            <w:r w:rsidRPr="009667A5">
              <w:rPr>
                <w:rFonts w:ascii="Arial" w:hAnsi="Arial" w:cs="Arial"/>
                <w:color w:val="auto"/>
                <w:sz w:val="22"/>
                <w:szCs w:val="22"/>
              </w:rPr>
              <w:t>/20</w:t>
            </w:r>
            <w:r w:rsidR="009667A5" w:rsidRPr="00CF523F">
              <w:rPr>
                <w:rFonts w:ascii="Arial" w:hAnsi="Arial" w:cs="Arial"/>
                <w:color w:val="auto"/>
                <w:sz w:val="22"/>
                <w:szCs w:val="22"/>
              </w:rPr>
              <w:t>20</w:t>
            </w:r>
            <w:r w:rsidRPr="009667A5">
              <w:rPr>
                <w:rFonts w:ascii="Arial" w:hAnsi="Arial" w:cs="Arial"/>
                <w:color w:val="auto"/>
                <w:sz w:val="22"/>
                <w:szCs w:val="22"/>
              </w:rPr>
              <w:t>.</w:t>
            </w:r>
          </w:p>
          <w:p w14:paraId="4BCEA154" w14:textId="77777777" w:rsidR="00AA2FE0" w:rsidRPr="009667A5" w:rsidRDefault="00AA2FE0" w:rsidP="00AA2FE0">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right="57"/>
              <w:jc w:val="both"/>
              <w:rPr>
                <w:rFonts w:ascii="Arial" w:hAnsi="Arial" w:cs="Arial"/>
                <w:color w:val="auto"/>
                <w:sz w:val="22"/>
                <w:szCs w:val="22"/>
              </w:rPr>
            </w:pPr>
          </w:p>
          <w:p w14:paraId="51100362" w14:textId="6316D69D" w:rsidR="00AA2FE0" w:rsidRPr="009667A5" w:rsidRDefault="00AA2FE0" w:rsidP="00AA2FE0">
            <w:pPr>
              <w:pStyle w:val="Cuerpo"/>
              <w:numPr>
                <w:ilvl w:val="0"/>
                <w:numId w:val="3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215" w:right="57" w:hanging="215"/>
              <w:jc w:val="both"/>
              <w:rPr>
                <w:rFonts w:ascii="Arial" w:hAnsi="Arial" w:cs="Arial"/>
                <w:color w:val="auto"/>
                <w:sz w:val="22"/>
                <w:szCs w:val="22"/>
              </w:rPr>
            </w:pPr>
            <w:r w:rsidRPr="009667A5">
              <w:rPr>
                <w:rFonts w:ascii="Arial" w:hAnsi="Arial" w:cs="Arial"/>
                <w:color w:val="auto"/>
                <w:sz w:val="22"/>
                <w:szCs w:val="22"/>
              </w:rPr>
              <w:t xml:space="preserve">Consulta directa a entidades representativas de los sectores afectados (art. 26.6, Ley 50/1997).  Plazo: 15 días hábiles a partir del </w:t>
            </w:r>
            <w:r w:rsidR="00270DC1" w:rsidRPr="00CF523F">
              <w:rPr>
                <w:rFonts w:ascii="Arial" w:hAnsi="Arial" w:cs="Arial"/>
                <w:color w:val="auto"/>
                <w:sz w:val="22"/>
                <w:szCs w:val="22"/>
              </w:rPr>
              <w:t>1</w:t>
            </w:r>
            <w:r w:rsidR="009667A5" w:rsidRPr="00CF523F">
              <w:rPr>
                <w:rFonts w:ascii="Arial" w:hAnsi="Arial" w:cs="Arial"/>
                <w:color w:val="auto"/>
                <w:sz w:val="22"/>
                <w:szCs w:val="22"/>
              </w:rPr>
              <w:t>3</w:t>
            </w:r>
            <w:r w:rsidRPr="009667A5">
              <w:rPr>
                <w:rFonts w:ascii="Arial" w:hAnsi="Arial" w:cs="Arial"/>
                <w:color w:val="auto"/>
                <w:sz w:val="22"/>
                <w:szCs w:val="22"/>
              </w:rPr>
              <w:t>/</w:t>
            </w:r>
            <w:r w:rsidR="00270DC1" w:rsidRPr="00CF523F">
              <w:rPr>
                <w:rFonts w:ascii="Arial" w:hAnsi="Arial" w:cs="Arial"/>
                <w:color w:val="auto"/>
                <w:sz w:val="22"/>
                <w:szCs w:val="22"/>
              </w:rPr>
              <w:t>02/2020</w:t>
            </w:r>
            <w:r w:rsidRPr="009667A5">
              <w:rPr>
                <w:rFonts w:ascii="Arial" w:hAnsi="Arial" w:cs="Arial"/>
                <w:color w:val="auto"/>
                <w:sz w:val="22"/>
                <w:szCs w:val="22"/>
              </w:rPr>
              <w:t>.</w:t>
            </w:r>
          </w:p>
          <w:p w14:paraId="6E5EA7B5" w14:textId="77777777" w:rsidR="00AA2FE0" w:rsidRPr="009667A5" w:rsidRDefault="00AA2FE0" w:rsidP="00AA2FE0">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right="57"/>
              <w:jc w:val="both"/>
              <w:rPr>
                <w:rFonts w:ascii="Arial" w:hAnsi="Arial" w:cs="Arial"/>
                <w:color w:val="auto"/>
                <w:sz w:val="22"/>
                <w:szCs w:val="22"/>
              </w:rPr>
            </w:pPr>
          </w:p>
          <w:p w14:paraId="4054B42E" w14:textId="35D8398C" w:rsidR="00AA2FE0" w:rsidRDefault="00AA2FE0" w:rsidP="00AA2FE0">
            <w:pPr>
              <w:pStyle w:val="Cuerpo"/>
              <w:numPr>
                <w:ilvl w:val="0"/>
                <w:numId w:val="3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215" w:right="57" w:hanging="215"/>
              <w:jc w:val="both"/>
              <w:rPr>
                <w:rFonts w:ascii="Arial" w:hAnsi="Arial" w:cs="Arial"/>
                <w:color w:val="auto"/>
                <w:sz w:val="22"/>
                <w:szCs w:val="22"/>
              </w:rPr>
            </w:pPr>
            <w:r w:rsidRPr="009667A5">
              <w:rPr>
                <w:rFonts w:ascii="Arial" w:hAnsi="Arial" w:cs="Arial"/>
                <w:color w:val="auto"/>
                <w:sz w:val="22"/>
                <w:szCs w:val="22"/>
              </w:rPr>
              <w:t xml:space="preserve">Consulta a las </w:t>
            </w:r>
            <w:r w:rsidR="00F25BFA">
              <w:rPr>
                <w:rFonts w:ascii="Arial" w:hAnsi="Arial" w:cs="Arial"/>
                <w:color w:val="auto"/>
                <w:sz w:val="22"/>
                <w:szCs w:val="22"/>
              </w:rPr>
              <w:t>C</w:t>
            </w:r>
            <w:r w:rsidRPr="009667A5">
              <w:rPr>
                <w:rFonts w:ascii="Arial" w:hAnsi="Arial" w:cs="Arial"/>
                <w:color w:val="auto"/>
                <w:sz w:val="22"/>
                <w:szCs w:val="22"/>
              </w:rPr>
              <w:t xml:space="preserve">omunidades </w:t>
            </w:r>
            <w:r w:rsidR="00F25BFA">
              <w:rPr>
                <w:rFonts w:ascii="Arial" w:hAnsi="Arial" w:cs="Arial"/>
                <w:color w:val="auto"/>
                <w:sz w:val="22"/>
                <w:szCs w:val="22"/>
              </w:rPr>
              <w:t>A</w:t>
            </w:r>
            <w:r w:rsidRPr="009667A5">
              <w:rPr>
                <w:rFonts w:ascii="Arial" w:hAnsi="Arial" w:cs="Arial"/>
                <w:color w:val="auto"/>
                <w:sz w:val="22"/>
                <w:szCs w:val="22"/>
              </w:rPr>
              <w:t>utónomas (art. 26</w:t>
            </w:r>
            <w:r w:rsidR="00FE03CF">
              <w:rPr>
                <w:rFonts w:ascii="Arial" w:hAnsi="Arial" w:cs="Arial"/>
                <w:color w:val="auto"/>
                <w:sz w:val="22"/>
                <w:szCs w:val="22"/>
              </w:rPr>
              <w:t>,</w:t>
            </w:r>
            <w:r w:rsidRPr="009667A5">
              <w:rPr>
                <w:rFonts w:ascii="Arial" w:hAnsi="Arial" w:cs="Arial"/>
                <w:color w:val="auto"/>
                <w:sz w:val="22"/>
                <w:szCs w:val="22"/>
              </w:rPr>
              <w:t xml:space="preserve"> Ley </w:t>
            </w:r>
            <w:r w:rsidR="00FE03CF">
              <w:rPr>
                <w:rFonts w:ascii="Arial" w:hAnsi="Arial" w:cs="Arial"/>
                <w:color w:val="auto"/>
                <w:sz w:val="22"/>
                <w:szCs w:val="22"/>
              </w:rPr>
              <w:t>50/1997</w:t>
            </w:r>
            <w:r w:rsidRPr="009667A5">
              <w:rPr>
                <w:rFonts w:ascii="Arial" w:hAnsi="Arial" w:cs="Arial"/>
                <w:color w:val="auto"/>
                <w:sz w:val="22"/>
                <w:szCs w:val="22"/>
              </w:rPr>
              <w:t xml:space="preserve">). Plazo: 15 días hábiles a partir del </w:t>
            </w:r>
            <w:r w:rsidR="00270DC1" w:rsidRPr="00CF523F">
              <w:rPr>
                <w:rFonts w:ascii="Arial" w:hAnsi="Arial" w:cs="Arial"/>
                <w:color w:val="auto"/>
                <w:sz w:val="22"/>
                <w:szCs w:val="22"/>
              </w:rPr>
              <w:t>1</w:t>
            </w:r>
            <w:r w:rsidR="009667A5" w:rsidRPr="00CF523F">
              <w:rPr>
                <w:rFonts w:ascii="Arial" w:hAnsi="Arial" w:cs="Arial"/>
                <w:color w:val="auto"/>
                <w:sz w:val="22"/>
                <w:szCs w:val="22"/>
              </w:rPr>
              <w:t>3</w:t>
            </w:r>
            <w:r w:rsidRPr="009667A5">
              <w:rPr>
                <w:rFonts w:ascii="Arial" w:hAnsi="Arial" w:cs="Arial"/>
                <w:color w:val="auto"/>
                <w:sz w:val="22"/>
                <w:szCs w:val="22"/>
              </w:rPr>
              <w:t>/0</w:t>
            </w:r>
            <w:r w:rsidR="00270DC1" w:rsidRPr="00CF523F">
              <w:rPr>
                <w:rFonts w:ascii="Arial" w:hAnsi="Arial" w:cs="Arial"/>
                <w:color w:val="auto"/>
                <w:sz w:val="22"/>
                <w:szCs w:val="22"/>
              </w:rPr>
              <w:t>2</w:t>
            </w:r>
            <w:r w:rsidRPr="009667A5">
              <w:rPr>
                <w:rFonts w:ascii="Arial" w:hAnsi="Arial" w:cs="Arial"/>
                <w:color w:val="auto"/>
                <w:sz w:val="22"/>
                <w:szCs w:val="22"/>
              </w:rPr>
              <w:t>/20</w:t>
            </w:r>
            <w:r w:rsidR="00270DC1" w:rsidRPr="00CF523F">
              <w:rPr>
                <w:rFonts w:ascii="Arial" w:hAnsi="Arial" w:cs="Arial"/>
                <w:color w:val="auto"/>
                <w:sz w:val="22"/>
                <w:szCs w:val="22"/>
              </w:rPr>
              <w:t>20</w:t>
            </w:r>
            <w:r w:rsidR="00270DC1" w:rsidRPr="00952CF1">
              <w:rPr>
                <w:rFonts w:ascii="Arial" w:hAnsi="Arial" w:cs="Arial"/>
                <w:color w:val="auto"/>
                <w:sz w:val="22"/>
                <w:szCs w:val="22"/>
              </w:rPr>
              <w:t>.</w:t>
            </w:r>
          </w:p>
          <w:p w14:paraId="67C417BD" w14:textId="77777777" w:rsidR="00DE771D" w:rsidRDefault="00DE771D" w:rsidP="00F71254">
            <w:pPr>
              <w:pStyle w:val="Prrafodelista"/>
              <w:rPr>
                <w:rFonts w:cs="Arial"/>
                <w:sz w:val="22"/>
                <w:szCs w:val="22"/>
              </w:rPr>
            </w:pPr>
          </w:p>
          <w:p w14:paraId="43246F06" w14:textId="17E23716" w:rsidR="00DE771D" w:rsidRDefault="00DE771D" w:rsidP="00AA2FE0">
            <w:pPr>
              <w:pStyle w:val="Cuerpo"/>
              <w:numPr>
                <w:ilvl w:val="0"/>
                <w:numId w:val="3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215" w:right="57" w:hanging="215"/>
              <w:jc w:val="both"/>
              <w:rPr>
                <w:rFonts w:ascii="Arial" w:hAnsi="Arial" w:cs="Arial"/>
                <w:color w:val="auto"/>
                <w:sz w:val="22"/>
                <w:szCs w:val="22"/>
              </w:rPr>
            </w:pPr>
            <w:r>
              <w:rPr>
                <w:rFonts w:ascii="Arial" w:hAnsi="Arial" w:cs="Arial"/>
                <w:color w:val="auto"/>
                <w:sz w:val="22"/>
                <w:szCs w:val="22"/>
              </w:rPr>
              <w:t xml:space="preserve">Segundo trámite de audiencia e información públicas (art. 26.6, </w:t>
            </w:r>
            <w:r w:rsidRPr="004730AE">
              <w:rPr>
                <w:rFonts w:ascii="Arial" w:hAnsi="Arial" w:cs="Arial"/>
                <w:color w:val="auto"/>
                <w:sz w:val="22"/>
                <w:szCs w:val="22"/>
              </w:rPr>
              <w:t>Ley 50/1997 y art</w:t>
            </w:r>
            <w:r>
              <w:rPr>
                <w:rFonts w:ascii="Arial" w:hAnsi="Arial" w:cs="Arial"/>
                <w:color w:val="auto"/>
                <w:sz w:val="22"/>
                <w:szCs w:val="22"/>
              </w:rPr>
              <w:t>.</w:t>
            </w:r>
            <w:r w:rsidRPr="004730AE">
              <w:rPr>
                <w:rFonts w:ascii="Arial" w:hAnsi="Arial" w:cs="Arial"/>
                <w:color w:val="auto"/>
                <w:sz w:val="22"/>
                <w:szCs w:val="22"/>
              </w:rPr>
              <w:t xml:space="preserve"> 133.2</w:t>
            </w:r>
            <w:r>
              <w:rPr>
                <w:rFonts w:ascii="Arial" w:hAnsi="Arial" w:cs="Arial"/>
                <w:color w:val="auto"/>
                <w:sz w:val="22"/>
                <w:szCs w:val="22"/>
              </w:rPr>
              <w:t>,</w:t>
            </w:r>
            <w:r w:rsidRPr="004730AE">
              <w:rPr>
                <w:rFonts w:ascii="Arial" w:hAnsi="Arial" w:cs="Arial"/>
                <w:color w:val="auto"/>
                <w:sz w:val="22"/>
                <w:szCs w:val="22"/>
              </w:rPr>
              <w:t xml:space="preserve"> Ley 39/2015</w:t>
            </w:r>
            <w:r w:rsidRPr="009667A5">
              <w:rPr>
                <w:rFonts w:ascii="Arial" w:hAnsi="Arial" w:cs="Arial"/>
                <w:color w:val="auto"/>
                <w:sz w:val="22"/>
                <w:szCs w:val="22"/>
              </w:rPr>
              <w:t xml:space="preserve">). Plazo: </w:t>
            </w:r>
            <w:r w:rsidRPr="00CF523F">
              <w:rPr>
                <w:rFonts w:ascii="Arial" w:hAnsi="Arial" w:cs="Arial"/>
                <w:color w:val="auto"/>
                <w:sz w:val="22"/>
                <w:szCs w:val="22"/>
              </w:rPr>
              <w:t>1</w:t>
            </w:r>
            <w:r>
              <w:rPr>
                <w:rFonts w:ascii="Arial" w:hAnsi="Arial" w:cs="Arial"/>
                <w:color w:val="auto"/>
                <w:sz w:val="22"/>
                <w:szCs w:val="22"/>
              </w:rPr>
              <w:t>9</w:t>
            </w:r>
            <w:r w:rsidRPr="009667A5">
              <w:rPr>
                <w:rFonts w:ascii="Arial" w:hAnsi="Arial" w:cs="Arial"/>
                <w:color w:val="auto"/>
                <w:sz w:val="22"/>
                <w:szCs w:val="22"/>
              </w:rPr>
              <w:t>/</w:t>
            </w:r>
            <w:r w:rsidRPr="00CF523F">
              <w:rPr>
                <w:rFonts w:ascii="Arial" w:hAnsi="Arial" w:cs="Arial"/>
                <w:color w:val="auto"/>
                <w:sz w:val="22"/>
                <w:szCs w:val="22"/>
              </w:rPr>
              <w:t>0</w:t>
            </w:r>
            <w:r>
              <w:rPr>
                <w:rFonts w:ascii="Arial" w:hAnsi="Arial" w:cs="Arial"/>
                <w:color w:val="auto"/>
                <w:sz w:val="22"/>
                <w:szCs w:val="22"/>
              </w:rPr>
              <w:t>6</w:t>
            </w:r>
            <w:r w:rsidRPr="009667A5">
              <w:rPr>
                <w:rFonts w:ascii="Arial" w:hAnsi="Arial" w:cs="Arial"/>
                <w:color w:val="auto"/>
                <w:sz w:val="22"/>
                <w:szCs w:val="22"/>
              </w:rPr>
              <w:t>/20</w:t>
            </w:r>
            <w:r w:rsidRPr="00CF523F">
              <w:rPr>
                <w:rFonts w:ascii="Arial" w:hAnsi="Arial" w:cs="Arial"/>
                <w:color w:val="auto"/>
                <w:sz w:val="22"/>
                <w:szCs w:val="22"/>
              </w:rPr>
              <w:t>20</w:t>
            </w:r>
            <w:r w:rsidRPr="009667A5">
              <w:rPr>
                <w:rFonts w:ascii="Arial" w:hAnsi="Arial" w:cs="Arial"/>
                <w:color w:val="auto"/>
                <w:sz w:val="22"/>
                <w:szCs w:val="22"/>
              </w:rPr>
              <w:t xml:space="preserve"> al </w:t>
            </w:r>
            <w:r>
              <w:rPr>
                <w:rFonts w:ascii="Arial" w:hAnsi="Arial" w:cs="Arial"/>
                <w:color w:val="auto"/>
                <w:sz w:val="22"/>
                <w:szCs w:val="22"/>
              </w:rPr>
              <w:t>30</w:t>
            </w:r>
            <w:r w:rsidRPr="009667A5">
              <w:rPr>
                <w:rFonts w:ascii="Arial" w:hAnsi="Arial" w:cs="Arial"/>
                <w:color w:val="auto"/>
                <w:sz w:val="22"/>
                <w:szCs w:val="22"/>
              </w:rPr>
              <w:t>/</w:t>
            </w:r>
            <w:r w:rsidRPr="00CF523F">
              <w:rPr>
                <w:rFonts w:ascii="Arial" w:hAnsi="Arial" w:cs="Arial"/>
                <w:color w:val="auto"/>
                <w:sz w:val="22"/>
                <w:szCs w:val="22"/>
              </w:rPr>
              <w:t>0</w:t>
            </w:r>
            <w:r>
              <w:rPr>
                <w:rFonts w:ascii="Arial" w:hAnsi="Arial" w:cs="Arial"/>
                <w:color w:val="auto"/>
                <w:sz w:val="22"/>
                <w:szCs w:val="22"/>
              </w:rPr>
              <w:t>6</w:t>
            </w:r>
            <w:r w:rsidRPr="009667A5">
              <w:rPr>
                <w:rFonts w:ascii="Arial" w:hAnsi="Arial" w:cs="Arial"/>
                <w:color w:val="auto"/>
                <w:sz w:val="22"/>
                <w:szCs w:val="22"/>
              </w:rPr>
              <w:t>/20</w:t>
            </w:r>
            <w:r w:rsidRPr="00CF523F">
              <w:rPr>
                <w:rFonts w:ascii="Arial" w:hAnsi="Arial" w:cs="Arial"/>
                <w:color w:val="auto"/>
                <w:sz w:val="22"/>
                <w:szCs w:val="22"/>
              </w:rPr>
              <w:t>20</w:t>
            </w:r>
            <w:r w:rsidRPr="009667A5">
              <w:rPr>
                <w:rFonts w:ascii="Arial" w:hAnsi="Arial" w:cs="Arial"/>
                <w:color w:val="auto"/>
                <w:sz w:val="22"/>
                <w:szCs w:val="22"/>
              </w:rPr>
              <w:t>.</w:t>
            </w:r>
          </w:p>
          <w:p w14:paraId="1B3A4831" w14:textId="77777777" w:rsidR="00021854" w:rsidRDefault="00021854" w:rsidP="00F71254">
            <w:pPr>
              <w:pStyle w:val="Prrafodelista"/>
              <w:rPr>
                <w:rFonts w:cs="Arial"/>
                <w:sz w:val="22"/>
                <w:szCs w:val="22"/>
              </w:rPr>
            </w:pPr>
          </w:p>
          <w:p w14:paraId="25F042A4" w14:textId="268FD399" w:rsidR="00021854" w:rsidRPr="009667A5" w:rsidRDefault="00D2589F" w:rsidP="00021854">
            <w:pPr>
              <w:pStyle w:val="Cuerpo"/>
              <w:numPr>
                <w:ilvl w:val="0"/>
                <w:numId w:val="3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215" w:right="57" w:hanging="215"/>
              <w:jc w:val="both"/>
              <w:rPr>
                <w:rFonts w:ascii="Arial" w:hAnsi="Arial" w:cs="Arial"/>
                <w:color w:val="auto"/>
                <w:sz w:val="22"/>
                <w:szCs w:val="22"/>
              </w:rPr>
            </w:pPr>
            <w:r>
              <w:rPr>
                <w:rFonts w:ascii="Arial" w:hAnsi="Arial" w:cs="Arial"/>
                <w:color w:val="auto"/>
                <w:sz w:val="22"/>
                <w:szCs w:val="22"/>
              </w:rPr>
              <w:t>Segunda</w:t>
            </w:r>
            <w:r w:rsidR="00021854">
              <w:rPr>
                <w:rFonts w:ascii="Arial" w:hAnsi="Arial" w:cs="Arial"/>
                <w:color w:val="auto"/>
                <w:sz w:val="22"/>
                <w:szCs w:val="22"/>
              </w:rPr>
              <w:t xml:space="preserve"> c</w:t>
            </w:r>
            <w:r w:rsidR="00021854" w:rsidRPr="009667A5">
              <w:rPr>
                <w:rFonts w:ascii="Arial" w:hAnsi="Arial" w:cs="Arial"/>
                <w:color w:val="auto"/>
                <w:sz w:val="22"/>
                <w:szCs w:val="22"/>
              </w:rPr>
              <w:t xml:space="preserve">onsulta directa a entidades representativas de los sectores afectados (art. 26.6, Ley 50/1997).  Plazo: </w:t>
            </w:r>
            <w:r w:rsidR="00021854">
              <w:rPr>
                <w:rFonts w:ascii="Arial" w:hAnsi="Arial" w:cs="Arial"/>
                <w:color w:val="auto"/>
                <w:sz w:val="22"/>
                <w:szCs w:val="22"/>
              </w:rPr>
              <w:t>7</w:t>
            </w:r>
            <w:r w:rsidR="00021854" w:rsidRPr="009667A5">
              <w:rPr>
                <w:rFonts w:ascii="Arial" w:hAnsi="Arial" w:cs="Arial"/>
                <w:color w:val="auto"/>
                <w:sz w:val="22"/>
                <w:szCs w:val="22"/>
              </w:rPr>
              <w:t xml:space="preserve"> días hábiles a partir del </w:t>
            </w:r>
            <w:r w:rsidR="00021854" w:rsidRPr="00CF523F">
              <w:rPr>
                <w:rFonts w:ascii="Arial" w:hAnsi="Arial" w:cs="Arial"/>
                <w:color w:val="auto"/>
                <w:sz w:val="22"/>
                <w:szCs w:val="22"/>
              </w:rPr>
              <w:t>1</w:t>
            </w:r>
            <w:r w:rsidR="00021854">
              <w:rPr>
                <w:rFonts w:ascii="Arial" w:hAnsi="Arial" w:cs="Arial"/>
                <w:color w:val="auto"/>
                <w:sz w:val="22"/>
                <w:szCs w:val="22"/>
              </w:rPr>
              <w:t>9</w:t>
            </w:r>
            <w:r w:rsidR="00021854" w:rsidRPr="009667A5">
              <w:rPr>
                <w:rFonts w:ascii="Arial" w:hAnsi="Arial" w:cs="Arial"/>
                <w:color w:val="auto"/>
                <w:sz w:val="22"/>
                <w:szCs w:val="22"/>
              </w:rPr>
              <w:t>/</w:t>
            </w:r>
            <w:r w:rsidR="00021854" w:rsidRPr="00CF523F">
              <w:rPr>
                <w:rFonts w:ascii="Arial" w:hAnsi="Arial" w:cs="Arial"/>
                <w:color w:val="auto"/>
                <w:sz w:val="22"/>
                <w:szCs w:val="22"/>
              </w:rPr>
              <w:t>0</w:t>
            </w:r>
            <w:r w:rsidR="00021854">
              <w:rPr>
                <w:rFonts w:ascii="Arial" w:hAnsi="Arial" w:cs="Arial"/>
                <w:color w:val="auto"/>
                <w:sz w:val="22"/>
                <w:szCs w:val="22"/>
              </w:rPr>
              <w:t>6</w:t>
            </w:r>
            <w:r w:rsidR="00021854" w:rsidRPr="00CF523F">
              <w:rPr>
                <w:rFonts w:ascii="Arial" w:hAnsi="Arial" w:cs="Arial"/>
                <w:color w:val="auto"/>
                <w:sz w:val="22"/>
                <w:szCs w:val="22"/>
              </w:rPr>
              <w:t>/2020</w:t>
            </w:r>
            <w:r w:rsidR="00021854" w:rsidRPr="009667A5">
              <w:rPr>
                <w:rFonts w:ascii="Arial" w:hAnsi="Arial" w:cs="Arial"/>
                <w:color w:val="auto"/>
                <w:sz w:val="22"/>
                <w:szCs w:val="22"/>
              </w:rPr>
              <w:t>.</w:t>
            </w:r>
          </w:p>
          <w:p w14:paraId="0D3941F5" w14:textId="77777777" w:rsidR="00021854" w:rsidRPr="009667A5" w:rsidRDefault="00021854" w:rsidP="00021854">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right="57"/>
              <w:jc w:val="both"/>
              <w:rPr>
                <w:rFonts w:ascii="Arial" w:hAnsi="Arial" w:cs="Arial"/>
                <w:color w:val="auto"/>
                <w:sz w:val="22"/>
                <w:szCs w:val="22"/>
              </w:rPr>
            </w:pPr>
          </w:p>
          <w:p w14:paraId="5C67F54C" w14:textId="3F550091" w:rsidR="00021854" w:rsidRPr="00D2589F" w:rsidRDefault="00D2589F" w:rsidP="00D2589F">
            <w:pPr>
              <w:pStyle w:val="Cuerpo"/>
              <w:numPr>
                <w:ilvl w:val="0"/>
                <w:numId w:val="3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40" w:lineRule="auto"/>
              <w:ind w:left="215" w:right="57" w:hanging="215"/>
              <w:jc w:val="both"/>
              <w:rPr>
                <w:rFonts w:ascii="Arial" w:hAnsi="Arial" w:cs="Arial"/>
                <w:color w:val="auto"/>
                <w:sz w:val="22"/>
                <w:szCs w:val="22"/>
              </w:rPr>
            </w:pPr>
            <w:r>
              <w:rPr>
                <w:rFonts w:ascii="Arial" w:hAnsi="Arial" w:cs="Arial"/>
                <w:color w:val="auto"/>
                <w:sz w:val="22"/>
                <w:szCs w:val="22"/>
              </w:rPr>
              <w:t>Segunda</w:t>
            </w:r>
            <w:r w:rsidR="00021854">
              <w:rPr>
                <w:rFonts w:ascii="Arial" w:hAnsi="Arial" w:cs="Arial"/>
                <w:color w:val="auto"/>
                <w:sz w:val="22"/>
                <w:szCs w:val="22"/>
              </w:rPr>
              <w:t xml:space="preserve"> c</w:t>
            </w:r>
            <w:r w:rsidR="00021854" w:rsidRPr="009667A5">
              <w:rPr>
                <w:rFonts w:ascii="Arial" w:hAnsi="Arial" w:cs="Arial"/>
                <w:color w:val="auto"/>
                <w:sz w:val="22"/>
                <w:szCs w:val="22"/>
              </w:rPr>
              <w:t xml:space="preserve">onsulta a las </w:t>
            </w:r>
            <w:r w:rsidR="00021854">
              <w:rPr>
                <w:rFonts w:ascii="Arial" w:hAnsi="Arial" w:cs="Arial"/>
                <w:color w:val="auto"/>
                <w:sz w:val="22"/>
                <w:szCs w:val="22"/>
              </w:rPr>
              <w:t>C</w:t>
            </w:r>
            <w:r w:rsidR="00021854" w:rsidRPr="009667A5">
              <w:rPr>
                <w:rFonts w:ascii="Arial" w:hAnsi="Arial" w:cs="Arial"/>
                <w:color w:val="auto"/>
                <w:sz w:val="22"/>
                <w:szCs w:val="22"/>
              </w:rPr>
              <w:t xml:space="preserve">omunidades </w:t>
            </w:r>
            <w:r w:rsidR="00021854">
              <w:rPr>
                <w:rFonts w:ascii="Arial" w:hAnsi="Arial" w:cs="Arial"/>
                <w:color w:val="auto"/>
                <w:sz w:val="22"/>
                <w:szCs w:val="22"/>
              </w:rPr>
              <w:t>A</w:t>
            </w:r>
            <w:r w:rsidR="00021854" w:rsidRPr="009667A5">
              <w:rPr>
                <w:rFonts w:ascii="Arial" w:hAnsi="Arial" w:cs="Arial"/>
                <w:color w:val="auto"/>
                <w:sz w:val="22"/>
                <w:szCs w:val="22"/>
              </w:rPr>
              <w:t>utónomas (art. 26</w:t>
            </w:r>
            <w:r w:rsidR="00021854">
              <w:rPr>
                <w:rFonts w:ascii="Arial" w:hAnsi="Arial" w:cs="Arial"/>
                <w:color w:val="auto"/>
                <w:sz w:val="22"/>
                <w:szCs w:val="22"/>
              </w:rPr>
              <w:t>,</w:t>
            </w:r>
            <w:r w:rsidR="00021854" w:rsidRPr="009667A5">
              <w:rPr>
                <w:rFonts w:ascii="Arial" w:hAnsi="Arial" w:cs="Arial"/>
                <w:color w:val="auto"/>
                <w:sz w:val="22"/>
                <w:szCs w:val="22"/>
              </w:rPr>
              <w:t xml:space="preserve"> Ley </w:t>
            </w:r>
            <w:r w:rsidR="00021854">
              <w:rPr>
                <w:rFonts w:ascii="Arial" w:hAnsi="Arial" w:cs="Arial"/>
                <w:color w:val="auto"/>
                <w:sz w:val="22"/>
                <w:szCs w:val="22"/>
              </w:rPr>
              <w:t>50/1997</w:t>
            </w:r>
            <w:r w:rsidR="00021854" w:rsidRPr="009667A5">
              <w:rPr>
                <w:rFonts w:ascii="Arial" w:hAnsi="Arial" w:cs="Arial"/>
                <w:color w:val="auto"/>
                <w:sz w:val="22"/>
                <w:szCs w:val="22"/>
              </w:rPr>
              <w:t xml:space="preserve">). Plazo: </w:t>
            </w:r>
            <w:r w:rsidR="00021854">
              <w:rPr>
                <w:rFonts w:ascii="Arial" w:hAnsi="Arial" w:cs="Arial"/>
                <w:color w:val="auto"/>
                <w:sz w:val="22"/>
                <w:szCs w:val="22"/>
              </w:rPr>
              <w:t>7</w:t>
            </w:r>
            <w:r w:rsidR="00021854" w:rsidRPr="009667A5">
              <w:rPr>
                <w:rFonts w:ascii="Arial" w:hAnsi="Arial" w:cs="Arial"/>
                <w:color w:val="auto"/>
                <w:sz w:val="22"/>
                <w:szCs w:val="22"/>
              </w:rPr>
              <w:t xml:space="preserve"> días hábiles a partir del </w:t>
            </w:r>
            <w:r w:rsidR="00021854" w:rsidRPr="00CF523F">
              <w:rPr>
                <w:rFonts w:ascii="Arial" w:hAnsi="Arial" w:cs="Arial"/>
                <w:color w:val="auto"/>
                <w:sz w:val="22"/>
                <w:szCs w:val="22"/>
              </w:rPr>
              <w:t>1</w:t>
            </w:r>
            <w:r w:rsidR="00021854">
              <w:rPr>
                <w:rFonts w:ascii="Arial" w:hAnsi="Arial" w:cs="Arial"/>
                <w:color w:val="auto"/>
                <w:sz w:val="22"/>
                <w:szCs w:val="22"/>
              </w:rPr>
              <w:t>9</w:t>
            </w:r>
            <w:r w:rsidR="00021854" w:rsidRPr="009667A5">
              <w:rPr>
                <w:rFonts w:ascii="Arial" w:hAnsi="Arial" w:cs="Arial"/>
                <w:color w:val="auto"/>
                <w:sz w:val="22"/>
                <w:szCs w:val="22"/>
              </w:rPr>
              <w:t>/0</w:t>
            </w:r>
            <w:r w:rsidR="00021854">
              <w:rPr>
                <w:rFonts w:ascii="Arial" w:hAnsi="Arial" w:cs="Arial"/>
                <w:color w:val="auto"/>
                <w:sz w:val="22"/>
                <w:szCs w:val="22"/>
              </w:rPr>
              <w:t>6</w:t>
            </w:r>
            <w:r w:rsidR="00021854" w:rsidRPr="009667A5">
              <w:rPr>
                <w:rFonts w:ascii="Arial" w:hAnsi="Arial" w:cs="Arial"/>
                <w:color w:val="auto"/>
                <w:sz w:val="22"/>
                <w:szCs w:val="22"/>
              </w:rPr>
              <w:t>/20</w:t>
            </w:r>
            <w:r w:rsidR="00021854" w:rsidRPr="00CF523F">
              <w:rPr>
                <w:rFonts w:ascii="Arial" w:hAnsi="Arial" w:cs="Arial"/>
                <w:color w:val="auto"/>
                <w:sz w:val="22"/>
                <w:szCs w:val="22"/>
              </w:rPr>
              <w:t>20</w:t>
            </w:r>
            <w:r w:rsidR="00021854" w:rsidRPr="00952CF1">
              <w:rPr>
                <w:rFonts w:ascii="Arial" w:hAnsi="Arial" w:cs="Arial"/>
                <w:color w:val="auto"/>
                <w:sz w:val="22"/>
                <w:szCs w:val="22"/>
              </w:rPr>
              <w:t>.</w:t>
            </w:r>
          </w:p>
          <w:p w14:paraId="71864661" w14:textId="4AEFA728" w:rsidR="00AA2FE0" w:rsidRPr="00CF523F" w:rsidRDefault="00AA2FE0" w:rsidP="00AA2FE0">
            <w:pPr>
              <w:pStyle w:val="Sangra3detindependiente"/>
              <w:spacing w:before="120"/>
              <w:ind w:left="0"/>
              <w:jc w:val="both"/>
              <w:rPr>
                <w:rFonts w:ascii="Arial" w:hAnsi="Arial"/>
                <w:sz w:val="22"/>
                <w:szCs w:val="22"/>
              </w:rPr>
            </w:pPr>
          </w:p>
        </w:tc>
      </w:tr>
      <w:tr w:rsidR="00AA2FE0" w:rsidRPr="00092F23" w14:paraId="54B09CDD" w14:textId="77777777" w:rsidTr="00CF523F">
        <w:trPr>
          <w:cantSplit/>
        </w:trPr>
        <w:tc>
          <w:tcPr>
            <w:tcW w:w="9145" w:type="dxa"/>
            <w:gridSpan w:val="5"/>
          </w:tcPr>
          <w:p w14:paraId="0628577A" w14:textId="77777777" w:rsidR="00AA2FE0" w:rsidRPr="00092F23" w:rsidRDefault="00AA2FE0" w:rsidP="00AA2FE0">
            <w:pPr>
              <w:pStyle w:val="Sangra3detindependiente"/>
              <w:keepNext/>
              <w:spacing w:before="240" w:after="240"/>
              <w:ind w:left="0"/>
              <w:jc w:val="center"/>
              <w:rPr>
                <w:rFonts w:ascii="Arial" w:hAnsi="Arial" w:cs="Arial"/>
                <w:b/>
                <w:spacing w:val="-3"/>
                <w:sz w:val="22"/>
                <w:szCs w:val="22"/>
              </w:rPr>
            </w:pPr>
            <w:r w:rsidRPr="00092F23">
              <w:rPr>
                <w:rFonts w:ascii="Arial" w:hAnsi="Arial" w:cs="Arial"/>
                <w:b/>
                <w:spacing w:val="-3"/>
                <w:sz w:val="22"/>
                <w:szCs w:val="22"/>
              </w:rPr>
              <w:t>ANÁLISIS DE IMPACTOS</w:t>
            </w:r>
          </w:p>
        </w:tc>
      </w:tr>
      <w:tr w:rsidR="00AA2FE0" w:rsidRPr="00092F23" w14:paraId="498FA422" w14:textId="77777777" w:rsidTr="00CF523F">
        <w:trPr>
          <w:cantSplit/>
        </w:trPr>
        <w:tc>
          <w:tcPr>
            <w:tcW w:w="2713" w:type="dxa"/>
          </w:tcPr>
          <w:p w14:paraId="167EB74F" w14:textId="77777777" w:rsidR="00AA2FE0" w:rsidRPr="00092F23" w:rsidRDefault="00AA2FE0" w:rsidP="00AA2FE0">
            <w:pPr>
              <w:pStyle w:val="Sangra3detindependiente"/>
              <w:spacing w:before="120"/>
              <w:ind w:left="0"/>
              <w:rPr>
                <w:rFonts w:ascii="Arial" w:hAnsi="Arial" w:cs="Arial"/>
                <w:b/>
                <w:spacing w:val="-3"/>
                <w:sz w:val="22"/>
                <w:szCs w:val="22"/>
              </w:rPr>
            </w:pPr>
            <w:r w:rsidRPr="00092F23">
              <w:rPr>
                <w:rFonts w:ascii="Arial" w:hAnsi="Arial" w:cs="Arial"/>
                <w:b/>
                <w:spacing w:val="-3"/>
                <w:sz w:val="22"/>
                <w:szCs w:val="22"/>
              </w:rPr>
              <w:t>Adecuación al orden de competencias</w:t>
            </w:r>
          </w:p>
        </w:tc>
        <w:tc>
          <w:tcPr>
            <w:tcW w:w="6432" w:type="dxa"/>
            <w:gridSpan w:val="4"/>
          </w:tcPr>
          <w:p w14:paraId="164B1031" w14:textId="77777777" w:rsidR="00AA2FE0" w:rsidRPr="00092F23" w:rsidRDefault="00AA2FE0" w:rsidP="00AA2FE0">
            <w:pPr>
              <w:pStyle w:val="Sangra3detindependiente"/>
              <w:spacing w:before="120" w:after="0"/>
              <w:ind w:left="0"/>
              <w:jc w:val="both"/>
              <w:rPr>
                <w:rFonts w:ascii="Arial" w:hAnsi="Arial" w:cs="Arial"/>
                <w:b/>
                <w:spacing w:val="-3"/>
                <w:sz w:val="22"/>
                <w:szCs w:val="22"/>
              </w:rPr>
            </w:pPr>
            <w:r w:rsidRPr="00092F23">
              <w:rPr>
                <w:rFonts w:ascii="Arial" w:hAnsi="Arial" w:cs="Arial"/>
                <w:b/>
                <w:spacing w:val="-3"/>
                <w:sz w:val="22"/>
                <w:szCs w:val="22"/>
              </w:rPr>
              <w:t>¿Cuál es el título competencial prevalente?</w:t>
            </w:r>
          </w:p>
          <w:p w14:paraId="58B8EE02" w14:textId="77777777" w:rsidR="00AA2FE0" w:rsidRPr="00092F23" w:rsidRDefault="00AA2FE0" w:rsidP="00AA2FE0">
            <w:pPr>
              <w:pStyle w:val="Sangra3detindependiente"/>
              <w:spacing w:before="120"/>
              <w:ind w:left="0"/>
              <w:jc w:val="both"/>
              <w:rPr>
                <w:rFonts w:ascii="Arial" w:hAnsi="Arial" w:cs="Arial"/>
                <w:sz w:val="22"/>
                <w:szCs w:val="22"/>
                <w:lang w:val="es-ES"/>
              </w:rPr>
            </w:pPr>
            <w:r w:rsidRPr="00092F23">
              <w:rPr>
                <w:rFonts w:ascii="Arial" w:hAnsi="Arial" w:cs="Arial"/>
                <w:spacing w:val="-3"/>
                <w:sz w:val="22"/>
                <w:szCs w:val="22"/>
              </w:rPr>
              <w:t>Artículo</w:t>
            </w:r>
            <w:r w:rsidRPr="00092F23">
              <w:rPr>
                <w:rFonts w:ascii="Arial" w:hAnsi="Arial" w:cs="Arial"/>
                <w:sz w:val="22"/>
                <w:szCs w:val="22"/>
                <w:lang w:val="es-ES"/>
              </w:rPr>
              <w:t xml:space="preserve"> 149.1</w:t>
            </w:r>
            <w:r w:rsidRPr="00092F23">
              <w:rPr>
                <w:rFonts w:ascii="Arial" w:hAnsi="Arial" w:cs="Arial"/>
                <w:spacing w:val="-3"/>
                <w:sz w:val="22"/>
                <w:szCs w:val="22"/>
              </w:rPr>
              <w:t>.</w:t>
            </w:r>
            <w:r w:rsidRPr="00092F23">
              <w:rPr>
                <w:rFonts w:ascii="Arial" w:hAnsi="Arial" w:cs="Arial"/>
                <w:sz w:val="22"/>
                <w:szCs w:val="22"/>
                <w:lang w:val="es-ES"/>
              </w:rPr>
              <w:t>13ª: competencia exclusiva del Estado sobre</w:t>
            </w:r>
            <w:r w:rsidRPr="00092F23">
              <w:rPr>
                <w:rFonts w:ascii="Arial" w:hAnsi="Arial" w:cs="Arial"/>
                <w:sz w:val="22"/>
                <w:szCs w:val="22"/>
              </w:rPr>
              <w:t xml:space="preserve"> las b</w:t>
            </w:r>
            <w:r w:rsidRPr="00092F23">
              <w:rPr>
                <w:rFonts w:ascii="Arial" w:hAnsi="Arial" w:cs="Arial"/>
                <w:sz w:val="22"/>
                <w:szCs w:val="22"/>
                <w:lang w:val="es-ES"/>
              </w:rPr>
              <w:t xml:space="preserve">ases y </w:t>
            </w:r>
            <w:r w:rsidRPr="00092F23">
              <w:rPr>
                <w:rFonts w:ascii="Arial" w:hAnsi="Arial" w:cs="Arial"/>
                <w:spacing w:val="-3"/>
                <w:sz w:val="22"/>
                <w:szCs w:val="22"/>
              </w:rPr>
              <w:t>coordinación</w:t>
            </w:r>
            <w:r w:rsidRPr="00092F23">
              <w:rPr>
                <w:rFonts w:ascii="Arial" w:hAnsi="Arial" w:cs="Arial"/>
                <w:sz w:val="22"/>
                <w:szCs w:val="22"/>
                <w:lang w:val="es-ES"/>
              </w:rPr>
              <w:t xml:space="preserve"> de la planificación general de la actividad económica.</w:t>
            </w:r>
          </w:p>
        </w:tc>
      </w:tr>
      <w:tr w:rsidR="00AA2FE0" w:rsidRPr="00043CB1" w14:paraId="06A67059" w14:textId="77777777" w:rsidTr="00CF523F">
        <w:trPr>
          <w:cantSplit/>
        </w:trPr>
        <w:tc>
          <w:tcPr>
            <w:tcW w:w="2713" w:type="dxa"/>
            <w:vMerge w:val="restart"/>
          </w:tcPr>
          <w:p w14:paraId="26988B4A" w14:textId="77777777" w:rsidR="00AA2FE0" w:rsidRPr="00B015B4" w:rsidRDefault="00AA2FE0" w:rsidP="00AA2FE0">
            <w:pPr>
              <w:pStyle w:val="Sangra3detindependiente"/>
              <w:spacing w:before="120"/>
              <w:ind w:left="0"/>
              <w:rPr>
                <w:rFonts w:ascii="Arial" w:hAnsi="Arial" w:cs="Arial"/>
                <w:b/>
                <w:spacing w:val="-3"/>
                <w:sz w:val="22"/>
                <w:szCs w:val="22"/>
              </w:rPr>
            </w:pPr>
            <w:r w:rsidRPr="00B015B4">
              <w:rPr>
                <w:rFonts w:ascii="Arial" w:hAnsi="Arial" w:cs="Arial"/>
                <w:b/>
                <w:spacing w:val="-3"/>
                <w:sz w:val="22"/>
                <w:szCs w:val="22"/>
              </w:rPr>
              <w:t>Impacto económico y presupuestario</w:t>
            </w:r>
          </w:p>
        </w:tc>
        <w:tc>
          <w:tcPr>
            <w:tcW w:w="2750" w:type="dxa"/>
            <w:shd w:val="clear" w:color="auto" w:fill="auto"/>
          </w:tcPr>
          <w:p w14:paraId="45244EAE" w14:textId="77777777" w:rsidR="00AA2FE0" w:rsidRPr="006943D6" w:rsidRDefault="00AA2FE0" w:rsidP="00AA2FE0">
            <w:pPr>
              <w:pStyle w:val="Sangra3detindependiente"/>
              <w:spacing w:before="120"/>
              <w:ind w:left="0"/>
              <w:rPr>
                <w:rFonts w:ascii="Arial" w:hAnsi="Arial" w:cs="Arial"/>
                <w:b/>
                <w:spacing w:val="-3"/>
                <w:sz w:val="22"/>
                <w:szCs w:val="22"/>
              </w:rPr>
            </w:pPr>
            <w:r w:rsidRPr="006943D6">
              <w:rPr>
                <w:rFonts w:ascii="Arial" w:hAnsi="Arial" w:cs="Arial"/>
                <w:b/>
                <w:spacing w:val="-3"/>
                <w:sz w:val="22"/>
                <w:szCs w:val="22"/>
              </w:rPr>
              <w:t>Efectos sobre la economía en general</w:t>
            </w:r>
          </w:p>
        </w:tc>
        <w:tc>
          <w:tcPr>
            <w:tcW w:w="3682" w:type="dxa"/>
            <w:gridSpan w:val="3"/>
            <w:shd w:val="clear" w:color="auto" w:fill="auto"/>
          </w:tcPr>
          <w:p w14:paraId="1CEB36EA" w14:textId="675CB711" w:rsidR="00AA2FE0" w:rsidRPr="006943D6" w:rsidRDefault="00AA2FE0" w:rsidP="00AA2FE0">
            <w:pPr>
              <w:pStyle w:val="Sangra3detindependiente"/>
              <w:spacing w:before="120"/>
              <w:ind w:left="0"/>
              <w:jc w:val="both"/>
              <w:rPr>
                <w:rFonts w:ascii="Arial" w:hAnsi="Arial" w:cs="Arial"/>
                <w:spacing w:val="-3"/>
                <w:sz w:val="22"/>
                <w:szCs w:val="22"/>
              </w:rPr>
            </w:pPr>
            <w:r w:rsidRPr="006943D6">
              <w:rPr>
                <w:rFonts w:ascii="Arial" w:hAnsi="Arial" w:cs="Arial"/>
                <w:spacing w:val="-3"/>
                <w:sz w:val="22"/>
                <w:szCs w:val="22"/>
              </w:rPr>
              <w:t>En tanto el Proyecto de real decreto tiene por objetivo mejorar la competitividad del sector, garantizar la leal competencia entre las industrias y dotar de las mismas condiciones a todos los productores, se estima que tendrá un impacto positivo sobre la economía.</w:t>
            </w:r>
          </w:p>
        </w:tc>
      </w:tr>
      <w:tr w:rsidR="00AA2FE0" w:rsidRPr="00043CB1" w14:paraId="147DCB81" w14:textId="77777777" w:rsidTr="00CF523F">
        <w:trPr>
          <w:cantSplit/>
        </w:trPr>
        <w:tc>
          <w:tcPr>
            <w:tcW w:w="2713" w:type="dxa"/>
            <w:vMerge/>
          </w:tcPr>
          <w:p w14:paraId="3A30C8CB" w14:textId="77777777" w:rsidR="00AA2FE0" w:rsidRPr="00043CB1" w:rsidRDefault="00AA2FE0" w:rsidP="00AA2FE0">
            <w:pPr>
              <w:pStyle w:val="Sangra3detindependiente"/>
              <w:spacing w:before="120"/>
              <w:ind w:left="0"/>
              <w:jc w:val="both"/>
              <w:rPr>
                <w:rFonts w:ascii="Arial" w:hAnsi="Arial" w:cs="Arial"/>
                <w:b/>
                <w:color w:val="FF0000"/>
                <w:spacing w:val="-3"/>
                <w:sz w:val="22"/>
                <w:szCs w:val="22"/>
              </w:rPr>
            </w:pPr>
          </w:p>
        </w:tc>
        <w:tc>
          <w:tcPr>
            <w:tcW w:w="2750" w:type="dxa"/>
            <w:shd w:val="clear" w:color="auto" w:fill="auto"/>
          </w:tcPr>
          <w:p w14:paraId="7C93F201" w14:textId="77777777" w:rsidR="00AA2FE0" w:rsidRPr="00092F23" w:rsidRDefault="00AA2FE0" w:rsidP="00AA2FE0">
            <w:pPr>
              <w:pStyle w:val="Sangra3detindependiente"/>
              <w:spacing w:before="120"/>
              <w:ind w:left="0"/>
              <w:rPr>
                <w:rFonts w:ascii="Arial" w:hAnsi="Arial" w:cs="Arial"/>
                <w:b/>
                <w:spacing w:val="-3"/>
                <w:sz w:val="22"/>
                <w:szCs w:val="22"/>
              </w:rPr>
            </w:pPr>
            <w:r w:rsidRPr="00092F23">
              <w:rPr>
                <w:rFonts w:ascii="Arial" w:hAnsi="Arial" w:cs="Arial"/>
                <w:b/>
                <w:spacing w:val="-3"/>
                <w:sz w:val="22"/>
                <w:szCs w:val="22"/>
              </w:rPr>
              <w:t>En relación con la competencia</w:t>
            </w:r>
          </w:p>
        </w:tc>
        <w:tc>
          <w:tcPr>
            <w:tcW w:w="3682" w:type="dxa"/>
            <w:gridSpan w:val="3"/>
            <w:shd w:val="clear" w:color="auto" w:fill="auto"/>
          </w:tcPr>
          <w:tbl>
            <w:tblPr>
              <w:tblpPr w:leftFromText="141" w:rightFromText="141" w:vertAnchor="text" w:horzAnchor="margin" w:tblpXSpec="right"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092F23" w14:paraId="77863D45" w14:textId="77777777" w:rsidTr="00724849">
              <w:tc>
                <w:tcPr>
                  <w:tcW w:w="419" w:type="dxa"/>
                </w:tcPr>
                <w:p w14:paraId="52B7FD88" w14:textId="77777777" w:rsidR="00AA2FE0" w:rsidRPr="00092F23" w:rsidRDefault="00AA2FE0" w:rsidP="00AA2FE0">
                  <w:pPr>
                    <w:pStyle w:val="Sangra3detindependiente"/>
                    <w:spacing w:before="120"/>
                    <w:ind w:left="0"/>
                    <w:jc w:val="both"/>
                    <w:rPr>
                      <w:rFonts w:ascii="Arial" w:hAnsi="Arial" w:cs="Arial"/>
                      <w:spacing w:val="-3"/>
                      <w:sz w:val="22"/>
                      <w:szCs w:val="22"/>
                    </w:rPr>
                  </w:pPr>
                </w:p>
              </w:tc>
            </w:tr>
          </w:tbl>
          <w:p w14:paraId="73E96B5C" w14:textId="77777777" w:rsidR="00AA2FE0" w:rsidRPr="00092F23" w:rsidRDefault="00AA2FE0" w:rsidP="00AA2FE0">
            <w:pPr>
              <w:pStyle w:val="Sangra3detindependiente"/>
              <w:spacing w:before="120"/>
              <w:ind w:left="0"/>
              <w:jc w:val="both"/>
              <w:rPr>
                <w:rFonts w:ascii="Arial" w:hAnsi="Arial" w:cs="Arial"/>
                <w:b/>
                <w:spacing w:val="-3"/>
                <w:sz w:val="22"/>
                <w:szCs w:val="22"/>
              </w:rPr>
            </w:pPr>
            <w:r w:rsidRPr="00092F23">
              <w:rPr>
                <w:rFonts w:ascii="Arial" w:hAnsi="Arial" w:cs="Arial"/>
                <w:b/>
                <w:spacing w:val="-3"/>
                <w:sz w:val="22"/>
                <w:szCs w:val="22"/>
              </w:rPr>
              <w:t>La norma no tiene efectos significativos sobre la competencia.</w:t>
            </w:r>
          </w:p>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092F23" w14:paraId="199ACCA2" w14:textId="77777777" w:rsidTr="00724849">
              <w:tc>
                <w:tcPr>
                  <w:tcW w:w="419" w:type="dxa"/>
                </w:tcPr>
                <w:p w14:paraId="5CC8ACD2" w14:textId="77777777" w:rsidR="00AA2FE0" w:rsidRPr="00092F23" w:rsidRDefault="00AA2FE0" w:rsidP="00AA2FE0">
                  <w:pPr>
                    <w:pStyle w:val="Sangra3detindependiente"/>
                    <w:spacing w:before="120"/>
                    <w:ind w:left="0"/>
                    <w:jc w:val="center"/>
                    <w:rPr>
                      <w:rFonts w:ascii="Arial" w:hAnsi="Arial" w:cs="Arial"/>
                      <w:spacing w:val="-3"/>
                      <w:sz w:val="22"/>
                      <w:szCs w:val="22"/>
                    </w:rPr>
                  </w:pPr>
                  <w:r w:rsidRPr="00092F23">
                    <w:rPr>
                      <w:rFonts w:ascii="Arial" w:hAnsi="Arial" w:cs="Arial"/>
                      <w:spacing w:val="-3"/>
                      <w:sz w:val="22"/>
                      <w:szCs w:val="22"/>
                    </w:rPr>
                    <w:t>X</w:t>
                  </w:r>
                </w:p>
              </w:tc>
            </w:tr>
          </w:tbl>
          <w:p w14:paraId="62A91C3F" w14:textId="77777777" w:rsidR="00AA2FE0" w:rsidRPr="00092F23" w:rsidRDefault="00AA2FE0" w:rsidP="00AA2FE0">
            <w:pPr>
              <w:pStyle w:val="Sangra3detindependiente"/>
              <w:spacing w:before="120"/>
              <w:ind w:left="0"/>
              <w:jc w:val="both"/>
              <w:rPr>
                <w:rFonts w:ascii="Arial" w:hAnsi="Arial" w:cs="Arial"/>
                <w:b/>
                <w:spacing w:val="-3"/>
                <w:sz w:val="22"/>
                <w:szCs w:val="22"/>
              </w:rPr>
            </w:pPr>
            <w:r w:rsidRPr="00092F23">
              <w:rPr>
                <w:rFonts w:ascii="Arial" w:hAnsi="Arial" w:cs="Arial"/>
                <w:b/>
                <w:spacing w:val="-3"/>
                <w:sz w:val="22"/>
                <w:szCs w:val="22"/>
              </w:rPr>
              <w:t>La norma tiene efectos positivos sobre la competencia.</w:t>
            </w:r>
          </w:p>
          <w:tbl>
            <w:tblPr>
              <w:tblpPr w:leftFromText="141" w:rightFromText="141" w:vertAnchor="text" w:horzAnchor="margin" w:tblpXSpec="right"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092F23" w14:paraId="7679C630" w14:textId="77777777" w:rsidTr="00724849">
              <w:tc>
                <w:tcPr>
                  <w:tcW w:w="419" w:type="dxa"/>
                </w:tcPr>
                <w:p w14:paraId="0CAD7BF9" w14:textId="77777777" w:rsidR="00AA2FE0" w:rsidRPr="00092F23" w:rsidRDefault="00AA2FE0" w:rsidP="00AA2FE0">
                  <w:pPr>
                    <w:pStyle w:val="Sangra3detindependiente"/>
                    <w:spacing w:before="120"/>
                    <w:ind w:left="0"/>
                    <w:jc w:val="center"/>
                    <w:rPr>
                      <w:rFonts w:ascii="Arial" w:hAnsi="Arial" w:cs="Arial"/>
                      <w:spacing w:val="-3"/>
                      <w:sz w:val="22"/>
                      <w:szCs w:val="22"/>
                    </w:rPr>
                  </w:pPr>
                </w:p>
              </w:tc>
            </w:tr>
          </w:tbl>
          <w:p w14:paraId="38B50B43" w14:textId="77777777" w:rsidR="00AA2FE0" w:rsidRPr="00092F23" w:rsidRDefault="00AA2FE0" w:rsidP="00AA2FE0">
            <w:pPr>
              <w:pStyle w:val="Sangra3detindependiente"/>
              <w:spacing w:before="120"/>
              <w:ind w:left="0"/>
              <w:jc w:val="both"/>
              <w:rPr>
                <w:rFonts w:ascii="Arial" w:hAnsi="Arial" w:cs="Arial"/>
                <w:b/>
                <w:spacing w:val="-3"/>
                <w:sz w:val="22"/>
                <w:szCs w:val="22"/>
              </w:rPr>
            </w:pPr>
            <w:r w:rsidRPr="00092F23">
              <w:rPr>
                <w:rFonts w:ascii="Arial" w:hAnsi="Arial" w:cs="Arial"/>
                <w:b/>
                <w:spacing w:val="-3"/>
                <w:sz w:val="22"/>
                <w:szCs w:val="22"/>
              </w:rPr>
              <w:t>La norma tiene efectos negativos sobre la competencia.</w:t>
            </w:r>
          </w:p>
        </w:tc>
      </w:tr>
      <w:tr w:rsidR="00AA2FE0" w:rsidRPr="00043CB1" w14:paraId="32A9B98A" w14:textId="77777777" w:rsidTr="00CF523F">
        <w:trPr>
          <w:cantSplit/>
        </w:trPr>
        <w:tc>
          <w:tcPr>
            <w:tcW w:w="2713" w:type="dxa"/>
            <w:vMerge/>
          </w:tcPr>
          <w:p w14:paraId="38F4D640" w14:textId="77777777" w:rsidR="00AA2FE0" w:rsidRPr="00043CB1" w:rsidRDefault="00AA2FE0" w:rsidP="00AA2FE0">
            <w:pPr>
              <w:pStyle w:val="Sangra3detindependiente"/>
              <w:spacing w:before="240" w:after="0"/>
              <w:ind w:left="0"/>
              <w:jc w:val="both"/>
              <w:rPr>
                <w:rFonts w:ascii="Arial" w:hAnsi="Arial" w:cs="Arial"/>
                <w:b/>
                <w:color w:val="FF0000"/>
                <w:spacing w:val="-3"/>
                <w:sz w:val="22"/>
                <w:szCs w:val="22"/>
              </w:rPr>
            </w:pPr>
          </w:p>
        </w:tc>
        <w:tc>
          <w:tcPr>
            <w:tcW w:w="2750" w:type="dxa"/>
            <w:shd w:val="clear" w:color="auto" w:fill="auto"/>
          </w:tcPr>
          <w:p w14:paraId="23CC2C8B" w14:textId="77777777" w:rsidR="00AA2FE0" w:rsidRPr="004D4AAE" w:rsidRDefault="00AA2FE0" w:rsidP="00AA2FE0">
            <w:pPr>
              <w:pStyle w:val="Sangra3detindependiente"/>
              <w:spacing w:before="120"/>
              <w:ind w:left="0"/>
              <w:rPr>
                <w:rFonts w:ascii="Arial" w:hAnsi="Arial" w:cs="Arial"/>
                <w:b/>
                <w:spacing w:val="-3"/>
                <w:sz w:val="22"/>
                <w:szCs w:val="22"/>
              </w:rPr>
            </w:pPr>
            <w:r w:rsidRPr="004D4AAE">
              <w:rPr>
                <w:rFonts w:ascii="Arial" w:hAnsi="Arial" w:cs="Arial"/>
                <w:b/>
                <w:spacing w:val="-3"/>
                <w:sz w:val="22"/>
                <w:szCs w:val="22"/>
              </w:rPr>
              <w:t>Desde el punto de vista de las cargas administrativas</w:t>
            </w:r>
          </w:p>
        </w:tc>
        <w:tc>
          <w:tcPr>
            <w:tcW w:w="3682" w:type="dxa"/>
            <w:gridSpan w:val="3"/>
            <w:shd w:val="clear" w:color="auto" w:fill="auto"/>
          </w:tcPr>
          <w:tbl>
            <w:tblPr>
              <w:tblpPr w:leftFromText="141" w:rightFromText="141" w:vertAnchor="text" w:horzAnchor="margin" w:tblpXSpec="right"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4D4AAE" w14:paraId="1FB870A7" w14:textId="77777777" w:rsidTr="00724849">
              <w:tc>
                <w:tcPr>
                  <w:tcW w:w="419" w:type="dxa"/>
                </w:tcPr>
                <w:p w14:paraId="6AD59B6C" w14:textId="77777777" w:rsidR="00AA2FE0" w:rsidRPr="004D4AAE" w:rsidRDefault="00AA2FE0" w:rsidP="00AA2FE0">
                  <w:pPr>
                    <w:pStyle w:val="Sangra3detindependiente"/>
                    <w:spacing w:before="120"/>
                    <w:ind w:left="0"/>
                    <w:jc w:val="both"/>
                    <w:rPr>
                      <w:rFonts w:ascii="Arial" w:hAnsi="Arial" w:cs="Arial"/>
                      <w:spacing w:val="-3"/>
                      <w:sz w:val="22"/>
                      <w:szCs w:val="22"/>
                    </w:rPr>
                  </w:pPr>
                </w:p>
              </w:tc>
            </w:tr>
          </w:tbl>
          <w:p w14:paraId="01C6783C" w14:textId="77777777" w:rsidR="00AA2FE0" w:rsidRPr="004D4AAE" w:rsidRDefault="00AA2FE0" w:rsidP="00AA2FE0">
            <w:pPr>
              <w:pStyle w:val="Sangra3detindependiente"/>
              <w:spacing w:before="120"/>
              <w:ind w:left="0"/>
              <w:rPr>
                <w:rFonts w:ascii="Arial" w:hAnsi="Arial" w:cs="Arial"/>
                <w:b/>
                <w:spacing w:val="-3"/>
                <w:sz w:val="22"/>
                <w:szCs w:val="22"/>
              </w:rPr>
            </w:pPr>
            <w:r w:rsidRPr="004D4AAE">
              <w:rPr>
                <w:rFonts w:ascii="Arial" w:hAnsi="Arial" w:cs="Arial"/>
                <w:b/>
                <w:spacing w:val="-3"/>
                <w:sz w:val="22"/>
                <w:szCs w:val="22"/>
              </w:rPr>
              <w:t>Supone una reducción de cargas administrativas.</w:t>
            </w:r>
          </w:p>
          <w:p w14:paraId="35FF46CD" w14:textId="77777777" w:rsidR="00AA2FE0" w:rsidRPr="004D4AAE" w:rsidRDefault="00AA2FE0" w:rsidP="00AA2FE0">
            <w:pPr>
              <w:pStyle w:val="Sangra3detindependiente"/>
              <w:spacing w:before="120"/>
              <w:ind w:left="0"/>
              <w:rPr>
                <w:rFonts w:ascii="Arial" w:hAnsi="Arial" w:cs="Arial"/>
                <w:b/>
                <w:spacing w:val="-3"/>
                <w:sz w:val="22"/>
                <w:szCs w:val="22"/>
              </w:rPr>
            </w:pPr>
            <w:r w:rsidRPr="004D4AAE">
              <w:rPr>
                <w:rFonts w:ascii="Arial" w:hAnsi="Arial" w:cs="Arial"/>
                <w:b/>
                <w:spacing w:val="-3"/>
                <w:sz w:val="22"/>
                <w:szCs w:val="22"/>
              </w:rPr>
              <w:t xml:space="preserve">Cuantificación estimada:  </w:t>
            </w:r>
          </w:p>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4D4AAE" w14:paraId="06843373" w14:textId="77777777" w:rsidTr="00724849">
              <w:tc>
                <w:tcPr>
                  <w:tcW w:w="419" w:type="dxa"/>
                </w:tcPr>
                <w:p w14:paraId="1D4BF860" w14:textId="77777777" w:rsidR="00AA2FE0" w:rsidRPr="004D4AAE" w:rsidRDefault="00AA2FE0" w:rsidP="00AA2FE0">
                  <w:pPr>
                    <w:pStyle w:val="Sangra3detindependiente"/>
                    <w:spacing w:before="120"/>
                    <w:ind w:left="0"/>
                    <w:jc w:val="center"/>
                    <w:rPr>
                      <w:rFonts w:ascii="Arial" w:hAnsi="Arial" w:cs="Arial"/>
                      <w:spacing w:val="-3"/>
                      <w:sz w:val="22"/>
                      <w:szCs w:val="22"/>
                    </w:rPr>
                  </w:pPr>
                </w:p>
              </w:tc>
            </w:tr>
          </w:tbl>
          <w:p w14:paraId="18B67B93" w14:textId="77777777" w:rsidR="00AA2FE0" w:rsidRPr="004D4AAE" w:rsidRDefault="00AA2FE0" w:rsidP="00AA2FE0">
            <w:pPr>
              <w:pStyle w:val="Sangra3detindependiente"/>
              <w:spacing w:before="120"/>
              <w:ind w:left="0"/>
              <w:rPr>
                <w:rFonts w:ascii="Arial" w:hAnsi="Arial" w:cs="Arial"/>
                <w:b/>
                <w:spacing w:val="-3"/>
                <w:sz w:val="22"/>
                <w:szCs w:val="22"/>
              </w:rPr>
            </w:pPr>
            <w:r w:rsidRPr="004D4AAE">
              <w:rPr>
                <w:rFonts w:ascii="Arial" w:hAnsi="Arial" w:cs="Arial"/>
                <w:b/>
                <w:spacing w:val="-3"/>
                <w:sz w:val="22"/>
                <w:szCs w:val="22"/>
              </w:rPr>
              <w:t>Incorpora nuevas cargas administrativas.</w:t>
            </w:r>
          </w:p>
          <w:p w14:paraId="2BAF841B" w14:textId="77777777" w:rsidR="00AA2FE0" w:rsidRPr="004D4AAE" w:rsidRDefault="00AA2FE0" w:rsidP="00AA2FE0">
            <w:pPr>
              <w:pStyle w:val="Sangra3detindependiente"/>
              <w:spacing w:before="120"/>
              <w:ind w:left="0"/>
              <w:rPr>
                <w:rFonts w:ascii="Arial" w:hAnsi="Arial" w:cs="Arial"/>
                <w:b/>
                <w:spacing w:val="-3"/>
                <w:sz w:val="22"/>
                <w:szCs w:val="22"/>
              </w:rPr>
            </w:pPr>
            <w:r w:rsidRPr="004D4AAE">
              <w:rPr>
                <w:rFonts w:ascii="Arial" w:hAnsi="Arial" w:cs="Arial"/>
                <w:b/>
                <w:spacing w:val="-3"/>
                <w:sz w:val="22"/>
                <w:szCs w:val="22"/>
              </w:rPr>
              <w:t xml:space="preserve">Cuantificación estimada: </w:t>
            </w:r>
          </w:p>
          <w:tbl>
            <w:tblPr>
              <w:tblpPr w:leftFromText="141" w:rightFromText="141" w:vertAnchor="text" w:horzAnchor="margin" w:tblpXSpec="right"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4D4AAE" w14:paraId="4BDD9144" w14:textId="77777777" w:rsidTr="00724849">
              <w:tc>
                <w:tcPr>
                  <w:tcW w:w="419" w:type="dxa"/>
                </w:tcPr>
                <w:p w14:paraId="076BC126" w14:textId="77777777" w:rsidR="00AA2FE0" w:rsidRPr="004D4AAE" w:rsidRDefault="00AA2FE0" w:rsidP="00AA2FE0">
                  <w:pPr>
                    <w:pStyle w:val="Sangra3detindependiente"/>
                    <w:spacing w:before="120"/>
                    <w:ind w:left="0"/>
                    <w:jc w:val="center"/>
                    <w:rPr>
                      <w:rFonts w:ascii="Arial" w:hAnsi="Arial" w:cs="Arial"/>
                      <w:spacing w:val="-3"/>
                      <w:sz w:val="22"/>
                      <w:szCs w:val="22"/>
                    </w:rPr>
                  </w:pPr>
                  <w:r>
                    <w:rPr>
                      <w:rFonts w:ascii="Arial" w:hAnsi="Arial" w:cs="Arial"/>
                      <w:spacing w:val="-3"/>
                      <w:sz w:val="22"/>
                      <w:szCs w:val="22"/>
                    </w:rPr>
                    <w:t>X</w:t>
                  </w:r>
                </w:p>
              </w:tc>
            </w:tr>
          </w:tbl>
          <w:p w14:paraId="0E1ABBF7" w14:textId="77777777" w:rsidR="00AA2FE0" w:rsidRPr="004D4AAE" w:rsidRDefault="00AA2FE0" w:rsidP="00AA2FE0">
            <w:pPr>
              <w:pStyle w:val="Sangra3detindependiente"/>
              <w:spacing w:before="120"/>
              <w:ind w:left="0"/>
              <w:rPr>
                <w:rFonts w:ascii="Arial" w:hAnsi="Arial" w:cs="Arial"/>
                <w:b/>
                <w:spacing w:val="-3"/>
                <w:sz w:val="22"/>
                <w:szCs w:val="22"/>
              </w:rPr>
            </w:pPr>
            <w:r w:rsidRPr="004D4AAE">
              <w:rPr>
                <w:rFonts w:ascii="Arial" w:hAnsi="Arial" w:cs="Arial"/>
                <w:b/>
                <w:spacing w:val="-3"/>
                <w:sz w:val="22"/>
                <w:szCs w:val="22"/>
              </w:rPr>
              <w:t>No afecta a las cargas administrativas.</w:t>
            </w:r>
          </w:p>
        </w:tc>
      </w:tr>
      <w:tr w:rsidR="00AA2FE0" w:rsidRPr="00043CB1" w14:paraId="6C4A38DF" w14:textId="77777777" w:rsidTr="00CF523F">
        <w:trPr>
          <w:cantSplit/>
        </w:trPr>
        <w:tc>
          <w:tcPr>
            <w:tcW w:w="2713" w:type="dxa"/>
            <w:vMerge/>
          </w:tcPr>
          <w:p w14:paraId="343FAF90" w14:textId="77777777" w:rsidR="00AA2FE0" w:rsidRPr="00043CB1" w:rsidRDefault="00AA2FE0" w:rsidP="00AA2FE0">
            <w:pPr>
              <w:pStyle w:val="Sangra3detindependiente"/>
              <w:spacing w:before="240" w:after="0"/>
              <w:ind w:left="0"/>
              <w:jc w:val="both"/>
              <w:rPr>
                <w:rFonts w:ascii="Arial" w:hAnsi="Arial" w:cs="Arial"/>
                <w:b/>
                <w:color w:val="FF0000"/>
                <w:spacing w:val="-3"/>
                <w:sz w:val="22"/>
                <w:szCs w:val="22"/>
              </w:rPr>
            </w:pPr>
          </w:p>
        </w:tc>
        <w:tc>
          <w:tcPr>
            <w:tcW w:w="2750" w:type="dxa"/>
            <w:shd w:val="clear" w:color="auto" w:fill="auto"/>
          </w:tcPr>
          <w:p w14:paraId="0A3EE548" w14:textId="77777777" w:rsidR="00AA2FE0" w:rsidRPr="004D4AAE" w:rsidRDefault="00AA2FE0" w:rsidP="00AA2FE0">
            <w:pPr>
              <w:pStyle w:val="Sangra3detindependiente"/>
              <w:spacing w:before="120"/>
              <w:ind w:left="0"/>
              <w:rPr>
                <w:rFonts w:ascii="Arial" w:hAnsi="Arial" w:cs="Arial"/>
                <w:b/>
                <w:spacing w:val="-3"/>
                <w:sz w:val="22"/>
                <w:szCs w:val="22"/>
              </w:rPr>
            </w:pPr>
            <w:r w:rsidRPr="004D4AAE">
              <w:rPr>
                <w:rFonts w:ascii="Arial" w:hAnsi="Arial" w:cs="Arial"/>
                <w:b/>
                <w:spacing w:val="-3"/>
                <w:sz w:val="22"/>
                <w:szCs w:val="22"/>
              </w:rPr>
              <w:t>Desde el punto de vista de los presupuestos, la norma</w:t>
            </w:r>
          </w:p>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4D4AAE" w14:paraId="45ED602B" w14:textId="77777777" w:rsidTr="00724849">
              <w:tc>
                <w:tcPr>
                  <w:tcW w:w="419" w:type="dxa"/>
                </w:tcPr>
                <w:p w14:paraId="29EEB6F3" w14:textId="77777777" w:rsidR="00AA2FE0" w:rsidRPr="004D4AAE" w:rsidRDefault="00AA2FE0" w:rsidP="00AA2FE0">
                  <w:pPr>
                    <w:pStyle w:val="Sangra3detindependiente"/>
                    <w:spacing w:before="120"/>
                    <w:ind w:left="0"/>
                    <w:jc w:val="center"/>
                    <w:rPr>
                      <w:rFonts w:ascii="Arial" w:hAnsi="Arial" w:cs="Arial"/>
                      <w:spacing w:val="-3"/>
                      <w:sz w:val="22"/>
                      <w:szCs w:val="22"/>
                    </w:rPr>
                  </w:pPr>
                </w:p>
              </w:tc>
            </w:tr>
          </w:tbl>
          <w:p w14:paraId="3E8F2DEF" w14:textId="77777777" w:rsidR="00AA2FE0" w:rsidRPr="004D4AAE" w:rsidRDefault="00AA2FE0" w:rsidP="00AA2FE0">
            <w:pPr>
              <w:pStyle w:val="Sangra3detindependiente"/>
              <w:ind w:left="0"/>
              <w:rPr>
                <w:rFonts w:ascii="Arial" w:hAnsi="Arial" w:cs="Arial"/>
                <w:b/>
                <w:spacing w:val="-3"/>
                <w:sz w:val="22"/>
                <w:szCs w:val="22"/>
              </w:rPr>
            </w:pPr>
            <w:r w:rsidRPr="004D4AAE">
              <w:rPr>
                <w:rFonts w:ascii="Arial" w:hAnsi="Arial" w:cs="Arial"/>
                <w:b/>
                <w:spacing w:val="-3"/>
                <w:sz w:val="22"/>
                <w:szCs w:val="22"/>
              </w:rPr>
              <w:t>Afecta a los presupuestos de la Administración del Estado.</w:t>
            </w:r>
          </w:p>
          <w:tbl>
            <w:tblPr>
              <w:tblpPr w:leftFromText="141" w:rightFromText="141" w:vertAnchor="text" w:horzAnchor="margin" w:tblpXSpec="right"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4D4AAE" w14:paraId="197170EB" w14:textId="77777777" w:rsidTr="00724849">
              <w:tc>
                <w:tcPr>
                  <w:tcW w:w="419" w:type="dxa"/>
                </w:tcPr>
                <w:p w14:paraId="15E1FB46" w14:textId="77777777" w:rsidR="00AA2FE0" w:rsidRPr="004D4AAE" w:rsidRDefault="00AA2FE0" w:rsidP="00AA2FE0">
                  <w:pPr>
                    <w:pStyle w:val="Sangra3detindependiente"/>
                    <w:spacing w:before="120"/>
                    <w:ind w:left="0"/>
                    <w:jc w:val="center"/>
                    <w:rPr>
                      <w:rFonts w:ascii="Arial" w:hAnsi="Arial" w:cs="Arial"/>
                      <w:spacing w:val="-3"/>
                      <w:sz w:val="22"/>
                      <w:szCs w:val="22"/>
                    </w:rPr>
                  </w:pPr>
                </w:p>
              </w:tc>
            </w:tr>
          </w:tbl>
          <w:p w14:paraId="30059B99" w14:textId="77777777" w:rsidR="00AA2FE0" w:rsidRPr="004D4AAE" w:rsidRDefault="00AA2FE0" w:rsidP="00AA2FE0">
            <w:pPr>
              <w:pStyle w:val="Sangra3detindependiente"/>
              <w:spacing w:before="120" w:after="240"/>
              <w:ind w:left="0"/>
              <w:rPr>
                <w:rFonts w:ascii="Arial" w:hAnsi="Arial" w:cs="Arial"/>
                <w:b/>
                <w:spacing w:val="-3"/>
                <w:sz w:val="22"/>
                <w:szCs w:val="22"/>
              </w:rPr>
            </w:pPr>
            <w:r w:rsidRPr="004D4AAE">
              <w:rPr>
                <w:rFonts w:ascii="Arial" w:hAnsi="Arial" w:cs="Arial"/>
                <w:b/>
                <w:spacing w:val="-3"/>
                <w:sz w:val="22"/>
                <w:szCs w:val="22"/>
              </w:rPr>
              <w:t>Afecta a los presupuestos de otras Administraciones Territoriales.</w:t>
            </w:r>
          </w:p>
        </w:tc>
        <w:tc>
          <w:tcPr>
            <w:tcW w:w="3682" w:type="dxa"/>
            <w:gridSpan w:val="3"/>
            <w:shd w:val="clear" w:color="auto" w:fill="auto"/>
          </w:tcPr>
          <w:tbl>
            <w:tblPr>
              <w:tblpPr w:leftFromText="141" w:rightFromText="141" w:vertAnchor="text" w:horzAnchor="margin" w:tblpXSpec="right" w:tblpY="8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4D4AAE" w14:paraId="41347929" w14:textId="77777777" w:rsidTr="00724849">
              <w:tc>
                <w:tcPr>
                  <w:tcW w:w="419" w:type="dxa"/>
                </w:tcPr>
                <w:p w14:paraId="622F0735" w14:textId="77777777" w:rsidR="00AA2FE0" w:rsidRPr="004D4AAE" w:rsidRDefault="00AA2FE0" w:rsidP="00AA2FE0">
                  <w:pPr>
                    <w:pStyle w:val="Sangra3detindependiente"/>
                    <w:spacing w:before="120"/>
                    <w:ind w:left="0"/>
                    <w:jc w:val="center"/>
                    <w:rPr>
                      <w:rFonts w:ascii="Arial" w:hAnsi="Arial" w:cs="Arial"/>
                      <w:spacing w:val="-3"/>
                      <w:sz w:val="22"/>
                      <w:szCs w:val="22"/>
                    </w:rPr>
                  </w:pPr>
                </w:p>
              </w:tc>
            </w:tr>
          </w:tbl>
          <w:tbl>
            <w:tblPr>
              <w:tblpPr w:leftFromText="141" w:rightFromText="141" w:vertAnchor="text" w:horzAnchor="margin" w:tblpXSpec="right"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4D4AAE" w14:paraId="781D728B" w14:textId="77777777" w:rsidTr="00724849">
              <w:tc>
                <w:tcPr>
                  <w:tcW w:w="419" w:type="dxa"/>
                </w:tcPr>
                <w:p w14:paraId="1518EBDE" w14:textId="77777777" w:rsidR="00AA2FE0" w:rsidRPr="004D4AAE" w:rsidRDefault="00AA2FE0" w:rsidP="00AA2FE0">
                  <w:pPr>
                    <w:pStyle w:val="Sangra3detindependiente"/>
                    <w:spacing w:before="120"/>
                    <w:ind w:left="0"/>
                    <w:jc w:val="center"/>
                    <w:rPr>
                      <w:rFonts w:ascii="Arial" w:hAnsi="Arial" w:cs="Arial"/>
                      <w:spacing w:val="-3"/>
                      <w:sz w:val="22"/>
                      <w:szCs w:val="22"/>
                    </w:rPr>
                  </w:pPr>
                </w:p>
              </w:tc>
            </w:tr>
          </w:tbl>
          <w:p w14:paraId="1CC048F7" w14:textId="77777777" w:rsidR="00AA2FE0" w:rsidRPr="004D4AAE" w:rsidRDefault="00AA2FE0" w:rsidP="00AA2FE0">
            <w:pPr>
              <w:pStyle w:val="Sangra3detindependiente"/>
              <w:spacing w:before="120"/>
              <w:ind w:left="0"/>
              <w:rPr>
                <w:rFonts w:ascii="Arial" w:hAnsi="Arial" w:cs="Arial"/>
                <w:b/>
                <w:spacing w:val="-3"/>
                <w:sz w:val="22"/>
                <w:szCs w:val="22"/>
              </w:rPr>
            </w:pPr>
            <w:r w:rsidRPr="004D4AAE">
              <w:rPr>
                <w:rFonts w:ascii="Arial" w:hAnsi="Arial" w:cs="Arial"/>
                <w:b/>
                <w:spacing w:val="-3"/>
                <w:sz w:val="22"/>
                <w:szCs w:val="22"/>
              </w:rPr>
              <w:t>Implica un gasto.</w:t>
            </w:r>
          </w:p>
          <w:p w14:paraId="17BBF8FC" w14:textId="77777777" w:rsidR="00AA2FE0" w:rsidRPr="004D4AAE" w:rsidRDefault="00AA2FE0" w:rsidP="00AA2FE0">
            <w:pPr>
              <w:pStyle w:val="Sangra3detindependiente"/>
              <w:spacing w:before="480"/>
              <w:ind w:left="0"/>
              <w:rPr>
                <w:rFonts w:ascii="Arial" w:hAnsi="Arial" w:cs="Arial"/>
                <w:b/>
                <w:spacing w:val="-3"/>
                <w:sz w:val="22"/>
                <w:szCs w:val="22"/>
              </w:rPr>
            </w:pPr>
            <w:r w:rsidRPr="004D4AAE">
              <w:rPr>
                <w:rFonts w:ascii="Arial" w:hAnsi="Arial" w:cs="Arial"/>
                <w:b/>
                <w:spacing w:val="-3"/>
                <w:sz w:val="22"/>
                <w:szCs w:val="22"/>
              </w:rPr>
              <w:t>Implica un ingreso.</w:t>
            </w:r>
          </w:p>
          <w:p w14:paraId="214B9971" w14:textId="77777777" w:rsidR="00AA2FE0" w:rsidRPr="004D4AAE" w:rsidRDefault="00AA2FE0" w:rsidP="00AA2FE0">
            <w:pPr>
              <w:pStyle w:val="Sangra3detindependiente"/>
              <w:spacing w:before="120"/>
              <w:ind w:left="0"/>
              <w:jc w:val="both"/>
              <w:rPr>
                <w:rFonts w:ascii="Arial" w:hAnsi="Arial" w:cs="Arial"/>
                <w:b/>
                <w:spacing w:val="-3"/>
                <w:sz w:val="22"/>
                <w:szCs w:val="22"/>
              </w:rPr>
            </w:pPr>
          </w:p>
        </w:tc>
      </w:tr>
      <w:tr w:rsidR="00AA2FE0" w:rsidRPr="00092F23" w14:paraId="488D0F61" w14:textId="77777777" w:rsidTr="00CF523F">
        <w:trPr>
          <w:cantSplit/>
        </w:trPr>
        <w:tc>
          <w:tcPr>
            <w:tcW w:w="2713" w:type="dxa"/>
          </w:tcPr>
          <w:p w14:paraId="7674C562" w14:textId="77777777" w:rsidR="00AA2FE0" w:rsidRPr="00092F23" w:rsidRDefault="00AA2FE0" w:rsidP="00AA2FE0">
            <w:pPr>
              <w:pStyle w:val="Sangra3detindependiente"/>
              <w:spacing w:before="120"/>
              <w:ind w:left="0"/>
              <w:rPr>
                <w:rFonts w:ascii="Arial" w:hAnsi="Arial" w:cs="Arial"/>
                <w:b/>
                <w:spacing w:val="-3"/>
                <w:sz w:val="22"/>
                <w:szCs w:val="22"/>
              </w:rPr>
            </w:pPr>
            <w:r w:rsidRPr="00092F23">
              <w:rPr>
                <w:rFonts w:ascii="Arial" w:hAnsi="Arial" w:cs="Arial"/>
                <w:b/>
                <w:spacing w:val="-3"/>
                <w:sz w:val="22"/>
                <w:szCs w:val="22"/>
              </w:rPr>
              <w:t>Impacto de género</w:t>
            </w:r>
          </w:p>
        </w:tc>
        <w:tc>
          <w:tcPr>
            <w:tcW w:w="2750" w:type="dxa"/>
            <w:shd w:val="clear" w:color="auto" w:fill="auto"/>
          </w:tcPr>
          <w:p w14:paraId="78C542E6" w14:textId="77777777" w:rsidR="00AA2FE0" w:rsidRPr="00092F23" w:rsidRDefault="00AA2FE0" w:rsidP="00AA2FE0">
            <w:pPr>
              <w:pStyle w:val="Sangra3detindependiente"/>
              <w:spacing w:before="120"/>
              <w:ind w:left="0"/>
              <w:rPr>
                <w:rFonts w:ascii="Arial" w:hAnsi="Arial" w:cs="Arial"/>
                <w:b/>
                <w:spacing w:val="-3"/>
                <w:sz w:val="22"/>
                <w:szCs w:val="22"/>
              </w:rPr>
            </w:pPr>
            <w:r w:rsidRPr="00092F23">
              <w:rPr>
                <w:rFonts w:ascii="Arial" w:hAnsi="Arial" w:cs="Arial"/>
                <w:b/>
                <w:spacing w:val="-3"/>
                <w:sz w:val="22"/>
                <w:szCs w:val="22"/>
              </w:rPr>
              <w:t>La norma tiene un impacto de género</w:t>
            </w:r>
          </w:p>
        </w:tc>
        <w:tc>
          <w:tcPr>
            <w:tcW w:w="3682" w:type="dxa"/>
            <w:gridSpan w:val="3"/>
            <w:shd w:val="clear" w:color="auto" w:fill="auto"/>
          </w:tcPr>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092F23" w14:paraId="38F4F980" w14:textId="77777777" w:rsidTr="00724849">
              <w:tc>
                <w:tcPr>
                  <w:tcW w:w="419" w:type="dxa"/>
                </w:tcPr>
                <w:p w14:paraId="42A46CF6" w14:textId="77777777" w:rsidR="00AA2FE0" w:rsidRPr="00092F23" w:rsidRDefault="00AA2FE0" w:rsidP="00AA2FE0">
                  <w:pPr>
                    <w:pStyle w:val="Sangra3detindependiente"/>
                    <w:spacing w:before="120"/>
                    <w:ind w:left="0"/>
                    <w:jc w:val="center"/>
                    <w:rPr>
                      <w:rFonts w:ascii="Arial" w:hAnsi="Arial" w:cs="Arial"/>
                      <w:spacing w:val="-3"/>
                      <w:sz w:val="22"/>
                      <w:szCs w:val="22"/>
                    </w:rPr>
                  </w:pPr>
                </w:p>
              </w:tc>
            </w:tr>
          </w:tbl>
          <w:p w14:paraId="29147F10" w14:textId="77777777" w:rsidR="00AA2FE0" w:rsidRPr="00092F23" w:rsidRDefault="00AA2FE0" w:rsidP="00AA2FE0">
            <w:pPr>
              <w:pStyle w:val="Sangra3detindependiente"/>
              <w:spacing w:before="120"/>
              <w:ind w:left="0"/>
              <w:jc w:val="both"/>
              <w:rPr>
                <w:rFonts w:ascii="Arial" w:hAnsi="Arial" w:cs="Arial"/>
                <w:b/>
                <w:spacing w:val="-3"/>
                <w:sz w:val="22"/>
                <w:szCs w:val="22"/>
              </w:rPr>
            </w:pPr>
            <w:r w:rsidRPr="00092F23">
              <w:rPr>
                <w:rFonts w:ascii="Arial" w:hAnsi="Arial" w:cs="Arial"/>
                <w:b/>
                <w:spacing w:val="-3"/>
                <w:sz w:val="22"/>
                <w:szCs w:val="22"/>
              </w:rPr>
              <w:t>Negativo</w:t>
            </w:r>
          </w:p>
          <w:p w14:paraId="125B614E" w14:textId="77777777" w:rsidR="00AA2FE0" w:rsidRPr="00092F23" w:rsidRDefault="00AA2FE0" w:rsidP="00AA2FE0">
            <w:pPr>
              <w:pStyle w:val="Sangra3detindependiente"/>
              <w:spacing w:before="120"/>
              <w:ind w:left="0"/>
              <w:jc w:val="both"/>
              <w:rPr>
                <w:rFonts w:ascii="Arial" w:hAnsi="Arial" w:cs="Arial"/>
                <w:b/>
                <w:spacing w:val="-3"/>
                <w:sz w:val="22"/>
                <w:szCs w:val="22"/>
              </w:rPr>
            </w:pPr>
          </w:p>
          <w:p w14:paraId="56B0B4AB" w14:textId="77777777" w:rsidR="00AA2FE0" w:rsidRPr="00092F23" w:rsidRDefault="00AA2FE0" w:rsidP="00AA2FE0">
            <w:pPr>
              <w:pStyle w:val="Sangra3detindependiente"/>
              <w:spacing w:before="120"/>
              <w:ind w:left="0"/>
              <w:jc w:val="both"/>
              <w:rPr>
                <w:rFonts w:ascii="Arial" w:hAnsi="Arial" w:cs="Arial"/>
                <w:b/>
                <w:spacing w:val="-3"/>
                <w:sz w:val="22"/>
                <w:szCs w:val="22"/>
              </w:rPr>
            </w:pPr>
            <w:r w:rsidRPr="00092F23">
              <w:rPr>
                <w:rFonts w:ascii="Arial" w:hAnsi="Arial" w:cs="Arial"/>
                <w:b/>
                <w:spacing w:val="-3"/>
                <w:sz w:val="22"/>
                <w:szCs w:val="22"/>
              </w:rPr>
              <w:t>Nulo</w:t>
            </w:r>
          </w:p>
          <w:tbl>
            <w:tblPr>
              <w:tblpPr w:leftFromText="141" w:rightFromText="141" w:vertAnchor="text" w:horzAnchor="margin" w:tblpXSpec="right" w:tblpY="1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092F23" w14:paraId="7F4FFD35" w14:textId="77777777" w:rsidTr="00724849">
              <w:tc>
                <w:tcPr>
                  <w:tcW w:w="419" w:type="dxa"/>
                </w:tcPr>
                <w:p w14:paraId="540FDAF6" w14:textId="77777777" w:rsidR="00AA2FE0" w:rsidRPr="00092F23" w:rsidRDefault="00AA2FE0" w:rsidP="00AA2FE0">
                  <w:pPr>
                    <w:pStyle w:val="Sangra3detindependiente"/>
                    <w:spacing w:before="120"/>
                    <w:ind w:left="0"/>
                    <w:jc w:val="center"/>
                    <w:rPr>
                      <w:rFonts w:ascii="Arial" w:hAnsi="Arial" w:cs="Arial"/>
                      <w:spacing w:val="-3"/>
                      <w:sz w:val="22"/>
                      <w:szCs w:val="22"/>
                    </w:rPr>
                  </w:pPr>
                </w:p>
              </w:tc>
            </w:tr>
          </w:tbl>
          <w:tbl>
            <w:tblPr>
              <w:tblpPr w:leftFromText="141" w:rightFromText="141" w:vertAnchor="text" w:horzAnchor="margin" w:tblpXSpec="right" w:tblpY="-4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AA2FE0" w:rsidRPr="00092F23" w14:paraId="55BA395E" w14:textId="77777777" w:rsidTr="00724849">
              <w:tc>
                <w:tcPr>
                  <w:tcW w:w="419" w:type="dxa"/>
                </w:tcPr>
                <w:p w14:paraId="3AB1E565" w14:textId="77777777" w:rsidR="00AA2FE0" w:rsidRPr="00092F23" w:rsidRDefault="00AA2FE0" w:rsidP="00AA2FE0">
                  <w:pPr>
                    <w:pStyle w:val="Sangra3detindependiente"/>
                    <w:spacing w:before="120"/>
                    <w:ind w:left="0"/>
                    <w:jc w:val="center"/>
                    <w:rPr>
                      <w:rFonts w:ascii="Arial" w:hAnsi="Arial" w:cs="Arial"/>
                      <w:spacing w:val="-3"/>
                      <w:sz w:val="22"/>
                      <w:szCs w:val="22"/>
                    </w:rPr>
                  </w:pPr>
                  <w:r w:rsidRPr="00092F23">
                    <w:rPr>
                      <w:rFonts w:ascii="Arial" w:hAnsi="Arial" w:cs="Arial"/>
                      <w:spacing w:val="-3"/>
                      <w:sz w:val="22"/>
                      <w:szCs w:val="22"/>
                    </w:rPr>
                    <w:t>X</w:t>
                  </w:r>
                </w:p>
              </w:tc>
            </w:tr>
          </w:tbl>
          <w:p w14:paraId="6437B7A5" w14:textId="77777777" w:rsidR="00AA2FE0" w:rsidRPr="00092F23" w:rsidRDefault="00AA2FE0" w:rsidP="00AA2FE0">
            <w:pPr>
              <w:pStyle w:val="Sangra3detindependiente"/>
              <w:spacing w:before="120"/>
              <w:ind w:left="0"/>
              <w:jc w:val="both"/>
              <w:rPr>
                <w:rFonts w:ascii="Arial" w:hAnsi="Arial" w:cs="Arial"/>
                <w:b/>
                <w:spacing w:val="-3"/>
                <w:sz w:val="22"/>
                <w:szCs w:val="22"/>
              </w:rPr>
            </w:pPr>
            <w:r w:rsidRPr="00092F23">
              <w:rPr>
                <w:rFonts w:ascii="Arial" w:hAnsi="Arial" w:cs="Arial"/>
                <w:b/>
                <w:spacing w:val="-3"/>
                <w:sz w:val="22"/>
                <w:szCs w:val="22"/>
              </w:rPr>
              <w:t>Positivo</w:t>
            </w:r>
          </w:p>
        </w:tc>
      </w:tr>
      <w:tr w:rsidR="00AA2FE0" w:rsidRPr="00043CB1" w14:paraId="1DB54722" w14:textId="77777777" w:rsidTr="00CF523F">
        <w:trPr>
          <w:cantSplit/>
        </w:trPr>
        <w:tc>
          <w:tcPr>
            <w:tcW w:w="2713" w:type="dxa"/>
          </w:tcPr>
          <w:p w14:paraId="6693DF4B" w14:textId="77777777" w:rsidR="00AA2FE0" w:rsidRPr="00911AB4" w:rsidRDefault="00AA2FE0" w:rsidP="00AA2FE0">
            <w:pPr>
              <w:pStyle w:val="Sangra3detindependiente"/>
              <w:spacing w:before="120"/>
              <w:ind w:left="0"/>
              <w:rPr>
                <w:rFonts w:ascii="Arial" w:hAnsi="Arial" w:cs="Arial"/>
                <w:b/>
                <w:spacing w:val="-3"/>
                <w:sz w:val="22"/>
                <w:szCs w:val="22"/>
              </w:rPr>
            </w:pPr>
            <w:r w:rsidRPr="00911AB4">
              <w:rPr>
                <w:rFonts w:ascii="Arial" w:hAnsi="Arial" w:cs="Arial"/>
                <w:b/>
                <w:spacing w:val="-3"/>
                <w:sz w:val="22"/>
                <w:szCs w:val="22"/>
              </w:rPr>
              <w:t>Otros impactos considerados</w:t>
            </w:r>
          </w:p>
        </w:tc>
        <w:tc>
          <w:tcPr>
            <w:tcW w:w="6432" w:type="dxa"/>
            <w:gridSpan w:val="4"/>
            <w:shd w:val="clear" w:color="auto" w:fill="auto"/>
          </w:tcPr>
          <w:p w14:paraId="51EA1F08" w14:textId="77777777" w:rsidR="00AA2FE0" w:rsidRPr="00911AB4" w:rsidRDefault="00AA2FE0" w:rsidP="00AA2FE0">
            <w:pPr>
              <w:pStyle w:val="Sangra3detindependiente"/>
              <w:spacing w:before="120"/>
              <w:ind w:left="0"/>
              <w:jc w:val="both"/>
              <w:rPr>
                <w:rFonts w:ascii="Arial" w:hAnsi="Arial" w:cs="Arial"/>
                <w:spacing w:val="-3"/>
                <w:sz w:val="22"/>
                <w:szCs w:val="22"/>
              </w:rPr>
            </w:pPr>
            <w:r>
              <w:rPr>
                <w:rFonts w:ascii="Arial" w:hAnsi="Arial" w:cs="Arial"/>
                <w:spacing w:val="-3"/>
                <w:sz w:val="22"/>
                <w:szCs w:val="22"/>
              </w:rPr>
              <w:t xml:space="preserve">Impacto </w:t>
            </w:r>
            <w:r w:rsidRPr="00235469">
              <w:rPr>
                <w:rFonts w:ascii="Arial" w:hAnsi="Arial" w:cs="Arial"/>
                <w:spacing w:val="-3"/>
                <w:sz w:val="22"/>
                <w:szCs w:val="22"/>
              </w:rPr>
              <w:t>en materia de igualdad de oportunidades, no discriminación y accesibilidad universal de las personas con discapacidad</w:t>
            </w:r>
            <w:r>
              <w:rPr>
                <w:rFonts w:ascii="Arial" w:hAnsi="Arial" w:cs="Arial"/>
                <w:spacing w:val="-3"/>
                <w:sz w:val="22"/>
                <w:szCs w:val="22"/>
              </w:rPr>
              <w:t>;</w:t>
            </w:r>
            <w:r w:rsidRPr="00235469">
              <w:rPr>
                <w:rFonts w:ascii="Arial" w:hAnsi="Arial" w:cs="Arial"/>
                <w:spacing w:val="-3"/>
                <w:sz w:val="22"/>
                <w:szCs w:val="22"/>
              </w:rPr>
              <w:t xml:space="preserve"> </w:t>
            </w:r>
            <w:r>
              <w:rPr>
                <w:rFonts w:ascii="Arial" w:hAnsi="Arial" w:cs="Arial"/>
                <w:spacing w:val="-3"/>
                <w:sz w:val="22"/>
                <w:szCs w:val="22"/>
              </w:rPr>
              <w:t>sobre la familia, la infancia y la adolescencia; y sobre la unidad de mercado.</w:t>
            </w:r>
          </w:p>
        </w:tc>
      </w:tr>
      <w:tr w:rsidR="00AA2FE0" w:rsidRPr="00043CB1" w14:paraId="4429FB03" w14:textId="77777777" w:rsidTr="00CF523F">
        <w:trPr>
          <w:cantSplit/>
        </w:trPr>
        <w:tc>
          <w:tcPr>
            <w:tcW w:w="2713" w:type="dxa"/>
          </w:tcPr>
          <w:p w14:paraId="4E7692EE" w14:textId="77777777" w:rsidR="00AA2FE0" w:rsidRPr="00911AB4" w:rsidRDefault="00AA2FE0" w:rsidP="00AA2FE0">
            <w:pPr>
              <w:pStyle w:val="Sangra3detindependiente"/>
              <w:spacing w:before="120"/>
              <w:ind w:left="0"/>
              <w:rPr>
                <w:rFonts w:ascii="Arial" w:hAnsi="Arial" w:cs="Arial"/>
                <w:b/>
                <w:spacing w:val="-3"/>
                <w:sz w:val="22"/>
                <w:szCs w:val="22"/>
              </w:rPr>
            </w:pPr>
            <w:r w:rsidRPr="00911AB4">
              <w:rPr>
                <w:rFonts w:ascii="Arial" w:hAnsi="Arial" w:cs="Arial"/>
                <w:b/>
                <w:spacing w:val="-3"/>
                <w:sz w:val="22"/>
                <w:szCs w:val="22"/>
              </w:rPr>
              <w:t>Otras consideraciones</w:t>
            </w:r>
          </w:p>
        </w:tc>
        <w:tc>
          <w:tcPr>
            <w:tcW w:w="6432" w:type="dxa"/>
            <w:gridSpan w:val="4"/>
            <w:shd w:val="clear" w:color="auto" w:fill="auto"/>
          </w:tcPr>
          <w:p w14:paraId="35EF9B6A" w14:textId="77777777" w:rsidR="00AA2FE0" w:rsidRPr="00911AB4" w:rsidRDefault="00AA2FE0" w:rsidP="00AA2FE0">
            <w:pPr>
              <w:pStyle w:val="Sangra3detindependiente"/>
              <w:spacing w:before="120"/>
              <w:ind w:left="0"/>
              <w:rPr>
                <w:rFonts w:ascii="Arial" w:hAnsi="Arial" w:cs="Arial"/>
                <w:spacing w:val="-3"/>
                <w:sz w:val="22"/>
                <w:szCs w:val="22"/>
              </w:rPr>
            </w:pPr>
          </w:p>
        </w:tc>
      </w:tr>
    </w:tbl>
    <w:p w14:paraId="198F8333" w14:textId="71F14AD1" w:rsidR="00676019" w:rsidRPr="007C0352" w:rsidRDefault="0034762B" w:rsidP="00676019">
      <w:pPr>
        <w:pStyle w:val="Ttulo2"/>
        <w:numPr>
          <w:ilvl w:val="0"/>
          <w:numId w:val="0"/>
        </w:numPr>
        <w:spacing w:before="960"/>
        <w:ind w:left="578" w:hanging="578"/>
      </w:pPr>
      <w:r w:rsidRPr="00043CB1">
        <w:rPr>
          <w:color w:val="FF0000"/>
        </w:rPr>
        <w:br w:type="page"/>
      </w:r>
      <w:r w:rsidR="00676019" w:rsidRPr="00522668">
        <w:rPr>
          <w:u w:val="none"/>
        </w:rPr>
        <w:t xml:space="preserve">I. </w:t>
      </w:r>
      <w:r w:rsidR="00676019" w:rsidRPr="00676019">
        <w:t xml:space="preserve">OPORTUNIDAD </w:t>
      </w:r>
      <w:r w:rsidR="00676019" w:rsidRPr="007C0352">
        <w:t>DE LA PROPUESTA</w:t>
      </w:r>
    </w:p>
    <w:p w14:paraId="31A8FE97" w14:textId="50D01B67" w:rsidR="00676019" w:rsidRPr="007C0352" w:rsidRDefault="00676019" w:rsidP="00676019">
      <w:pPr>
        <w:pStyle w:val="Ttulo3"/>
        <w:numPr>
          <w:ilvl w:val="0"/>
          <w:numId w:val="0"/>
        </w:numPr>
        <w:spacing w:before="480"/>
        <w:rPr>
          <w:color w:val="auto"/>
        </w:rPr>
      </w:pPr>
      <w:r w:rsidRPr="00522668">
        <w:rPr>
          <w:color w:val="auto"/>
          <w:u w:val="none"/>
        </w:rPr>
        <w:t xml:space="preserve">1. </w:t>
      </w:r>
      <w:r w:rsidRPr="007C0352">
        <w:rPr>
          <w:color w:val="auto"/>
        </w:rPr>
        <w:t>Motivación</w:t>
      </w:r>
    </w:p>
    <w:p w14:paraId="3B3BB023" w14:textId="77777777" w:rsidR="00676019" w:rsidRPr="00600F68" w:rsidRDefault="00676019" w:rsidP="00676019">
      <w:pPr>
        <w:keepNext/>
        <w:rPr>
          <w:color w:val="FF0000"/>
          <w:szCs w:val="24"/>
          <w:lang w:val="es-ES"/>
        </w:rPr>
      </w:pPr>
      <w:r w:rsidRPr="007C0352">
        <w:rPr>
          <w:szCs w:val="24"/>
          <w:lang w:val="es-ES"/>
        </w:rPr>
        <w:t xml:space="preserve">El </w:t>
      </w:r>
      <w:r w:rsidRPr="00043CB1">
        <w:t xml:space="preserve">proyecto de </w:t>
      </w:r>
      <w:r w:rsidRPr="0014033D">
        <w:t>real decreto por el que se aprueba</w:t>
      </w:r>
      <w:r>
        <w:t xml:space="preserve"> la norma de calidad de</w:t>
      </w:r>
      <w:r w:rsidRPr="0014033D">
        <w:t xml:space="preserve"> los aceites de oliva y de orujo de oliva</w:t>
      </w:r>
      <w:r w:rsidRPr="007C0352">
        <w:rPr>
          <w:szCs w:val="24"/>
          <w:lang w:val="es-ES"/>
        </w:rPr>
        <w:t xml:space="preserve"> se ha elaborado por los siguientes motivos:</w:t>
      </w:r>
    </w:p>
    <w:p w14:paraId="7BE0FAEA" w14:textId="512892FF" w:rsidR="00676019" w:rsidRPr="007C0352" w:rsidRDefault="00676019" w:rsidP="00676019">
      <w:pPr>
        <w:numPr>
          <w:ilvl w:val="0"/>
          <w:numId w:val="6"/>
        </w:numPr>
        <w:rPr>
          <w:lang w:val="es-ES"/>
        </w:rPr>
      </w:pPr>
      <w:r w:rsidRPr="007C0352">
        <w:rPr>
          <w:lang w:val="es-ES"/>
        </w:rPr>
        <w:t>La disposición final cuarta de la Ley 28/2015, de 30 de Julio, para la defensa de la calidad alimentaria, habilita al Gobierno para aprobar normas de calidad de productos alimenticios, con el objeto, entre otros, de adaptarse a la reglamentación de la Unión Europea, y de simplificar, modernizar y valorizar las normas existentes</w:t>
      </w:r>
      <w:r w:rsidR="00F25BFA">
        <w:rPr>
          <w:lang w:val="es-ES"/>
        </w:rPr>
        <w:t>,</w:t>
      </w:r>
      <w:r w:rsidRPr="007C0352">
        <w:rPr>
          <w:lang w:val="es-ES"/>
        </w:rPr>
        <w:t xml:space="preserve"> así como de mejorar la competitividad del sector, incluyendo los adelantos producidos por la innovación tecnológica.</w:t>
      </w:r>
    </w:p>
    <w:p w14:paraId="0106D8CD" w14:textId="77777777" w:rsidR="00676019" w:rsidRPr="007C0352" w:rsidRDefault="00676019" w:rsidP="00676019">
      <w:pPr>
        <w:numPr>
          <w:ilvl w:val="0"/>
          <w:numId w:val="6"/>
        </w:numPr>
        <w:ind w:left="641" w:hanging="357"/>
        <w:rPr>
          <w:lang w:val="es-ES"/>
        </w:rPr>
      </w:pPr>
      <w:r w:rsidRPr="007C0352">
        <w:rPr>
          <w:lang w:val="es-ES"/>
        </w:rPr>
        <w:t>La realidad del mercado del aceite de oliva y de orujo de oliva hace necesario adecuar la normativa específica sobre estos productos, especialmente en lo</w:t>
      </w:r>
      <w:r w:rsidRPr="007C0352">
        <w:t xml:space="preserve"> referente a la elaboración de aceite de oliva y de orujo de oliva en España, desde el punto de vista de su calidad alimentaria.</w:t>
      </w:r>
    </w:p>
    <w:p w14:paraId="7EB7D243" w14:textId="77777777" w:rsidR="00676019" w:rsidRPr="007C0352" w:rsidRDefault="00676019" w:rsidP="00676019">
      <w:pPr>
        <w:rPr>
          <w:rFonts w:cs="Arial"/>
          <w:spacing w:val="-3"/>
          <w:szCs w:val="24"/>
          <w:lang w:val="es-ES"/>
        </w:rPr>
      </w:pPr>
      <w:r w:rsidRPr="007C0352">
        <w:rPr>
          <w:rFonts w:cs="Arial"/>
          <w:spacing w:val="-3"/>
          <w:szCs w:val="24"/>
          <w:lang w:val="es-ES"/>
        </w:rPr>
        <w:t>La actualización de la normativa sobre aceite de oliva se realiza con el objetivo de garantizar una elevada calidad del producto y evitar el fraude dentro del sector; y en el contexto del marco general de actualización de normas de calidad del Ministerio de Agricultura, Pesca y Alimentación.</w:t>
      </w:r>
    </w:p>
    <w:p w14:paraId="6D0A5178" w14:textId="77777777" w:rsidR="00676019" w:rsidRPr="00AB4534" w:rsidRDefault="00676019" w:rsidP="00676019">
      <w:pPr>
        <w:rPr>
          <w:lang w:val="es-ES"/>
        </w:rPr>
      </w:pPr>
      <w:r w:rsidRPr="00AB4534">
        <w:rPr>
          <w:lang w:val="es-ES"/>
        </w:rPr>
        <w:t>Este Proyecto de real decreto afecta a las industrias que elaboran aceite de oliva y de orujo de oliva en España, a los operadores que las comercializan y a los consumidores. Asimismo, tiene una influencia indirecta sobre los proveedores de las materias primas a partir de las cuales se pueden elaborar estos productos.</w:t>
      </w:r>
    </w:p>
    <w:p w14:paraId="3FE45B02" w14:textId="5AB81269" w:rsidR="00676019" w:rsidRPr="00AB4534" w:rsidRDefault="00676019" w:rsidP="00676019">
      <w:pPr>
        <w:pStyle w:val="Ttulo3"/>
        <w:numPr>
          <w:ilvl w:val="0"/>
          <w:numId w:val="0"/>
        </w:numPr>
        <w:spacing w:before="480"/>
        <w:rPr>
          <w:color w:val="auto"/>
        </w:rPr>
      </w:pPr>
      <w:r w:rsidRPr="00522668">
        <w:rPr>
          <w:color w:val="auto"/>
          <w:u w:val="none"/>
        </w:rPr>
        <w:t xml:space="preserve">2. </w:t>
      </w:r>
      <w:r w:rsidRPr="00AB4534">
        <w:rPr>
          <w:color w:val="auto"/>
        </w:rPr>
        <w:t>Objetivos</w:t>
      </w:r>
    </w:p>
    <w:p w14:paraId="368443A7" w14:textId="77777777" w:rsidR="00676019" w:rsidRPr="00AB4534" w:rsidRDefault="00676019" w:rsidP="00676019">
      <w:pPr>
        <w:numPr>
          <w:ilvl w:val="0"/>
          <w:numId w:val="6"/>
        </w:numPr>
      </w:pPr>
      <w:r w:rsidRPr="00AB4534">
        <w:t>Mejorar la competitividad del sector nacional del aceite de oliva y de orujo de oliva, garantizar la leal competencia entre las industrias y dotar de las mismas condiciones a todos los productores.</w:t>
      </w:r>
    </w:p>
    <w:p w14:paraId="0B24350A" w14:textId="77777777" w:rsidR="00676019" w:rsidRPr="00AB4534" w:rsidRDefault="00676019" w:rsidP="00676019">
      <w:pPr>
        <w:numPr>
          <w:ilvl w:val="0"/>
          <w:numId w:val="6"/>
        </w:numPr>
      </w:pPr>
      <w:r w:rsidRPr="00AB4534">
        <w:t>Actualizar, desde el punto de vista de la calidad alimentaria, la normativa nacional aplicable al aceite de oliva y de orujo de oliva.</w:t>
      </w:r>
    </w:p>
    <w:p w14:paraId="07136C2C" w14:textId="77777777" w:rsidR="00676019" w:rsidRPr="00AB4534" w:rsidRDefault="00676019" w:rsidP="00676019">
      <w:pPr>
        <w:numPr>
          <w:ilvl w:val="0"/>
          <w:numId w:val="6"/>
        </w:numPr>
      </w:pPr>
      <w:r w:rsidRPr="00AB4534">
        <w:t>Introducir requisitos de trazabilidad adicionales en la producción y comercialización de aceite de oliva.</w:t>
      </w:r>
    </w:p>
    <w:p w14:paraId="0F29758E" w14:textId="77777777" w:rsidR="00676019" w:rsidRDefault="00676019" w:rsidP="00676019">
      <w:pPr>
        <w:numPr>
          <w:ilvl w:val="0"/>
          <w:numId w:val="6"/>
        </w:numPr>
      </w:pPr>
      <w:r w:rsidRPr="00AB4534">
        <w:t>Proporcionar una información adecuada al consumidor, que facilite su derecho a la elección de compra.</w:t>
      </w:r>
    </w:p>
    <w:p w14:paraId="448F8A73" w14:textId="77777777" w:rsidR="00676019" w:rsidRPr="00AB4534" w:rsidRDefault="00676019" w:rsidP="00676019">
      <w:pPr>
        <w:numPr>
          <w:ilvl w:val="0"/>
          <w:numId w:val="6"/>
        </w:numPr>
      </w:pPr>
      <w:r>
        <w:t>Lograr una elevada calidad de los aceites de oliva y de orujo de oliva producidos en nuestro país e impedir la comisión de prácticas fraudulentas que afecten negativamente a dicha calidad.</w:t>
      </w:r>
    </w:p>
    <w:p w14:paraId="51BF2AA7" w14:textId="62A737BC" w:rsidR="00676019" w:rsidRPr="00A36A56" w:rsidRDefault="00676019" w:rsidP="00676019">
      <w:pPr>
        <w:pStyle w:val="Ttulo3"/>
        <w:numPr>
          <w:ilvl w:val="0"/>
          <w:numId w:val="0"/>
        </w:numPr>
        <w:spacing w:before="480"/>
        <w:rPr>
          <w:color w:val="auto"/>
        </w:rPr>
      </w:pPr>
      <w:r w:rsidRPr="00522668">
        <w:rPr>
          <w:color w:val="auto"/>
          <w:u w:val="none"/>
        </w:rPr>
        <w:t xml:space="preserve">3. </w:t>
      </w:r>
      <w:r w:rsidR="0060500B">
        <w:rPr>
          <w:color w:val="auto"/>
        </w:rPr>
        <w:t>Análisis de a</w:t>
      </w:r>
      <w:r w:rsidRPr="00A36A56">
        <w:rPr>
          <w:color w:val="auto"/>
        </w:rPr>
        <w:t>lternativas</w:t>
      </w:r>
    </w:p>
    <w:p w14:paraId="2DD43072" w14:textId="77777777" w:rsidR="00676019" w:rsidRPr="00A36A56" w:rsidRDefault="00676019" w:rsidP="00676019">
      <w:pPr>
        <w:keepNext/>
      </w:pPr>
      <w:r w:rsidRPr="00A36A56">
        <w:t>Las alternativas consideradas han sido las siguientes:</w:t>
      </w:r>
    </w:p>
    <w:p w14:paraId="40534ED8" w14:textId="77777777" w:rsidR="00676019" w:rsidRPr="00A36A56" w:rsidRDefault="00676019" w:rsidP="00565FB1">
      <w:pPr>
        <w:pStyle w:val="Ttulo4"/>
        <w:numPr>
          <w:ilvl w:val="0"/>
          <w:numId w:val="0"/>
        </w:numPr>
        <w:rPr>
          <w:szCs w:val="22"/>
        </w:rPr>
      </w:pPr>
      <w:r w:rsidRPr="00A36A56">
        <w:rPr>
          <w:szCs w:val="22"/>
        </w:rPr>
        <w:t>Elaborar el Proyecto de norma que se propone y derogar la normativa nacional vigente sobre calidad alimentaria de aceite de oliva y de orujo de oliva.</w:t>
      </w:r>
    </w:p>
    <w:p w14:paraId="57048E9B" w14:textId="66EC8C0F" w:rsidR="00676019" w:rsidRPr="00A36A56" w:rsidRDefault="00676019" w:rsidP="00676019">
      <w:r w:rsidRPr="00A36A56">
        <w:t>Esta alternativa se considera la más eficaz para alcanzar todos los objetivos</w:t>
      </w:r>
      <w:r>
        <w:t xml:space="preserve"> que se pretenden. </w:t>
      </w:r>
      <w:r w:rsidRPr="00A36A56">
        <w:t>Su principal ventaja es que proporciona una norma nacional actualizada y adaptada a la realidad del mercado.</w:t>
      </w:r>
    </w:p>
    <w:p w14:paraId="64DFBDDA" w14:textId="77777777" w:rsidR="00676019" w:rsidRPr="00A36A56" w:rsidRDefault="00676019" w:rsidP="00676019">
      <w:r w:rsidRPr="00A36A56">
        <w:t>Asimismo, es la alternativa que mejor se ajusta a lo establecido en el Acuerdo del Consejo de Ministros, de 22 de julio de 2005, por el que se aprueban las Directrices de Técnica Normativa, en cuanto a que es preferible la aprobación de una nueva disposición a la coexistencia de la norma originaria y sus posteriores modificaciones.</w:t>
      </w:r>
    </w:p>
    <w:p w14:paraId="76834376" w14:textId="77777777" w:rsidR="00676019" w:rsidRPr="00A05991" w:rsidRDefault="00676019" w:rsidP="00565FB1">
      <w:pPr>
        <w:pStyle w:val="Ttulo4"/>
        <w:numPr>
          <w:ilvl w:val="0"/>
          <w:numId w:val="0"/>
        </w:numPr>
        <w:rPr>
          <w:spacing w:val="-3"/>
        </w:rPr>
      </w:pPr>
      <w:r w:rsidRPr="00A05991">
        <w:rPr>
          <w:spacing w:val="-3"/>
        </w:rPr>
        <w:t>Mantener la situación actual.</w:t>
      </w:r>
    </w:p>
    <w:p w14:paraId="24BFFBF5" w14:textId="3A0C06D6" w:rsidR="00676019" w:rsidRDefault="00676019" w:rsidP="00B57EBD">
      <w:pPr>
        <w:spacing w:after="240"/>
      </w:pPr>
      <w:r w:rsidRPr="00A05991">
        <w:t>Esta alternativa no permite alcanzar los objetivos definidos en el punto I.2 y produce una gran inseguridad jurídica, tanto al sector productor como a los servicios de inspección.</w:t>
      </w:r>
    </w:p>
    <w:p w14:paraId="13F5D224" w14:textId="7B55E2F4" w:rsidR="00A82AA1" w:rsidRPr="00A82AA1" w:rsidRDefault="00A82AA1" w:rsidP="00A82AA1">
      <w:pPr>
        <w:pStyle w:val="Ttulo4"/>
        <w:numPr>
          <w:ilvl w:val="0"/>
          <w:numId w:val="0"/>
        </w:numPr>
        <w:rPr>
          <w:spacing w:val="-3"/>
          <w:szCs w:val="24"/>
        </w:rPr>
      </w:pPr>
      <w:r w:rsidRPr="00CF523F">
        <w:rPr>
          <w:rFonts w:cs="Arial"/>
          <w:spacing w:val="-3"/>
          <w:szCs w:val="24"/>
        </w:rPr>
        <w:t>Modificar la norma actual (Real Decreto 308/1983, de 25 de enero, por el que se aprueba la Reglamentación Técnico Sanitaria de Aceites Vegetales Comestibles)</w:t>
      </w:r>
      <w:r w:rsidRPr="00A82AA1">
        <w:rPr>
          <w:spacing w:val="-3"/>
          <w:szCs w:val="24"/>
        </w:rPr>
        <w:t>.</w:t>
      </w:r>
    </w:p>
    <w:p w14:paraId="588B5A9C" w14:textId="58A030BF" w:rsidR="00A82AA1" w:rsidRDefault="00A82AA1" w:rsidP="00A82AA1">
      <w:pPr>
        <w:spacing w:after="240"/>
      </w:pPr>
      <w:r>
        <w:rPr>
          <w:rFonts w:cs="Arial"/>
          <w:spacing w:val="-3"/>
          <w:szCs w:val="24"/>
        </w:rPr>
        <w:t xml:space="preserve">El </w:t>
      </w:r>
      <w:r w:rsidRPr="008D62A5">
        <w:rPr>
          <w:rFonts w:cs="Arial"/>
          <w:spacing w:val="-3"/>
          <w:szCs w:val="24"/>
        </w:rPr>
        <w:t>Real Decreto 308/1983, de 25 de enero, por el que se aprueba la Reglamentación Técnico Sanitaria de Aceites Vegetales Comestibles</w:t>
      </w:r>
      <w:r>
        <w:rPr>
          <w:rFonts w:cs="Arial"/>
          <w:spacing w:val="-3"/>
          <w:szCs w:val="24"/>
        </w:rPr>
        <w:t xml:space="preserve"> ha sido modificado en diversas ocasiones, por lo que </w:t>
      </w:r>
      <w:r w:rsidR="004856AD">
        <w:rPr>
          <w:rFonts w:cs="Arial"/>
          <w:spacing w:val="-3"/>
          <w:szCs w:val="24"/>
        </w:rPr>
        <w:t xml:space="preserve">esta opción </w:t>
      </w:r>
      <w:r>
        <w:rPr>
          <w:rFonts w:cs="Arial"/>
          <w:spacing w:val="-3"/>
          <w:szCs w:val="24"/>
        </w:rPr>
        <w:t xml:space="preserve">se considera menos adecuada, al reducir la claridad normativa y aumentar la inseguridad jurídica. Además, de conformidad con el </w:t>
      </w:r>
      <w:r w:rsidRPr="00A36A56">
        <w:t>Acuerdo del Consejo de Ministros, de 22 de julio de 2005, por el que se aprueban las Directrices de Técnica Normativa, es preferible la aprobación de una nueva disposición a la coexistencia de la norma originaria y sus posteriores modificaciones.</w:t>
      </w:r>
      <w:r w:rsidRPr="00A05991">
        <w:t xml:space="preserve"> </w:t>
      </w:r>
      <w:r>
        <w:t>Así pues, e</w:t>
      </w:r>
      <w:r w:rsidRPr="00A05991">
        <w:t>sta alternativa no permite alcanzar los objetivos definidos en el punto I.2 y produce una gran inseguridad jurídica, tanto al sector productor como a los servicios de inspección.</w:t>
      </w:r>
    </w:p>
    <w:p w14:paraId="7A6F1E99" w14:textId="77777777" w:rsidR="00A82AA1" w:rsidRDefault="00A82AA1" w:rsidP="00B57EBD">
      <w:pPr>
        <w:spacing w:after="240"/>
      </w:pPr>
    </w:p>
    <w:p w14:paraId="7431A3AB" w14:textId="03DED514" w:rsidR="00676019" w:rsidRPr="00D14BBF" w:rsidRDefault="00676019" w:rsidP="00676019">
      <w:pPr>
        <w:spacing w:after="240"/>
        <w:rPr>
          <w:b/>
        </w:rPr>
      </w:pPr>
      <w:r w:rsidRPr="00522668">
        <w:rPr>
          <w:b/>
        </w:rPr>
        <w:t xml:space="preserve">4. </w:t>
      </w:r>
      <w:r w:rsidRPr="00D14BBF">
        <w:rPr>
          <w:b/>
          <w:u w:val="single"/>
        </w:rPr>
        <w:t>Adecuación de los principios de buena regulación</w:t>
      </w:r>
    </w:p>
    <w:p w14:paraId="2F60C3C5" w14:textId="77777777" w:rsidR="00676019" w:rsidRDefault="00676019" w:rsidP="00676019">
      <w:r w:rsidRPr="007F2DF7">
        <w:t xml:space="preserve">El contenido de este real decreto se ajusta a los principios de buena regulación contemplados en el artículo 129 de la Ley 39/2015, de 1 de octubre, del Procedimiento Administrativo Común de las Administraciones Públicas. </w:t>
      </w:r>
    </w:p>
    <w:p w14:paraId="2E431EBB" w14:textId="77777777" w:rsidR="00676019" w:rsidRDefault="00676019" w:rsidP="00676019">
      <w:r w:rsidRPr="007F2DF7">
        <w:t xml:space="preserve">Así, en virtud de los principios de necesidad y eficacia, se justifica esta norma en la necesidad de establecer una ordenación adecuada del sector del aceite de oliva y orujo de oliva, siendo la derogación del Real Decreto 308/1983, de 25 de enero, por el que se aprueba la Reglamentación Técnico Sanitaria de Aceites Vegetales Comestibles, en la parte referente a los aceites de oliva y de orujo de oliva, y la aprobación de una nueva norma de calidad que regule de forma específica el aceite de oliva y de orujo de oliva, la forma más adecuada de conseguirlo. </w:t>
      </w:r>
    </w:p>
    <w:p w14:paraId="5FFEAE52" w14:textId="1B2DDF05" w:rsidR="00676019" w:rsidRDefault="00676019" w:rsidP="00676019">
      <w:r w:rsidRPr="007F2DF7">
        <w:t>Se han tenido en cuenta</w:t>
      </w:r>
      <w:r w:rsidR="007C166B">
        <w:t>,</w:t>
      </w:r>
      <w:r w:rsidRPr="007F2DF7">
        <w:t xml:space="preserve"> asimismo, los principios de eficiencia y proporcionalidad, al establecer una regulación y limitar las cargas administrativas a las mínimas imprescindibles para la consecución de los fines que se pretenden. </w:t>
      </w:r>
    </w:p>
    <w:p w14:paraId="48725715" w14:textId="5D905E09" w:rsidR="00676019" w:rsidRDefault="00676019" w:rsidP="00676019">
      <w:r w:rsidRPr="007F2DF7">
        <w:t>En aplicación del principio de transparencia, además de la audiencia pública, durante la tramitación de esta</w:t>
      </w:r>
      <w:r w:rsidR="00493B24">
        <w:t xml:space="preserve"> disposición han sido consultada</w:t>
      </w:r>
      <w:r w:rsidRPr="007F2DF7">
        <w:t xml:space="preserve">s las </w:t>
      </w:r>
      <w:r w:rsidR="00F25BFA">
        <w:t>C</w:t>
      </w:r>
      <w:r w:rsidRPr="007F2DF7">
        <w:t xml:space="preserve">omunidades </w:t>
      </w:r>
      <w:r w:rsidR="00F25BFA">
        <w:t>A</w:t>
      </w:r>
      <w:r w:rsidRPr="007F2DF7">
        <w:t>utónomas, así como las entidades representativas de los sector</w:t>
      </w:r>
      <w:r>
        <w:t>es afectados y los consumidores</w:t>
      </w:r>
      <w:r w:rsidRPr="007F2DF7">
        <w:t xml:space="preserve">. </w:t>
      </w:r>
    </w:p>
    <w:p w14:paraId="65838B8E" w14:textId="0D7C3362" w:rsidR="00676019" w:rsidRPr="00246D25" w:rsidRDefault="00676019" w:rsidP="00493B24">
      <w:pPr>
        <w:spacing w:after="240"/>
      </w:pPr>
      <w:r w:rsidRPr="007F2DF7">
        <w:t xml:space="preserve">Por último, el real decreto atiende al principio de seguridad jurídica, manteniendo la coherencia con el resto del ordenamiento jurídico que es de aplicación y dejando a los operadores los necesarios periodos transitorios de adaptación a la </w:t>
      </w:r>
      <w:r w:rsidRPr="00246D25">
        <w:t>norma.</w:t>
      </w:r>
    </w:p>
    <w:p w14:paraId="70CBFBFC" w14:textId="194DD0C9" w:rsidR="00B54238" w:rsidRPr="000C758D" w:rsidRDefault="00B54238" w:rsidP="00493B24">
      <w:pPr>
        <w:spacing w:after="240"/>
        <w:rPr>
          <w:b/>
          <w:bCs/>
          <w:u w:val="single"/>
        </w:rPr>
      </w:pPr>
      <w:r w:rsidRPr="00522668">
        <w:rPr>
          <w:b/>
          <w:bCs/>
        </w:rPr>
        <w:t xml:space="preserve">5. </w:t>
      </w:r>
      <w:r w:rsidRPr="000C758D">
        <w:rPr>
          <w:b/>
          <w:bCs/>
          <w:u w:val="single"/>
        </w:rPr>
        <w:t>Inclusión en el Plan Anual Normativo</w:t>
      </w:r>
    </w:p>
    <w:p w14:paraId="3249A8BB" w14:textId="58581D7C" w:rsidR="00D91F2D" w:rsidRDefault="00D91F2D" w:rsidP="00CF523F">
      <w:pPr>
        <w:rPr>
          <w:rFonts w:cs="Arial"/>
          <w:szCs w:val="24"/>
        </w:rPr>
      </w:pPr>
      <w:r w:rsidRPr="00246D25">
        <w:rPr>
          <w:rFonts w:cs="Arial"/>
          <w:szCs w:val="24"/>
        </w:rPr>
        <w:t>Con arreglo al artículo 25 de la Ley 50/1997, de 27 de noviembre, del Gobierno, este proyecto se encuentra contemplado en el Plan Anual Normativo 2018, aprobado por el Consejo de Ministros el 7 diciembre de 2017.</w:t>
      </w:r>
      <w:r w:rsidRPr="00FB0A41">
        <w:rPr>
          <w:rFonts w:cs="Arial"/>
          <w:szCs w:val="24"/>
        </w:rPr>
        <w:t xml:space="preserve"> </w:t>
      </w:r>
      <w:r w:rsidR="00246D25">
        <w:rPr>
          <w:rFonts w:cs="Arial"/>
          <w:szCs w:val="24"/>
        </w:rPr>
        <w:t xml:space="preserve">Durante los años 2019 y 2020 no se han aprobado sucesivos Planes Anuales Normativos por lo que no ha podido incluirse. </w:t>
      </w:r>
    </w:p>
    <w:p w14:paraId="2C25E5C8" w14:textId="77777777" w:rsidR="00B54238" w:rsidRPr="00CF523F" w:rsidRDefault="00B54238" w:rsidP="00493B24">
      <w:pPr>
        <w:spacing w:after="240"/>
        <w:rPr>
          <w:color w:val="FF0000"/>
        </w:rPr>
      </w:pPr>
    </w:p>
    <w:p w14:paraId="028DB901" w14:textId="16A10BCD" w:rsidR="00676019" w:rsidRPr="007F2DF7" w:rsidRDefault="00676019" w:rsidP="00676019">
      <w:pPr>
        <w:rPr>
          <w:b/>
          <w:u w:val="single"/>
        </w:rPr>
      </w:pPr>
      <w:r w:rsidRPr="007F2DF7">
        <w:rPr>
          <w:b/>
        </w:rPr>
        <w:t xml:space="preserve">II. </w:t>
      </w:r>
      <w:r w:rsidRPr="007F2DF7">
        <w:rPr>
          <w:b/>
          <w:u w:val="single"/>
        </w:rPr>
        <w:t>CONTENIDO</w:t>
      </w:r>
    </w:p>
    <w:p w14:paraId="11FF1CDB" w14:textId="3B4E7F68" w:rsidR="00676019" w:rsidRPr="00532CBE" w:rsidRDefault="00676019" w:rsidP="00ED34D0">
      <w:pPr>
        <w:pStyle w:val="Ttulo3"/>
        <w:numPr>
          <w:ilvl w:val="0"/>
          <w:numId w:val="0"/>
        </w:numPr>
        <w:spacing w:before="480" w:after="240"/>
        <w:rPr>
          <w:color w:val="auto"/>
        </w:rPr>
      </w:pPr>
      <w:r w:rsidRPr="00522668">
        <w:rPr>
          <w:color w:val="auto"/>
          <w:u w:val="none"/>
        </w:rPr>
        <w:t xml:space="preserve">1. </w:t>
      </w:r>
      <w:r w:rsidR="004F54D8" w:rsidRPr="00532CBE">
        <w:rPr>
          <w:lang w:val="es-ES"/>
        </w:rPr>
        <w:t>Estructura de la propuesta</w:t>
      </w:r>
    </w:p>
    <w:p w14:paraId="0302A79A" w14:textId="77777777" w:rsidR="00676019" w:rsidRPr="00532CBE" w:rsidRDefault="00676019" w:rsidP="00676019">
      <w:pPr>
        <w:keepNext/>
        <w:rPr>
          <w:lang w:val="es-ES"/>
        </w:rPr>
      </w:pPr>
      <w:r w:rsidRPr="00532CBE">
        <w:rPr>
          <w:lang w:val="es-ES"/>
        </w:rPr>
        <w:t>La propuesta consta de:</w:t>
      </w:r>
    </w:p>
    <w:p w14:paraId="17E45F3E" w14:textId="0674707D" w:rsidR="00676019" w:rsidRPr="00532CBE" w:rsidRDefault="004214CD" w:rsidP="00676019">
      <w:pPr>
        <w:numPr>
          <w:ilvl w:val="0"/>
          <w:numId w:val="6"/>
        </w:numPr>
        <w:rPr>
          <w:szCs w:val="22"/>
        </w:rPr>
      </w:pPr>
      <w:r>
        <w:rPr>
          <w:szCs w:val="22"/>
        </w:rPr>
        <w:t>9</w:t>
      </w:r>
      <w:r w:rsidR="00676019" w:rsidRPr="00532CBE">
        <w:rPr>
          <w:szCs w:val="22"/>
        </w:rPr>
        <w:t xml:space="preserve"> </w:t>
      </w:r>
      <w:r w:rsidR="00676019" w:rsidRPr="00532CBE">
        <w:rPr>
          <w:lang w:val="es-ES"/>
        </w:rPr>
        <w:t>artículos</w:t>
      </w:r>
      <w:r w:rsidR="00676019" w:rsidRPr="00532CBE">
        <w:rPr>
          <w:szCs w:val="22"/>
        </w:rPr>
        <w:t>.</w:t>
      </w:r>
    </w:p>
    <w:p w14:paraId="2F268C04" w14:textId="3AAD3DBF" w:rsidR="00676019" w:rsidRDefault="004214CD" w:rsidP="00676019">
      <w:pPr>
        <w:numPr>
          <w:ilvl w:val="0"/>
          <w:numId w:val="6"/>
        </w:numPr>
        <w:rPr>
          <w:szCs w:val="22"/>
        </w:rPr>
      </w:pPr>
      <w:r>
        <w:rPr>
          <w:szCs w:val="22"/>
        </w:rPr>
        <w:t>2</w:t>
      </w:r>
      <w:r w:rsidR="00676019" w:rsidRPr="00532CBE">
        <w:rPr>
          <w:szCs w:val="22"/>
        </w:rPr>
        <w:t xml:space="preserve"> disposici</w:t>
      </w:r>
      <w:r>
        <w:rPr>
          <w:szCs w:val="22"/>
        </w:rPr>
        <w:t>ones</w:t>
      </w:r>
      <w:r w:rsidR="00676019" w:rsidRPr="00532CBE">
        <w:rPr>
          <w:szCs w:val="22"/>
        </w:rPr>
        <w:t xml:space="preserve"> adicional</w:t>
      </w:r>
      <w:r>
        <w:rPr>
          <w:szCs w:val="22"/>
        </w:rPr>
        <w:t>es</w:t>
      </w:r>
      <w:r w:rsidR="00676019" w:rsidRPr="00532CBE">
        <w:rPr>
          <w:szCs w:val="22"/>
        </w:rPr>
        <w:t>.</w:t>
      </w:r>
    </w:p>
    <w:p w14:paraId="2A0F415F" w14:textId="5AEA8A3E" w:rsidR="00E53EC8" w:rsidRPr="00532CBE" w:rsidRDefault="00E53EC8" w:rsidP="00676019">
      <w:pPr>
        <w:numPr>
          <w:ilvl w:val="0"/>
          <w:numId w:val="6"/>
        </w:numPr>
        <w:rPr>
          <w:szCs w:val="22"/>
        </w:rPr>
      </w:pPr>
      <w:r>
        <w:rPr>
          <w:szCs w:val="22"/>
        </w:rPr>
        <w:t>1 disposición transitoria</w:t>
      </w:r>
      <w:r w:rsidR="007E14B0">
        <w:rPr>
          <w:szCs w:val="22"/>
        </w:rPr>
        <w:t xml:space="preserve"> (única)</w:t>
      </w:r>
      <w:r>
        <w:rPr>
          <w:szCs w:val="22"/>
        </w:rPr>
        <w:t>.</w:t>
      </w:r>
    </w:p>
    <w:p w14:paraId="74D652A9" w14:textId="77777777" w:rsidR="00676019" w:rsidRPr="00532CBE" w:rsidRDefault="00676019" w:rsidP="00676019">
      <w:pPr>
        <w:numPr>
          <w:ilvl w:val="0"/>
          <w:numId w:val="6"/>
        </w:numPr>
        <w:rPr>
          <w:szCs w:val="22"/>
        </w:rPr>
      </w:pPr>
      <w:r w:rsidRPr="00532CBE">
        <w:rPr>
          <w:szCs w:val="22"/>
        </w:rPr>
        <w:t xml:space="preserve">1 </w:t>
      </w:r>
      <w:r w:rsidRPr="00532CBE">
        <w:rPr>
          <w:lang w:val="es-ES"/>
        </w:rPr>
        <w:t>disposición</w:t>
      </w:r>
      <w:r w:rsidRPr="00532CBE">
        <w:rPr>
          <w:szCs w:val="22"/>
        </w:rPr>
        <w:t xml:space="preserve"> derogatoria (única).</w:t>
      </w:r>
    </w:p>
    <w:p w14:paraId="5D2E1C19" w14:textId="338387BB" w:rsidR="00676019" w:rsidRPr="00532CBE" w:rsidRDefault="00EE3CBD" w:rsidP="00676019">
      <w:pPr>
        <w:numPr>
          <w:ilvl w:val="0"/>
          <w:numId w:val="6"/>
        </w:numPr>
        <w:rPr>
          <w:szCs w:val="22"/>
        </w:rPr>
      </w:pPr>
      <w:r>
        <w:rPr>
          <w:szCs w:val="22"/>
        </w:rPr>
        <w:t>3</w:t>
      </w:r>
      <w:r w:rsidR="00676019" w:rsidRPr="00532CBE">
        <w:rPr>
          <w:szCs w:val="22"/>
        </w:rPr>
        <w:t xml:space="preserve"> </w:t>
      </w:r>
      <w:r w:rsidR="00676019" w:rsidRPr="00532CBE">
        <w:rPr>
          <w:lang w:val="es-ES"/>
        </w:rPr>
        <w:t>disposiciones</w:t>
      </w:r>
      <w:r w:rsidR="00676019" w:rsidRPr="00532CBE">
        <w:rPr>
          <w:szCs w:val="22"/>
        </w:rPr>
        <w:t xml:space="preserve"> finales.</w:t>
      </w:r>
    </w:p>
    <w:p w14:paraId="4CF8CAEA" w14:textId="5226B69F" w:rsidR="00676019" w:rsidRPr="00532CBE" w:rsidRDefault="00AF3B93" w:rsidP="00676019">
      <w:pPr>
        <w:numPr>
          <w:ilvl w:val="0"/>
          <w:numId w:val="6"/>
        </w:numPr>
        <w:rPr>
          <w:szCs w:val="22"/>
        </w:rPr>
      </w:pPr>
      <w:r>
        <w:rPr>
          <w:szCs w:val="22"/>
        </w:rPr>
        <w:t>3</w:t>
      </w:r>
      <w:r w:rsidR="00676019" w:rsidRPr="00532CBE">
        <w:rPr>
          <w:szCs w:val="22"/>
        </w:rPr>
        <w:t xml:space="preserve"> anexos</w:t>
      </w:r>
      <w:r w:rsidR="00493B24">
        <w:rPr>
          <w:szCs w:val="22"/>
        </w:rPr>
        <w:t>.</w:t>
      </w:r>
    </w:p>
    <w:p w14:paraId="7F8D590E" w14:textId="4D7A7AA5" w:rsidR="00676019" w:rsidRPr="004F54D8" w:rsidRDefault="00676019" w:rsidP="00ED34D0">
      <w:pPr>
        <w:pStyle w:val="Ttulo4"/>
        <w:numPr>
          <w:ilvl w:val="0"/>
          <w:numId w:val="0"/>
        </w:numPr>
        <w:spacing w:after="240"/>
        <w:ind w:left="864" w:hanging="864"/>
        <w:rPr>
          <w:b/>
          <w:lang w:val="es-ES"/>
        </w:rPr>
      </w:pPr>
      <w:r w:rsidRPr="00522668">
        <w:rPr>
          <w:b/>
          <w:u w:val="none"/>
          <w:lang w:val="es-ES"/>
        </w:rPr>
        <w:t xml:space="preserve">2. </w:t>
      </w:r>
      <w:r w:rsidRPr="004F54D8">
        <w:rPr>
          <w:b/>
          <w:lang w:val="es-ES"/>
        </w:rPr>
        <w:t>Resumen y medidas</w:t>
      </w:r>
    </w:p>
    <w:p w14:paraId="6C9E7D6C" w14:textId="77777777" w:rsidR="00676019" w:rsidRPr="00532CBE" w:rsidRDefault="00676019" w:rsidP="00676019">
      <w:pPr>
        <w:pStyle w:val="Prrafodelista"/>
        <w:keepNext/>
        <w:numPr>
          <w:ilvl w:val="0"/>
          <w:numId w:val="8"/>
        </w:numPr>
        <w:spacing w:before="240"/>
        <w:ind w:left="714" w:hanging="357"/>
        <w:contextualSpacing w:val="0"/>
        <w:rPr>
          <w:lang w:val="es-ES"/>
        </w:rPr>
      </w:pPr>
      <w:r w:rsidRPr="00532CBE">
        <w:rPr>
          <w:lang w:val="es-ES"/>
        </w:rPr>
        <w:t xml:space="preserve">Artículo 1. </w:t>
      </w:r>
      <w:r w:rsidRPr="00532CBE">
        <w:rPr>
          <w:i/>
          <w:lang w:val="es-ES"/>
        </w:rPr>
        <w:t>Objeto.</w:t>
      </w:r>
    </w:p>
    <w:p w14:paraId="173E8482" w14:textId="1AB1CDB0" w:rsidR="00676019" w:rsidRPr="00532CBE" w:rsidRDefault="00676019" w:rsidP="00676019">
      <w:pPr>
        <w:pStyle w:val="Prrafodelista"/>
        <w:contextualSpacing w:val="0"/>
        <w:rPr>
          <w:lang w:val="es-ES"/>
        </w:rPr>
      </w:pPr>
      <w:r w:rsidRPr="00532CBE">
        <w:rPr>
          <w:lang w:val="es-ES"/>
        </w:rPr>
        <w:t xml:space="preserve">El objeto de este real decreto es establecer </w:t>
      </w:r>
      <w:r w:rsidR="00F25BFA">
        <w:rPr>
          <w:rFonts w:cs="Arial"/>
        </w:rPr>
        <w:t>la norma de calidad</w:t>
      </w:r>
      <w:r w:rsidRPr="00532CBE">
        <w:rPr>
          <w:lang w:val="es-ES"/>
        </w:rPr>
        <w:t xml:space="preserve"> de los aceites de oliva y de orujo de oliva.</w:t>
      </w:r>
    </w:p>
    <w:p w14:paraId="546E34D6" w14:textId="77777777" w:rsidR="00676019" w:rsidRPr="00B83FEF" w:rsidRDefault="00676019" w:rsidP="00676019">
      <w:pPr>
        <w:pStyle w:val="Prrafodelista"/>
        <w:keepNext/>
        <w:numPr>
          <w:ilvl w:val="0"/>
          <w:numId w:val="8"/>
        </w:numPr>
        <w:spacing w:before="240"/>
        <w:ind w:left="714" w:hanging="357"/>
        <w:contextualSpacing w:val="0"/>
        <w:rPr>
          <w:lang w:val="es-ES"/>
        </w:rPr>
      </w:pPr>
      <w:r w:rsidRPr="00B83FEF">
        <w:rPr>
          <w:lang w:val="es-ES"/>
        </w:rPr>
        <w:t xml:space="preserve">Artículo 2. </w:t>
      </w:r>
      <w:r w:rsidRPr="00B83FEF">
        <w:rPr>
          <w:i/>
          <w:lang w:val="es-ES"/>
        </w:rPr>
        <w:t>Ámbito de aplicación</w:t>
      </w:r>
      <w:r w:rsidRPr="00B83FEF">
        <w:rPr>
          <w:lang w:val="es-ES"/>
        </w:rPr>
        <w:t>.</w:t>
      </w:r>
    </w:p>
    <w:p w14:paraId="22EDC5C5" w14:textId="77777777" w:rsidR="00676019" w:rsidRPr="00B83FEF" w:rsidRDefault="00676019" w:rsidP="00676019">
      <w:pPr>
        <w:pStyle w:val="Prrafodelista"/>
        <w:keepNext/>
        <w:spacing w:before="240"/>
        <w:ind w:left="714"/>
        <w:contextualSpacing w:val="0"/>
        <w:rPr>
          <w:lang w:val="es-ES"/>
        </w:rPr>
      </w:pPr>
      <w:r w:rsidRPr="00B83FEF">
        <w:rPr>
          <w:lang w:val="es-ES"/>
        </w:rPr>
        <w:t>Esta norma es de aplicación a todos los aceites de oliva y de orujo de oliva elaborados y comercializados en España, y será aplicable a todos los operadores del sector.</w:t>
      </w:r>
    </w:p>
    <w:p w14:paraId="16C8C9BF" w14:textId="505DFBFB" w:rsidR="00676019" w:rsidRPr="00B83FEF" w:rsidRDefault="00676019" w:rsidP="00676019">
      <w:pPr>
        <w:pStyle w:val="Prrafodelista"/>
        <w:keepNext/>
        <w:numPr>
          <w:ilvl w:val="0"/>
          <w:numId w:val="8"/>
        </w:numPr>
        <w:spacing w:before="240"/>
        <w:ind w:left="714" w:hanging="357"/>
        <w:contextualSpacing w:val="0"/>
        <w:rPr>
          <w:lang w:val="es-ES"/>
        </w:rPr>
      </w:pPr>
      <w:r w:rsidRPr="00B83FEF">
        <w:rPr>
          <w:lang w:val="es-ES"/>
        </w:rPr>
        <w:t>Artículo 3.</w:t>
      </w:r>
      <w:r w:rsidRPr="00B83FEF">
        <w:t xml:space="preserve"> </w:t>
      </w:r>
      <w:r w:rsidR="004667A6" w:rsidRPr="006D1287">
        <w:rPr>
          <w:i/>
          <w:iCs/>
        </w:rPr>
        <w:t>D</w:t>
      </w:r>
      <w:r w:rsidR="004667A6" w:rsidRPr="00B83FEF">
        <w:rPr>
          <w:i/>
        </w:rPr>
        <w:t xml:space="preserve">enominaciones </w:t>
      </w:r>
      <w:r w:rsidR="004667A6">
        <w:rPr>
          <w:i/>
        </w:rPr>
        <w:t>y d</w:t>
      </w:r>
      <w:r w:rsidRPr="00B83FEF">
        <w:rPr>
          <w:i/>
        </w:rPr>
        <w:t>efiniciones de los productos</w:t>
      </w:r>
      <w:r w:rsidRPr="00B83FEF">
        <w:t>.</w:t>
      </w:r>
    </w:p>
    <w:p w14:paraId="2FF05A30" w14:textId="77777777" w:rsidR="00676019" w:rsidRPr="00B83FEF" w:rsidRDefault="00676019" w:rsidP="00676019">
      <w:pPr>
        <w:pStyle w:val="Prrafodelista"/>
        <w:contextualSpacing w:val="0"/>
        <w:rPr>
          <w:lang w:val="es-ES"/>
        </w:rPr>
      </w:pPr>
      <w:r w:rsidRPr="00B83FEF">
        <w:rPr>
          <w:lang w:val="es-ES"/>
        </w:rPr>
        <w:t xml:space="preserve">Se definen </w:t>
      </w:r>
      <w:r w:rsidRPr="00B83FEF">
        <w:rPr>
          <w:rFonts w:cs="Arial"/>
        </w:rPr>
        <w:t>las distintas categorías de productos en las que se clasifican los aceites de oliva y de orujo de oliva</w:t>
      </w:r>
      <w:r w:rsidRPr="00B83FEF">
        <w:rPr>
          <w:lang w:val="es-ES"/>
        </w:rPr>
        <w:t>, y se definen asimismo las distintas instalaciones y operadores que intervienen en el proceso de elaboración y comercialización de los aceites de oliva.</w:t>
      </w:r>
    </w:p>
    <w:p w14:paraId="32C0A6F3" w14:textId="322C8EBD" w:rsidR="00676019" w:rsidRPr="004F3322" w:rsidRDefault="00676019" w:rsidP="00676019">
      <w:pPr>
        <w:pStyle w:val="Prrafodelista"/>
        <w:keepNext/>
        <w:numPr>
          <w:ilvl w:val="0"/>
          <w:numId w:val="8"/>
        </w:numPr>
        <w:spacing w:before="240"/>
        <w:ind w:left="714" w:hanging="357"/>
        <w:contextualSpacing w:val="0"/>
        <w:rPr>
          <w:lang w:val="es-ES"/>
        </w:rPr>
      </w:pPr>
      <w:r w:rsidRPr="004F3322">
        <w:rPr>
          <w:lang w:val="es-ES"/>
        </w:rPr>
        <w:t>Artículos</w:t>
      </w:r>
      <w:r w:rsidRPr="004F3322">
        <w:t xml:space="preserve"> 4</w:t>
      </w:r>
      <w:r>
        <w:t xml:space="preserve"> al </w:t>
      </w:r>
      <w:r w:rsidR="004214CD">
        <w:t>8</w:t>
      </w:r>
      <w:r w:rsidRPr="004F3322">
        <w:t>.</w:t>
      </w:r>
    </w:p>
    <w:p w14:paraId="23D18502" w14:textId="02EBABAE" w:rsidR="00676019" w:rsidRPr="004F3322" w:rsidRDefault="00676019" w:rsidP="00676019">
      <w:pPr>
        <w:pStyle w:val="Prrafodelista"/>
        <w:tabs>
          <w:tab w:val="left" w:pos="-720"/>
        </w:tabs>
        <w:contextualSpacing w:val="0"/>
        <w:rPr>
          <w:bCs/>
          <w:lang w:val="es-ES"/>
        </w:rPr>
      </w:pPr>
      <w:r w:rsidRPr="004F3322">
        <w:rPr>
          <w:bCs/>
          <w:lang w:val="es-ES"/>
        </w:rPr>
        <w:t>Se establecen las obligaciones</w:t>
      </w:r>
      <w:r w:rsidR="00E53EC8">
        <w:rPr>
          <w:bCs/>
          <w:lang w:val="es-ES"/>
        </w:rPr>
        <w:t xml:space="preserve">, tanto </w:t>
      </w:r>
      <w:r w:rsidR="004214CD">
        <w:rPr>
          <w:bCs/>
          <w:lang w:val="es-ES"/>
        </w:rPr>
        <w:t>en materia de trazabilidad</w:t>
      </w:r>
      <w:r w:rsidR="00E53EC8">
        <w:rPr>
          <w:bCs/>
          <w:lang w:val="es-ES"/>
        </w:rPr>
        <w:t xml:space="preserve"> como</w:t>
      </w:r>
      <w:r w:rsidRPr="004F3322">
        <w:rPr>
          <w:bCs/>
          <w:lang w:val="es-ES"/>
        </w:rPr>
        <w:t xml:space="preserve"> </w:t>
      </w:r>
      <w:r w:rsidR="00A5115D">
        <w:rPr>
          <w:bCs/>
          <w:lang w:val="es-ES"/>
        </w:rPr>
        <w:t xml:space="preserve">aquellas </w:t>
      </w:r>
      <w:r w:rsidRPr="004F3322">
        <w:rPr>
          <w:bCs/>
          <w:lang w:val="es-ES"/>
        </w:rPr>
        <w:t>específicas para las instalaciones</w:t>
      </w:r>
      <w:r w:rsidR="004214CD">
        <w:rPr>
          <w:bCs/>
          <w:lang w:val="es-ES"/>
        </w:rPr>
        <w:t>,</w:t>
      </w:r>
      <w:r w:rsidRPr="004F3322">
        <w:rPr>
          <w:bCs/>
          <w:lang w:val="es-ES"/>
        </w:rPr>
        <w:t xml:space="preserve"> para los </w:t>
      </w:r>
      <w:r w:rsidR="004214CD">
        <w:rPr>
          <w:bCs/>
          <w:lang w:val="es-ES"/>
        </w:rPr>
        <w:t>aceites y para los envases</w:t>
      </w:r>
      <w:r w:rsidRPr="004F3322">
        <w:rPr>
          <w:bCs/>
          <w:lang w:val="es-ES"/>
        </w:rPr>
        <w:t>, que se deben cumplir durante la elaboración y comercialización de los aceites de oliva y de orujo de oliva, por parte de todo</w:t>
      </w:r>
      <w:r>
        <w:rPr>
          <w:bCs/>
          <w:lang w:val="es-ES"/>
        </w:rPr>
        <w:t>s los operadores intervinientes; así como las prácticas prohibidas, respecto de determinados procesos</w:t>
      </w:r>
      <w:r w:rsidR="00E469BC">
        <w:rPr>
          <w:bCs/>
          <w:lang w:val="es-ES"/>
        </w:rPr>
        <w:t>, prácticas</w:t>
      </w:r>
      <w:r>
        <w:rPr>
          <w:bCs/>
          <w:lang w:val="es-ES"/>
        </w:rPr>
        <w:t xml:space="preserve">, menciones </w:t>
      </w:r>
      <w:r w:rsidR="00E469BC">
        <w:rPr>
          <w:bCs/>
          <w:lang w:val="es-ES"/>
        </w:rPr>
        <w:t>y</w:t>
      </w:r>
      <w:r>
        <w:rPr>
          <w:bCs/>
          <w:lang w:val="es-ES"/>
        </w:rPr>
        <w:t xml:space="preserve"> establecimientos.</w:t>
      </w:r>
    </w:p>
    <w:p w14:paraId="37E85134" w14:textId="2625E53D" w:rsidR="00676019" w:rsidRPr="00C824D5" w:rsidRDefault="00676019" w:rsidP="00676019">
      <w:pPr>
        <w:pStyle w:val="Prrafodelista"/>
        <w:keepNext/>
        <w:numPr>
          <w:ilvl w:val="0"/>
          <w:numId w:val="8"/>
        </w:numPr>
        <w:spacing w:before="240"/>
        <w:ind w:left="714" w:hanging="357"/>
        <w:contextualSpacing w:val="0"/>
      </w:pPr>
      <w:r w:rsidRPr="00C824D5">
        <w:rPr>
          <w:lang w:val="es-ES"/>
        </w:rPr>
        <w:t>Artículo</w:t>
      </w:r>
      <w:r w:rsidRPr="00C824D5">
        <w:t xml:space="preserve"> </w:t>
      </w:r>
      <w:r w:rsidR="00E469BC">
        <w:t>9</w:t>
      </w:r>
      <w:r w:rsidRPr="00C824D5">
        <w:t xml:space="preserve">: </w:t>
      </w:r>
      <w:r w:rsidRPr="00C824D5">
        <w:rPr>
          <w:rFonts w:cs="Arial"/>
          <w:i/>
        </w:rPr>
        <w:t>Control oficial, coordinación y régimen sancionador</w:t>
      </w:r>
      <w:r w:rsidRPr="00C824D5">
        <w:rPr>
          <w:i/>
        </w:rPr>
        <w:t>.</w:t>
      </w:r>
    </w:p>
    <w:p w14:paraId="6680098F" w14:textId="77777777" w:rsidR="00676019" w:rsidRPr="00C824D5" w:rsidRDefault="00676019" w:rsidP="00676019">
      <w:pPr>
        <w:pStyle w:val="Prrafodelista"/>
        <w:contextualSpacing w:val="0"/>
      </w:pPr>
      <w:r w:rsidRPr="00C824D5">
        <w:t>Se regulan determinados aspectos relativos al control oficial y al régimen sancionador y se introducen mecanismos para incrementar la coordinación entre las distintas Administraciones Públicas con el objetivo de mejorar el control oficial.</w:t>
      </w:r>
    </w:p>
    <w:p w14:paraId="58FBB2B3" w14:textId="77777777" w:rsidR="00676019" w:rsidRPr="00C824D5" w:rsidRDefault="00676019" w:rsidP="00676019">
      <w:pPr>
        <w:pStyle w:val="Prrafodelista"/>
        <w:keepNext/>
        <w:numPr>
          <w:ilvl w:val="0"/>
          <w:numId w:val="8"/>
        </w:numPr>
        <w:spacing w:before="240"/>
        <w:ind w:left="714" w:hanging="357"/>
        <w:contextualSpacing w:val="0"/>
        <w:rPr>
          <w:lang w:val="es-ES"/>
        </w:rPr>
      </w:pPr>
      <w:r w:rsidRPr="00C824D5">
        <w:rPr>
          <w:lang w:val="es-ES"/>
        </w:rPr>
        <w:t>Disposición</w:t>
      </w:r>
      <w:r w:rsidRPr="00C824D5">
        <w:rPr>
          <w:rStyle w:val="Textoennegrita"/>
          <w:b w:val="0"/>
          <w:lang w:val="es-ES"/>
        </w:rPr>
        <w:t xml:space="preserve"> adicional primera. </w:t>
      </w:r>
      <w:r w:rsidRPr="00C824D5">
        <w:rPr>
          <w:i/>
          <w:lang w:val="es-ES"/>
        </w:rPr>
        <w:t>Cláusula de reconocimiento mutuo</w:t>
      </w:r>
      <w:r w:rsidRPr="00C824D5">
        <w:rPr>
          <w:lang w:val="es-ES"/>
        </w:rPr>
        <w:t>.</w:t>
      </w:r>
    </w:p>
    <w:p w14:paraId="4B03719E" w14:textId="3BBCB438" w:rsidR="00676019" w:rsidRDefault="00676019" w:rsidP="00676019">
      <w:pPr>
        <w:pStyle w:val="Prrafodelista"/>
        <w:tabs>
          <w:tab w:val="left" w:pos="-720"/>
        </w:tabs>
        <w:contextualSpacing w:val="0"/>
        <w:rPr>
          <w:lang w:val="es-ES"/>
        </w:rPr>
      </w:pPr>
      <w:r w:rsidRPr="00C824D5">
        <w:rPr>
          <w:lang w:val="es-ES"/>
        </w:rPr>
        <w:t xml:space="preserve">Se incluye la cláusula de reconocimiento mutuo, cuya redacción viene dada por el Ministerio </w:t>
      </w:r>
      <w:r w:rsidRPr="00C824D5">
        <w:rPr>
          <w:rFonts w:cs="Arial"/>
          <w:szCs w:val="24"/>
          <w:lang w:val="es-ES"/>
        </w:rPr>
        <w:t>de</w:t>
      </w:r>
      <w:r w:rsidRPr="00C824D5">
        <w:rPr>
          <w:lang w:val="es-ES"/>
        </w:rPr>
        <w:t xml:space="preserve"> Asuntos Exteriores</w:t>
      </w:r>
      <w:r w:rsidR="003F1736">
        <w:rPr>
          <w:lang w:val="es-ES"/>
        </w:rPr>
        <w:t>, Unión Europea</w:t>
      </w:r>
      <w:r w:rsidRPr="00C824D5">
        <w:rPr>
          <w:lang w:val="es-ES"/>
        </w:rPr>
        <w:t xml:space="preserve"> y Cooperación.</w:t>
      </w:r>
    </w:p>
    <w:p w14:paraId="19805F9E" w14:textId="3048175E" w:rsidR="00D56A97" w:rsidRPr="00C824D5" w:rsidRDefault="00D56A97" w:rsidP="00D56A97">
      <w:pPr>
        <w:pStyle w:val="Prrafodelista"/>
        <w:keepNext/>
        <w:numPr>
          <w:ilvl w:val="0"/>
          <w:numId w:val="8"/>
        </w:numPr>
        <w:spacing w:before="240"/>
        <w:ind w:left="714" w:hanging="357"/>
        <w:contextualSpacing w:val="0"/>
        <w:rPr>
          <w:lang w:val="es-ES"/>
        </w:rPr>
      </w:pPr>
      <w:r w:rsidRPr="00C824D5">
        <w:rPr>
          <w:lang w:val="es-ES"/>
        </w:rPr>
        <w:t>Disposición</w:t>
      </w:r>
      <w:r w:rsidRPr="00C824D5">
        <w:rPr>
          <w:rStyle w:val="Textoennegrita"/>
          <w:b w:val="0"/>
          <w:lang w:val="es-ES"/>
        </w:rPr>
        <w:t xml:space="preserve"> adicional </w:t>
      </w:r>
      <w:r>
        <w:rPr>
          <w:rStyle w:val="Textoennegrita"/>
          <w:b w:val="0"/>
          <w:lang w:val="es-ES"/>
        </w:rPr>
        <w:t>segunda</w:t>
      </w:r>
      <w:r w:rsidRPr="00C824D5">
        <w:rPr>
          <w:rStyle w:val="Textoennegrita"/>
          <w:b w:val="0"/>
          <w:lang w:val="es-ES"/>
        </w:rPr>
        <w:t xml:space="preserve">. </w:t>
      </w:r>
      <w:r w:rsidRPr="006D1287">
        <w:rPr>
          <w:rStyle w:val="Textoennegrita"/>
          <w:b w:val="0"/>
          <w:i/>
          <w:iCs/>
          <w:lang w:val="es-ES"/>
        </w:rPr>
        <w:t>Sistema informatizado</w:t>
      </w:r>
      <w:r w:rsidRPr="00C824D5">
        <w:rPr>
          <w:lang w:val="es-ES"/>
        </w:rPr>
        <w:t>.</w:t>
      </w:r>
    </w:p>
    <w:p w14:paraId="515A8A81" w14:textId="75915969" w:rsidR="00D56A97" w:rsidRPr="00B07D3F" w:rsidRDefault="00D56A97" w:rsidP="00B07D3F">
      <w:pPr>
        <w:pStyle w:val="Prrafodelista"/>
        <w:tabs>
          <w:tab w:val="left" w:pos="-720"/>
        </w:tabs>
        <w:contextualSpacing w:val="0"/>
        <w:rPr>
          <w:lang w:val="es-ES"/>
        </w:rPr>
      </w:pPr>
      <w:r w:rsidRPr="00C824D5">
        <w:rPr>
          <w:lang w:val="es-ES"/>
        </w:rPr>
        <w:t xml:space="preserve">Se </w:t>
      </w:r>
      <w:r>
        <w:rPr>
          <w:lang w:val="es-ES"/>
        </w:rPr>
        <w:t>describe la implantación del sistema informatizado para la notificación obligatoria en el transporte de aceites de oliva y de orujo de oliva</w:t>
      </w:r>
      <w:r w:rsidRPr="00C824D5">
        <w:rPr>
          <w:lang w:val="es-ES"/>
        </w:rPr>
        <w:t>.</w:t>
      </w:r>
    </w:p>
    <w:p w14:paraId="5E2A8626" w14:textId="27608217" w:rsidR="00676019" w:rsidRPr="00C824D5" w:rsidRDefault="00676019" w:rsidP="00676019">
      <w:pPr>
        <w:pStyle w:val="Prrafodelista"/>
        <w:keepNext/>
        <w:numPr>
          <w:ilvl w:val="0"/>
          <w:numId w:val="8"/>
        </w:numPr>
        <w:spacing w:before="240"/>
        <w:ind w:left="714" w:hanging="357"/>
        <w:contextualSpacing w:val="0"/>
        <w:rPr>
          <w:rStyle w:val="Textoennegrita"/>
          <w:b w:val="0"/>
          <w:bCs w:val="0"/>
          <w:lang w:val="es-ES"/>
        </w:rPr>
      </w:pPr>
      <w:r w:rsidRPr="00C824D5">
        <w:rPr>
          <w:lang w:val="es-ES"/>
        </w:rPr>
        <w:t>Disposición</w:t>
      </w:r>
      <w:r w:rsidRPr="00C824D5">
        <w:rPr>
          <w:rStyle w:val="Textoennegrita"/>
          <w:b w:val="0"/>
          <w:lang w:val="es-ES"/>
        </w:rPr>
        <w:t xml:space="preserve"> </w:t>
      </w:r>
      <w:r w:rsidR="00E53EC8">
        <w:rPr>
          <w:rStyle w:val="Textoennegrita"/>
          <w:b w:val="0"/>
          <w:lang w:val="es-ES"/>
        </w:rPr>
        <w:t>transitoria</w:t>
      </w:r>
      <w:r w:rsidR="007E14B0">
        <w:rPr>
          <w:rStyle w:val="Textoennegrita"/>
          <w:b w:val="0"/>
          <w:lang w:val="es-ES"/>
        </w:rPr>
        <w:t xml:space="preserve"> única</w:t>
      </w:r>
      <w:r w:rsidRPr="00C824D5">
        <w:rPr>
          <w:rStyle w:val="Textoennegrita"/>
          <w:b w:val="0"/>
          <w:lang w:val="es-ES"/>
        </w:rPr>
        <w:t xml:space="preserve">. </w:t>
      </w:r>
      <w:r w:rsidRPr="00C824D5">
        <w:rPr>
          <w:rStyle w:val="Textoennegrita"/>
          <w:b w:val="0"/>
          <w:i/>
          <w:lang w:val="es-ES"/>
        </w:rPr>
        <w:t xml:space="preserve">Periodo transitorio. </w:t>
      </w:r>
    </w:p>
    <w:p w14:paraId="20695226" w14:textId="500F596A" w:rsidR="00676019" w:rsidRPr="00C824D5" w:rsidRDefault="00676019" w:rsidP="00676019">
      <w:pPr>
        <w:pStyle w:val="Prrafodelista"/>
        <w:tabs>
          <w:tab w:val="left" w:pos="-720"/>
        </w:tabs>
        <w:contextualSpacing w:val="0"/>
        <w:rPr>
          <w:lang w:val="es-ES"/>
        </w:rPr>
      </w:pPr>
      <w:r w:rsidRPr="00B0629A">
        <w:rPr>
          <w:lang w:val="es-ES"/>
        </w:rPr>
        <w:t xml:space="preserve">Se define un periodo transitorio </w:t>
      </w:r>
      <w:r w:rsidR="00AD60C0">
        <w:rPr>
          <w:lang w:val="es-ES"/>
        </w:rPr>
        <w:t>respecto de la obligación de notificar los movimientos</w:t>
      </w:r>
      <w:r w:rsidR="00A7040D">
        <w:rPr>
          <w:lang w:val="es-ES"/>
        </w:rPr>
        <w:t xml:space="preserve"> al sistema informatizado habilitado a tal efecto</w:t>
      </w:r>
      <w:r w:rsidR="00AD60C0">
        <w:rPr>
          <w:lang w:val="es-ES"/>
        </w:rPr>
        <w:t xml:space="preserve"> </w:t>
      </w:r>
      <w:r w:rsidR="00A5115D">
        <w:rPr>
          <w:lang w:val="es-ES"/>
        </w:rPr>
        <w:t>y</w:t>
      </w:r>
      <w:r w:rsidR="00B07D3F">
        <w:rPr>
          <w:lang w:val="es-ES"/>
        </w:rPr>
        <w:t xml:space="preserve"> un periodo transitorio para la aplicación de la prohibición de comercializar </w:t>
      </w:r>
      <w:r w:rsidR="00A7040D">
        <w:rPr>
          <w:lang w:val="es-ES"/>
        </w:rPr>
        <w:t xml:space="preserve">a través del canal de comercio minorista los </w:t>
      </w:r>
      <w:r w:rsidR="00B07D3F">
        <w:rPr>
          <w:lang w:val="es-ES"/>
        </w:rPr>
        <w:t>aceites de oliva virgen extra en recipiente de plástico</w:t>
      </w:r>
      <w:r w:rsidRPr="00C824D5">
        <w:rPr>
          <w:lang w:val="es-ES"/>
        </w:rPr>
        <w:t>.</w:t>
      </w:r>
    </w:p>
    <w:p w14:paraId="03813654" w14:textId="77777777" w:rsidR="00676019" w:rsidRPr="00C824D5" w:rsidRDefault="00676019" w:rsidP="00676019">
      <w:pPr>
        <w:pStyle w:val="Prrafodelista"/>
        <w:keepNext/>
        <w:numPr>
          <w:ilvl w:val="0"/>
          <w:numId w:val="8"/>
        </w:numPr>
        <w:spacing w:before="240"/>
        <w:ind w:left="714" w:hanging="357"/>
        <w:contextualSpacing w:val="0"/>
        <w:rPr>
          <w:lang w:val="es-ES"/>
        </w:rPr>
      </w:pPr>
      <w:r w:rsidRPr="00C824D5">
        <w:rPr>
          <w:lang w:val="es-ES"/>
        </w:rPr>
        <w:t xml:space="preserve">Disposición derogatoria única. </w:t>
      </w:r>
      <w:r w:rsidRPr="00C824D5">
        <w:rPr>
          <w:i/>
          <w:lang w:val="es-ES"/>
        </w:rPr>
        <w:t>Derogación normativa</w:t>
      </w:r>
      <w:r w:rsidRPr="00C824D5">
        <w:rPr>
          <w:lang w:val="es-ES"/>
        </w:rPr>
        <w:t>.</w:t>
      </w:r>
    </w:p>
    <w:p w14:paraId="0F0DE2AD" w14:textId="77777777" w:rsidR="00676019" w:rsidRPr="00C824D5" w:rsidRDefault="00676019" w:rsidP="00676019">
      <w:pPr>
        <w:tabs>
          <w:tab w:val="left" w:pos="-720"/>
        </w:tabs>
        <w:ind w:left="720"/>
        <w:rPr>
          <w:bCs/>
        </w:rPr>
      </w:pPr>
      <w:r w:rsidRPr="00C824D5">
        <w:t xml:space="preserve">Se derogan las distintas normas a las que sustituye el presente real decreto, con el objetivo de </w:t>
      </w:r>
      <w:r>
        <w:t>dotar a esta norma de la necesaria s</w:t>
      </w:r>
      <w:r w:rsidRPr="00C824D5">
        <w:t>eguridad jurídica.</w:t>
      </w:r>
    </w:p>
    <w:p w14:paraId="22BDB621" w14:textId="77777777" w:rsidR="00676019" w:rsidRPr="00C824D5" w:rsidRDefault="00676019" w:rsidP="00676019">
      <w:pPr>
        <w:pStyle w:val="Prrafodelista"/>
        <w:keepNext/>
        <w:numPr>
          <w:ilvl w:val="0"/>
          <w:numId w:val="8"/>
        </w:numPr>
        <w:spacing w:before="240"/>
        <w:ind w:left="714" w:hanging="357"/>
        <w:contextualSpacing w:val="0"/>
        <w:rPr>
          <w:rStyle w:val="CITE"/>
          <w:i w:val="0"/>
          <w:lang w:val="es-ES"/>
        </w:rPr>
      </w:pPr>
      <w:r w:rsidRPr="00C824D5">
        <w:rPr>
          <w:lang w:val="es-ES"/>
        </w:rPr>
        <w:t>Disposición</w:t>
      </w:r>
      <w:r w:rsidRPr="00C824D5">
        <w:rPr>
          <w:rStyle w:val="CITE"/>
          <w:i w:val="0"/>
          <w:lang w:val="es-ES"/>
        </w:rPr>
        <w:t xml:space="preserve"> final primera. </w:t>
      </w:r>
      <w:r w:rsidRPr="00C824D5">
        <w:rPr>
          <w:rStyle w:val="CITE"/>
          <w:lang w:val="es-ES"/>
        </w:rPr>
        <w:t>Título competencial</w:t>
      </w:r>
      <w:r w:rsidRPr="00C824D5">
        <w:rPr>
          <w:rStyle w:val="CITE"/>
          <w:i w:val="0"/>
          <w:lang w:val="es-ES"/>
        </w:rPr>
        <w:t>.</w:t>
      </w:r>
    </w:p>
    <w:p w14:paraId="71DB815D" w14:textId="0651B8C9" w:rsidR="00EE3CBD" w:rsidRDefault="00676019" w:rsidP="00EE3CBD">
      <w:pPr>
        <w:tabs>
          <w:tab w:val="left" w:pos="-720"/>
        </w:tabs>
        <w:ind w:left="720"/>
        <w:contextualSpacing/>
        <w:rPr>
          <w:rStyle w:val="CITE"/>
          <w:rFonts w:cs="Arial"/>
          <w:i w:val="0"/>
          <w:szCs w:val="24"/>
          <w:lang w:val="es-ES"/>
        </w:rPr>
      </w:pPr>
      <w:r w:rsidRPr="00C824D5">
        <w:rPr>
          <w:rStyle w:val="CITE"/>
          <w:rFonts w:cs="Arial"/>
          <w:i w:val="0"/>
          <w:szCs w:val="24"/>
          <w:lang w:val="es-ES"/>
        </w:rPr>
        <w:t>Se establece el título competencial al amparo del cual se dicta la norma, que es el artículo 149.1.13ª de la Constitución Española.</w:t>
      </w:r>
    </w:p>
    <w:p w14:paraId="7172C8FA" w14:textId="50A6F852" w:rsidR="00EE3CBD" w:rsidRPr="00C824D5" w:rsidRDefault="00EE3CBD" w:rsidP="00EE3CBD">
      <w:pPr>
        <w:pStyle w:val="Prrafodelista"/>
        <w:keepNext/>
        <w:numPr>
          <w:ilvl w:val="0"/>
          <w:numId w:val="8"/>
        </w:numPr>
        <w:spacing w:before="240"/>
        <w:ind w:left="714" w:hanging="357"/>
        <w:contextualSpacing w:val="0"/>
        <w:rPr>
          <w:rStyle w:val="CITE"/>
          <w:i w:val="0"/>
          <w:lang w:val="es-ES"/>
        </w:rPr>
      </w:pPr>
      <w:r w:rsidRPr="006D1287">
        <w:rPr>
          <w:rFonts w:cs="Arial"/>
          <w:color w:val="000000"/>
        </w:rPr>
        <w:t>Disposición final segunda</w:t>
      </w:r>
      <w:r>
        <w:rPr>
          <w:rFonts w:cs="Arial"/>
          <w:b/>
          <w:bCs/>
          <w:color w:val="000000"/>
        </w:rPr>
        <w:t xml:space="preserve">. </w:t>
      </w:r>
      <w:r w:rsidRPr="0019053C">
        <w:rPr>
          <w:rFonts w:cs="Arial"/>
          <w:bCs/>
          <w:i/>
          <w:color w:val="000000"/>
        </w:rPr>
        <w:t>Modificación del</w:t>
      </w:r>
      <w:r w:rsidRPr="0019053C">
        <w:rPr>
          <w:rFonts w:cs="Arial"/>
          <w:b/>
          <w:bCs/>
          <w:i/>
          <w:color w:val="000000"/>
        </w:rPr>
        <w:t xml:space="preserve"> </w:t>
      </w:r>
      <w:r w:rsidRPr="0019053C">
        <w:rPr>
          <w:rFonts w:cs="Arial"/>
          <w:i/>
        </w:rPr>
        <w:t>Decreto 2484/1967, de 21 de septiembre, por el que se aprueba el texto del Código Alimentario Español</w:t>
      </w:r>
      <w:r w:rsidRPr="00C824D5">
        <w:rPr>
          <w:rStyle w:val="CITE"/>
          <w:i w:val="0"/>
          <w:lang w:val="es-ES"/>
        </w:rPr>
        <w:t>.</w:t>
      </w:r>
    </w:p>
    <w:p w14:paraId="25921D17" w14:textId="5F981D90" w:rsidR="00EE3CBD" w:rsidRPr="00C37323" w:rsidRDefault="00EE3CBD" w:rsidP="00EE3CBD">
      <w:pPr>
        <w:tabs>
          <w:tab w:val="left" w:pos="-720"/>
        </w:tabs>
        <w:ind w:left="720"/>
        <w:contextualSpacing/>
        <w:rPr>
          <w:rStyle w:val="CITE"/>
          <w:rFonts w:cs="Arial"/>
          <w:iCs/>
          <w:szCs w:val="24"/>
          <w:lang w:val="es-ES"/>
        </w:rPr>
      </w:pPr>
      <w:r w:rsidRPr="00C824D5">
        <w:rPr>
          <w:rStyle w:val="CITE"/>
          <w:rFonts w:cs="Arial"/>
          <w:i w:val="0"/>
          <w:szCs w:val="24"/>
          <w:lang w:val="es-ES"/>
        </w:rPr>
        <w:t xml:space="preserve">Se </w:t>
      </w:r>
      <w:r>
        <w:rPr>
          <w:rStyle w:val="CITE"/>
          <w:rFonts w:cs="Arial"/>
          <w:i w:val="0"/>
          <w:szCs w:val="24"/>
          <w:lang w:val="es-ES"/>
        </w:rPr>
        <w:t xml:space="preserve">modifica el </w:t>
      </w:r>
      <w:r w:rsidRPr="00F71254">
        <w:rPr>
          <w:rFonts w:cs="Arial"/>
          <w:iCs/>
        </w:rPr>
        <w:t xml:space="preserve">Decreto 2484/1967 para sustituir su contenido por el </w:t>
      </w:r>
      <w:r w:rsidR="007D1909">
        <w:rPr>
          <w:rFonts w:cs="Arial"/>
          <w:iCs/>
        </w:rPr>
        <w:t>especificado en esta disposición final segunda.</w:t>
      </w:r>
    </w:p>
    <w:p w14:paraId="32E0F52A" w14:textId="4098A546" w:rsidR="00676019" w:rsidRPr="00F66E01" w:rsidRDefault="00676019" w:rsidP="00676019">
      <w:pPr>
        <w:pStyle w:val="Prrafodelista"/>
        <w:keepNext/>
        <w:numPr>
          <w:ilvl w:val="0"/>
          <w:numId w:val="8"/>
        </w:numPr>
        <w:spacing w:before="240"/>
        <w:ind w:left="714" w:hanging="357"/>
        <w:contextualSpacing w:val="0"/>
        <w:rPr>
          <w:rStyle w:val="CITE"/>
          <w:i w:val="0"/>
          <w:lang w:val="es-ES"/>
        </w:rPr>
      </w:pPr>
      <w:r w:rsidRPr="00F66E01">
        <w:rPr>
          <w:lang w:val="es-ES"/>
        </w:rPr>
        <w:t>Disposición</w:t>
      </w:r>
      <w:r w:rsidRPr="00F66E01">
        <w:rPr>
          <w:rStyle w:val="CITE"/>
          <w:i w:val="0"/>
          <w:lang w:val="es-ES"/>
        </w:rPr>
        <w:t xml:space="preserve"> final </w:t>
      </w:r>
      <w:r w:rsidR="00EE3CBD">
        <w:rPr>
          <w:rStyle w:val="CITE"/>
          <w:i w:val="0"/>
          <w:lang w:val="es-ES"/>
        </w:rPr>
        <w:t>tercera</w:t>
      </w:r>
      <w:r w:rsidRPr="00F66E01">
        <w:rPr>
          <w:rStyle w:val="CITE"/>
          <w:i w:val="0"/>
          <w:lang w:val="es-ES"/>
        </w:rPr>
        <w:t xml:space="preserve">. </w:t>
      </w:r>
      <w:r w:rsidRPr="00F66E01">
        <w:rPr>
          <w:rStyle w:val="CITE"/>
          <w:lang w:val="es-ES"/>
        </w:rPr>
        <w:t>Entrada en vigor</w:t>
      </w:r>
      <w:r w:rsidRPr="00F66E01">
        <w:rPr>
          <w:rStyle w:val="CITE"/>
          <w:i w:val="0"/>
          <w:lang w:val="es-ES"/>
        </w:rPr>
        <w:t>.</w:t>
      </w:r>
    </w:p>
    <w:p w14:paraId="7B2A2BDD" w14:textId="77777777" w:rsidR="00676019" w:rsidRDefault="00676019" w:rsidP="00676019">
      <w:pPr>
        <w:tabs>
          <w:tab w:val="left" w:pos="-720"/>
        </w:tabs>
        <w:ind w:left="720"/>
        <w:contextualSpacing/>
        <w:rPr>
          <w:rStyle w:val="CITE"/>
          <w:rFonts w:cs="Arial"/>
          <w:i w:val="0"/>
          <w:szCs w:val="24"/>
          <w:lang w:val="es-ES"/>
        </w:rPr>
      </w:pPr>
      <w:r w:rsidRPr="00F66E01">
        <w:rPr>
          <w:rStyle w:val="CITE"/>
          <w:rFonts w:cs="Arial"/>
          <w:i w:val="0"/>
          <w:szCs w:val="24"/>
          <w:lang w:val="es-ES"/>
        </w:rPr>
        <w:t xml:space="preserve">Se </w:t>
      </w:r>
      <w:r w:rsidRPr="00F66E01">
        <w:t>establece</w:t>
      </w:r>
      <w:r w:rsidRPr="00F66E01">
        <w:rPr>
          <w:rStyle w:val="CITE"/>
          <w:rFonts w:cs="Arial"/>
          <w:i w:val="0"/>
          <w:szCs w:val="24"/>
          <w:lang w:val="es-ES"/>
        </w:rPr>
        <w:t xml:space="preserve"> la entrada en vigor de la norma.</w:t>
      </w:r>
    </w:p>
    <w:p w14:paraId="3C558193" w14:textId="286B7ED7" w:rsidR="00676019" w:rsidRPr="00F66E01" w:rsidRDefault="00676019" w:rsidP="00676019">
      <w:pPr>
        <w:pStyle w:val="Prrafodelista"/>
        <w:keepNext/>
        <w:numPr>
          <w:ilvl w:val="0"/>
          <w:numId w:val="8"/>
        </w:numPr>
        <w:spacing w:before="240"/>
        <w:ind w:left="714" w:hanging="357"/>
        <w:contextualSpacing w:val="0"/>
        <w:rPr>
          <w:rStyle w:val="CITE"/>
          <w:i w:val="0"/>
          <w:lang w:val="es-ES"/>
        </w:rPr>
      </w:pPr>
      <w:r>
        <w:rPr>
          <w:lang w:val="es-ES"/>
        </w:rPr>
        <w:t>Anexo I</w:t>
      </w:r>
      <w:r w:rsidRPr="00F66E01">
        <w:rPr>
          <w:rStyle w:val="CITE"/>
          <w:i w:val="0"/>
          <w:lang w:val="es-ES"/>
        </w:rPr>
        <w:t>.</w:t>
      </w:r>
    </w:p>
    <w:p w14:paraId="3758A96A" w14:textId="77777777" w:rsidR="00676019" w:rsidRPr="00F66E01" w:rsidRDefault="00676019" w:rsidP="00676019">
      <w:pPr>
        <w:tabs>
          <w:tab w:val="left" w:pos="-720"/>
        </w:tabs>
        <w:ind w:left="720"/>
        <w:contextualSpacing/>
        <w:rPr>
          <w:rStyle w:val="CITE"/>
          <w:rFonts w:cs="Arial"/>
          <w:i w:val="0"/>
          <w:szCs w:val="24"/>
          <w:lang w:val="es-ES"/>
        </w:rPr>
      </w:pPr>
      <w:r w:rsidRPr="00F66E01">
        <w:rPr>
          <w:rStyle w:val="CITE"/>
          <w:rFonts w:cs="Arial"/>
          <w:i w:val="0"/>
          <w:szCs w:val="24"/>
          <w:lang w:val="es-ES"/>
        </w:rPr>
        <w:t xml:space="preserve">Se </w:t>
      </w:r>
      <w:r>
        <w:t>definen las condiciones y los requisitos que deben cumplir los registros de trazabilidad aplicables a los productos regulados en esta norma.</w:t>
      </w:r>
    </w:p>
    <w:p w14:paraId="5F680625" w14:textId="3EEDBEEB" w:rsidR="00676019" w:rsidRPr="00F66E01" w:rsidRDefault="00676019" w:rsidP="00676019">
      <w:pPr>
        <w:pStyle w:val="Prrafodelista"/>
        <w:keepNext/>
        <w:numPr>
          <w:ilvl w:val="0"/>
          <w:numId w:val="8"/>
        </w:numPr>
        <w:spacing w:before="240"/>
        <w:ind w:left="714" w:hanging="357"/>
        <w:contextualSpacing w:val="0"/>
        <w:rPr>
          <w:rStyle w:val="CITE"/>
          <w:i w:val="0"/>
          <w:lang w:val="es-ES"/>
        </w:rPr>
      </w:pPr>
      <w:r>
        <w:rPr>
          <w:lang w:val="es-ES"/>
        </w:rPr>
        <w:t>Anexo II</w:t>
      </w:r>
      <w:r w:rsidRPr="00F66E01">
        <w:rPr>
          <w:rStyle w:val="CITE"/>
          <w:i w:val="0"/>
          <w:lang w:val="es-ES"/>
        </w:rPr>
        <w:t>.</w:t>
      </w:r>
    </w:p>
    <w:p w14:paraId="34C0B3F3" w14:textId="7DB2771D" w:rsidR="00676019" w:rsidRDefault="00676019" w:rsidP="00676019">
      <w:pPr>
        <w:tabs>
          <w:tab w:val="left" w:pos="-720"/>
        </w:tabs>
        <w:ind w:left="720"/>
        <w:contextualSpacing/>
        <w:rPr>
          <w:rStyle w:val="CITE"/>
          <w:rFonts w:cs="Arial"/>
          <w:i w:val="0"/>
          <w:szCs w:val="24"/>
          <w:lang w:val="es-ES"/>
        </w:rPr>
      </w:pPr>
      <w:r w:rsidRPr="00F66E01">
        <w:rPr>
          <w:rStyle w:val="CITE"/>
          <w:rFonts w:cs="Arial"/>
          <w:i w:val="0"/>
          <w:szCs w:val="24"/>
          <w:lang w:val="es-ES"/>
        </w:rPr>
        <w:t xml:space="preserve">Se </w:t>
      </w:r>
      <w:r w:rsidRPr="00F66E01">
        <w:t>establece</w:t>
      </w:r>
      <w:r w:rsidRPr="00F66E01">
        <w:rPr>
          <w:rStyle w:val="CITE"/>
          <w:rFonts w:cs="Arial"/>
          <w:i w:val="0"/>
          <w:szCs w:val="24"/>
          <w:lang w:val="es-ES"/>
        </w:rPr>
        <w:t xml:space="preserve"> </w:t>
      </w:r>
      <w:r>
        <w:rPr>
          <w:rStyle w:val="CITE"/>
          <w:rFonts w:cs="Arial"/>
          <w:i w:val="0"/>
          <w:szCs w:val="24"/>
          <w:lang w:val="es-ES"/>
        </w:rPr>
        <w:t>la información que debe incluirse en el documento de acompañamiento durante el transporte de aceites de oliva y de orujo de oliva</w:t>
      </w:r>
      <w:r w:rsidRPr="00F66E01">
        <w:rPr>
          <w:rStyle w:val="CITE"/>
          <w:rFonts w:cs="Arial"/>
          <w:i w:val="0"/>
          <w:szCs w:val="24"/>
          <w:lang w:val="es-ES"/>
        </w:rPr>
        <w:t>.</w:t>
      </w:r>
    </w:p>
    <w:p w14:paraId="3E9A95C1" w14:textId="22F6F9AF" w:rsidR="00CE2E53" w:rsidRPr="00F66E01" w:rsidRDefault="00CE2E53" w:rsidP="00CE2E53">
      <w:pPr>
        <w:pStyle w:val="Prrafodelista"/>
        <w:keepNext/>
        <w:numPr>
          <w:ilvl w:val="0"/>
          <w:numId w:val="8"/>
        </w:numPr>
        <w:spacing w:before="240"/>
        <w:ind w:left="714" w:hanging="357"/>
        <w:contextualSpacing w:val="0"/>
        <w:rPr>
          <w:rStyle w:val="CITE"/>
          <w:i w:val="0"/>
          <w:lang w:val="es-ES"/>
        </w:rPr>
      </w:pPr>
      <w:r>
        <w:rPr>
          <w:lang w:val="es-ES"/>
        </w:rPr>
        <w:t>Anexo III</w:t>
      </w:r>
      <w:r w:rsidRPr="00F66E01">
        <w:rPr>
          <w:rStyle w:val="CITE"/>
          <w:i w:val="0"/>
          <w:lang w:val="es-ES"/>
        </w:rPr>
        <w:t>.</w:t>
      </w:r>
    </w:p>
    <w:p w14:paraId="42908DBE" w14:textId="41C21BC8" w:rsidR="00CE2E53" w:rsidRPr="00F66E01" w:rsidRDefault="00CE2E53" w:rsidP="00676019">
      <w:pPr>
        <w:tabs>
          <w:tab w:val="left" w:pos="-720"/>
        </w:tabs>
        <w:ind w:left="720"/>
        <w:contextualSpacing/>
        <w:rPr>
          <w:rStyle w:val="CITE"/>
          <w:rFonts w:cs="Arial"/>
          <w:i w:val="0"/>
          <w:szCs w:val="24"/>
          <w:lang w:val="es-ES"/>
        </w:rPr>
      </w:pPr>
      <w:r w:rsidRPr="00F66E01">
        <w:rPr>
          <w:rStyle w:val="CITE"/>
          <w:rFonts w:cs="Arial"/>
          <w:i w:val="0"/>
          <w:szCs w:val="24"/>
          <w:lang w:val="es-ES"/>
        </w:rPr>
        <w:t xml:space="preserve">Se </w:t>
      </w:r>
      <w:r>
        <w:t>definen el aspecto y las características que deben cumplir las distintas categorías de aceites regulados por este real decreto</w:t>
      </w:r>
      <w:r w:rsidRPr="00F66E01">
        <w:rPr>
          <w:rStyle w:val="CITE"/>
          <w:rFonts w:cs="Arial"/>
          <w:i w:val="0"/>
          <w:szCs w:val="24"/>
          <w:lang w:val="es-ES"/>
        </w:rPr>
        <w:t>.</w:t>
      </w:r>
    </w:p>
    <w:p w14:paraId="3350F46A" w14:textId="77777777" w:rsidR="00676019" w:rsidRPr="00F66E01" w:rsidRDefault="00676019" w:rsidP="00676019">
      <w:pPr>
        <w:tabs>
          <w:tab w:val="left" w:pos="-720"/>
        </w:tabs>
        <w:ind w:left="720"/>
        <w:contextualSpacing/>
        <w:rPr>
          <w:rStyle w:val="CITE"/>
          <w:rFonts w:cs="Arial"/>
          <w:i w:val="0"/>
          <w:szCs w:val="24"/>
          <w:lang w:val="es-ES"/>
        </w:rPr>
      </w:pPr>
    </w:p>
    <w:p w14:paraId="43BD515C" w14:textId="6EBFD8D1" w:rsidR="00676019" w:rsidRPr="004F54D8" w:rsidRDefault="00676019" w:rsidP="00ED34D0">
      <w:pPr>
        <w:pStyle w:val="Ttulo4"/>
        <w:numPr>
          <w:ilvl w:val="0"/>
          <w:numId w:val="0"/>
        </w:numPr>
        <w:spacing w:after="240"/>
        <w:ind w:left="864" w:hanging="864"/>
        <w:rPr>
          <w:b/>
          <w:lang w:val="es-ES"/>
        </w:rPr>
      </w:pPr>
      <w:r w:rsidRPr="00522668">
        <w:rPr>
          <w:b/>
          <w:u w:val="none"/>
          <w:lang w:val="es-ES"/>
        </w:rPr>
        <w:t xml:space="preserve">3. </w:t>
      </w:r>
      <w:r w:rsidRPr="004F54D8">
        <w:rPr>
          <w:b/>
          <w:lang w:val="es-ES"/>
        </w:rPr>
        <w:t>Elementos novedosos</w:t>
      </w:r>
    </w:p>
    <w:p w14:paraId="50E721DE" w14:textId="77777777" w:rsidR="00676019" w:rsidRPr="00CA7EE9" w:rsidRDefault="00676019" w:rsidP="00676019">
      <w:pPr>
        <w:keepNext/>
        <w:rPr>
          <w:lang w:val="es-ES"/>
        </w:rPr>
      </w:pPr>
      <w:r w:rsidRPr="00CA7EE9">
        <w:rPr>
          <w:lang w:val="es-ES"/>
        </w:rPr>
        <w:t>Las principales novedades que plantea la propuesta de norma son las siguientes:</w:t>
      </w:r>
    </w:p>
    <w:p w14:paraId="4D643C28" w14:textId="77777777" w:rsidR="00135C66" w:rsidRDefault="00676019" w:rsidP="00676019">
      <w:pPr>
        <w:numPr>
          <w:ilvl w:val="0"/>
          <w:numId w:val="22"/>
        </w:numPr>
        <w:rPr>
          <w:szCs w:val="22"/>
        </w:rPr>
      </w:pPr>
      <w:r w:rsidRPr="008045A7">
        <w:rPr>
          <w:szCs w:val="22"/>
        </w:rPr>
        <w:t>Incorporación de un sistema de mantenimiento de la trazabilidad interna y de la existencia de un documento de acompañamiento durante el transporte</w:t>
      </w:r>
      <w:r w:rsidR="00135C66">
        <w:rPr>
          <w:szCs w:val="22"/>
        </w:rPr>
        <w:t>.</w:t>
      </w:r>
    </w:p>
    <w:p w14:paraId="1DE1FCCA" w14:textId="295A93AE" w:rsidR="00676019" w:rsidRPr="008045A7" w:rsidRDefault="00135C66" w:rsidP="00676019">
      <w:pPr>
        <w:numPr>
          <w:ilvl w:val="0"/>
          <w:numId w:val="22"/>
        </w:numPr>
        <w:rPr>
          <w:szCs w:val="22"/>
        </w:rPr>
      </w:pPr>
      <w:r>
        <w:rPr>
          <w:szCs w:val="22"/>
        </w:rPr>
        <w:t>O</w:t>
      </w:r>
      <w:r w:rsidR="006B3B59">
        <w:rPr>
          <w:szCs w:val="22"/>
        </w:rPr>
        <w:t>bligación de notificación</w:t>
      </w:r>
      <w:r w:rsidR="0074695D">
        <w:rPr>
          <w:szCs w:val="22"/>
        </w:rPr>
        <w:t xml:space="preserve"> al sistema informatizado habilitado para tal efecto por el Ministerio de Agricultura, Pesca y Alimentación.</w:t>
      </w:r>
    </w:p>
    <w:p w14:paraId="01AB8490" w14:textId="77777777" w:rsidR="00676019" w:rsidRPr="008045A7" w:rsidRDefault="00676019" w:rsidP="00676019">
      <w:pPr>
        <w:numPr>
          <w:ilvl w:val="0"/>
          <w:numId w:val="22"/>
        </w:numPr>
        <w:rPr>
          <w:szCs w:val="22"/>
          <w:lang w:val="es-ES"/>
        </w:rPr>
      </w:pPr>
      <w:r w:rsidRPr="008045A7">
        <w:rPr>
          <w:szCs w:val="22"/>
          <w:lang w:val="es-ES"/>
        </w:rPr>
        <w:t>Incorporación de obligaciones relativas a la separación y acondicionamiento de las instalaciones destinadas a la producción de los aceites de oliva.</w:t>
      </w:r>
    </w:p>
    <w:p w14:paraId="2C093E1D" w14:textId="5E43E14E" w:rsidR="00676019" w:rsidRPr="000D6E76" w:rsidRDefault="00676019" w:rsidP="00676019">
      <w:pPr>
        <w:numPr>
          <w:ilvl w:val="0"/>
          <w:numId w:val="22"/>
        </w:numPr>
        <w:rPr>
          <w:szCs w:val="22"/>
          <w:lang w:val="es-ES"/>
        </w:rPr>
      </w:pPr>
      <w:r w:rsidRPr="008045A7">
        <w:rPr>
          <w:szCs w:val="22"/>
          <w:lang w:val="es-ES"/>
        </w:rPr>
        <w:t xml:space="preserve">Protección específica de </w:t>
      </w:r>
      <w:r w:rsidRPr="008045A7">
        <w:rPr>
          <w:rFonts w:cs="Arial"/>
        </w:rPr>
        <w:t>los términos “virgen” y “virgen extra”.</w:t>
      </w:r>
    </w:p>
    <w:p w14:paraId="6D276478" w14:textId="5C2B1521" w:rsidR="00F3279D" w:rsidRPr="008045A7" w:rsidRDefault="00F3279D" w:rsidP="00676019">
      <w:pPr>
        <w:numPr>
          <w:ilvl w:val="0"/>
          <w:numId w:val="22"/>
        </w:numPr>
        <w:rPr>
          <w:szCs w:val="22"/>
          <w:lang w:val="es-ES"/>
        </w:rPr>
      </w:pPr>
      <w:r>
        <w:rPr>
          <w:szCs w:val="22"/>
          <w:lang w:val="es-ES"/>
        </w:rPr>
        <w:t xml:space="preserve">Prohibición de la comercialización </w:t>
      </w:r>
      <w:r w:rsidR="00027084">
        <w:rPr>
          <w:szCs w:val="22"/>
          <w:lang w:val="es-ES"/>
        </w:rPr>
        <w:t xml:space="preserve">a través del canal de comercio minorista </w:t>
      </w:r>
      <w:r>
        <w:rPr>
          <w:szCs w:val="22"/>
          <w:lang w:val="es-ES"/>
        </w:rPr>
        <w:t xml:space="preserve">de los aceites de oliva virgen extra </w:t>
      </w:r>
      <w:r w:rsidR="00027084">
        <w:rPr>
          <w:szCs w:val="22"/>
          <w:lang w:val="es-ES"/>
        </w:rPr>
        <w:t>envasados en recipiente de plástico</w:t>
      </w:r>
      <w:r>
        <w:rPr>
          <w:szCs w:val="22"/>
          <w:lang w:val="es-ES"/>
        </w:rPr>
        <w:t>.</w:t>
      </w:r>
    </w:p>
    <w:p w14:paraId="79A0A20B" w14:textId="77777777" w:rsidR="00676019" w:rsidRPr="008045A7" w:rsidRDefault="00676019" w:rsidP="00676019">
      <w:pPr>
        <w:numPr>
          <w:ilvl w:val="0"/>
          <w:numId w:val="22"/>
        </w:numPr>
        <w:rPr>
          <w:szCs w:val="22"/>
          <w:lang w:val="es-ES"/>
        </w:rPr>
      </w:pPr>
      <w:r w:rsidRPr="008045A7">
        <w:rPr>
          <w:szCs w:val="22"/>
          <w:lang w:val="es-ES"/>
        </w:rPr>
        <w:t>Incorporación de nuevas prácticas prohibidas en las instalaciones.</w:t>
      </w:r>
    </w:p>
    <w:p w14:paraId="22758A17" w14:textId="1A76C1C8" w:rsidR="00676019" w:rsidRPr="00BF0D5D" w:rsidRDefault="00676019" w:rsidP="00676019">
      <w:pPr>
        <w:numPr>
          <w:ilvl w:val="0"/>
          <w:numId w:val="22"/>
        </w:numPr>
        <w:rPr>
          <w:szCs w:val="22"/>
          <w:lang w:val="es-ES"/>
        </w:rPr>
      </w:pPr>
      <w:r w:rsidRPr="008045A7">
        <w:rPr>
          <w:szCs w:val="22"/>
          <w:lang w:val="es-ES"/>
        </w:rPr>
        <w:t xml:space="preserve">Creación de un Plan de Control </w:t>
      </w:r>
      <w:r w:rsidR="00053BD1">
        <w:rPr>
          <w:szCs w:val="22"/>
          <w:lang w:val="es-ES"/>
        </w:rPr>
        <w:t xml:space="preserve">específico para la verificación </w:t>
      </w:r>
      <w:r w:rsidRPr="008045A7">
        <w:rPr>
          <w:szCs w:val="22"/>
          <w:lang w:val="es-ES"/>
        </w:rPr>
        <w:t>de la Trazabilidad</w:t>
      </w:r>
      <w:r w:rsidR="00053BD1">
        <w:rPr>
          <w:szCs w:val="22"/>
          <w:lang w:val="es-ES"/>
        </w:rPr>
        <w:t xml:space="preserve"> </w:t>
      </w:r>
      <w:r w:rsidR="00053BD1">
        <w:rPr>
          <w:rFonts w:cs="Arial"/>
        </w:rPr>
        <w:t>del sector del aceite de oliva y de orujo de oliva,</w:t>
      </w:r>
      <w:r w:rsidRPr="008045A7">
        <w:rPr>
          <w:szCs w:val="22"/>
          <w:lang w:val="es-ES"/>
        </w:rPr>
        <w:t xml:space="preserve"> coordinado por el </w:t>
      </w:r>
      <w:r w:rsidRPr="008045A7">
        <w:rPr>
          <w:rFonts w:cs="Arial"/>
        </w:rPr>
        <w:t>Ministerio de Agricultura, Pesca y Alimentación.</w:t>
      </w:r>
    </w:p>
    <w:p w14:paraId="123F6535" w14:textId="77777777" w:rsidR="00BF0D5D" w:rsidRPr="008045A7" w:rsidRDefault="00BF0D5D" w:rsidP="00676019">
      <w:pPr>
        <w:numPr>
          <w:ilvl w:val="0"/>
          <w:numId w:val="22"/>
        </w:numPr>
        <w:rPr>
          <w:szCs w:val="22"/>
          <w:lang w:val="es-ES"/>
        </w:rPr>
      </w:pPr>
      <w:r>
        <w:rPr>
          <w:rFonts w:cs="Arial"/>
        </w:rPr>
        <w:t>Aumento de la transparencia mediante la publicación</w:t>
      </w:r>
      <w:r w:rsidR="0090533C">
        <w:rPr>
          <w:rFonts w:cs="Arial"/>
        </w:rPr>
        <w:t xml:space="preserve"> de</w:t>
      </w:r>
      <w:r>
        <w:rPr>
          <w:rFonts w:cs="Arial"/>
        </w:rPr>
        <w:t xml:space="preserve"> resultado</w:t>
      </w:r>
      <w:r w:rsidR="0090533C">
        <w:rPr>
          <w:rFonts w:cs="Arial"/>
        </w:rPr>
        <w:t>s</w:t>
      </w:r>
      <w:r>
        <w:rPr>
          <w:rFonts w:cs="Arial"/>
        </w:rPr>
        <w:t xml:space="preserve"> de los controles de conformidad del aceite de oliva. </w:t>
      </w:r>
    </w:p>
    <w:p w14:paraId="251A555B" w14:textId="50EDB1B3" w:rsidR="00676019" w:rsidRPr="002D6F6C" w:rsidRDefault="00676019" w:rsidP="00676019">
      <w:pPr>
        <w:pStyle w:val="Ttulo3"/>
        <w:numPr>
          <w:ilvl w:val="0"/>
          <w:numId w:val="0"/>
        </w:numPr>
        <w:spacing w:before="480"/>
        <w:rPr>
          <w:color w:val="auto"/>
          <w:szCs w:val="22"/>
          <w:lang w:val="es-ES"/>
        </w:rPr>
      </w:pPr>
      <w:r w:rsidRPr="00522668">
        <w:rPr>
          <w:color w:val="auto"/>
          <w:szCs w:val="22"/>
          <w:u w:val="none"/>
          <w:lang w:val="es-ES"/>
        </w:rPr>
        <w:t xml:space="preserve">III. </w:t>
      </w:r>
      <w:r w:rsidRPr="002D6F6C">
        <w:rPr>
          <w:color w:val="auto"/>
          <w:szCs w:val="22"/>
          <w:lang w:val="es-ES"/>
        </w:rPr>
        <w:t>ANÁLISIS JURÍDICO</w:t>
      </w:r>
    </w:p>
    <w:p w14:paraId="7E495940" w14:textId="49C70FE5" w:rsidR="00676019" w:rsidRPr="007F2DF7" w:rsidRDefault="00676019" w:rsidP="00676019">
      <w:pPr>
        <w:pStyle w:val="Ttulo4"/>
        <w:numPr>
          <w:ilvl w:val="0"/>
          <w:numId w:val="0"/>
        </w:numPr>
        <w:ind w:left="864" w:hanging="864"/>
        <w:rPr>
          <w:b/>
          <w:szCs w:val="22"/>
          <w:lang w:val="es-ES"/>
        </w:rPr>
      </w:pPr>
      <w:r w:rsidRPr="00522668">
        <w:rPr>
          <w:b/>
          <w:szCs w:val="22"/>
          <w:u w:val="none"/>
          <w:lang w:val="es-ES"/>
        </w:rPr>
        <w:t xml:space="preserve">1. </w:t>
      </w:r>
      <w:r w:rsidRPr="007F2DF7">
        <w:rPr>
          <w:b/>
          <w:szCs w:val="22"/>
          <w:lang w:val="es-ES"/>
        </w:rPr>
        <w:t>Coherencia con el ordenamiento jurídico</w:t>
      </w:r>
    </w:p>
    <w:p w14:paraId="5EF1DA3E" w14:textId="77777777" w:rsidR="00676019" w:rsidRPr="002D6F6C" w:rsidRDefault="00676019" w:rsidP="00676019">
      <w:r w:rsidRPr="002D6F6C">
        <w:rPr>
          <w:szCs w:val="22"/>
        </w:rPr>
        <w:t>La norma es plenamente coherente con el ordenamiento jurídico,</w:t>
      </w:r>
      <w:r w:rsidRPr="002D6F6C">
        <w:t xml:space="preserve"> incidiendo exclusivamente sobre la calidad alimentaria. En particular, es coherente con las siguientes normas:</w:t>
      </w:r>
    </w:p>
    <w:p w14:paraId="7F4E6F3C" w14:textId="77777777" w:rsidR="00676019" w:rsidRPr="002D6F6C" w:rsidRDefault="00676019" w:rsidP="00676019">
      <w:pPr>
        <w:numPr>
          <w:ilvl w:val="0"/>
          <w:numId w:val="6"/>
        </w:numPr>
        <w:rPr>
          <w:lang w:val="es-ES"/>
        </w:rPr>
      </w:pPr>
      <w:r w:rsidRPr="002D6F6C">
        <w:rPr>
          <w:lang w:val="es-ES"/>
        </w:rPr>
        <w:t>Ley 28/2015, de 30 de Julio, para la defensa de la calidad alimentaria.</w:t>
      </w:r>
    </w:p>
    <w:p w14:paraId="7F0E5484" w14:textId="47C1F325" w:rsidR="00676019" w:rsidRPr="002D6F6C" w:rsidRDefault="00676019" w:rsidP="00676019">
      <w:pPr>
        <w:numPr>
          <w:ilvl w:val="0"/>
          <w:numId w:val="6"/>
        </w:numPr>
        <w:rPr>
          <w:lang w:val="es-ES"/>
        </w:rPr>
      </w:pPr>
      <w:r w:rsidRPr="002D6F6C">
        <w:rPr>
          <w:lang w:val="es-ES"/>
        </w:rPr>
        <w:t xml:space="preserve">Reglamento (CE) </w:t>
      </w:r>
      <w:r w:rsidR="00AE5667">
        <w:rPr>
          <w:lang w:val="es-ES"/>
        </w:rPr>
        <w:t>n.º</w:t>
      </w:r>
      <w:r w:rsidRPr="002D6F6C">
        <w:rPr>
          <w:lang w:val="es-ES"/>
        </w:rPr>
        <w:t xml:space="preserve">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p>
    <w:p w14:paraId="63CD58BE" w14:textId="77777777" w:rsidR="00676019" w:rsidRPr="002D6F6C" w:rsidRDefault="00676019" w:rsidP="00676019">
      <w:pPr>
        <w:numPr>
          <w:ilvl w:val="0"/>
          <w:numId w:val="6"/>
        </w:numPr>
        <w:rPr>
          <w:lang w:val="es-ES"/>
        </w:rPr>
      </w:pPr>
      <w:r w:rsidRPr="002D6F6C">
        <w:rPr>
          <w:lang w:val="es-ES"/>
        </w:rPr>
        <w:t>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 y por el que se modifican los Reglamentos (CE) n.° 999/2001, (CE) n.° 396/2005, (CE) n.° 1069/2009, (CE) n.° 1107/2009, (UE) n.° 1151/2012, (UE) n.° 652/2014, (UE) 2016/429 y (UE) 2016/2031 del Parlamento Europeo y del Consejo, los Reglamentos (CE) n.° 1/2005 y (CE) n.° 1099/2009 del Consejo, y las Directivas 98/58/CE, 1999/74/CE, 2007/43/CE, 2008/119/CE y 2008/120/CE del Consejo, y por el que se derogan los Reglamentos (CE) n.° 854/2004 y (CE) n.° 882/2004 del Parlamento Europeo y del Consejo, las Directivas 89/608/CEE, 89/662/CEE, 90/425/CEE, 91/496/CEE, 96/23/CE, 96/93/CE y 97/78/CE del Consejo y la Decisión 92/438/CEE del Consejo.</w:t>
      </w:r>
    </w:p>
    <w:p w14:paraId="57D2568D" w14:textId="7699AF0D" w:rsidR="00676019" w:rsidRPr="002D6F6C" w:rsidRDefault="00676019" w:rsidP="00676019">
      <w:pPr>
        <w:numPr>
          <w:ilvl w:val="0"/>
          <w:numId w:val="6"/>
        </w:numPr>
        <w:rPr>
          <w:b/>
          <w:bCs/>
          <w:lang w:val="es-ES"/>
        </w:rPr>
      </w:pPr>
      <w:r w:rsidRPr="002D6F6C">
        <w:rPr>
          <w:lang w:val="es-ES"/>
        </w:rPr>
        <w:t xml:space="preserve">Reglamento (CE) </w:t>
      </w:r>
      <w:r w:rsidR="00AE5667">
        <w:rPr>
          <w:lang w:val="es-ES"/>
        </w:rPr>
        <w:t>n.</w:t>
      </w:r>
      <w:r w:rsidRPr="002D6F6C">
        <w:rPr>
          <w:lang w:val="es-ES"/>
        </w:rPr>
        <w:t>º 1881/2006 de la Comisión, de 19 de diciembre de 2006, por el que se fija el contenido máximo de determinados contaminantes en los productos alimenticios.</w:t>
      </w:r>
    </w:p>
    <w:p w14:paraId="3B4F3DC8" w14:textId="00DD730C" w:rsidR="00676019" w:rsidRPr="008045A7" w:rsidRDefault="00676019" w:rsidP="00676019">
      <w:pPr>
        <w:numPr>
          <w:ilvl w:val="0"/>
          <w:numId w:val="6"/>
        </w:numPr>
        <w:rPr>
          <w:lang w:val="es-ES"/>
        </w:rPr>
      </w:pPr>
      <w:r w:rsidRPr="008045A7">
        <w:rPr>
          <w:rFonts w:cs="Arial"/>
          <w:bCs/>
          <w:szCs w:val="24"/>
        </w:rPr>
        <w:t xml:space="preserve">Reglamento (CE) </w:t>
      </w:r>
      <w:r w:rsidR="00AE5667">
        <w:rPr>
          <w:rFonts w:cs="Arial"/>
          <w:bCs/>
          <w:szCs w:val="24"/>
        </w:rPr>
        <w:t>n.</w:t>
      </w:r>
      <w:r w:rsidRPr="008045A7">
        <w:rPr>
          <w:rFonts w:cs="Arial"/>
          <w:bCs/>
          <w:szCs w:val="24"/>
        </w:rPr>
        <w:t xml:space="preserve">º </w:t>
      </w:r>
      <w:hyperlink r:id="rId9" w:tgtFrame="_blank" w:tooltip="1331/2008" w:history="1">
        <w:r w:rsidRPr="008045A7">
          <w:rPr>
            <w:rStyle w:val="Hipervnculo"/>
            <w:rFonts w:cs="Arial"/>
            <w:bCs/>
            <w:color w:val="auto"/>
            <w:szCs w:val="24"/>
            <w:u w:val="none"/>
          </w:rPr>
          <w:t>1331/2008</w:t>
        </w:r>
      </w:hyperlink>
      <w:r w:rsidRPr="008045A7">
        <w:rPr>
          <w:rFonts w:cs="Arial"/>
          <w:bCs/>
          <w:szCs w:val="24"/>
        </w:rPr>
        <w:t xml:space="preserve"> del Parlamento Europeo y del Consejo, de 16 de diciembre de 2008, por el que se establece un procedimiento de autorización común para los aditivos, las enzimas y los aromas alimentarios.</w:t>
      </w:r>
    </w:p>
    <w:p w14:paraId="6A020456" w14:textId="4A93476F" w:rsidR="00676019" w:rsidRPr="008045A7" w:rsidRDefault="00676019" w:rsidP="00676019">
      <w:pPr>
        <w:numPr>
          <w:ilvl w:val="0"/>
          <w:numId w:val="6"/>
        </w:numPr>
        <w:rPr>
          <w:lang w:val="es-ES"/>
        </w:rPr>
      </w:pPr>
      <w:r w:rsidRPr="008045A7">
        <w:rPr>
          <w:lang w:val="es-ES"/>
        </w:rPr>
        <w:t xml:space="preserve">Reglamento (CE) </w:t>
      </w:r>
      <w:r w:rsidR="00AE5667">
        <w:rPr>
          <w:lang w:val="es-ES"/>
        </w:rPr>
        <w:t>n.</w:t>
      </w:r>
      <w:r w:rsidRPr="008045A7">
        <w:rPr>
          <w:lang w:val="es-ES"/>
        </w:rPr>
        <w:t>º 1333/2008 del Parlamento Europeo y del Consejo, de 16 de diciembre de 2008, sobre aditivos alimentarios, y sus normas de desarrollo.</w:t>
      </w:r>
    </w:p>
    <w:p w14:paraId="6A6D398C" w14:textId="36ED41A2" w:rsidR="00676019" w:rsidRPr="00AF00B9" w:rsidRDefault="00676019" w:rsidP="00676019">
      <w:pPr>
        <w:numPr>
          <w:ilvl w:val="0"/>
          <w:numId w:val="6"/>
        </w:numPr>
        <w:rPr>
          <w:lang w:val="es-ES"/>
        </w:rPr>
      </w:pPr>
      <w:r w:rsidRPr="00AF00B9">
        <w:rPr>
          <w:lang w:val="es-ES"/>
        </w:rPr>
        <w:t xml:space="preserve">Reglamento (UE) </w:t>
      </w:r>
      <w:r w:rsidR="00AE5667">
        <w:rPr>
          <w:lang w:val="es-ES"/>
        </w:rPr>
        <w:t>n.</w:t>
      </w:r>
      <w:r w:rsidRPr="00AF00B9">
        <w:rPr>
          <w:lang w:val="es-ES"/>
        </w:rPr>
        <w:t xml:space="preserve">º 1169/2011 del Parlamento Europeo y del Consejo de 25 de octubre de 2011, </w:t>
      </w:r>
      <w:r w:rsidRPr="00AF00B9">
        <w:rPr>
          <w:bCs/>
          <w:lang w:val="es-ES"/>
        </w:rPr>
        <w:t xml:space="preserve">sobre la información alimentaria facilitada al consumidor y por el que se modifican los Reglamentos (CE) </w:t>
      </w:r>
      <w:r w:rsidR="00D91F2D">
        <w:rPr>
          <w:bCs/>
          <w:lang w:val="es-ES"/>
        </w:rPr>
        <w:t>n.</w:t>
      </w:r>
      <w:r w:rsidRPr="00AF00B9">
        <w:rPr>
          <w:bCs/>
          <w:lang w:val="es-ES"/>
        </w:rPr>
        <w:t xml:space="preserve">º 1924/2006 y (CE) </w:t>
      </w:r>
      <w:r w:rsidR="00AE5667">
        <w:rPr>
          <w:bCs/>
          <w:lang w:val="es-ES"/>
        </w:rPr>
        <w:t>n.</w:t>
      </w:r>
      <w:r w:rsidRPr="00AF00B9">
        <w:rPr>
          <w:bCs/>
          <w:lang w:val="es-ES"/>
        </w:rPr>
        <w:t xml:space="preserve">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w:t>
      </w:r>
      <w:r w:rsidR="00D91F2D">
        <w:rPr>
          <w:bCs/>
          <w:lang w:val="es-ES"/>
        </w:rPr>
        <w:t>n.</w:t>
      </w:r>
      <w:r w:rsidRPr="00AF00B9">
        <w:rPr>
          <w:bCs/>
          <w:lang w:val="es-ES"/>
        </w:rPr>
        <w:t>º 608/2004 de la Comisión.</w:t>
      </w:r>
    </w:p>
    <w:p w14:paraId="270CDE4C" w14:textId="41ED9EE9" w:rsidR="00134997" w:rsidRDefault="00134997" w:rsidP="00676019">
      <w:r>
        <w:t>Esta norma es asimismo coherente con la normativa comunitaria</w:t>
      </w:r>
      <w:r w:rsidR="00460E61">
        <w:t xml:space="preserve"> y nacional</w:t>
      </w:r>
      <w:r>
        <w:t xml:space="preserve"> aplicable al aceite de oliva y de orujo de oliva, en concreto:</w:t>
      </w:r>
    </w:p>
    <w:p w14:paraId="41BB28A6" w14:textId="5F92DC5D" w:rsidR="00134997" w:rsidRPr="002D6F6C" w:rsidRDefault="00134997" w:rsidP="00134997">
      <w:pPr>
        <w:numPr>
          <w:ilvl w:val="0"/>
          <w:numId w:val="6"/>
        </w:numPr>
        <w:rPr>
          <w:lang w:val="es-ES"/>
        </w:rPr>
      </w:pPr>
      <w:r>
        <w:t>Reglamento (CEE) nº 2568/91 de la Comisión, de 11 de julio de 1991, relativo a las características de los aceites de oliva y de los aceites de orujo de oliva y sobre sus métodos de análisis</w:t>
      </w:r>
      <w:r w:rsidRPr="002D6F6C">
        <w:rPr>
          <w:lang w:val="es-ES"/>
        </w:rPr>
        <w:t>.</w:t>
      </w:r>
    </w:p>
    <w:p w14:paraId="44134C1C" w14:textId="427F0FEE" w:rsidR="00134997" w:rsidRDefault="00134997" w:rsidP="00134997">
      <w:pPr>
        <w:numPr>
          <w:ilvl w:val="0"/>
          <w:numId w:val="6"/>
        </w:numPr>
        <w:rPr>
          <w:lang w:val="es-ES"/>
        </w:rPr>
      </w:pPr>
      <w:r>
        <w:t>Reglamento de Ejecución (UE) n ° 29/2012 de la Comisión, de 13 de enero de 2012, sobre las normas de comercialización del aceite de oliva</w:t>
      </w:r>
      <w:r w:rsidRPr="002D6F6C">
        <w:rPr>
          <w:lang w:val="es-ES"/>
        </w:rPr>
        <w:t>.</w:t>
      </w:r>
    </w:p>
    <w:p w14:paraId="53F62AB5" w14:textId="2945E0A2" w:rsidR="00460E61" w:rsidRPr="002D6F6C" w:rsidRDefault="00460E61" w:rsidP="00460E61">
      <w:pPr>
        <w:numPr>
          <w:ilvl w:val="0"/>
          <w:numId w:val="6"/>
        </w:numPr>
        <w:rPr>
          <w:lang w:val="es-ES"/>
        </w:rPr>
      </w:pPr>
      <w:r w:rsidRPr="00460E61">
        <w:rPr>
          <w:lang w:val="es-ES"/>
        </w:rPr>
        <w:t>Real Decreto 640/2015, de 10 de julio, por el que se aprueba la lista de coadyuvantes tecnológicos autorizados para la elaboración de aceites vegetales comestibles y sus criterios de identidad y pureza, y por el que se modifica el Real Decreto 308/1983, de 25 de enero, por el que se aprueba la Reglamentación Técnico-Sanitaria de Aceites Vegetales Comestibles.</w:t>
      </w:r>
    </w:p>
    <w:p w14:paraId="31C73E7F" w14:textId="77777777" w:rsidR="00134997" w:rsidRPr="000D6E76" w:rsidRDefault="00134997" w:rsidP="00676019">
      <w:pPr>
        <w:rPr>
          <w:lang w:val="es-ES"/>
        </w:rPr>
      </w:pPr>
    </w:p>
    <w:p w14:paraId="7B4595AF" w14:textId="70632845" w:rsidR="00676019" w:rsidRPr="00AF00B9" w:rsidRDefault="00676019" w:rsidP="00676019">
      <w:r w:rsidRPr="00AF00B9">
        <w:t xml:space="preserve">Por último, también se adapta a la derogación realizada por el </w:t>
      </w:r>
      <w:r w:rsidR="00D91F2D" w:rsidRPr="00D91F2D">
        <w:t>Real Decreto 176/2013, de 8 de marzo, por el que se derogan total o parcialmente determinadas reglamentaciones técnico-sanitarias y normas de calidad referidas a productos alimenticios</w:t>
      </w:r>
      <w:r w:rsidR="00D91F2D">
        <w:t xml:space="preserve">, </w:t>
      </w:r>
      <w:r w:rsidRPr="00AF00B9">
        <w:t>respecto de los aspectos sanitarios de los productos alimenticios, en tanto éstos están regulados en normativa de carácter horizontal en el ámbito de la Unión Europea.</w:t>
      </w:r>
    </w:p>
    <w:p w14:paraId="378C5502" w14:textId="74B9A54C" w:rsidR="00676019" w:rsidRPr="007F2DF7" w:rsidRDefault="00676019" w:rsidP="00676019">
      <w:pPr>
        <w:pStyle w:val="Ttulo4"/>
        <w:numPr>
          <w:ilvl w:val="0"/>
          <w:numId w:val="0"/>
        </w:numPr>
        <w:ind w:left="864" w:hanging="864"/>
        <w:rPr>
          <w:b/>
          <w:lang w:val="es-ES"/>
        </w:rPr>
      </w:pPr>
      <w:r w:rsidRPr="00522668">
        <w:rPr>
          <w:b/>
          <w:u w:val="none"/>
          <w:lang w:val="es-ES"/>
        </w:rPr>
        <w:t xml:space="preserve">2. </w:t>
      </w:r>
      <w:r w:rsidRPr="007F2DF7">
        <w:rPr>
          <w:b/>
          <w:lang w:val="es-ES"/>
        </w:rPr>
        <w:t>Rango formal</w:t>
      </w:r>
    </w:p>
    <w:p w14:paraId="1DA60013" w14:textId="397C6B08" w:rsidR="00676019" w:rsidRDefault="00676019" w:rsidP="00676019">
      <w:r w:rsidRPr="00AF00B9">
        <w:rPr>
          <w:rFonts w:cs="Arial"/>
        </w:rPr>
        <w:t xml:space="preserve">La adopción mediante </w:t>
      </w:r>
      <w:r w:rsidR="007A2791">
        <w:rPr>
          <w:rFonts w:cs="Arial"/>
        </w:rPr>
        <w:t>R</w:t>
      </w:r>
      <w:r w:rsidRPr="00AF00B9">
        <w:rPr>
          <w:rFonts w:cs="Arial"/>
        </w:rPr>
        <w:t xml:space="preserve">eal </w:t>
      </w:r>
      <w:r w:rsidR="007A2791">
        <w:rPr>
          <w:rFonts w:cs="Arial"/>
        </w:rPr>
        <w:t>D</w:t>
      </w:r>
      <w:r w:rsidRPr="00AF00B9">
        <w:rPr>
          <w:rFonts w:cs="Arial"/>
        </w:rPr>
        <w:t xml:space="preserve">ecreto de la presente regulación normativa básica se fundamenta en la Disposición final cuarta de la Ley 28/2015, de 30 de julio, y, de conformidad con la doctrina del Tribunal Constitucional, en el carácter marcadamente técnico del objeto de la regulación </w:t>
      </w:r>
      <w:r w:rsidRPr="00AF00B9">
        <w:t xml:space="preserve">y en la necesidad de </w:t>
      </w:r>
      <w:r w:rsidRPr="00AF00B9">
        <w:rPr>
          <w:rFonts w:cs="Arial"/>
        </w:rPr>
        <w:t xml:space="preserve">establecer un marco normativo unitario, que sea de aplicación a todo el territorio nacional y </w:t>
      </w:r>
      <w:r w:rsidRPr="00AF00B9">
        <w:t>asegure</w:t>
      </w:r>
      <w:r w:rsidRPr="00AF00B9">
        <w:rPr>
          <w:rFonts w:cs="Arial"/>
        </w:rPr>
        <w:t xml:space="preserve"> un tratamiento uniforme a todos los </w:t>
      </w:r>
      <w:r>
        <w:rPr>
          <w:rFonts w:cs="Arial"/>
        </w:rPr>
        <w:t>operadores</w:t>
      </w:r>
      <w:r w:rsidRPr="00AF00B9">
        <w:t>. Este razonamiento se ve reforzado por el hecho de que, si bien la propuesta de norma ha sido elaborada con vocación de permanencia, la evolución de la industria o la concurrencia de circunstancias coyunturales podrían hacer necesaria su modificación.</w:t>
      </w:r>
    </w:p>
    <w:p w14:paraId="045DA449" w14:textId="77777777" w:rsidR="00676019" w:rsidRDefault="00676019" w:rsidP="00676019">
      <w:pPr>
        <w:rPr>
          <w:rFonts w:cs="Arial"/>
          <w:iCs/>
          <w:szCs w:val="24"/>
        </w:rPr>
      </w:pPr>
      <w:r w:rsidRPr="002045C1">
        <w:rPr>
          <w:rFonts w:cs="Arial"/>
          <w:iCs/>
          <w:szCs w:val="24"/>
        </w:rPr>
        <w:t>Esta norma está dirigida a alcanzar los objetivos de política sectorial fijados por la Constitución.</w:t>
      </w:r>
    </w:p>
    <w:p w14:paraId="17742DA8" w14:textId="77777777" w:rsidR="00676019" w:rsidRPr="00AF00B9" w:rsidRDefault="00676019" w:rsidP="00676019">
      <w:r w:rsidRPr="002045C1">
        <w:rPr>
          <w:rFonts w:cs="Arial"/>
          <w:iCs/>
          <w:szCs w:val="24"/>
        </w:rPr>
        <w:t xml:space="preserve">En lo que se refiere al rango, concurren las circunstancias que justifican que el rango del proyecto sea el de real decreto, de acuerdo con la doctrina del Tribunal Constitucional. </w:t>
      </w:r>
    </w:p>
    <w:p w14:paraId="5F085527" w14:textId="11073E09" w:rsidR="00676019" w:rsidRPr="007F2DF7" w:rsidRDefault="00676019" w:rsidP="00493B24">
      <w:pPr>
        <w:pStyle w:val="Ttulo4"/>
        <w:numPr>
          <w:ilvl w:val="0"/>
          <w:numId w:val="0"/>
        </w:numPr>
        <w:rPr>
          <w:b/>
          <w:lang w:val="es-ES"/>
        </w:rPr>
      </w:pPr>
      <w:r w:rsidRPr="00522668">
        <w:rPr>
          <w:b/>
          <w:u w:val="none"/>
          <w:lang w:val="es-ES"/>
        </w:rPr>
        <w:t xml:space="preserve">3. </w:t>
      </w:r>
      <w:r w:rsidRPr="007F2DF7">
        <w:rPr>
          <w:b/>
          <w:lang w:val="es-ES"/>
        </w:rPr>
        <w:t>Listado pormenorizado de normas que quedarán sustituidas parcialmente como consecuencia de la entrada en vigor de la norma</w:t>
      </w:r>
    </w:p>
    <w:p w14:paraId="5DB7B22D" w14:textId="77777777" w:rsidR="00676019" w:rsidRPr="008B5102" w:rsidRDefault="00676019" w:rsidP="00676019">
      <w:pPr>
        <w:pStyle w:val="Default"/>
        <w:spacing w:before="100" w:beforeAutospacing="1" w:after="100" w:afterAutospacing="1"/>
        <w:jc w:val="both"/>
        <w:rPr>
          <w:rFonts w:ascii="Arial" w:hAnsi="Arial" w:cs="Arial"/>
          <w:color w:val="auto"/>
        </w:rPr>
      </w:pPr>
      <w:r w:rsidRPr="008B5102">
        <w:rPr>
          <w:rFonts w:ascii="Arial" w:hAnsi="Arial" w:cs="Arial"/>
          <w:color w:val="auto"/>
        </w:rPr>
        <w:t>A partir de la entrada en vigor de este real decreto, queda</w:t>
      </w:r>
      <w:r>
        <w:rPr>
          <w:rFonts w:ascii="Arial" w:hAnsi="Arial" w:cs="Arial"/>
          <w:color w:val="auto"/>
        </w:rPr>
        <w:t>rá</w:t>
      </w:r>
      <w:r w:rsidRPr="008B5102">
        <w:rPr>
          <w:rFonts w:ascii="Arial" w:hAnsi="Arial" w:cs="Arial"/>
          <w:color w:val="auto"/>
        </w:rPr>
        <w:t xml:space="preserve">n derogadas </w:t>
      </w:r>
      <w:r>
        <w:rPr>
          <w:rFonts w:ascii="Arial" w:hAnsi="Arial" w:cs="Arial"/>
          <w:color w:val="auto"/>
        </w:rPr>
        <w:t>las siguientes</w:t>
      </w:r>
      <w:r w:rsidRPr="008B5102">
        <w:rPr>
          <w:rFonts w:ascii="Arial" w:hAnsi="Arial" w:cs="Arial"/>
          <w:color w:val="auto"/>
        </w:rPr>
        <w:t xml:space="preserve"> disposiciones:</w:t>
      </w:r>
    </w:p>
    <w:p w14:paraId="6B3B4F99" w14:textId="77777777" w:rsidR="00676019" w:rsidRPr="008B5102" w:rsidRDefault="00676019" w:rsidP="00676019">
      <w:pPr>
        <w:numPr>
          <w:ilvl w:val="0"/>
          <w:numId w:val="6"/>
        </w:numPr>
        <w:rPr>
          <w:lang w:val="es-ES"/>
        </w:rPr>
      </w:pPr>
      <w:r w:rsidRPr="008B5102">
        <w:rPr>
          <w:lang w:val="es-ES"/>
        </w:rPr>
        <w:t>Real Decreto 3000/1979, de 7 de diciembre, sobre regulación de procesos industriales en el sector del aceite de oliva.</w:t>
      </w:r>
    </w:p>
    <w:p w14:paraId="5D6985F5" w14:textId="77777777" w:rsidR="00676019" w:rsidRPr="008B5102" w:rsidRDefault="00676019" w:rsidP="00676019">
      <w:pPr>
        <w:numPr>
          <w:ilvl w:val="0"/>
          <w:numId w:val="6"/>
        </w:numPr>
        <w:rPr>
          <w:lang w:val="es-ES"/>
        </w:rPr>
      </w:pPr>
      <w:r w:rsidRPr="008B5102">
        <w:rPr>
          <w:lang w:val="es-ES"/>
        </w:rPr>
        <w:t xml:space="preserve">Real Decreto 308/1983, de 25 de enero, por el que se aprueba la Reglamentación Técnico Sanitaria de Aceites Vegetales Comestibles, en la parte referente a los aceites de oliva y de orujo de oliva. </w:t>
      </w:r>
    </w:p>
    <w:p w14:paraId="3444FF11" w14:textId="77777777" w:rsidR="00676019" w:rsidRPr="008B5102" w:rsidRDefault="00676019" w:rsidP="00676019">
      <w:pPr>
        <w:numPr>
          <w:ilvl w:val="0"/>
          <w:numId w:val="6"/>
        </w:numPr>
        <w:rPr>
          <w:lang w:val="es-ES"/>
        </w:rPr>
      </w:pPr>
      <w:r w:rsidRPr="008B5102">
        <w:rPr>
          <w:lang w:val="es-ES"/>
        </w:rPr>
        <w:t>Real Decreto 259/1985, de 20 de febrero, por el que se complementa la Reglamentación Técnico-Sanitaria de Aceites Vegetales Comestibles, con la aplicación de la determinación de eritrodiol en los aceites de oliva.</w:t>
      </w:r>
    </w:p>
    <w:p w14:paraId="55F9FAB4" w14:textId="77777777" w:rsidR="00676019" w:rsidRPr="008B5102" w:rsidRDefault="00676019" w:rsidP="00676019">
      <w:pPr>
        <w:numPr>
          <w:ilvl w:val="0"/>
          <w:numId w:val="6"/>
        </w:numPr>
        <w:rPr>
          <w:lang w:val="es-ES"/>
        </w:rPr>
      </w:pPr>
      <w:r w:rsidRPr="008B5102">
        <w:rPr>
          <w:lang w:val="es-ES"/>
        </w:rPr>
        <w:t>Real Decreto 2551/1986, de 21 de noviembre, por el que se regula la elaboración y comercialización de aceite de orujo refinado y de oliva.</w:t>
      </w:r>
    </w:p>
    <w:p w14:paraId="7213A8D3" w14:textId="4A3E1ECD" w:rsidR="00676019" w:rsidRDefault="00676019" w:rsidP="00676019">
      <w:pPr>
        <w:numPr>
          <w:ilvl w:val="0"/>
          <w:numId w:val="6"/>
        </w:numPr>
        <w:rPr>
          <w:lang w:val="es-ES"/>
        </w:rPr>
      </w:pPr>
      <w:r w:rsidRPr="008B5102">
        <w:rPr>
          <w:lang w:val="es-ES"/>
        </w:rPr>
        <w:t>Real Decreto 538/1993 de 12 de abril, por el que se modifica determinadas disposiciones relativas a los requisitos industriales de elaboración circulación y comercio de aceites vegetales comestibles.</w:t>
      </w:r>
    </w:p>
    <w:p w14:paraId="4C307D55" w14:textId="117899CE" w:rsidR="009525FA" w:rsidRPr="009525FA" w:rsidRDefault="009525FA" w:rsidP="009525FA">
      <w:pPr>
        <w:numPr>
          <w:ilvl w:val="0"/>
          <w:numId w:val="6"/>
        </w:numPr>
        <w:rPr>
          <w:lang w:val="es-ES"/>
        </w:rPr>
      </w:pPr>
      <w:r w:rsidRPr="008B5102">
        <w:rPr>
          <w:lang w:val="es-ES"/>
        </w:rPr>
        <w:t>Real Decreto 1431/2003, de 21 de noviembre, por el que se establecen determinadas medidas de comercialización en el sector de los aceites de oliva y aceite de orujo de oliva.</w:t>
      </w:r>
    </w:p>
    <w:p w14:paraId="774093E5" w14:textId="77777777" w:rsidR="00676019" w:rsidRPr="008B5102" w:rsidRDefault="00676019" w:rsidP="00676019">
      <w:pPr>
        <w:numPr>
          <w:ilvl w:val="0"/>
          <w:numId w:val="6"/>
        </w:numPr>
        <w:rPr>
          <w:lang w:val="es-ES"/>
        </w:rPr>
      </w:pPr>
      <w:r w:rsidRPr="008B5102">
        <w:rPr>
          <w:lang w:val="es-ES"/>
        </w:rPr>
        <w:t xml:space="preserve">Orden de </w:t>
      </w:r>
      <w:smartTag w:uri="urn:schemas-microsoft-com:office:smarttags" w:element="date">
        <w:smartTagPr>
          <w:attr w:name="ls" w:val="trans"/>
          <w:attr w:name="Month" w:val="12"/>
          <w:attr w:name="Day" w:val="12"/>
          <w:attr w:name="Year" w:val="1984"/>
        </w:smartTagPr>
        <w:r w:rsidRPr="008B5102">
          <w:rPr>
            <w:lang w:val="es-ES"/>
          </w:rPr>
          <w:t>12 de diciembre de 1984</w:t>
        </w:r>
      </w:smartTag>
      <w:r w:rsidRPr="008B5102">
        <w:rPr>
          <w:lang w:val="es-ES"/>
        </w:rPr>
        <w:t>, sobre entrega de aceite de oliva virgen por las almazaras a sus cosecheros para autoconsumo.</w:t>
      </w:r>
    </w:p>
    <w:p w14:paraId="7B9B574C" w14:textId="77777777" w:rsidR="00676019" w:rsidRPr="008B5102" w:rsidRDefault="00676019" w:rsidP="00676019">
      <w:pPr>
        <w:numPr>
          <w:ilvl w:val="0"/>
          <w:numId w:val="6"/>
        </w:numPr>
        <w:rPr>
          <w:lang w:val="es-ES"/>
        </w:rPr>
      </w:pPr>
      <w:r w:rsidRPr="008B5102">
        <w:rPr>
          <w:lang w:val="es-ES"/>
        </w:rPr>
        <w:t>Orden APA/1343/2004, de 7 de mayo, por la que se regula el registro general de determinadas industrias autorizadas para la comer</w:t>
      </w:r>
      <w:r>
        <w:rPr>
          <w:lang w:val="es-ES"/>
        </w:rPr>
        <w:t>cialización del aceite de oliva</w:t>
      </w:r>
      <w:r w:rsidRPr="008B5102">
        <w:rPr>
          <w:lang w:val="es-ES"/>
        </w:rPr>
        <w:t>.</w:t>
      </w:r>
    </w:p>
    <w:p w14:paraId="1171063C" w14:textId="77777777" w:rsidR="00676019" w:rsidRDefault="00676019" w:rsidP="00676019">
      <w:pPr>
        <w:pStyle w:val="Ttulo3"/>
        <w:numPr>
          <w:ilvl w:val="0"/>
          <w:numId w:val="0"/>
        </w:numPr>
        <w:spacing w:before="480"/>
        <w:rPr>
          <w:color w:val="auto"/>
          <w:lang w:val="es-ES"/>
        </w:rPr>
      </w:pPr>
      <w:r>
        <w:rPr>
          <w:color w:val="auto"/>
          <w:lang w:val="es-ES"/>
        </w:rPr>
        <w:t>IV. ADECUACION DE LA NORMA AL ORDEN CONSTITUCIONAL DE DISTRIBUCION DE COMPETENCIAS.</w:t>
      </w:r>
    </w:p>
    <w:p w14:paraId="3808D695" w14:textId="4341A5AE" w:rsidR="00676019" w:rsidRPr="00225129" w:rsidRDefault="00676019" w:rsidP="00676019">
      <w:pPr>
        <w:autoSpaceDE w:val="0"/>
        <w:autoSpaceDN w:val="0"/>
        <w:adjustRightInd w:val="0"/>
        <w:spacing w:before="100" w:beforeAutospacing="1" w:after="100" w:afterAutospacing="1"/>
      </w:pPr>
      <w:r w:rsidRPr="00225129">
        <w:t>El Real Decreto 308/1983, de 25 de enero, por el que se aprueba la reglamentación técnico-sanitaria de aceites vegetales comestibles, establece las normas de obtención, elaboración y comercialización y las características de los aceites vegetales comestibles.</w:t>
      </w:r>
    </w:p>
    <w:p w14:paraId="461CE11A" w14:textId="60C451ED" w:rsidR="00676019" w:rsidRPr="00CF523F" w:rsidRDefault="00676019" w:rsidP="00CF523F">
      <w:pPr>
        <w:rPr>
          <w:rFonts w:cs="Arial"/>
          <w:szCs w:val="24"/>
          <w:lang w:val="es-ES"/>
        </w:rPr>
      </w:pPr>
      <w:r w:rsidRPr="00225129">
        <w:t>Asimismo, la Ley 28/2015, de 30 de julio, para la defensa de la calidad alimentaria, sienta la base jurídica en materia de defensa de la calidad de los alimentos, estableciendo su regulación básica</w:t>
      </w:r>
      <w:r w:rsidR="00B54238">
        <w:t xml:space="preserve">, y </w:t>
      </w:r>
      <w:r w:rsidR="00B54238">
        <w:rPr>
          <w:rFonts w:cs="Arial"/>
          <w:szCs w:val="24"/>
        </w:rPr>
        <w:t>habilita al Gobierno para aprobar normas de calidad de productos alimenticios, con el objeto, entre otros, de adaptarse a la reglamentación de la Unión Europea, y de simplificar, modernizar y valorizar las normas existentes así como de mejorar la competitividad del sector, incluyendo los adelantos producidos por la innovación tecnológica.</w:t>
      </w:r>
    </w:p>
    <w:p w14:paraId="5CF48D84" w14:textId="4CE2F2AE" w:rsidR="00676019" w:rsidRDefault="00676019" w:rsidP="00676019">
      <w:pPr>
        <w:pStyle w:val="Pa6"/>
        <w:spacing w:before="100" w:beforeAutospacing="1" w:after="100" w:afterAutospacing="1" w:line="240" w:lineRule="auto"/>
        <w:ind w:firstLine="0"/>
        <w:rPr>
          <w:szCs w:val="20"/>
          <w:lang w:val="es-ES_tradnl"/>
        </w:rPr>
      </w:pPr>
      <w:r w:rsidRPr="00225129">
        <w:rPr>
          <w:szCs w:val="20"/>
          <w:lang w:val="es-ES_tradnl"/>
        </w:rPr>
        <w:t>Este real decreto se dicta al amparo de lo dispuesto en el artículo 149.1.13ª de la Constitución, que atribuye al Estado la competencia exclusiva sobre bases y coordinación de la planificación general de la actividad económica.</w:t>
      </w:r>
    </w:p>
    <w:p w14:paraId="3984DE9E" w14:textId="1CE2D743" w:rsidR="00F23426" w:rsidRPr="00F23426" w:rsidRDefault="00F23426" w:rsidP="00F71254">
      <w:r>
        <w:t xml:space="preserve">Cabe mencionar que el proyecto de Real Decreto establece en su artículo 9, apartados 4 y 7, que se presentará a la Mesa de Coordinación de la Calidad Alimentaria un </w:t>
      </w:r>
      <w:r w:rsidRPr="00F23426">
        <w:t>Plan de control específico para la verificación de la trazabilidad del sector del aceite de oliva y de orujo de oliva</w:t>
      </w:r>
      <w:r>
        <w:t>, para su debate y revisión, limitándose la función del Ministerio de Agricultura, Pesca y Alimentación a la coordinación del mencionado plan, y por tanto adecuándose al orden constitucional de distribución de competencias.</w:t>
      </w:r>
    </w:p>
    <w:p w14:paraId="2CE5F073" w14:textId="77777777" w:rsidR="00676019" w:rsidRPr="00C322E2" w:rsidRDefault="00676019" w:rsidP="00676019">
      <w:pPr>
        <w:pStyle w:val="Ttulo3"/>
        <w:numPr>
          <w:ilvl w:val="0"/>
          <w:numId w:val="0"/>
        </w:numPr>
        <w:spacing w:before="480"/>
        <w:rPr>
          <w:color w:val="auto"/>
          <w:lang w:val="es-ES"/>
        </w:rPr>
      </w:pPr>
      <w:r>
        <w:rPr>
          <w:color w:val="auto"/>
          <w:lang w:val="es-ES"/>
        </w:rPr>
        <w:t xml:space="preserve">V. </w:t>
      </w:r>
      <w:r w:rsidRPr="00C322E2">
        <w:rPr>
          <w:color w:val="auto"/>
          <w:lang w:val="es-ES"/>
        </w:rPr>
        <w:t>DESCRIPCIÓN DE LA TRAMITACIÓN.</w:t>
      </w:r>
    </w:p>
    <w:p w14:paraId="0C462A0C" w14:textId="77777777" w:rsidR="00676019" w:rsidRPr="00C322E2" w:rsidRDefault="00676019" w:rsidP="00676019">
      <w:pPr>
        <w:pStyle w:val="Ttulo4"/>
        <w:numPr>
          <w:ilvl w:val="0"/>
          <w:numId w:val="0"/>
        </w:numPr>
        <w:ind w:left="864" w:hanging="864"/>
        <w:rPr>
          <w:lang w:val="es-ES"/>
        </w:rPr>
      </w:pPr>
      <w:r w:rsidRPr="007F2DF7">
        <w:rPr>
          <w:b/>
          <w:lang w:val="es-ES"/>
        </w:rPr>
        <w:t>1. Trámites preliminares.</w:t>
      </w:r>
    </w:p>
    <w:p w14:paraId="7AC7BFA9" w14:textId="0C994FC5" w:rsidR="00676019" w:rsidRDefault="00676019" w:rsidP="00676019">
      <w:r w:rsidRPr="002422AA">
        <w:t>Inicialmente, se ha llevado a cabo una consulta pública previa, de acuerdo con lo establecido en el artículo 26.2 de la Ley 50/1997, de 27 de noviembre, del Gobierno, en la que se ha recabado la opinión de los sujetos potencialmente afectados por la norma y las organizaciones representativas del sector.</w:t>
      </w:r>
    </w:p>
    <w:p w14:paraId="40E6A6AE" w14:textId="60FC6D70" w:rsidR="007D35C9" w:rsidRDefault="007D35C9" w:rsidP="007D35C9">
      <w:pPr>
        <w:rPr>
          <w:lang w:val="es-ES"/>
        </w:rPr>
      </w:pPr>
      <w:r>
        <w:rPr>
          <w:lang w:val="es-ES"/>
        </w:rPr>
        <w:t>La mencionada consulta pública previa permaneció abierta para emitir observaciones a través de la página web del Ministerio de Agricultura y Pesca, Alimentación y Medio Ambiente, desde el día 15 de diciembre de 2017 hasta el día 10 de enero de 2018, ambos inclusive.</w:t>
      </w:r>
    </w:p>
    <w:p w14:paraId="7095E106" w14:textId="42329F55" w:rsidR="007D35C9" w:rsidRDefault="00191DAA" w:rsidP="00676019">
      <w:pPr>
        <w:rPr>
          <w:lang w:val="es-ES"/>
        </w:rPr>
      </w:pPr>
      <w:r>
        <w:rPr>
          <w:lang w:val="es-ES"/>
        </w:rPr>
        <w:t>El siguiente listado recoge las observaciones recibidas durante la consulta pública previa:</w:t>
      </w:r>
    </w:p>
    <w:p w14:paraId="2B1763C3" w14:textId="46BB41B1" w:rsidR="00191DAA" w:rsidRDefault="00191DAA" w:rsidP="00CF523F">
      <w:pPr>
        <w:pStyle w:val="Prrafodelista"/>
        <w:numPr>
          <w:ilvl w:val="0"/>
          <w:numId w:val="26"/>
        </w:numPr>
        <w:rPr>
          <w:lang w:val="es-ES"/>
        </w:rPr>
      </w:pPr>
      <w:r>
        <w:rPr>
          <w:lang w:val="es-ES"/>
        </w:rPr>
        <w:t>Centre Mas de Bover Olivicultura, Elaiotècnica y Fruita Seca (IRTA).</w:t>
      </w:r>
    </w:p>
    <w:p w14:paraId="77878E0C" w14:textId="1783812D" w:rsidR="00191DAA" w:rsidRDefault="00191DAA" w:rsidP="00CF523F">
      <w:pPr>
        <w:pStyle w:val="Prrafodelista"/>
        <w:numPr>
          <w:ilvl w:val="0"/>
          <w:numId w:val="26"/>
        </w:numPr>
        <w:rPr>
          <w:lang w:val="es-ES"/>
        </w:rPr>
      </w:pPr>
      <w:r>
        <w:rPr>
          <w:lang w:val="es-ES"/>
        </w:rPr>
        <w:t>Asociación Nacional de Industriales Envasadores y Refinadores de Aceites Comestibles (ANIERAC).</w:t>
      </w:r>
    </w:p>
    <w:p w14:paraId="458F24F8" w14:textId="2079DB13" w:rsidR="00191DAA" w:rsidRDefault="00191DAA" w:rsidP="00CF523F">
      <w:pPr>
        <w:pStyle w:val="Prrafodelista"/>
        <w:numPr>
          <w:ilvl w:val="0"/>
          <w:numId w:val="26"/>
        </w:numPr>
        <w:rPr>
          <w:lang w:val="es-ES"/>
        </w:rPr>
      </w:pPr>
      <w:r>
        <w:rPr>
          <w:lang w:val="es-ES"/>
        </w:rPr>
        <w:t>Unión de Pequeños Agricultores y Ganaderos (UPA).</w:t>
      </w:r>
    </w:p>
    <w:p w14:paraId="48CB75F4" w14:textId="7BD67D9C" w:rsidR="002C11BE" w:rsidRDefault="00191DAA" w:rsidP="00191DAA">
      <w:pPr>
        <w:pStyle w:val="Prrafodelista"/>
        <w:numPr>
          <w:ilvl w:val="0"/>
          <w:numId w:val="26"/>
        </w:numPr>
        <w:rPr>
          <w:lang w:val="es-ES"/>
        </w:rPr>
      </w:pPr>
      <w:r>
        <w:rPr>
          <w:lang w:val="es-ES"/>
        </w:rPr>
        <w:t>Federació de Cooperatives Agràries de Catalunya.</w:t>
      </w:r>
    </w:p>
    <w:p w14:paraId="2A915297" w14:textId="77777777" w:rsidR="002C11BE" w:rsidRPr="00FB1B51" w:rsidRDefault="002C11BE" w:rsidP="00F71254">
      <w:pPr>
        <w:rPr>
          <w:lang w:val="es-ES"/>
        </w:rPr>
      </w:pPr>
    </w:p>
    <w:p w14:paraId="6CDF4C30" w14:textId="1BDE0484" w:rsidR="002C11BE" w:rsidRPr="00FB1B51" w:rsidRDefault="002C11BE" w:rsidP="00F71254">
      <w:pPr>
        <w:rPr>
          <w:lang w:val="es-ES"/>
        </w:rPr>
      </w:pPr>
      <w:r w:rsidRPr="002C11BE">
        <w:rPr>
          <w:lang w:val="es-ES"/>
        </w:rPr>
        <w:t xml:space="preserve">Se adjunta a esta memoria un Anexo en el que se recogen de manera pormenorizada las observaciones recibidas durante la </w:t>
      </w:r>
      <w:r>
        <w:rPr>
          <w:lang w:val="es-ES"/>
        </w:rPr>
        <w:t>consulta pública previa</w:t>
      </w:r>
      <w:r w:rsidRPr="00FB1B51">
        <w:rPr>
          <w:lang w:val="es-ES"/>
        </w:rPr>
        <w:t xml:space="preserve">. </w:t>
      </w:r>
    </w:p>
    <w:p w14:paraId="6AC87F13" w14:textId="77777777" w:rsidR="00191DAA" w:rsidRPr="00CF523F" w:rsidRDefault="00191DAA" w:rsidP="00BD3609">
      <w:pPr>
        <w:rPr>
          <w:lang w:val="es-ES"/>
        </w:rPr>
      </w:pPr>
    </w:p>
    <w:p w14:paraId="5C10A42A" w14:textId="6687CB89" w:rsidR="00676019" w:rsidRPr="00CF523F" w:rsidRDefault="00676019" w:rsidP="00676019">
      <w:pPr>
        <w:pStyle w:val="Ttulo4"/>
        <w:numPr>
          <w:ilvl w:val="0"/>
          <w:numId w:val="0"/>
        </w:numPr>
        <w:ind w:left="864" w:hanging="864"/>
        <w:rPr>
          <w:b/>
          <w:bCs w:val="0"/>
          <w:lang w:val="es-ES"/>
        </w:rPr>
      </w:pPr>
      <w:r w:rsidRPr="00CF523F">
        <w:rPr>
          <w:b/>
          <w:bCs w:val="0"/>
          <w:lang w:val="es-ES"/>
        </w:rPr>
        <w:t>2. Informes recabados.</w:t>
      </w:r>
    </w:p>
    <w:p w14:paraId="406DF731" w14:textId="16D9417A" w:rsidR="004C1AB2" w:rsidRDefault="004C1AB2" w:rsidP="004C1AB2">
      <w:pPr>
        <w:rPr>
          <w:lang w:val="es-ES"/>
        </w:rPr>
      </w:pPr>
      <w:r w:rsidRPr="004C1AB2">
        <w:rPr>
          <w:lang w:val="es-ES"/>
        </w:rPr>
        <w:t>Durante el proceso de tramitación de la norma se han solicitado los siguientes informes:</w:t>
      </w:r>
    </w:p>
    <w:p w14:paraId="27B1AEAD" w14:textId="1E329C1D" w:rsidR="004C1AB2" w:rsidRDefault="004C1AB2" w:rsidP="004C1AB2">
      <w:pPr>
        <w:pStyle w:val="Prrafodelista"/>
        <w:numPr>
          <w:ilvl w:val="0"/>
          <w:numId w:val="25"/>
        </w:numPr>
        <w:rPr>
          <w:lang w:val="es-ES"/>
        </w:rPr>
      </w:pPr>
      <w:r w:rsidRPr="004C1AB2">
        <w:rPr>
          <w:lang w:val="es-ES"/>
        </w:rPr>
        <w:t>Informe del Ministerio de Política Territorial y Función Pública</w:t>
      </w:r>
      <w:r w:rsidRPr="00535BA7">
        <w:rPr>
          <w:lang w:val="es-ES"/>
        </w:rPr>
        <w:t xml:space="preserve"> (conforme a lo dispuesto en el artículo 26.5</w:t>
      </w:r>
      <w:r w:rsidR="00A72D45">
        <w:rPr>
          <w:lang w:val="es-ES"/>
        </w:rPr>
        <w:t>,</w:t>
      </w:r>
      <w:r w:rsidRPr="00535BA7">
        <w:rPr>
          <w:lang w:val="es-ES"/>
        </w:rPr>
        <w:t xml:space="preserve"> </w:t>
      </w:r>
      <w:r w:rsidR="00245AFF" w:rsidRPr="00CF523F">
        <w:rPr>
          <w:lang w:val="es-ES"/>
        </w:rPr>
        <w:t xml:space="preserve">párrafo sexto, </w:t>
      </w:r>
      <w:r w:rsidRPr="00535BA7">
        <w:rPr>
          <w:lang w:val="es-ES"/>
        </w:rPr>
        <w:t>de la Ley 50/1997, de 27 de nov</w:t>
      </w:r>
      <w:r w:rsidRPr="003E2698">
        <w:rPr>
          <w:lang w:val="es-ES"/>
        </w:rPr>
        <w:t>iembre, del Gobierno</w:t>
      </w:r>
      <w:r w:rsidR="00532A48">
        <w:rPr>
          <w:lang w:val="es-ES"/>
        </w:rPr>
        <w:t xml:space="preserve">, relativo al posible impacto sobre la </w:t>
      </w:r>
      <w:r w:rsidR="00532A48" w:rsidRPr="00532A48">
        <w:rPr>
          <w:lang w:val="es-ES"/>
        </w:rPr>
        <w:t>distribución de las competencias entre el Estado y las Comunidades Autónomas</w:t>
      </w:r>
      <w:r w:rsidR="00135C66">
        <w:rPr>
          <w:lang w:val="es-ES"/>
        </w:rPr>
        <w:t xml:space="preserve">, </w:t>
      </w:r>
      <w:r w:rsidR="00135C66" w:rsidRPr="00135C66">
        <w:rPr>
          <w:lang w:val="es-ES"/>
        </w:rPr>
        <w:t xml:space="preserve">y </w:t>
      </w:r>
      <w:r w:rsidR="00135C66">
        <w:rPr>
          <w:lang w:val="es-ES"/>
        </w:rPr>
        <w:t xml:space="preserve">conforme al </w:t>
      </w:r>
      <w:r w:rsidR="00135C66" w:rsidRPr="00135C66">
        <w:rPr>
          <w:lang w:val="es-ES"/>
        </w:rPr>
        <w:t xml:space="preserve">26.9, sobre la calidad de la actividad normativa, de la Ley 50/1997 </w:t>
      </w:r>
      <w:r w:rsidR="00135C66" w:rsidRPr="000D6E76">
        <w:rPr>
          <w:color w:val="FF0000"/>
          <w:lang w:val="es-ES"/>
        </w:rPr>
        <w:t>Pendiente</w:t>
      </w:r>
      <w:r w:rsidRPr="003E2698">
        <w:rPr>
          <w:lang w:val="es-ES"/>
        </w:rPr>
        <w:t>).</w:t>
      </w:r>
    </w:p>
    <w:p w14:paraId="152EB91E" w14:textId="77777777" w:rsidR="00535BA7" w:rsidRPr="00535BA7" w:rsidRDefault="00535BA7" w:rsidP="00CF523F">
      <w:pPr>
        <w:pStyle w:val="Prrafodelista"/>
        <w:rPr>
          <w:lang w:val="es-ES"/>
        </w:rPr>
      </w:pPr>
    </w:p>
    <w:p w14:paraId="74327EC3" w14:textId="22896270" w:rsidR="004C1AB2" w:rsidRDefault="004C1AB2" w:rsidP="004C1AB2">
      <w:pPr>
        <w:pStyle w:val="Prrafodelista"/>
        <w:numPr>
          <w:ilvl w:val="0"/>
          <w:numId w:val="25"/>
        </w:numPr>
        <w:rPr>
          <w:lang w:val="es-ES"/>
        </w:rPr>
      </w:pPr>
      <w:r w:rsidRPr="004C1AB2">
        <w:rPr>
          <w:lang w:val="es-ES"/>
        </w:rPr>
        <w:t>Informe del Ministerio de</w:t>
      </w:r>
      <w:r w:rsidR="00535BA7">
        <w:rPr>
          <w:lang w:val="es-ES"/>
        </w:rPr>
        <w:t xml:space="preserve"> Consumo (d</w:t>
      </w:r>
      <w:r w:rsidR="00535BA7" w:rsidRPr="00535BA7">
        <w:rPr>
          <w:lang w:val="es-ES"/>
        </w:rPr>
        <w:t>e conformidad con lo establecido en el artículo 26.5, párrafo cuarto, de la Ley 50/1997, de 27 de noviembre, del Gobierno</w:t>
      </w:r>
      <w:r w:rsidR="00535BA7">
        <w:rPr>
          <w:lang w:val="es-ES"/>
        </w:rPr>
        <w:t>).</w:t>
      </w:r>
    </w:p>
    <w:p w14:paraId="22AE717B" w14:textId="77777777" w:rsidR="00535BA7" w:rsidRPr="00535BA7" w:rsidRDefault="00535BA7" w:rsidP="00CF523F">
      <w:pPr>
        <w:pStyle w:val="Prrafodelista"/>
        <w:rPr>
          <w:lang w:val="es-ES"/>
        </w:rPr>
      </w:pPr>
    </w:p>
    <w:p w14:paraId="319B0227" w14:textId="0B9233EA" w:rsidR="00535BA7" w:rsidRDefault="00535BA7" w:rsidP="004C1AB2">
      <w:pPr>
        <w:pStyle w:val="Prrafodelista"/>
        <w:numPr>
          <w:ilvl w:val="0"/>
          <w:numId w:val="25"/>
        </w:numPr>
        <w:rPr>
          <w:lang w:val="es-ES"/>
        </w:rPr>
      </w:pPr>
      <w:r w:rsidRPr="004C1AB2">
        <w:rPr>
          <w:lang w:val="es-ES"/>
        </w:rPr>
        <w:t>Informe del Ministerio de</w:t>
      </w:r>
      <w:r>
        <w:rPr>
          <w:lang w:val="es-ES"/>
        </w:rPr>
        <w:t xml:space="preserve"> Sanidad (</w:t>
      </w:r>
      <w:r w:rsidRPr="00535BA7">
        <w:rPr>
          <w:lang w:val="es-ES"/>
        </w:rPr>
        <w:t>de conformidad con lo establecido en el artículo 26.5, párrafo primero, de la Ley 50/1997, de 27 de noviembre, del Gobierno</w:t>
      </w:r>
      <w:r>
        <w:rPr>
          <w:lang w:val="es-ES"/>
        </w:rPr>
        <w:t>).</w:t>
      </w:r>
    </w:p>
    <w:p w14:paraId="1B1285CE" w14:textId="77777777" w:rsidR="00AE5667" w:rsidRPr="00AE5667" w:rsidRDefault="00AE5667" w:rsidP="00CF523F">
      <w:pPr>
        <w:pStyle w:val="Prrafodelista"/>
        <w:rPr>
          <w:lang w:val="es-ES"/>
        </w:rPr>
      </w:pPr>
    </w:p>
    <w:p w14:paraId="2339B3A5" w14:textId="169BD310" w:rsidR="00AE5667" w:rsidRPr="00AE5667" w:rsidRDefault="00AE5667" w:rsidP="00AE5667">
      <w:pPr>
        <w:pStyle w:val="Prrafodelista"/>
        <w:numPr>
          <w:ilvl w:val="0"/>
          <w:numId w:val="25"/>
        </w:numPr>
        <w:rPr>
          <w:lang w:val="es-ES"/>
        </w:rPr>
      </w:pPr>
      <w:r w:rsidRPr="00AE5667">
        <w:rPr>
          <w:lang w:val="es-ES"/>
        </w:rPr>
        <w:t>Informe del Ministerio de Industria</w:t>
      </w:r>
      <w:r w:rsidR="007C166B">
        <w:rPr>
          <w:lang w:val="es-ES"/>
        </w:rPr>
        <w:t>, Comercio</w:t>
      </w:r>
      <w:r w:rsidRPr="00AE5667">
        <w:rPr>
          <w:lang w:val="es-ES"/>
        </w:rPr>
        <w:t xml:space="preserve"> y Turismo (de conformidad con lo establecido en el artículo 26.5, párrafo primero, de la Ley 50/1997, de 27 de noviembre, del Gobierno). </w:t>
      </w:r>
    </w:p>
    <w:p w14:paraId="71BE0E5B" w14:textId="77777777" w:rsidR="00AE5667" w:rsidRPr="00AE5667" w:rsidRDefault="00AE5667" w:rsidP="00CF523F">
      <w:pPr>
        <w:pStyle w:val="Prrafodelista"/>
        <w:rPr>
          <w:lang w:val="es-ES"/>
        </w:rPr>
      </w:pPr>
    </w:p>
    <w:p w14:paraId="3258FDEF" w14:textId="6E9DB5B7" w:rsidR="00AE5667" w:rsidRPr="006D1287" w:rsidRDefault="00AE5667" w:rsidP="006D1287">
      <w:pPr>
        <w:pStyle w:val="Prrafodelista"/>
        <w:numPr>
          <w:ilvl w:val="0"/>
          <w:numId w:val="25"/>
        </w:numPr>
        <w:rPr>
          <w:lang w:val="es-ES"/>
        </w:rPr>
      </w:pPr>
      <w:r w:rsidRPr="006D1287">
        <w:rPr>
          <w:lang w:val="es-ES"/>
        </w:rPr>
        <w:t xml:space="preserve">Informe del Ministerio de Agricultura, Pesca y Alimentación (de conformidad con lo establecido en el artículo 26.5, párrafo </w:t>
      </w:r>
      <w:r w:rsidR="00345A95">
        <w:rPr>
          <w:lang w:val="es-ES"/>
        </w:rPr>
        <w:t>cuarto</w:t>
      </w:r>
      <w:r w:rsidRPr="006D1287">
        <w:rPr>
          <w:lang w:val="es-ES"/>
        </w:rPr>
        <w:t>, de la Ley 50/1997, de 27 de noviembre, del Gobierno).</w:t>
      </w:r>
      <w:r w:rsidR="00135C66" w:rsidRPr="006D1287">
        <w:rPr>
          <w:color w:val="FF0000"/>
          <w:lang w:val="es-ES"/>
        </w:rPr>
        <w:t xml:space="preserve"> </w:t>
      </w:r>
    </w:p>
    <w:p w14:paraId="0C3B75C5" w14:textId="5E2E46FA" w:rsidR="0029552B" w:rsidRDefault="0029552B" w:rsidP="0029552B">
      <w:pPr>
        <w:pStyle w:val="Prrafodelista"/>
        <w:rPr>
          <w:lang w:val="es-ES"/>
        </w:rPr>
      </w:pPr>
    </w:p>
    <w:p w14:paraId="3065D60A" w14:textId="4DD102B7" w:rsidR="003E2698" w:rsidRDefault="003E2698" w:rsidP="0029552B">
      <w:pPr>
        <w:pStyle w:val="Prrafodelista"/>
        <w:rPr>
          <w:lang w:val="es-ES"/>
        </w:rPr>
      </w:pPr>
    </w:p>
    <w:p w14:paraId="66621273" w14:textId="21B46D33" w:rsidR="003E2698" w:rsidRDefault="003E2698" w:rsidP="00B83362">
      <w:pPr>
        <w:pStyle w:val="Prrafodelista"/>
        <w:ind w:left="0"/>
        <w:rPr>
          <w:lang w:val="es-ES"/>
        </w:rPr>
      </w:pPr>
      <w:r>
        <w:rPr>
          <w:lang w:val="es-ES"/>
        </w:rPr>
        <w:t xml:space="preserve">En la </w:t>
      </w:r>
      <w:r w:rsidR="001005DA" w:rsidRPr="00B83362">
        <w:rPr>
          <w:lang w:val="es-ES"/>
        </w:rPr>
        <w:fldChar w:fldCharType="begin"/>
      </w:r>
      <w:r w:rsidR="001005DA" w:rsidRPr="001005DA">
        <w:rPr>
          <w:lang w:val="es-ES"/>
        </w:rPr>
        <w:instrText xml:space="preserve"> REF _Ref39569974 \h  \* MERGEFORMAT </w:instrText>
      </w:r>
      <w:r w:rsidR="001005DA" w:rsidRPr="00B83362">
        <w:rPr>
          <w:lang w:val="es-ES"/>
        </w:rPr>
      </w:r>
      <w:r w:rsidR="001005DA" w:rsidRPr="00B83362">
        <w:rPr>
          <w:lang w:val="es-ES"/>
        </w:rPr>
        <w:fldChar w:fldCharType="separate"/>
      </w:r>
      <w:r w:rsidR="001005DA" w:rsidRPr="00B83362">
        <w:t xml:space="preserve">Tabla </w:t>
      </w:r>
      <w:r w:rsidR="001005DA" w:rsidRPr="00B83362">
        <w:rPr>
          <w:noProof/>
        </w:rPr>
        <w:t>1</w:t>
      </w:r>
      <w:r w:rsidR="001005DA" w:rsidRPr="00B83362">
        <w:rPr>
          <w:lang w:val="es-ES"/>
        </w:rPr>
        <w:fldChar w:fldCharType="end"/>
      </w:r>
      <w:r w:rsidR="001005DA">
        <w:rPr>
          <w:lang w:val="es-ES"/>
        </w:rPr>
        <w:t xml:space="preserve"> se </w:t>
      </w:r>
      <w:r w:rsidR="00C163C4">
        <w:rPr>
          <w:lang w:val="es-ES"/>
        </w:rPr>
        <w:t>resumen</w:t>
      </w:r>
      <w:r w:rsidR="001005DA">
        <w:rPr>
          <w:lang w:val="es-ES"/>
        </w:rPr>
        <w:t xml:space="preserve"> las respuestas y observaciones recibidas de las Secretarías Generales Técnicas de los Ministerios implicados.</w:t>
      </w:r>
    </w:p>
    <w:p w14:paraId="21CE1379" w14:textId="5BC89E04" w:rsidR="009A0508" w:rsidRDefault="009A0508" w:rsidP="00B83362">
      <w:pPr>
        <w:pStyle w:val="Prrafodelista"/>
        <w:ind w:left="0"/>
        <w:rPr>
          <w:lang w:val="es-ES"/>
        </w:rPr>
      </w:pPr>
    </w:p>
    <w:p w14:paraId="3A62DBFD" w14:textId="7D9E5F42" w:rsidR="0017795B" w:rsidRDefault="0017795B" w:rsidP="00B83362">
      <w:pPr>
        <w:pStyle w:val="Prrafodelista"/>
        <w:ind w:left="0"/>
        <w:rPr>
          <w:lang w:val="es-ES"/>
        </w:rPr>
      </w:pPr>
    </w:p>
    <w:p w14:paraId="63164838" w14:textId="77777777" w:rsidR="0017795B" w:rsidRDefault="0017795B" w:rsidP="00B83362">
      <w:pPr>
        <w:pStyle w:val="Prrafodelista"/>
        <w:ind w:left="0"/>
        <w:rPr>
          <w:lang w:val="es-ES"/>
        </w:rPr>
      </w:pPr>
    </w:p>
    <w:p w14:paraId="241EAC0A" w14:textId="77777777" w:rsidR="001005DA" w:rsidRPr="0029552B" w:rsidRDefault="001005DA" w:rsidP="00CF523F">
      <w:pPr>
        <w:pStyle w:val="Prrafodelista"/>
        <w:ind w:left="0"/>
        <w:rPr>
          <w:lang w:val="es-ES"/>
        </w:rPr>
      </w:pPr>
    </w:p>
    <w:p w14:paraId="5DFB4964" w14:textId="21189BBB" w:rsidR="0029552B" w:rsidRPr="00CF523F" w:rsidRDefault="003E2698" w:rsidP="00CF523F">
      <w:pPr>
        <w:pStyle w:val="Descripcin"/>
        <w:spacing w:after="0"/>
        <w:jc w:val="center"/>
        <w:rPr>
          <w:b/>
          <w:bCs/>
          <w:lang w:val="es-ES"/>
        </w:rPr>
      </w:pPr>
      <w:bookmarkStart w:id="1" w:name="_Ref39569974"/>
      <w:r w:rsidRPr="00CF523F">
        <w:rPr>
          <w:b/>
          <w:bCs/>
          <w:i w:val="0"/>
          <w:iCs w:val="0"/>
          <w:color w:val="auto"/>
        </w:rPr>
        <w:t xml:space="preserve">Tabla </w:t>
      </w:r>
      <w:r w:rsidRPr="00CF523F">
        <w:rPr>
          <w:b/>
          <w:bCs/>
          <w:i w:val="0"/>
          <w:iCs w:val="0"/>
          <w:color w:val="auto"/>
        </w:rPr>
        <w:fldChar w:fldCharType="begin"/>
      </w:r>
      <w:r w:rsidRPr="00CF523F">
        <w:rPr>
          <w:b/>
          <w:bCs/>
          <w:i w:val="0"/>
          <w:iCs w:val="0"/>
          <w:color w:val="auto"/>
        </w:rPr>
        <w:instrText xml:space="preserve"> SEQ Tabla \* ARABIC </w:instrText>
      </w:r>
      <w:r w:rsidRPr="00CF523F">
        <w:rPr>
          <w:b/>
          <w:bCs/>
          <w:i w:val="0"/>
          <w:iCs w:val="0"/>
          <w:color w:val="auto"/>
        </w:rPr>
        <w:fldChar w:fldCharType="separate"/>
      </w:r>
      <w:r w:rsidR="00EE5284">
        <w:rPr>
          <w:b/>
          <w:bCs/>
          <w:i w:val="0"/>
          <w:iCs w:val="0"/>
          <w:noProof/>
          <w:color w:val="auto"/>
        </w:rPr>
        <w:t>1</w:t>
      </w:r>
      <w:r w:rsidRPr="00CF523F">
        <w:rPr>
          <w:b/>
          <w:bCs/>
          <w:i w:val="0"/>
          <w:iCs w:val="0"/>
          <w:color w:val="auto"/>
        </w:rPr>
        <w:fldChar w:fldCharType="end"/>
      </w:r>
      <w:bookmarkEnd w:id="1"/>
      <w:r w:rsidRPr="00CF523F">
        <w:rPr>
          <w:b/>
          <w:bCs/>
          <w:i w:val="0"/>
          <w:iCs w:val="0"/>
          <w:color w:val="auto"/>
        </w:rPr>
        <w:t>: Cuadro recopilatorio de observaciones recibidas de las SGT de los Ministerios implicados.</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32"/>
        <w:gridCol w:w="2410"/>
        <w:gridCol w:w="2976"/>
      </w:tblGrid>
      <w:tr w:rsidR="004E5C1E" w:rsidRPr="002045C1" w14:paraId="029CE701" w14:textId="77777777" w:rsidTr="00CF523F">
        <w:tc>
          <w:tcPr>
            <w:tcW w:w="3432" w:type="dxa"/>
            <w:vAlign w:val="center"/>
          </w:tcPr>
          <w:p w14:paraId="73ACD4C1" w14:textId="77777777" w:rsidR="0029552B" w:rsidRPr="002045C1" w:rsidRDefault="0029552B" w:rsidP="00CF523F">
            <w:pPr>
              <w:spacing w:before="0"/>
              <w:jc w:val="center"/>
              <w:rPr>
                <w:rFonts w:cs="Arial"/>
                <w:b/>
                <w:sz w:val="22"/>
                <w:szCs w:val="22"/>
              </w:rPr>
            </w:pPr>
            <w:r w:rsidRPr="002045C1">
              <w:rPr>
                <w:rFonts w:cs="Arial"/>
                <w:b/>
                <w:sz w:val="22"/>
                <w:szCs w:val="22"/>
              </w:rPr>
              <w:t>Organismo</w:t>
            </w:r>
          </w:p>
        </w:tc>
        <w:tc>
          <w:tcPr>
            <w:tcW w:w="2410" w:type="dxa"/>
            <w:vAlign w:val="center"/>
          </w:tcPr>
          <w:p w14:paraId="486AF4A9" w14:textId="4F666626" w:rsidR="0029552B" w:rsidRPr="002045C1" w:rsidRDefault="0029552B" w:rsidP="00CF523F">
            <w:pPr>
              <w:spacing w:before="0"/>
              <w:jc w:val="center"/>
              <w:rPr>
                <w:rFonts w:cs="Arial"/>
                <w:b/>
                <w:sz w:val="22"/>
                <w:szCs w:val="22"/>
              </w:rPr>
            </w:pPr>
            <w:r w:rsidRPr="002045C1">
              <w:rPr>
                <w:rFonts w:cs="Arial"/>
                <w:b/>
                <w:sz w:val="22"/>
                <w:szCs w:val="22"/>
              </w:rPr>
              <w:t>Sin observaciones</w:t>
            </w:r>
            <w:r>
              <w:rPr>
                <w:rFonts w:cs="Arial"/>
                <w:b/>
                <w:sz w:val="22"/>
                <w:szCs w:val="22"/>
              </w:rPr>
              <w:t xml:space="preserve"> (S/O)</w:t>
            </w:r>
          </w:p>
        </w:tc>
        <w:tc>
          <w:tcPr>
            <w:tcW w:w="2976" w:type="dxa"/>
            <w:vAlign w:val="center"/>
          </w:tcPr>
          <w:p w14:paraId="4A38DDAC" w14:textId="3E0F8B67" w:rsidR="0029552B" w:rsidRPr="002045C1" w:rsidRDefault="0029552B" w:rsidP="00CF523F">
            <w:pPr>
              <w:spacing w:before="0"/>
              <w:jc w:val="center"/>
              <w:rPr>
                <w:rFonts w:cs="Arial"/>
                <w:b/>
                <w:sz w:val="22"/>
                <w:szCs w:val="22"/>
              </w:rPr>
            </w:pPr>
            <w:r w:rsidRPr="002045C1">
              <w:rPr>
                <w:rFonts w:cs="Arial"/>
                <w:b/>
                <w:sz w:val="22"/>
                <w:szCs w:val="22"/>
              </w:rPr>
              <w:t>Han emitido observaciones</w:t>
            </w:r>
          </w:p>
        </w:tc>
      </w:tr>
      <w:tr w:rsidR="004E5C1E" w:rsidRPr="002045C1" w14:paraId="36279452" w14:textId="77777777" w:rsidTr="00CF523F">
        <w:tc>
          <w:tcPr>
            <w:tcW w:w="3432" w:type="dxa"/>
            <w:tcMar>
              <w:top w:w="57" w:type="dxa"/>
              <w:bottom w:w="57" w:type="dxa"/>
            </w:tcMar>
            <w:vAlign w:val="center"/>
          </w:tcPr>
          <w:p w14:paraId="5856CAD5" w14:textId="17FAC448" w:rsidR="0029552B" w:rsidRPr="002F4752" w:rsidRDefault="0029552B" w:rsidP="00CF523F">
            <w:pPr>
              <w:spacing w:before="0"/>
              <w:rPr>
                <w:rFonts w:cs="Arial"/>
                <w:b/>
                <w:sz w:val="22"/>
                <w:szCs w:val="22"/>
              </w:rPr>
            </w:pPr>
            <w:r w:rsidRPr="002F4752">
              <w:rPr>
                <w:rFonts w:cs="Arial"/>
                <w:sz w:val="22"/>
                <w:szCs w:val="22"/>
              </w:rPr>
              <w:t xml:space="preserve">Ministerio de </w:t>
            </w:r>
            <w:r w:rsidRPr="0029552B">
              <w:rPr>
                <w:rFonts w:cs="Arial"/>
                <w:sz w:val="22"/>
                <w:szCs w:val="22"/>
              </w:rPr>
              <w:t>Política Territorial y Función Pública</w:t>
            </w:r>
          </w:p>
        </w:tc>
        <w:tc>
          <w:tcPr>
            <w:tcW w:w="2410" w:type="dxa"/>
            <w:vAlign w:val="center"/>
          </w:tcPr>
          <w:p w14:paraId="14B03370" w14:textId="77777777" w:rsidR="0029552B" w:rsidRPr="008F5F37" w:rsidRDefault="0029552B" w:rsidP="00CF523F">
            <w:pPr>
              <w:spacing w:before="0"/>
              <w:jc w:val="center"/>
              <w:rPr>
                <w:rFonts w:cs="Arial"/>
                <w:b/>
                <w:strike/>
                <w:sz w:val="22"/>
                <w:szCs w:val="22"/>
                <w:highlight w:val="cyan"/>
              </w:rPr>
            </w:pPr>
          </w:p>
        </w:tc>
        <w:tc>
          <w:tcPr>
            <w:tcW w:w="2976" w:type="dxa"/>
            <w:vAlign w:val="center"/>
          </w:tcPr>
          <w:p w14:paraId="46B202F0" w14:textId="77777777" w:rsidR="0029552B" w:rsidRPr="006E7624" w:rsidRDefault="0029552B" w:rsidP="00CF523F">
            <w:pPr>
              <w:spacing w:before="0"/>
              <w:jc w:val="center"/>
              <w:rPr>
                <w:rFonts w:cs="Arial"/>
                <w:sz w:val="22"/>
                <w:szCs w:val="22"/>
                <w:highlight w:val="cyan"/>
              </w:rPr>
            </w:pPr>
            <w:r w:rsidRPr="006E7624">
              <w:rPr>
                <w:rFonts w:cs="Arial"/>
                <w:sz w:val="22"/>
                <w:szCs w:val="22"/>
              </w:rPr>
              <w:t>X</w:t>
            </w:r>
          </w:p>
        </w:tc>
      </w:tr>
      <w:tr w:rsidR="004E5C1E" w:rsidRPr="002045C1" w14:paraId="01D4F22C" w14:textId="77777777" w:rsidTr="00CF523F">
        <w:trPr>
          <w:trHeight w:val="240"/>
        </w:trPr>
        <w:tc>
          <w:tcPr>
            <w:tcW w:w="3432" w:type="dxa"/>
            <w:tcMar>
              <w:top w:w="57" w:type="dxa"/>
              <w:bottom w:w="57" w:type="dxa"/>
            </w:tcMar>
            <w:vAlign w:val="center"/>
          </w:tcPr>
          <w:p w14:paraId="2771CD2E" w14:textId="1BADD98C" w:rsidR="0029552B" w:rsidRPr="002F4752" w:rsidRDefault="0029552B" w:rsidP="00CF523F">
            <w:pPr>
              <w:spacing w:before="0"/>
              <w:rPr>
                <w:rFonts w:cs="Arial"/>
                <w:sz w:val="22"/>
                <w:szCs w:val="22"/>
              </w:rPr>
            </w:pPr>
            <w:r w:rsidRPr="002F4752">
              <w:rPr>
                <w:rFonts w:cs="Arial"/>
                <w:sz w:val="22"/>
                <w:szCs w:val="22"/>
              </w:rPr>
              <w:t xml:space="preserve">Ministerio de la </w:t>
            </w:r>
            <w:r>
              <w:rPr>
                <w:rFonts w:cs="Arial"/>
                <w:sz w:val="22"/>
                <w:szCs w:val="22"/>
              </w:rPr>
              <w:t>Consumo</w:t>
            </w:r>
          </w:p>
        </w:tc>
        <w:tc>
          <w:tcPr>
            <w:tcW w:w="2410" w:type="dxa"/>
            <w:vAlign w:val="center"/>
          </w:tcPr>
          <w:p w14:paraId="53D92AD0" w14:textId="77777777" w:rsidR="0029552B" w:rsidRPr="008F5F37" w:rsidRDefault="0029552B" w:rsidP="00CF523F">
            <w:pPr>
              <w:spacing w:before="0"/>
              <w:jc w:val="center"/>
              <w:rPr>
                <w:rFonts w:cs="Arial"/>
                <w:strike/>
                <w:highlight w:val="cyan"/>
              </w:rPr>
            </w:pPr>
          </w:p>
        </w:tc>
        <w:tc>
          <w:tcPr>
            <w:tcW w:w="2976" w:type="dxa"/>
            <w:vAlign w:val="center"/>
          </w:tcPr>
          <w:p w14:paraId="4D4C43E1" w14:textId="77777777" w:rsidR="0029552B" w:rsidRPr="002F4752" w:rsidRDefault="0029552B" w:rsidP="00CF523F">
            <w:pPr>
              <w:spacing w:before="0"/>
              <w:jc w:val="center"/>
              <w:rPr>
                <w:rFonts w:cs="Arial"/>
                <w:sz w:val="22"/>
                <w:szCs w:val="22"/>
              </w:rPr>
            </w:pPr>
            <w:r w:rsidRPr="002F4752">
              <w:rPr>
                <w:rFonts w:cs="Arial"/>
                <w:sz w:val="22"/>
                <w:szCs w:val="22"/>
              </w:rPr>
              <w:t>X</w:t>
            </w:r>
          </w:p>
        </w:tc>
      </w:tr>
      <w:tr w:rsidR="004E5C1E" w:rsidRPr="002045C1" w14:paraId="5917E30E" w14:textId="77777777" w:rsidTr="00CF523F">
        <w:trPr>
          <w:trHeight w:val="240"/>
        </w:trPr>
        <w:tc>
          <w:tcPr>
            <w:tcW w:w="3432" w:type="dxa"/>
            <w:tcMar>
              <w:top w:w="57" w:type="dxa"/>
              <w:bottom w:w="57" w:type="dxa"/>
            </w:tcMar>
            <w:vAlign w:val="center"/>
          </w:tcPr>
          <w:p w14:paraId="615B36E2" w14:textId="5438B235" w:rsidR="0029552B" w:rsidRPr="002F4752" w:rsidRDefault="0029552B" w:rsidP="00CF523F">
            <w:pPr>
              <w:spacing w:before="0"/>
              <w:rPr>
                <w:rFonts w:cs="Arial"/>
                <w:strike/>
                <w:sz w:val="22"/>
                <w:szCs w:val="22"/>
              </w:rPr>
            </w:pPr>
            <w:r w:rsidRPr="002F4752">
              <w:rPr>
                <w:rFonts w:cs="Arial"/>
                <w:sz w:val="22"/>
                <w:szCs w:val="22"/>
              </w:rPr>
              <w:t>Ministerio de Sanidad</w:t>
            </w:r>
          </w:p>
        </w:tc>
        <w:tc>
          <w:tcPr>
            <w:tcW w:w="2410" w:type="dxa"/>
            <w:vAlign w:val="center"/>
          </w:tcPr>
          <w:p w14:paraId="03555F17" w14:textId="7BA7939C" w:rsidR="0029552B" w:rsidRPr="00CF523F" w:rsidRDefault="003E2698" w:rsidP="00CF523F">
            <w:pPr>
              <w:spacing w:before="0"/>
              <w:jc w:val="center"/>
              <w:rPr>
                <w:rFonts w:cs="Arial"/>
                <w:highlight w:val="cyan"/>
              </w:rPr>
            </w:pPr>
            <w:r w:rsidRPr="00CF523F">
              <w:rPr>
                <w:rFonts w:cs="Arial"/>
              </w:rPr>
              <w:t>S/O</w:t>
            </w:r>
          </w:p>
        </w:tc>
        <w:tc>
          <w:tcPr>
            <w:tcW w:w="2976" w:type="dxa"/>
            <w:vAlign w:val="center"/>
          </w:tcPr>
          <w:p w14:paraId="7D2D9772" w14:textId="1E19808F" w:rsidR="0029552B" w:rsidRPr="002F4752" w:rsidRDefault="0029552B" w:rsidP="00CF523F">
            <w:pPr>
              <w:spacing w:before="0"/>
              <w:jc w:val="center"/>
              <w:rPr>
                <w:rFonts w:cs="Arial"/>
                <w:sz w:val="22"/>
                <w:szCs w:val="22"/>
              </w:rPr>
            </w:pPr>
          </w:p>
        </w:tc>
      </w:tr>
      <w:tr w:rsidR="00AE5667" w:rsidRPr="002045C1" w14:paraId="2222896B" w14:textId="77777777" w:rsidTr="006F4209">
        <w:trPr>
          <w:trHeight w:val="240"/>
        </w:trPr>
        <w:tc>
          <w:tcPr>
            <w:tcW w:w="3432" w:type="dxa"/>
            <w:tcMar>
              <w:top w:w="57" w:type="dxa"/>
              <w:bottom w:w="57" w:type="dxa"/>
            </w:tcMar>
            <w:vAlign w:val="center"/>
          </w:tcPr>
          <w:p w14:paraId="77BCF452" w14:textId="5C3F8946" w:rsidR="00AE5667" w:rsidRPr="002F4752" w:rsidRDefault="00AE5667">
            <w:pPr>
              <w:spacing w:before="0"/>
              <w:rPr>
                <w:rFonts w:cs="Arial"/>
                <w:sz w:val="22"/>
                <w:szCs w:val="22"/>
              </w:rPr>
            </w:pPr>
            <w:r>
              <w:rPr>
                <w:rFonts w:cs="Arial"/>
                <w:sz w:val="22"/>
                <w:szCs w:val="22"/>
              </w:rPr>
              <w:t>Ministerio de Industria, Comercio y Turismo</w:t>
            </w:r>
          </w:p>
        </w:tc>
        <w:tc>
          <w:tcPr>
            <w:tcW w:w="2410" w:type="dxa"/>
            <w:vAlign w:val="center"/>
          </w:tcPr>
          <w:p w14:paraId="26F5DC03" w14:textId="77777777" w:rsidR="00AE5667" w:rsidRPr="00AE5667" w:rsidRDefault="00AE5667">
            <w:pPr>
              <w:spacing w:before="0"/>
              <w:jc w:val="center"/>
              <w:rPr>
                <w:rFonts w:cs="Arial"/>
              </w:rPr>
            </w:pPr>
          </w:p>
        </w:tc>
        <w:tc>
          <w:tcPr>
            <w:tcW w:w="2976" w:type="dxa"/>
            <w:vAlign w:val="center"/>
          </w:tcPr>
          <w:p w14:paraId="41061A0F" w14:textId="49D1917E" w:rsidR="00AE5667" w:rsidRPr="002F4752" w:rsidRDefault="007C166B">
            <w:pPr>
              <w:spacing w:before="0"/>
              <w:jc w:val="center"/>
              <w:rPr>
                <w:rFonts w:cs="Arial"/>
                <w:sz w:val="22"/>
                <w:szCs w:val="22"/>
              </w:rPr>
            </w:pPr>
            <w:r>
              <w:rPr>
                <w:rFonts w:cs="Arial"/>
                <w:sz w:val="22"/>
                <w:szCs w:val="22"/>
              </w:rPr>
              <w:t>X</w:t>
            </w:r>
          </w:p>
        </w:tc>
      </w:tr>
      <w:tr w:rsidR="00AE5667" w:rsidRPr="002045C1" w14:paraId="36E26788" w14:textId="77777777" w:rsidTr="006F4209">
        <w:trPr>
          <w:trHeight w:val="240"/>
        </w:trPr>
        <w:tc>
          <w:tcPr>
            <w:tcW w:w="3432" w:type="dxa"/>
            <w:tcMar>
              <w:top w:w="57" w:type="dxa"/>
              <w:bottom w:w="57" w:type="dxa"/>
            </w:tcMar>
            <w:vAlign w:val="center"/>
          </w:tcPr>
          <w:p w14:paraId="7B1DCC8F" w14:textId="6711A3CB" w:rsidR="00AE5667" w:rsidRDefault="00AE5667">
            <w:pPr>
              <w:spacing w:before="0"/>
              <w:rPr>
                <w:rFonts w:cs="Arial"/>
                <w:sz w:val="22"/>
                <w:szCs w:val="22"/>
              </w:rPr>
            </w:pPr>
            <w:r>
              <w:rPr>
                <w:rFonts w:cs="Arial"/>
                <w:sz w:val="22"/>
                <w:szCs w:val="22"/>
              </w:rPr>
              <w:t>Ministerio de Agricultura, Pesca y Alimentación</w:t>
            </w:r>
          </w:p>
        </w:tc>
        <w:tc>
          <w:tcPr>
            <w:tcW w:w="2410" w:type="dxa"/>
            <w:vAlign w:val="center"/>
          </w:tcPr>
          <w:p w14:paraId="413D83C8" w14:textId="7EC4311B" w:rsidR="00AE5667" w:rsidRPr="00AE5667" w:rsidRDefault="006D1287">
            <w:pPr>
              <w:spacing w:before="0"/>
              <w:jc w:val="center"/>
              <w:rPr>
                <w:rFonts w:cs="Arial"/>
              </w:rPr>
            </w:pPr>
            <w:r>
              <w:rPr>
                <w:rFonts w:cs="Arial"/>
              </w:rPr>
              <w:t>S/O</w:t>
            </w:r>
          </w:p>
        </w:tc>
        <w:tc>
          <w:tcPr>
            <w:tcW w:w="2976" w:type="dxa"/>
            <w:vAlign w:val="center"/>
          </w:tcPr>
          <w:p w14:paraId="6FF576FB" w14:textId="77777777" w:rsidR="00AE5667" w:rsidRPr="002F4752" w:rsidRDefault="00AE5667">
            <w:pPr>
              <w:spacing w:before="0"/>
              <w:jc w:val="center"/>
              <w:rPr>
                <w:rFonts w:cs="Arial"/>
                <w:sz w:val="22"/>
                <w:szCs w:val="22"/>
              </w:rPr>
            </w:pPr>
          </w:p>
        </w:tc>
      </w:tr>
    </w:tbl>
    <w:p w14:paraId="169F2DCD" w14:textId="6206A673" w:rsidR="0029552B" w:rsidRDefault="0029552B" w:rsidP="00CF523F">
      <w:pPr>
        <w:rPr>
          <w:lang w:val="es-ES"/>
        </w:rPr>
      </w:pPr>
    </w:p>
    <w:p w14:paraId="629AEBE3" w14:textId="46A2C8B1" w:rsidR="007C166B" w:rsidRPr="00CF523F" w:rsidRDefault="007C166B" w:rsidP="007C166B">
      <w:pPr>
        <w:pStyle w:val="Ttulo4"/>
        <w:numPr>
          <w:ilvl w:val="0"/>
          <w:numId w:val="0"/>
        </w:numPr>
        <w:rPr>
          <w:b/>
          <w:bCs w:val="0"/>
          <w:lang w:val="es-ES"/>
        </w:rPr>
      </w:pPr>
      <w:r>
        <w:rPr>
          <w:b/>
          <w:bCs w:val="0"/>
          <w:lang w:val="es-ES"/>
        </w:rPr>
        <w:t>3</w:t>
      </w:r>
      <w:r w:rsidRPr="00CF523F">
        <w:rPr>
          <w:b/>
          <w:bCs w:val="0"/>
          <w:lang w:val="es-ES"/>
        </w:rPr>
        <w:t xml:space="preserve">. Trámite de audiencia </w:t>
      </w:r>
      <w:r>
        <w:rPr>
          <w:b/>
          <w:bCs w:val="0"/>
          <w:lang w:val="es-ES"/>
        </w:rPr>
        <w:t>e información públicas.</w:t>
      </w:r>
    </w:p>
    <w:p w14:paraId="245817EF" w14:textId="677A90C2" w:rsidR="007C166B" w:rsidRDefault="00C543BB" w:rsidP="00CF523F">
      <w:pPr>
        <w:rPr>
          <w:lang w:val="es-ES"/>
        </w:rPr>
      </w:pPr>
      <w:r w:rsidRPr="004C1AB2">
        <w:rPr>
          <w:lang w:val="es-ES"/>
        </w:rPr>
        <w:t>Durante el proceso de tramitación de la norma</w:t>
      </w:r>
      <w:r>
        <w:rPr>
          <w:lang w:val="es-ES"/>
        </w:rPr>
        <w:t xml:space="preserve"> se ha procedido a recabar, a través del trámite de audiencia e información públicas, de acuerdo con el </w:t>
      </w:r>
      <w:r w:rsidRPr="00337F74">
        <w:rPr>
          <w:rFonts w:cs="Arial"/>
        </w:rPr>
        <w:t>art</w:t>
      </w:r>
      <w:r w:rsidR="0017795B">
        <w:rPr>
          <w:rFonts w:cs="Arial"/>
        </w:rPr>
        <w:t>ículo</w:t>
      </w:r>
      <w:r w:rsidRPr="00337F74">
        <w:rPr>
          <w:rFonts w:cs="Arial"/>
        </w:rPr>
        <w:t xml:space="preserve"> 26.6</w:t>
      </w:r>
      <w:r>
        <w:rPr>
          <w:rFonts w:cs="Arial"/>
        </w:rPr>
        <w:t xml:space="preserve"> de la </w:t>
      </w:r>
      <w:r w:rsidRPr="00337F74">
        <w:rPr>
          <w:rFonts w:cs="Arial"/>
        </w:rPr>
        <w:t>Ley 50/1997</w:t>
      </w:r>
      <w:r>
        <w:rPr>
          <w:lang w:val="es-ES"/>
        </w:rPr>
        <w:t xml:space="preserve">, </w:t>
      </w:r>
      <w:r w:rsidRPr="00535BA7">
        <w:rPr>
          <w:lang w:val="es-ES"/>
        </w:rPr>
        <w:t>de 27 de noviembre, del Gobierno</w:t>
      </w:r>
      <w:r>
        <w:rPr>
          <w:lang w:val="es-ES"/>
        </w:rPr>
        <w:t>, las observaciones de los ciudadanos afectados y de las personas cuyos derechos e intereses legítimos pudieran verse afectados, así como</w:t>
      </w:r>
      <w:r w:rsidR="00167AED">
        <w:rPr>
          <w:lang w:val="es-ES"/>
        </w:rPr>
        <w:t xml:space="preserve"> con el objeto</w:t>
      </w:r>
      <w:r>
        <w:rPr>
          <w:lang w:val="es-ES"/>
        </w:rPr>
        <w:t xml:space="preserve"> de obtener cuantas aportaciones adicionales pudieran hacerse por otras personas y entidades.</w:t>
      </w:r>
    </w:p>
    <w:p w14:paraId="3863C136" w14:textId="38CF5444" w:rsidR="00C543BB" w:rsidRDefault="00C543BB" w:rsidP="00C543BB">
      <w:pPr>
        <w:rPr>
          <w:lang w:val="es-ES"/>
        </w:rPr>
      </w:pPr>
      <w:r>
        <w:rPr>
          <w:lang w:val="es-ES"/>
        </w:rPr>
        <w:t>El mencionado trámite de audiencia e información públicas permaneció abierto para emitir observaciones a través de la página web del Ministerio de Agricultura, Pesca y Alimentación, desde el día 13 de febrero de 2020 hasta el día 5 de marzo de 2020, ambos inclusive.</w:t>
      </w:r>
    </w:p>
    <w:p w14:paraId="0CD0F869" w14:textId="50E655A9" w:rsidR="00AA2DCC" w:rsidRDefault="00AA2DCC" w:rsidP="00AA2DCC">
      <w:pPr>
        <w:rPr>
          <w:lang w:val="es-ES"/>
        </w:rPr>
      </w:pPr>
      <w:r>
        <w:rPr>
          <w:lang w:val="es-ES"/>
        </w:rPr>
        <w:t xml:space="preserve">Las personas y entidades que han emitido observaciones como consecuencia de su participación en </w:t>
      </w:r>
      <w:r w:rsidR="00167AED">
        <w:rPr>
          <w:lang w:val="es-ES"/>
        </w:rPr>
        <w:t>dicho</w:t>
      </w:r>
      <w:r>
        <w:rPr>
          <w:lang w:val="es-ES"/>
        </w:rPr>
        <w:t xml:space="preserve"> trámite de audiencia e información públicas a través de la página web del Ministerio de Agricultura, Pesca y Alimentación se recogen en el listado siguiente:</w:t>
      </w:r>
    </w:p>
    <w:p w14:paraId="47D69435" w14:textId="77777777" w:rsidR="00AA2DCC" w:rsidRDefault="00AA2DCC" w:rsidP="00AA2DCC">
      <w:pPr>
        <w:pStyle w:val="Prrafodelista"/>
        <w:numPr>
          <w:ilvl w:val="0"/>
          <w:numId w:val="26"/>
        </w:numPr>
        <w:rPr>
          <w:lang w:val="es-ES"/>
        </w:rPr>
      </w:pPr>
      <w:r>
        <w:rPr>
          <w:lang w:val="es-ES"/>
        </w:rPr>
        <w:t>KEL Grupo Alimentario S.L.</w:t>
      </w:r>
    </w:p>
    <w:p w14:paraId="0E009AB6" w14:textId="77777777" w:rsidR="00AA2DCC" w:rsidRDefault="00AA2DCC" w:rsidP="00AA2DCC">
      <w:pPr>
        <w:pStyle w:val="Prrafodelista"/>
        <w:numPr>
          <w:ilvl w:val="0"/>
          <w:numId w:val="26"/>
        </w:numPr>
        <w:rPr>
          <w:lang w:val="es-ES"/>
        </w:rPr>
      </w:pPr>
      <w:r>
        <w:rPr>
          <w:lang w:val="es-ES"/>
        </w:rPr>
        <w:t>Asociación QvExtra!</w:t>
      </w:r>
    </w:p>
    <w:p w14:paraId="483BE958" w14:textId="77777777" w:rsidR="00AA2DCC" w:rsidRDefault="00AA2DCC" w:rsidP="00AA2DCC">
      <w:pPr>
        <w:pStyle w:val="Prrafodelista"/>
        <w:numPr>
          <w:ilvl w:val="0"/>
          <w:numId w:val="26"/>
        </w:numPr>
        <w:rPr>
          <w:lang w:val="es-ES"/>
        </w:rPr>
      </w:pPr>
      <w:r w:rsidRPr="00C163C4">
        <w:rPr>
          <w:lang w:val="es-ES"/>
        </w:rPr>
        <w:t>ES ANDALUC</w:t>
      </w:r>
      <w:r>
        <w:rPr>
          <w:lang w:val="es-ES"/>
        </w:rPr>
        <w:t>Í</w:t>
      </w:r>
      <w:r w:rsidRPr="00C163C4">
        <w:rPr>
          <w:lang w:val="es-ES"/>
        </w:rPr>
        <w:t>A (Asociación de Cooperativas) y COAG ANDALUC</w:t>
      </w:r>
      <w:r>
        <w:rPr>
          <w:lang w:val="es-ES"/>
        </w:rPr>
        <w:t>Í</w:t>
      </w:r>
      <w:r w:rsidRPr="00C163C4">
        <w:rPr>
          <w:lang w:val="es-ES"/>
        </w:rPr>
        <w:t>A</w:t>
      </w:r>
      <w:r>
        <w:rPr>
          <w:lang w:val="es-ES"/>
        </w:rPr>
        <w:t>.</w:t>
      </w:r>
    </w:p>
    <w:p w14:paraId="3D73BBC5" w14:textId="0A69D691" w:rsidR="00AA2DCC" w:rsidRDefault="00AA2DCC" w:rsidP="00AA2DCC">
      <w:pPr>
        <w:pStyle w:val="Prrafodelista"/>
        <w:numPr>
          <w:ilvl w:val="0"/>
          <w:numId w:val="26"/>
        </w:numPr>
        <w:rPr>
          <w:lang w:val="es-ES"/>
        </w:rPr>
      </w:pPr>
      <w:r w:rsidRPr="00C163C4">
        <w:rPr>
          <w:lang w:val="es-ES"/>
        </w:rPr>
        <w:t xml:space="preserve">Aceites San-Lau S.L. </w:t>
      </w:r>
      <w:r>
        <w:rPr>
          <w:lang w:val="es-ES"/>
        </w:rPr>
        <w:t>y</w:t>
      </w:r>
      <w:r w:rsidRPr="00C163C4">
        <w:rPr>
          <w:lang w:val="es-ES"/>
        </w:rPr>
        <w:t xml:space="preserve"> Aceites Triana S.L.</w:t>
      </w:r>
    </w:p>
    <w:p w14:paraId="19592AF5" w14:textId="61B156AB" w:rsidR="00AA2DCC" w:rsidRDefault="00AA2DCC" w:rsidP="00AA2DCC">
      <w:pPr>
        <w:pStyle w:val="Prrafodelista"/>
        <w:numPr>
          <w:ilvl w:val="0"/>
          <w:numId w:val="26"/>
        </w:numPr>
        <w:rPr>
          <w:lang w:val="es-ES"/>
        </w:rPr>
      </w:pPr>
      <w:r>
        <w:rPr>
          <w:lang w:val="es-ES"/>
        </w:rPr>
        <w:t>FECOAM</w:t>
      </w:r>
      <w:r w:rsidR="0017795B">
        <w:rPr>
          <w:lang w:val="es-ES"/>
        </w:rPr>
        <w:t>.</w:t>
      </w:r>
    </w:p>
    <w:p w14:paraId="59C99F67" w14:textId="6B56C66B" w:rsidR="00AA2DCC" w:rsidRDefault="00AA2DCC" w:rsidP="00AA2DCC">
      <w:pPr>
        <w:pStyle w:val="Prrafodelista"/>
        <w:numPr>
          <w:ilvl w:val="0"/>
          <w:numId w:val="26"/>
        </w:numPr>
        <w:rPr>
          <w:lang w:val="es-ES"/>
        </w:rPr>
      </w:pPr>
      <w:r>
        <w:rPr>
          <w:lang w:val="es-ES"/>
        </w:rPr>
        <w:t>Instituto de la Grasa (CSIC)</w:t>
      </w:r>
      <w:r w:rsidR="0017795B">
        <w:rPr>
          <w:lang w:val="es-ES"/>
        </w:rPr>
        <w:t>.</w:t>
      </w:r>
    </w:p>
    <w:p w14:paraId="04E08A20" w14:textId="7B06F113" w:rsidR="00AA2DCC" w:rsidRPr="00AA2DCC" w:rsidRDefault="00AA2DCC" w:rsidP="000D6E76">
      <w:pPr>
        <w:pStyle w:val="Prrafodelista"/>
        <w:numPr>
          <w:ilvl w:val="0"/>
          <w:numId w:val="26"/>
        </w:numPr>
        <w:rPr>
          <w:lang w:val="es-ES"/>
        </w:rPr>
      </w:pPr>
      <w:r>
        <w:rPr>
          <w:lang w:val="es-ES"/>
        </w:rPr>
        <w:t>Laboratorio Marcé</w:t>
      </w:r>
      <w:r w:rsidR="0017795B">
        <w:rPr>
          <w:lang w:val="es-ES"/>
        </w:rPr>
        <w:t>.</w:t>
      </w:r>
    </w:p>
    <w:p w14:paraId="03C1AF03" w14:textId="77777777" w:rsidR="00C543BB" w:rsidRPr="0029552B" w:rsidRDefault="00C543BB" w:rsidP="00CF523F">
      <w:pPr>
        <w:rPr>
          <w:lang w:val="es-ES"/>
        </w:rPr>
      </w:pPr>
    </w:p>
    <w:p w14:paraId="0576BD26" w14:textId="5DE3A89F" w:rsidR="00676019" w:rsidRPr="00CF523F" w:rsidRDefault="00AA2DCC" w:rsidP="00493B24">
      <w:pPr>
        <w:pStyle w:val="Ttulo4"/>
        <w:numPr>
          <w:ilvl w:val="0"/>
          <w:numId w:val="0"/>
        </w:numPr>
        <w:rPr>
          <w:b/>
          <w:bCs w:val="0"/>
          <w:lang w:val="es-ES"/>
        </w:rPr>
      </w:pPr>
      <w:r w:rsidRPr="00522668">
        <w:rPr>
          <w:b/>
          <w:bCs w:val="0"/>
          <w:u w:val="none"/>
          <w:lang w:val="es-ES"/>
        </w:rPr>
        <w:t>4</w:t>
      </w:r>
      <w:r w:rsidR="00676019" w:rsidRPr="00522668">
        <w:rPr>
          <w:b/>
          <w:bCs w:val="0"/>
          <w:u w:val="none"/>
          <w:lang w:val="es-ES"/>
        </w:rPr>
        <w:t xml:space="preserve">. </w:t>
      </w:r>
      <w:r w:rsidR="00676019" w:rsidRPr="00CF523F">
        <w:rPr>
          <w:b/>
          <w:bCs w:val="0"/>
          <w:lang w:val="es-ES"/>
        </w:rPr>
        <w:t>Trámite de audiencia a las organizaciones representativas de los sectores afectados</w:t>
      </w:r>
    </w:p>
    <w:p w14:paraId="45132706" w14:textId="7AF508B3" w:rsidR="00B83362" w:rsidRDefault="00477E0F" w:rsidP="00B83362">
      <w:pPr>
        <w:rPr>
          <w:lang w:val="es-ES"/>
        </w:rPr>
      </w:pPr>
      <w:r w:rsidRPr="004C1AB2">
        <w:rPr>
          <w:lang w:val="es-ES"/>
        </w:rPr>
        <w:t>Durante el proceso de tramitación de la norma</w:t>
      </w:r>
      <w:r w:rsidR="0083239B">
        <w:rPr>
          <w:lang w:val="es-ES"/>
        </w:rPr>
        <w:t xml:space="preserve"> se ha procedido a recabar</w:t>
      </w:r>
      <w:r w:rsidR="00167AED">
        <w:rPr>
          <w:lang w:val="es-ES"/>
        </w:rPr>
        <w:t xml:space="preserve"> asimismo</w:t>
      </w:r>
      <w:r w:rsidR="0083239B">
        <w:rPr>
          <w:lang w:val="es-ES"/>
        </w:rPr>
        <w:t xml:space="preserve">, a través del trámite de audiencia e información públicas, de acuerdo con el </w:t>
      </w:r>
      <w:r w:rsidR="0083239B" w:rsidRPr="00337F74">
        <w:rPr>
          <w:rFonts w:cs="Arial"/>
        </w:rPr>
        <w:t>art</w:t>
      </w:r>
      <w:r w:rsidR="0017795B">
        <w:rPr>
          <w:rFonts w:cs="Arial"/>
        </w:rPr>
        <w:t>ículo</w:t>
      </w:r>
      <w:r w:rsidR="0083239B" w:rsidRPr="00337F74">
        <w:rPr>
          <w:rFonts w:cs="Arial"/>
        </w:rPr>
        <w:t xml:space="preserve"> 26.6</w:t>
      </w:r>
      <w:r w:rsidR="0083239B">
        <w:rPr>
          <w:rFonts w:cs="Arial"/>
        </w:rPr>
        <w:t xml:space="preserve"> de la </w:t>
      </w:r>
      <w:r w:rsidR="0083239B" w:rsidRPr="00337F74">
        <w:rPr>
          <w:rFonts w:cs="Arial"/>
        </w:rPr>
        <w:t>Ley 50/1997</w:t>
      </w:r>
      <w:r w:rsidR="0083239B">
        <w:rPr>
          <w:lang w:val="es-ES"/>
        </w:rPr>
        <w:t xml:space="preserve">, </w:t>
      </w:r>
      <w:r w:rsidR="0083239B" w:rsidRPr="00535BA7">
        <w:rPr>
          <w:lang w:val="es-ES"/>
        </w:rPr>
        <w:t>de 27 de noviembre, del Gobierno</w:t>
      </w:r>
      <w:r w:rsidR="0083239B">
        <w:rPr>
          <w:lang w:val="es-ES"/>
        </w:rPr>
        <w:t>, las observaciones de las organizaciones representativas de</w:t>
      </w:r>
      <w:r w:rsidR="00C163C4">
        <w:rPr>
          <w:lang w:val="es-ES"/>
        </w:rPr>
        <w:t>l</w:t>
      </w:r>
      <w:r w:rsidR="0083239B">
        <w:rPr>
          <w:lang w:val="es-ES"/>
        </w:rPr>
        <w:t xml:space="preserve"> sector afectado.</w:t>
      </w:r>
    </w:p>
    <w:p w14:paraId="7D9BD816" w14:textId="7CEAE7D4" w:rsidR="00AA2DCC" w:rsidRDefault="00AA2DCC" w:rsidP="00B83362">
      <w:pPr>
        <w:rPr>
          <w:lang w:val="es-ES"/>
        </w:rPr>
      </w:pPr>
      <w:r>
        <w:rPr>
          <w:lang w:val="es-ES"/>
        </w:rPr>
        <w:t xml:space="preserve">Así, se ha procedido a </w:t>
      </w:r>
      <w:r w:rsidRPr="00AA2DCC">
        <w:rPr>
          <w:lang w:val="es-ES"/>
        </w:rPr>
        <w:t>recabar directamente la opinión de las organizaciones o asociaciones reconocidas por ley que agrup</w:t>
      </w:r>
      <w:r>
        <w:rPr>
          <w:lang w:val="es-ES"/>
        </w:rPr>
        <w:t>a</w:t>
      </w:r>
      <w:r w:rsidRPr="00AA2DCC">
        <w:rPr>
          <w:lang w:val="es-ES"/>
        </w:rPr>
        <w:t>n o represent</w:t>
      </w:r>
      <w:r>
        <w:rPr>
          <w:lang w:val="es-ES"/>
        </w:rPr>
        <w:t>a</w:t>
      </w:r>
      <w:r w:rsidRPr="00AA2DCC">
        <w:rPr>
          <w:lang w:val="es-ES"/>
        </w:rPr>
        <w:t>n a las personas cuyos derechos o intereses legítimos se v</w:t>
      </w:r>
      <w:r>
        <w:rPr>
          <w:lang w:val="es-ES"/>
        </w:rPr>
        <w:t>e</w:t>
      </w:r>
      <w:r w:rsidRPr="00AA2DCC">
        <w:rPr>
          <w:lang w:val="es-ES"/>
        </w:rPr>
        <w:t>n afectados por la norma y cuyos fines guard</w:t>
      </w:r>
      <w:r>
        <w:rPr>
          <w:lang w:val="es-ES"/>
        </w:rPr>
        <w:t>a</w:t>
      </w:r>
      <w:r w:rsidRPr="00AA2DCC">
        <w:rPr>
          <w:lang w:val="es-ES"/>
        </w:rPr>
        <w:t>n relación directa con</w:t>
      </w:r>
      <w:r>
        <w:rPr>
          <w:lang w:val="es-ES"/>
        </w:rPr>
        <w:t xml:space="preserve"> el</w:t>
      </w:r>
      <w:r w:rsidRPr="00AA2DCC">
        <w:rPr>
          <w:lang w:val="es-ES"/>
        </w:rPr>
        <w:t xml:space="preserve"> objeto</w:t>
      </w:r>
      <w:r>
        <w:rPr>
          <w:lang w:val="es-ES"/>
        </w:rPr>
        <w:t xml:space="preserve"> de ésta.</w:t>
      </w:r>
    </w:p>
    <w:p w14:paraId="07FF7146" w14:textId="0EA24818" w:rsidR="00C163C4" w:rsidRDefault="00C163C4" w:rsidP="00B83362">
      <w:pPr>
        <w:rPr>
          <w:lang w:val="es-ES"/>
        </w:rPr>
      </w:pPr>
      <w:r>
        <w:rPr>
          <w:lang w:val="es-ES"/>
        </w:rPr>
        <w:t xml:space="preserve">Las organizaciones sectoriales que han emitido observaciones </w:t>
      </w:r>
      <w:r w:rsidR="00A72D45">
        <w:rPr>
          <w:lang w:val="es-ES"/>
        </w:rPr>
        <w:t xml:space="preserve">como respuesta a esta consulta </w:t>
      </w:r>
      <w:r>
        <w:rPr>
          <w:lang w:val="es-ES"/>
        </w:rPr>
        <w:t>se recogen en el listado siguiente:</w:t>
      </w:r>
    </w:p>
    <w:p w14:paraId="52DD52AD" w14:textId="3EF2B220" w:rsidR="00EE2FE4" w:rsidRDefault="00EE2FE4" w:rsidP="00C163C4">
      <w:pPr>
        <w:pStyle w:val="Prrafodelista"/>
        <w:numPr>
          <w:ilvl w:val="0"/>
          <w:numId w:val="26"/>
        </w:numPr>
        <w:rPr>
          <w:lang w:val="es-ES"/>
        </w:rPr>
      </w:pPr>
      <w:r>
        <w:rPr>
          <w:lang w:val="es-ES"/>
        </w:rPr>
        <w:t>COAG Servicios Centrales.</w:t>
      </w:r>
    </w:p>
    <w:p w14:paraId="7FA84BCA" w14:textId="77D5988A" w:rsidR="00EE2FE4" w:rsidRDefault="00EE2FE4" w:rsidP="00C163C4">
      <w:pPr>
        <w:pStyle w:val="Prrafodelista"/>
        <w:numPr>
          <w:ilvl w:val="0"/>
          <w:numId w:val="26"/>
        </w:numPr>
        <w:rPr>
          <w:lang w:val="es-ES"/>
        </w:rPr>
      </w:pPr>
      <w:r w:rsidRPr="00EE2FE4">
        <w:rPr>
          <w:lang w:val="es-ES"/>
        </w:rPr>
        <w:t>Cooperativas Agroalimentarias de España</w:t>
      </w:r>
      <w:r w:rsidR="00AB52F8">
        <w:rPr>
          <w:lang w:val="es-ES"/>
        </w:rPr>
        <w:t>.</w:t>
      </w:r>
    </w:p>
    <w:p w14:paraId="74EE5F94" w14:textId="3EA9F89B" w:rsidR="00AB52F8" w:rsidRPr="004C46D6" w:rsidRDefault="00AB52F8" w:rsidP="004C46D6">
      <w:pPr>
        <w:pStyle w:val="Prrafodelista"/>
        <w:numPr>
          <w:ilvl w:val="0"/>
          <w:numId w:val="26"/>
        </w:numPr>
        <w:rPr>
          <w:lang w:val="es-ES"/>
        </w:rPr>
      </w:pPr>
      <w:r w:rsidRPr="00AB52F8">
        <w:rPr>
          <w:lang w:val="es-ES"/>
        </w:rPr>
        <w:t>ANEO-INFAOLIVA-ANIERAC-ASOLIVA</w:t>
      </w:r>
      <w:r>
        <w:rPr>
          <w:lang w:val="es-ES"/>
        </w:rPr>
        <w:t>.</w:t>
      </w:r>
    </w:p>
    <w:p w14:paraId="7346318F" w14:textId="6E0808B5" w:rsidR="00F71415" w:rsidRDefault="001C60C7" w:rsidP="00C163C4">
      <w:pPr>
        <w:pStyle w:val="Prrafodelista"/>
        <w:numPr>
          <w:ilvl w:val="0"/>
          <w:numId w:val="26"/>
        </w:numPr>
        <w:rPr>
          <w:lang w:val="es-ES"/>
        </w:rPr>
      </w:pPr>
      <w:r>
        <w:rPr>
          <w:lang w:val="es-ES"/>
        </w:rPr>
        <w:t>Almazaras Federadas de España.</w:t>
      </w:r>
    </w:p>
    <w:p w14:paraId="4542EC75" w14:textId="092E5429" w:rsidR="001C60C7" w:rsidRDefault="001C60C7" w:rsidP="00C163C4">
      <w:pPr>
        <w:pStyle w:val="Prrafodelista"/>
        <w:numPr>
          <w:ilvl w:val="0"/>
          <w:numId w:val="26"/>
        </w:numPr>
        <w:rPr>
          <w:lang w:val="es-ES"/>
        </w:rPr>
      </w:pPr>
      <w:r>
        <w:rPr>
          <w:lang w:val="es-ES"/>
        </w:rPr>
        <w:t>UPA.</w:t>
      </w:r>
    </w:p>
    <w:p w14:paraId="75E8B8B8" w14:textId="58F3F324" w:rsidR="00C163C4" w:rsidRDefault="001C60C7">
      <w:pPr>
        <w:pStyle w:val="Prrafodelista"/>
        <w:numPr>
          <w:ilvl w:val="0"/>
          <w:numId w:val="26"/>
        </w:numPr>
        <w:rPr>
          <w:lang w:val="es-ES"/>
        </w:rPr>
      </w:pPr>
      <w:r w:rsidRPr="001C60C7">
        <w:rPr>
          <w:lang w:val="es-ES"/>
        </w:rPr>
        <w:t xml:space="preserve">Sectorial Nacional </w:t>
      </w:r>
      <w:r>
        <w:rPr>
          <w:lang w:val="es-ES"/>
        </w:rPr>
        <w:t>d</w:t>
      </w:r>
      <w:r w:rsidRPr="001C60C7">
        <w:rPr>
          <w:lang w:val="es-ES"/>
        </w:rPr>
        <w:t xml:space="preserve">el Aceite </w:t>
      </w:r>
      <w:r>
        <w:rPr>
          <w:lang w:val="es-ES"/>
        </w:rPr>
        <w:t>d</w:t>
      </w:r>
      <w:r w:rsidRPr="001C60C7">
        <w:rPr>
          <w:lang w:val="es-ES"/>
        </w:rPr>
        <w:t xml:space="preserve">e Oliva Virgen </w:t>
      </w:r>
      <w:r>
        <w:rPr>
          <w:lang w:val="es-ES"/>
        </w:rPr>
        <w:t>c</w:t>
      </w:r>
      <w:r w:rsidRPr="001C60C7">
        <w:rPr>
          <w:lang w:val="es-ES"/>
        </w:rPr>
        <w:t xml:space="preserve">on Denominación </w:t>
      </w:r>
      <w:r>
        <w:rPr>
          <w:lang w:val="es-ES"/>
        </w:rPr>
        <w:t>d</w:t>
      </w:r>
      <w:r w:rsidRPr="001C60C7">
        <w:rPr>
          <w:lang w:val="es-ES"/>
        </w:rPr>
        <w:t>e Origen</w:t>
      </w:r>
      <w:r>
        <w:rPr>
          <w:lang w:val="es-ES"/>
        </w:rPr>
        <w:t>.</w:t>
      </w:r>
    </w:p>
    <w:p w14:paraId="3742FEC5" w14:textId="01C8D54D" w:rsidR="00676019" w:rsidRPr="00CF523F" w:rsidRDefault="00F71147" w:rsidP="00676019">
      <w:pPr>
        <w:pStyle w:val="Ttulo4"/>
        <w:numPr>
          <w:ilvl w:val="0"/>
          <w:numId w:val="0"/>
        </w:numPr>
        <w:spacing w:before="480"/>
        <w:ind w:left="864" w:hanging="864"/>
        <w:rPr>
          <w:b/>
          <w:bCs w:val="0"/>
          <w:lang w:val="es-ES"/>
        </w:rPr>
      </w:pPr>
      <w:r w:rsidRPr="00522668">
        <w:rPr>
          <w:b/>
          <w:bCs w:val="0"/>
          <w:u w:val="none"/>
          <w:lang w:val="es-ES"/>
        </w:rPr>
        <w:t>5</w:t>
      </w:r>
      <w:r w:rsidR="00676019" w:rsidRPr="00522668">
        <w:rPr>
          <w:b/>
          <w:bCs w:val="0"/>
          <w:u w:val="none"/>
          <w:lang w:val="es-ES"/>
        </w:rPr>
        <w:t xml:space="preserve">. </w:t>
      </w:r>
      <w:r w:rsidR="00676019" w:rsidRPr="00CF523F">
        <w:rPr>
          <w:b/>
          <w:bCs w:val="0"/>
          <w:lang w:val="es-ES"/>
        </w:rPr>
        <w:t xml:space="preserve">Trámite de información a las </w:t>
      </w:r>
      <w:r w:rsidR="00873C4F">
        <w:rPr>
          <w:b/>
          <w:bCs w:val="0"/>
          <w:lang w:val="es-ES"/>
        </w:rPr>
        <w:t>C</w:t>
      </w:r>
      <w:r w:rsidR="00676019" w:rsidRPr="00CF523F">
        <w:rPr>
          <w:b/>
          <w:bCs w:val="0"/>
          <w:lang w:val="es-ES"/>
        </w:rPr>
        <w:t xml:space="preserve">omunidades </w:t>
      </w:r>
      <w:r w:rsidR="00873C4F">
        <w:rPr>
          <w:b/>
          <w:bCs w:val="0"/>
          <w:lang w:val="es-ES"/>
        </w:rPr>
        <w:t>A</w:t>
      </w:r>
      <w:r w:rsidR="00676019" w:rsidRPr="00CF523F">
        <w:rPr>
          <w:b/>
          <w:bCs w:val="0"/>
          <w:lang w:val="es-ES"/>
        </w:rPr>
        <w:t>utónomas</w:t>
      </w:r>
    </w:p>
    <w:p w14:paraId="61454EA9" w14:textId="3518CA38" w:rsidR="00873C4F" w:rsidRDefault="00873C4F" w:rsidP="00873C4F">
      <w:pPr>
        <w:rPr>
          <w:lang w:val="es-ES"/>
        </w:rPr>
      </w:pPr>
      <w:r w:rsidRPr="004C1AB2">
        <w:rPr>
          <w:lang w:val="es-ES"/>
        </w:rPr>
        <w:t>Durante el proceso de tramitación de la norma</w:t>
      </w:r>
      <w:r>
        <w:rPr>
          <w:lang w:val="es-ES"/>
        </w:rPr>
        <w:t xml:space="preserve"> se ha procedido a</w:t>
      </w:r>
      <w:r w:rsidR="00167AED">
        <w:rPr>
          <w:lang w:val="es-ES"/>
        </w:rPr>
        <w:t>dicionalmente</w:t>
      </w:r>
      <w:r>
        <w:rPr>
          <w:lang w:val="es-ES"/>
        </w:rPr>
        <w:t xml:space="preserve"> a consultar a las Comunidades Autónomas sobre el texto del proyecto de </w:t>
      </w:r>
      <w:r w:rsidR="00F244B4">
        <w:rPr>
          <w:lang w:val="es-ES"/>
        </w:rPr>
        <w:t>r</w:t>
      </w:r>
      <w:r>
        <w:rPr>
          <w:lang w:val="es-ES"/>
        </w:rPr>
        <w:t xml:space="preserve">eal </w:t>
      </w:r>
      <w:r w:rsidR="00F244B4">
        <w:rPr>
          <w:lang w:val="es-ES"/>
        </w:rPr>
        <w:t>d</w:t>
      </w:r>
      <w:r>
        <w:rPr>
          <w:lang w:val="es-ES"/>
        </w:rPr>
        <w:t>ecreto</w:t>
      </w:r>
      <w:r w:rsidR="006F5A81">
        <w:rPr>
          <w:lang w:val="es-ES"/>
        </w:rPr>
        <w:t xml:space="preserve">, </w:t>
      </w:r>
      <w:r w:rsidR="00691B32">
        <w:rPr>
          <w:lang w:val="es-ES"/>
        </w:rPr>
        <w:t xml:space="preserve">de acuerdo con el </w:t>
      </w:r>
      <w:r w:rsidR="00691B32" w:rsidRPr="00691B32">
        <w:rPr>
          <w:lang w:val="es-ES"/>
        </w:rPr>
        <w:t>art</w:t>
      </w:r>
      <w:r w:rsidR="00691B32">
        <w:rPr>
          <w:lang w:val="es-ES"/>
        </w:rPr>
        <w:t>ículo</w:t>
      </w:r>
      <w:r w:rsidR="00691B32" w:rsidRPr="00691B32">
        <w:rPr>
          <w:lang w:val="es-ES"/>
        </w:rPr>
        <w:t xml:space="preserve"> 3.1 k de la Ley 40/2015</w:t>
      </w:r>
      <w:r w:rsidR="0017795B">
        <w:rPr>
          <w:lang w:val="es-ES"/>
        </w:rPr>
        <w:t>,</w:t>
      </w:r>
      <w:r w:rsidR="00691B32" w:rsidRPr="00691B32">
        <w:rPr>
          <w:lang w:val="es-ES"/>
        </w:rPr>
        <w:t xml:space="preserve"> de 1 de octubre, de Régimen Jurídico del Sector Público y</w:t>
      </w:r>
      <w:r w:rsidR="00691B32">
        <w:rPr>
          <w:lang w:val="es-ES"/>
        </w:rPr>
        <w:t xml:space="preserve"> con el</w:t>
      </w:r>
      <w:r w:rsidR="00691B32" w:rsidRPr="00691B32">
        <w:rPr>
          <w:lang w:val="es-ES"/>
        </w:rPr>
        <w:t xml:space="preserve"> artículo 26 de la Ley 50/1997</w:t>
      </w:r>
      <w:r w:rsidR="00691B32">
        <w:rPr>
          <w:lang w:val="es-ES"/>
        </w:rPr>
        <w:t xml:space="preserve">, </w:t>
      </w:r>
      <w:r w:rsidR="00691B32" w:rsidRPr="00535BA7">
        <w:rPr>
          <w:lang w:val="es-ES"/>
        </w:rPr>
        <w:t xml:space="preserve">de 27 de noviembre, </w:t>
      </w:r>
      <w:r w:rsidR="00691B32" w:rsidRPr="00691B32">
        <w:rPr>
          <w:lang w:val="es-ES"/>
        </w:rPr>
        <w:t>del Gobierno</w:t>
      </w:r>
      <w:r w:rsidR="00691B32">
        <w:rPr>
          <w:lang w:val="es-ES"/>
        </w:rPr>
        <w:t>.</w:t>
      </w:r>
    </w:p>
    <w:p w14:paraId="7E2DEE15" w14:textId="29C18425" w:rsidR="00691B32" w:rsidRDefault="00691B32" w:rsidP="00691B32">
      <w:pPr>
        <w:pStyle w:val="Prrafodelista"/>
        <w:ind w:left="0"/>
        <w:rPr>
          <w:lang w:val="es-ES"/>
        </w:rPr>
      </w:pPr>
      <w:r>
        <w:rPr>
          <w:lang w:val="es-ES"/>
        </w:rPr>
        <w:t xml:space="preserve">En la </w:t>
      </w:r>
      <w:r w:rsidR="00916B80" w:rsidRPr="00BD3609">
        <w:rPr>
          <w:lang w:val="es-ES"/>
        </w:rPr>
        <w:fldChar w:fldCharType="begin"/>
      </w:r>
      <w:r w:rsidR="00916B80" w:rsidRPr="00916B80">
        <w:rPr>
          <w:lang w:val="es-ES"/>
        </w:rPr>
        <w:instrText xml:space="preserve"> REF _Ref39575335 \h </w:instrText>
      </w:r>
      <w:r w:rsidR="00916B80" w:rsidRPr="00CF523F">
        <w:rPr>
          <w:lang w:val="es-ES"/>
        </w:rPr>
        <w:instrText xml:space="preserve"> \* MERGEFORMAT </w:instrText>
      </w:r>
      <w:r w:rsidR="00916B80" w:rsidRPr="00BD3609">
        <w:rPr>
          <w:lang w:val="es-ES"/>
        </w:rPr>
      </w:r>
      <w:r w:rsidR="00916B80" w:rsidRPr="00BD3609">
        <w:rPr>
          <w:lang w:val="es-ES"/>
        </w:rPr>
        <w:fldChar w:fldCharType="separate"/>
      </w:r>
      <w:r w:rsidR="00916B80" w:rsidRPr="00BD3609">
        <w:t xml:space="preserve">Tabla </w:t>
      </w:r>
      <w:r w:rsidR="00916B80" w:rsidRPr="00BD3609">
        <w:rPr>
          <w:noProof/>
        </w:rPr>
        <w:t>2</w:t>
      </w:r>
      <w:r w:rsidR="00916B80" w:rsidRPr="00BD3609">
        <w:rPr>
          <w:lang w:val="es-ES"/>
        </w:rPr>
        <w:fldChar w:fldCharType="end"/>
      </w:r>
      <w:r>
        <w:rPr>
          <w:lang w:val="es-ES"/>
        </w:rPr>
        <w:t xml:space="preserve"> se resumen las observaciones recibidas de las Comunidades Autónomas que han emitido respuesta.</w:t>
      </w:r>
    </w:p>
    <w:p w14:paraId="6344B012" w14:textId="5D23922E" w:rsidR="00691B32" w:rsidRDefault="00691B32" w:rsidP="00691B32">
      <w:pPr>
        <w:pStyle w:val="Prrafodelista"/>
        <w:ind w:left="0"/>
        <w:rPr>
          <w:lang w:val="es-ES"/>
        </w:rPr>
      </w:pPr>
    </w:p>
    <w:p w14:paraId="38ABE147" w14:textId="0CAC63CF" w:rsidR="00691B32" w:rsidRPr="00CF523F" w:rsidRDefault="007E3730" w:rsidP="00CF523F">
      <w:pPr>
        <w:pStyle w:val="Descripcin"/>
        <w:spacing w:after="0"/>
        <w:jc w:val="center"/>
        <w:rPr>
          <w:b/>
          <w:bCs/>
          <w:lang w:val="es-ES"/>
        </w:rPr>
      </w:pPr>
      <w:bookmarkStart w:id="2" w:name="_Ref39575335"/>
      <w:r w:rsidRPr="00CF523F">
        <w:rPr>
          <w:b/>
          <w:bCs/>
          <w:i w:val="0"/>
          <w:iCs w:val="0"/>
          <w:color w:val="auto"/>
        </w:rPr>
        <w:t xml:space="preserve">Tabla </w:t>
      </w:r>
      <w:r w:rsidRPr="00CF523F">
        <w:rPr>
          <w:b/>
          <w:bCs/>
          <w:i w:val="0"/>
          <w:iCs w:val="0"/>
          <w:color w:val="auto"/>
        </w:rPr>
        <w:fldChar w:fldCharType="begin"/>
      </w:r>
      <w:r w:rsidRPr="00CF523F">
        <w:rPr>
          <w:b/>
          <w:bCs/>
          <w:i w:val="0"/>
          <w:iCs w:val="0"/>
          <w:color w:val="auto"/>
        </w:rPr>
        <w:instrText xml:space="preserve"> SEQ Tabla \* ARABIC </w:instrText>
      </w:r>
      <w:r w:rsidRPr="00CF523F">
        <w:rPr>
          <w:b/>
          <w:bCs/>
          <w:i w:val="0"/>
          <w:iCs w:val="0"/>
          <w:color w:val="auto"/>
        </w:rPr>
        <w:fldChar w:fldCharType="separate"/>
      </w:r>
      <w:r w:rsidR="00EE5284">
        <w:rPr>
          <w:b/>
          <w:bCs/>
          <w:i w:val="0"/>
          <w:iCs w:val="0"/>
          <w:noProof/>
          <w:color w:val="auto"/>
        </w:rPr>
        <w:t>2</w:t>
      </w:r>
      <w:r w:rsidRPr="00CF523F">
        <w:rPr>
          <w:b/>
          <w:bCs/>
          <w:i w:val="0"/>
          <w:iCs w:val="0"/>
          <w:color w:val="auto"/>
        </w:rPr>
        <w:fldChar w:fldCharType="end"/>
      </w:r>
      <w:bookmarkEnd w:id="2"/>
      <w:r w:rsidRPr="00CF523F">
        <w:rPr>
          <w:b/>
          <w:bCs/>
          <w:i w:val="0"/>
          <w:iCs w:val="0"/>
          <w:color w:val="auto"/>
        </w:rPr>
        <w:t>: Cuadro recopilatorio de observaciones recibidas de las Comunidades Autónomas</w:t>
      </w:r>
      <w:r w:rsidR="006F4209">
        <w:rPr>
          <w:b/>
          <w:bCs/>
          <w:i w:val="0"/>
          <w:iCs w:val="0"/>
          <w:color w:val="auto"/>
        </w:rPr>
        <w:t>.</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32"/>
        <w:gridCol w:w="2410"/>
        <w:gridCol w:w="2976"/>
      </w:tblGrid>
      <w:tr w:rsidR="00691B32" w:rsidRPr="002045C1" w14:paraId="7D8CE0FC" w14:textId="77777777" w:rsidTr="00CF523F">
        <w:tc>
          <w:tcPr>
            <w:tcW w:w="3432" w:type="dxa"/>
            <w:vAlign w:val="center"/>
          </w:tcPr>
          <w:p w14:paraId="4ECCB144" w14:textId="042B9D75" w:rsidR="00691B32" w:rsidRPr="002045C1" w:rsidRDefault="007E3730" w:rsidP="000951E1">
            <w:pPr>
              <w:spacing w:before="0"/>
              <w:jc w:val="center"/>
              <w:rPr>
                <w:rFonts w:cs="Arial"/>
                <w:b/>
                <w:sz w:val="22"/>
                <w:szCs w:val="22"/>
              </w:rPr>
            </w:pPr>
            <w:r>
              <w:rPr>
                <w:rFonts w:cs="Arial"/>
                <w:b/>
                <w:sz w:val="22"/>
                <w:szCs w:val="22"/>
              </w:rPr>
              <w:t>Comunidad Autónoma</w:t>
            </w:r>
          </w:p>
        </w:tc>
        <w:tc>
          <w:tcPr>
            <w:tcW w:w="2410" w:type="dxa"/>
            <w:vAlign w:val="center"/>
          </w:tcPr>
          <w:p w14:paraId="1DB96495" w14:textId="77777777" w:rsidR="00691B32" w:rsidRPr="002045C1" w:rsidRDefault="00691B32" w:rsidP="000951E1">
            <w:pPr>
              <w:spacing w:before="0"/>
              <w:jc w:val="center"/>
              <w:rPr>
                <w:rFonts w:cs="Arial"/>
                <w:b/>
                <w:sz w:val="22"/>
                <w:szCs w:val="22"/>
              </w:rPr>
            </w:pPr>
            <w:r w:rsidRPr="002045C1">
              <w:rPr>
                <w:rFonts w:cs="Arial"/>
                <w:b/>
                <w:sz w:val="22"/>
                <w:szCs w:val="22"/>
              </w:rPr>
              <w:t>Sin observaciones</w:t>
            </w:r>
            <w:r>
              <w:rPr>
                <w:rFonts w:cs="Arial"/>
                <w:b/>
                <w:sz w:val="22"/>
                <w:szCs w:val="22"/>
              </w:rPr>
              <w:t xml:space="preserve"> (S/O)</w:t>
            </w:r>
          </w:p>
        </w:tc>
        <w:tc>
          <w:tcPr>
            <w:tcW w:w="2976" w:type="dxa"/>
            <w:vAlign w:val="center"/>
          </w:tcPr>
          <w:p w14:paraId="6C546AAA" w14:textId="77777777" w:rsidR="00691B32" w:rsidRPr="002045C1" w:rsidRDefault="00691B32" w:rsidP="000951E1">
            <w:pPr>
              <w:spacing w:before="0"/>
              <w:jc w:val="center"/>
              <w:rPr>
                <w:rFonts w:cs="Arial"/>
                <w:b/>
                <w:sz w:val="22"/>
                <w:szCs w:val="22"/>
              </w:rPr>
            </w:pPr>
            <w:r w:rsidRPr="002045C1">
              <w:rPr>
                <w:rFonts w:cs="Arial"/>
                <w:b/>
                <w:sz w:val="22"/>
                <w:szCs w:val="22"/>
              </w:rPr>
              <w:t>Han emitido observaciones</w:t>
            </w:r>
          </w:p>
        </w:tc>
      </w:tr>
      <w:tr w:rsidR="00691B32" w:rsidRPr="00916B80" w14:paraId="02F1D9CB" w14:textId="77777777" w:rsidTr="00CF523F">
        <w:tc>
          <w:tcPr>
            <w:tcW w:w="3432" w:type="dxa"/>
            <w:tcMar>
              <w:top w:w="57" w:type="dxa"/>
              <w:bottom w:w="57" w:type="dxa"/>
            </w:tcMar>
            <w:vAlign w:val="center"/>
          </w:tcPr>
          <w:p w14:paraId="20A00CAC" w14:textId="150BDCBF" w:rsidR="00691B32" w:rsidRPr="00CF523F" w:rsidRDefault="00916B80" w:rsidP="000951E1">
            <w:pPr>
              <w:spacing w:before="0"/>
              <w:rPr>
                <w:rFonts w:cs="Arial"/>
                <w:bCs/>
                <w:sz w:val="22"/>
                <w:szCs w:val="22"/>
              </w:rPr>
            </w:pPr>
            <w:r w:rsidRPr="00CF523F">
              <w:rPr>
                <w:rFonts w:cs="Arial"/>
                <w:bCs/>
                <w:sz w:val="22"/>
                <w:szCs w:val="22"/>
              </w:rPr>
              <w:t>Comunidad Autónoma de Madrid</w:t>
            </w:r>
          </w:p>
        </w:tc>
        <w:tc>
          <w:tcPr>
            <w:tcW w:w="2410" w:type="dxa"/>
            <w:vAlign w:val="center"/>
          </w:tcPr>
          <w:p w14:paraId="3712F654" w14:textId="77777777" w:rsidR="00691B32" w:rsidRPr="00CF523F" w:rsidRDefault="00691B32" w:rsidP="000951E1">
            <w:pPr>
              <w:spacing w:before="0"/>
              <w:jc w:val="center"/>
              <w:rPr>
                <w:rFonts w:cs="Arial"/>
                <w:bCs/>
                <w:strike/>
                <w:sz w:val="22"/>
                <w:szCs w:val="22"/>
                <w:highlight w:val="cyan"/>
              </w:rPr>
            </w:pPr>
          </w:p>
        </w:tc>
        <w:tc>
          <w:tcPr>
            <w:tcW w:w="2976" w:type="dxa"/>
            <w:vAlign w:val="center"/>
          </w:tcPr>
          <w:p w14:paraId="6D80D82B" w14:textId="77777777" w:rsidR="00691B32" w:rsidRPr="00916B80" w:rsidRDefault="00691B32" w:rsidP="000951E1">
            <w:pPr>
              <w:spacing w:before="0"/>
              <w:jc w:val="center"/>
              <w:rPr>
                <w:rFonts w:cs="Arial"/>
                <w:bCs/>
                <w:sz w:val="22"/>
                <w:szCs w:val="22"/>
                <w:highlight w:val="cyan"/>
              </w:rPr>
            </w:pPr>
            <w:r w:rsidRPr="00916B80">
              <w:rPr>
                <w:rFonts w:cs="Arial"/>
                <w:bCs/>
                <w:sz w:val="22"/>
                <w:szCs w:val="22"/>
              </w:rPr>
              <w:t>X</w:t>
            </w:r>
          </w:p>
        </w:tc>
      </w:tr>
      <w:tr w:rsidR="00691B32" w:rsidRPr="002045C1" w14:paraId="4512D87F" w14:textId="77777777" w:rsidTr="00CF523F">
        <w:trPr>
          <w:trHeight w:val="240"/>
        </w:trPr>
        <w:tc>
          <w:tcPr>
            <w:tcW w:w="3432" w:type="dxa"/>
            <w:tcMar>
              <w:top w:w="57" w:type="dxa"/>
              <w:bottom w:w="57" w:type="dxa"/>
            </w:tcMar>
            <w:vAlign w:val="center"/>
          </w:tcPr>
          <w:p w14:paraId="133CF114" w14:textId="5A56581B" w:rsidR="00691B32" w:rsidRPr="002F4752" w:rsidRDefault="00916B80" w:rsidP="000951E1">
            <w:pPr>
              <w:spacing w:before="0"/>
              <w:rPr>
                <w:rFonts w:cs="Arial"/>
                <w:sz w:val="22"/>
                <w:szCs w:val="22"/>
              </w:rPr>
            </w:pPr>
            <w:r>
              <w:rPr>
                <w:rFonts w:cs="Arial"/>
                <w:sz w:val="22"/>
                <w:szCs w:val="22"/>
              </w:rPr>
              <w:t>Comunidad Autónoma de Cataluña</w:t>
            </w:r>
          </w:p>
        </w:tc>
        <w:tc>
          <w:tcPr>
            <w:tcW w:w="2410" w:type="dxa"/>
            <w:vAlign w:val="center"/>
          </w:tcPr>
          <w:p w14:paraId="23F945D1" w14:textId="415BD8E2" w:rsidR="00691B32" w:rsidRPr="00CF523F" w:rsidRDefault="00916B80" w:rsidP="000951E1">
            <w:pPr>
              <w:spacing w:before="0"/>
              <w:jc w:val="center"/>
              <w:rPr>
                <w:rFonts w:cs="Arial"/>
                <w:highlight w:val="cyan"/>
              </w:rPr>
            </w:pPr>
            <w:r w:rsidRPr="00CF523F">
              <w:rPr>
                <w:rFonts w:cs="Arial"/>
              </w:rPr>
              <w:t>S/O</w:t>
            </w:r>
          </w:p>
        </w:tc>
        <w:tc>
          <w:tcPr>
            <w:tcW w:w="2976" w:type="dxa"/>
            <w:vAlign w:val="center"/>
          </w:tcPr>
          <w:p w14:paraId="2CF81A39" w14:textId="4C5155A4" w:rsidR="00691B32" w:rsidRPr="002F4752" w:rsidRDefault="00691B32" w:rsidP="000951E1">
            <w:pPr>
              <w:spacing w:before="0"/>
              <w:jc w:val="center"/>
              <w:rPr>
                <w:rFonts w:cs="Arial"/>
                <w:sz w:val="22"/>
                <w:szCs w:val="22"/>
              </w:rPr>
            </w:pPr>
          </w:p>
        </w:tc>
      </w:tr>
      <w:tr w:rsidR="00691B32" w:rsidRPr="002045C1" w14:paraId="7CE08A88" w14:textId="77777777" w:rsidTr="00CF523F">
        <w:trPr>
          <w:trHeight w:val="240"/>
        </w:trPr>
        <w:tc>
          <w:tcPr>
            <w:tcW w:w="3432" w:type="dxa"/>
            <w:tcMar>
              <w:top w:w="57" w:type="dxa"/>
              <w:bottom w:w="57" w:type="dxa"/>
            </w:tcMar>
            <w:vAlign w:val="center"/>
          </w:tcPr>
          <w:p w14:paraId="7F08472A" w14:textId="17E4D1CF" w:rsidR="00691B32" w:rsidRPr="002F4752" w:rsidRDefault="00916B80" w:rsidP="000951E1">
            <w:pPr>
              <w:spacing w:before="0"/>
              <w:rPr>
                <w:rFonts w:cs="Arial"/>
                <w:strike/>
                <w:sz w:val="22"/>
                <w:szCs w:val="22"/>
              </w:rPr>
            </w:pPr>
            <w:r w:rsidRPr="002A2078">
              <w:rPr>
                <w:rFonts w:cs="Arial"/>
                <w:bCs/>
                <w:sz w:val="22"/>
                <w:szCs w:val="22"/>
              </w:rPr>
              <w:t>Comunidad Autónoma de</w:t>
            </w:r>
            <w:r>
              <w:rPr>
                <w:rFonts w:cs="Arial"/>
                <w:bCs/>
                <w:sz w:val="22"/>
                <w:szCs w:val="22"/>
              </w:rPr>
              <w:t xml:space="preserve"> Aragón</w:t>
            </w:r>
          </w:p>
        </w:tc>
        <w:tc>
          <w:tcPr>
            <w:tcW w:w="2410" w:type="dxa"/>
            <w:vAlign w:val="center"/>
          </w:tcPr>
          <w:p w14:paraId="7B9F1DF3" w14:textId="77777777" w:rsidR="00691B32" w:rsidRPr="002A2078" w:rsidRDefault="00691B32" w:rsidP="000951E1">
            <w:pPr>
              <w:spacing w:before="0"/>
              <w:jc w:val="center"/>
              <w:rPr>
                <w:rFonts w:cs="Arial"/>
                <w:highlight w:val="cyan"/>
              </w:rPr>
            </w:pPr>
            <w:r w:rsidRPr="002A2078">
              <w:rPr>
                <w:rFonts w:cs="Arial"/>
              </w:rPr>
              <w:t>S/O</w:t>
            </w:r>
          </w:p>
        </w:tc>
        <w:tc>
          <w:tcPr>
            <w:tcW w:w="2976" w:type="dxa"/>
            <w:vAlign w:val="center"/>
          </w:tcPr>
          <w:p w14:paraId="224CF1AF" w14:textId="77777777" w:rsidR="00691B32" w:rsidRPr="002F4752" w:rsidRDefault="00691B32" w:rsidP="000951E1">
            <w:pPr>
              <w:spacing w:before="0"/>
              <w:jc w:val="center"/>
              <w:rPr>
                <w:rFonts w:cs="Arial"/>
                <w:sz w:val="22"/>
                <w:szCs w:val="22"/>
              </w:rPr>
            </w:pPr>
          </w:p>
        </w:tc>
      </w:tr>
      <w:tr w:rsidR="00916B80" w:rsidRPr="002045C1" w14:paraId="1BAAC30E" w14:textId="77777777" w:rsidTr="006F4209">
        <w:trPr>
          <w:trHeight w:val="240"/>
        </w:trPr>
        <w:tc>
          <w:tcPr>
            <w:tcW w:w="3432" w:type="dxa"/>
            <w:tcMar>
              <w:top w:w="57" w:type="dxa"/>
              <w:bottom w:w="57" w:type="dxa"/>
            </w:tcMar>
            <w:vAlign w:val="center"/>
          </w:tcPr>
          <w:p w14:paraId="48D55BEC" w14:textId="75FD89CB" w:rsidR="00916B80" w:rsidRPr="002A2078" w:rsidRDefault="00916B80" w:rsidP="000951E1">
            <w:pPr>
              <w:spacing w:before="0"/>
              <w:rPr>
                <w:rFonts w:cs="Arial"/>
                <w:bCs/>
                <w:sz w:val="22"/>
                <w:szCs w:val="22"/>
              </w:rPr>
            </w:pPr>
            <w:r w:rsidRPr="002A2078">
              <w:rPr>
                <w:rFonts w:cs="Arial"/>
                <w:bCs/>
                <w:sz w:val="22"/>
                <w:szCs w:val="22"/>
              </w:rPr>
              <w:t>Comunidad Autónoma de</w:t>
            </w:r>
            <w:r>
              <w:rPr>
                <w:rFonts w:cs="Arial"/>
                <w:bCs/>
                <w:sz w:val="22"/>
                <w:szCs w:val="22"/>
              </w:rPr>
              <w:t xml:space="preserve"> Extremadura</w:t>
            </w:r>
          </w:p>
        </w:tc>
        <w:tc>
          <w:tcPr>
            <w:tcW w:w="2410" w:type="dxa"/>
            <w:vAlign w:val="center"/>
          </w:tcPr>
          <w:p w14:paraId="3C34588F" w14:textId="77777777" w:rsidR="00916B80" w:rsidRPr="002A2078" w:rsidRDefault="00916B80" w:rsidP="000951E1">
            <w:pPr>
              <w:spacing w:before="0"/>
              <w:jc w:val="center"/>
              <w:rPr>
                <w:rFonts w:cs="Arial"/>
              </w:rPr>
            </w:pPr>
          </w:p>
        </w:tc>
        <w:tc>
          <w:tcPr>
            <w:tcW w:w="2976" w:type="dxa"/>
            <w:vAlign w:val="center"/>
          </w:tcPr>
          <w:p w14:paraId="3F362809" w14:textId="1A9C2483" w:rsidR="00916B80" w:rsidRPr="002F4752" w:rsidRDefault="00916B80" w:rsidP="000951E1">
            <w:pPr>
              <w:spacing w:before="0"/>
              <w:jc w:val="center"/>
              <w:rPr>
                <w:rFonts w:cs="Arial"/>
                <w:sz w:val="22"/>
                <w:szCs w:val="22"/>
              </w:rPr>
            </w:pPr>
            <w:r>
              <w:rPr>
                <w:rFonts w:cs="Arial"/>
                <w:sz w:val="22"/>
                <w:szCs w:val="22"/>
              </w:rPr>
              <w:t>X</w:t>
            </w:r>
          </w:p>
        </w:tc>
      </w:tr>
      <w:tr w:rsidR="00916B80" w:rsidRPr="002045C1" w14:paraId="6F45CD42" w14:textId="77777777" w:rsidTr="006F4209">
        <w:trPr>
          <w:trHeight w:val="240"/>
        </w:trPr>
        <w:tc>
          <w:tcPr>
            <w:tcW w:w="3432" w:type="dxa"/>
            <w:tcMar>
              <w:top w:w="57" w:type="dxa"/>
              <w:bottom w:w="57" w:type="dxa"/>
            </w:tcMar>
            <w:vAlign w:val="center"/>
          </w:tcPr>
          <w:p w14:paraId="486AB309" w14:textId="124C7EBC" w:rsidR="00916B80" w:rsidRPr="002A2078" w:rsidRDefault="00916B80" w:rsidP="000951E1">
            <w:pPr>
              <w:spacing w:before="0"/>
              <w:rPr>
                <w:rFonts w:cs="Arial"/>
                <w:bCs/>
                <w:sz w:val="22"/>
                <w:szCs w:val="22"/>
              </w:rPr>
            </w:pPr>
            <w:r>
              <w:rPr>
                <w:rFonts w:cs="Arial"/>
                <w:bCs/>
                <w:sz w:val="22"/>
                <w:szCs w:val="22"/>
              </w:rPr>
              <w:t>Comunidad Valenciana</w:t>
            </w:r>
          </w:p>
        </w:tc>
        <w:tc>
          <w:tcPr>
            <w:tcW w:w="2410" w:type="dxa"/>
            <w:vAlign w:val="center"/>
          </w:tcPr>
          <w:p w14:paraId="40632EDF" w14:textId="77777777" w:rsidR="00916B80" w:rsidRPr="002A2078" w:rsidRDefault="00916B80" w:rsidP="000951E1">
            <w:pPr>
              <w:spacing w:before="0"/>
              <w:jc w:val="center"/>
              <w:rPr>
                <w:rFonts w:cs="Arial"/>
              </w:rPr>
            </w:pPr>
          </w:p>
        </w:tc>
        <w:tc>
          <w:tcPr>
            <w:tcW w:w="2976" w:type="dxa"/>
            <w:vAlign w:val="center"/>
          </w:tcPr>
          <w:p w14:paraId="3809E93E" w14:textId="1BA6BDFA" w:rsidR="00916B80" w:rsidRDefault="00916B80" w:rsidP="000951E1">
            <w:pPr>
              <w:spacing w:before="0"/>
              <w:jc w:val="center"/>
              <w:rPr>
                <w:rFonts w:cs="Arial"/>
                <w:sz w:val="22"/>
                <w:szCs w:val="22"/>
              </w:rPr>
            </w:pPr>
            <w:r>
              <w:rPr>
                <w:rFonts w:cs="Arial"/>
                <w:sz w:val="22"/>
                <w:szCs w:val="22"/>
              </w:rPr>
              <w:t>X</w:t>
            </w:r>
          </w:p>
        </w:tc>
      </w:tr>
      <w:tr w:rsidR="00916B80" w:rsidRPr="002045C1" w14:paraId="598B0ECF" w14:textId="77777777" w:rsidTr="006F4209">
        <w:trPr>
          <w:trHeight w:val="240"/>
        </w:trPr>
        <w:tc>
          <w:tcPr>
            <w:tcW w:w="3432" w:type="dxa"/>
            <w:tcMar>
              <w:top w:w="57" w:type="dxa"/>
              <w:bottom w:w="57" w:type="dxa"/>
            </w:tcMar>
            <w:vAlign w:val="center"/>
          </w:tcPr>
          <w:p w14:paraId="48C40B88" w14:textId="7EB2FBC7" w:rsidR="00916B80" w:rsidRDefault="00916B80" w:rsidP="000951E1">
            <w:pPr>
              <w:spacing w:before="0"/>
              <w:rPr>
                <w:rFonts w:cs="Arial"/>
                <w:bCs/>
                <w:sz w:val="22"/>
                <w:szCs w:val="22"/>
              </w:rPr>
            </w:pPr>
            <w:r w:rsidRPr="002A2078">
              <w:rPr>
                <w:rFonts w:cs="Arial"/>
                <w:bCs/>
                <w:sz w:val="22"/>
                <w:szCs w:val="22"/>
              </w:rPr>
              <w:t>Comunidad Autónoma de</w:t>
            </w:r>
            <w:r>
              <w:rPr>
                <w:rFonts w:cs="Arial"/>
                <w:bCs/>
                <w:sz w:val="22"/>
                <w:szCs w:val="22"/>
              </w:rPr>
              <w:t xml:space="preserve"> Galicia</w:t>
            </w:r>
          </w:p>
        </w:tc>
        <w:tc>
          <w:tcPr>
            <w:tcW w:w="2410" w:type="dxa"/>
            <w:vAlign w:val="center"/>
          </w:tcPr>
          <w:p w14:paraId="23FB4017" w14:textId="77777777" w:rsidR="00916B80" w:rsidRPr="002A2078" w:rsidRDefault="00916B80" w:rsidP="000951E1">
            <w:pPr>
              <w:spacing w:before="0"/>
              <w:jc w:val="center"/>
              <w:rPr>
                <w:rFonts w:cs="Arial"/>
              </w:rPr>
            </w:pPr>
          </w:p>
        </w:tc>
        <w:tc>
          <w:tcPr>
            <w:tcW w:w="2976" w:type="dxa"/>
            <w:vAlign w:val="center"/>
          </w:tcPr>
          <w:p w14:paraId="78D68A78" w14:textId="33720B3D" w:rsidR="00916B80" w:rsidRDefault="00916B80" w:rsidP="000951E1">
            <w:pPr>
              <w:spacing w:before="0"/>
              <w:jc w:val="center"/>
              <w:rPr>
                <w:rFonts w:cs="Arial"/>
                <w:sz w:val="22"/>
                <w:szCs w:val="22"/>
              </w:rPr>
            </w:pPr>
            <w:r>
              <w:rPr>
                <w:rFonts w:cs="Arial"/>
                <w:sz w:val="22"/>
                <w:szCs w:val="22"/>
              </w:rPr>
              <w:t>X</w:t>
            </w:r>
          </w:p>
        </w:tc>
      </w:tr>
      <w:tr w:rsidR="00916B80" w:rsidRPr="002045C1" w14:paraId="73975E2E" w14:textId="77777777" w:rsidTr="006F4209">
        <w:trPr>
          <w:trHeight w:val="240"/>
        </w:trPr>
        <w:tc>
          <w:tcPr>
            <w:tcW w:w="3432" w:type="dxa"/>
            <w:tcMar>
              <w:top w:w="57" w:type="dxa"/>
              <w:bottom w:w="57" w:type="dxa"/>
            </w:tcMar>
            <w:vAlign w:val="center"/>
          </w:tcPr>
          <w:p w14:paraId="375B4EA1" w14:textId="7E0739BC" w:rsidR="00916B80" w:rsidRPr="002A2078" w:rsidRDefault="00916B80" w:rsidP="000951E1">
            <w:pPr>
              <w:spacing w:before="0"/>
              <w:rPr>
                <w:rFonts w:cs="Arial"/>
                <w:bCs/>
                <w:sz w:val="22"/>
                <w:szCs w:val="22"/>
              </w:rPr>
            </w:pPr>
            <w:r w:rsidRPr="002A2078">
              <w:rPr>
                <w:rFonts w:cs="Arial"/>
                <w:bCs/>
                <w:sz w:val="22"/>
                <w:szCs w:val="22"/>
              </w:rPr>
              <w:t>Comunidad Autónoma de</w:t>
            </w:r>
            <w:r>
              <w:rPr>
                <w:rFonts w:cs="Arial"/>
                <w:bCs/>
                <w:sz w:val="22"/>
                <w:szCs w:val="22"/>
              </w:rPr>
              <w:t xml:space="preserve"> Castilla La Mancha</w:t>
            </w:r>
          </w:p>
        </w:tc>
        <w:tc>
          <w:tcPr>
            <w:tcW w:w="2410" w:type="dxa"/>
            <w:vAlign w:val="center"/>
          </w:tcPr>
          <w:p w14:paraId="44E44CA8" w14:textId="77777777" w:rsidR="00916B80" w:rsidRPr="002A2078" w:rsidRDefault="00916B80" w:rsidP="000951E1">
            <w:pPr>
              <w:spacing w:before="0"/>
              <w:jc w:val="center"/>
              <w:rPr>
                <w:rFonts w:cs="Arial"/>
              </w:rPr>
            </w:pPr>
          </w:p>
        </w:tc>
        <w:tc>
          <w:tcPr>
            <w:tcW w:w="2976" w:type="dxa"/>
            <w:vAlign w:val="center"/>
          </w:tcPr>
          <w:p w14:paraId="055D9E87" w14:textId="763ED9C7" w:rsidR="00916B80" w:rsidRDefault="00916B80" w:rsidP="000951E1">
            <w:pPr>
              <w:spacing w:before="0"/>
              <w:jc w:val="center"/>
              <w:rPr>
                <w:rFonts w:cs="Arial"/>
                <w:sz w:val="22"/>
                <w:szCs w:val="22"/>
              </w:rPr>
            </w:pPr>
            <w:r>
              <w:rPr>
                <w:rFonts w:cs="Arial"/>
                <w:sz w:val="22"/>
                <w:szCs w:val="22"/>
              </w:rPr>
              <w:t>X</w:t>
            </w:r>
          </w:p>
        </w:tc>
      </w:tr>
      <w:tr w:rsidR="00916B80" w:rsidRPr="002045C1" w14:paraId="505F7D23" w14:textId="77777777" w:rsidTr="006F4209">
        <w:trPr>
          <w:trHeight w:val="240"/>
        </w:trPr>
        <w:tc>
          <w:tcPr>
            <w:tcW w:w="3432" w:type="dxa"/>
            <w:tcMar>
              <w:top w:w="57" w:type="dxa"/>
              <w:bottom w:w="57" w:type="dxa"/>
            </w:tcMar>
            <w:vAlign w:val="center"/>
          </w:tcPr>
          <w:p w14:paraId="29F4AB3C" w14:textId="7584849F" w:rsidR="00916B80" w:rsidRPr="002A2078" w:rsidRDefault="00B26862" w:rsidP="000951E1">
            <w:pPr>
              <w:spacing w:before="0"/>
              <w:rPr>
                <w:rFonts w:cs="Arial"/>
                <w:bCs/>
                <w:sz w:val="22"/>
                <w:szCs w:val="22"/>
              </w:rPr>
            </w:pPr>
            <w:r w:rsidRPr="002A2078">
              <w:rPr>
                <w:rFonts w:cs="Arial"/>
                <w:bCs/>
                <w:sz w:val="22"/>
                <w:szCs w:val="22"/>
              </w:rPr>
              <w:t>Comunidad Autónoma de</w:t>
            </w:r>
            <w:r>
              <w:rPr>
                <w:rFonts w:cs="Arial"/>
                <w:bCs/>
                <w:sz w:val="22"/>
                <w:szCs w:val="22"/>
              </w:rPr>
              <w:t xml:space="preserve"> Andalucía</w:t>
            </w:r>
          </w:p>
        </w:tc>
        <w:tc>
          <w:tcPr>
            <w:tcW w:w="2410" w:type="dxa"/>
            <w:vAlign w:val="center"/>
          </w:tcPr>
          <w:p w14:paraId="2A59DD16" w14:textId="77777777" w:rsidR="00916B80" w:rsidRPr="002A2078" w:rsidRDefault="00916B80" w:rsidP="000951E1">
            <w:pPr>
              <w:spacing w:before="0"/>
              <w:jc w:val="center"/>
              <w:rPr>
                <w:rFonts w:cs="Arial"/>
              </w:rPr>
            </w:pPr>
          </w:p>
        </w:tc>
        <w:tc>
          <w:tcPr>
            <w:tcW w:w="2976" w:type="dxa"/>
            <w:vAlign w:val="center"/>
          </w:tcPr>
          <w:p w14:paraId="548368FC" w14:textId="77E0C051" w:rsidR="00916B80" w:rsidRDefault="00B26862" w:rsidP="000951E1">
            <w:pPr>
              <w:spacing w:before="0"/>
              <w:jc w:val="center"/>
              <w:rPr>
                <w:rFonts w:cs="Arial"/>
                <w:sz w:val="22"/>
                <w:szCs w:val="22"/>
              </w:rPr>
            </w:pPr>
            <w:r>
              <w:rPr>
                <w:rFonts w:cs="Arial"/>
                <w:sz w:val="22"/>
                <w:szCs w:val="22"/>
              </w:rPr>
              <w:t>X</w:t>
            </w:r>
          </w:p>
        </w:tc>
      </w:tr>
      <w:tr w:rsidR="006108D2" w:rsidRPr="002045C1" w14:paraId="44CB9095" w14:textId="77777777" w:rsidTr="006F4209">
        <w:trPr>
          <w:trHeight w:val="240"/>
        </w:trPr>
        <w:tc>
          <w:tcPr>
            <w:tcW w:w="3432" w:type="dxa"/>
            <w:tcMar>
              <w:top w:w="57" w:type="dxa"/>
              <w:bottom w:w="57" w:type="dxa"/>
            </w:tcMar>
            <w:vAlign w:val="center"/>
          </w:tcPr>
          <w:p w14:paraId="240F1B3F" w14:textId="4C81ED7C" w:rsidR="006108D2" w:rsidRPr="002A2078" w:rsidRDefault="006108D2" w:rsidP="000951E1">
            <w:pPr>
              <w:spacing w:before="0"/>
              <w:rPr>
                <w:rFonts w:cs="Arial"/>
                <w:bCs/>
                <w:sz w:val="22"/>
                <w:szCs w:val="22"/>
              </w:rPr>
            </w:pPr>
            <w:r>
              <w:rPr>
                <w:rFonts w:cs="Arial"/>
                <w:bCs/>
                <w:sz w:val="22"/>
                <w:szCs w:val="22"/>
              </w:rPr>
              <w:t>Comunidad Autónoma de Islas Baleares</w:t>
            </w:r>
          </w:p>
        </w:tc>
        <w:tc>
          <w:tcPr>
            <w:tcW w:w="2410" w:type="dxa"/>
            <w:vAlign w:val="center"/>
          </w:tcPr>
          <w:p w14:paraId="729500C6" w14:textId="77777777" w:rsidR="006108D2" w:rsidRPr="002A2078" w:rsidRDefault="006108D2" w:rsidP="000951E1">
            <w:pPr>
              <w:spacing w:before="0"/>
              <w:jc w:val="center"/>
              <w:rPr>
                <w:rFonts w:cs="Arial"/>
              </w:rPr>
            </w:pPr>
          </w:p>
        </w:tc>
        <w:tc>
          <w:tcPr>
            <w:tcW w:w="2976" w:type="dxa"/>
            <w:vAlign w:val="center"/>
          </w:tcPr>
          <w:p w14:paraId="594B9CCF" w14:textId="2F8084AA" w:rsidR="006108D2" w:rsidRDefault="006108D2" w:rsidP="000951E1">
            <w:pPr>
              <w:spacing w:before="0"/>
              <w:jc w:val="center"/>
              <w:rPr>
                <w:rFonts w:cs="Arial"/>
                <w:sz w:val="22"/>
                <w:szCs w:val="22"/>
              </w:rPr>
            </w:pPr>
            <w:r>
              <w:rPr>
                <w:rFonts w:cs="Arial"/>
                <w:sz w:val="22"/>
                <w:szCs w:val="22"/>
              </w:rPr>
              <w:t>X</w:t>
            </w:r>
          </w:p>
        </w:tc>
      </w:tr>
    </w:tbl>
    <w:p w14:paraId="29AA1D2C" w14:textId="6DAFE816" w:rsidR="00691B32" w:rsidRDefault="00691B32" w:rsidP="00873C4F">
      <w:pPr>
        <w:rPr>
          <w:lang w:val="es-ES"/>
        </w:rPr>
      </w:pPr>
    </w:p>
    <w:p w14:paraId="7E90AEED" w14:textId="46C5062A" w:rsidR="00570F16" w:rsidRDefault="00570F16" w:rsidP="00570F16">
      <w:pPr>
        <w:pStyle w:val="Ttulo4"/>
        <w:numPr>
          <w:ilvl w:val="0"/>
          <w:numId w:val="0"/>
        </w:numPr>
        <w:spacing w:before="480"/>
        <w:ind w:left="864" w:hanging="864"/>
        <w:rPr>
          <w:b/>
          <w:bCs w:val="0"/>
          <w:lang w:val="es-ES"/>
        </w:rPr>
      </w:pPr>
      <w:r w:rsidRPr="00522668">
        <w:rPr>
          <w:b/>
          <w:bCs w:val="0"/>
          <w:u w:val="none"/>
          <w:lang w:val="es-ES"/>
        </w:rPr>
        <w:t xml:space="preserve">6. </w:t>
      </w:r>
      <w:r>
        <w:rPr>
          <w:b/>
          <w:bCs w:val="0"/>
          <w:lang w:val="es-ES"/>
        </w:rPr>
        <w:t>Otras consultas</w:t>
      </w:r>
    </w:p>
    <w:p w14:paraId="47C226C8" w14:textId="24A67416" w:rsidR="00570F16" w:rsidRDefault="00570F16" w:rsidP="00873C4F">
      <w:pPr>
        <w:rPr>
          <w:lang w:val="es-ES"/>
        </w:rPr>
      </w:pPr>
      <w:r w:rsidRPr="004C1AB2">
        <w:rPr>
          <w:lang w:val="es-ES"/>
        </w:rPr>
        <w:t>Durante el proceso de tramitación de la norma</w:t>
      </w:r>
      <w:r>
        <w:rPr>
          <w:lang w:val="es-ES"/>
        </w:rPr>
        <w:t xml:space="preserve"> se ha procedido también a consultar a la Organización de Consumidores y Usuarios (OCU), con el objetivo de recabar su opinión en defensa de los usuarios.</w:t>
      </w:r>
    </w:p>
    <w:p w14:paraId="20C0433D" w14:textId="77777777" w:rsidR="00E52AF8" w:rsidRDefault="00E52AF8" w:rsidP="00873C4F">
      <w:pPr>
        <w:rPr>
          <w:lang w:val="es-ES"/>
        </w:rPr>
      </w:pPr>
    </w:p>
    <w:p w14:paraId="1B6A81AE" w14:textId="0219BEA4" w:rsidR="00777753" w:rsidRDefault="00B63ED9" w:rsidP="00777753">
      <w:pPr>
        <w:rPr>
          <w:b/>
          <w:bCs/>
          <w:u w:val="single"/>
          <w:lang w:val="es-ES"/>
        </w:rPr>
      </w:pPr>
      <w:r>
        <w:rPr>
          <w:b/>
          <w:bCs/>
          <w:lang w:val="es-ES"/>
        </w:rPr>
        <w:t>7</w:t>
      </w:r>
      <w:r w:rsidR="00777753" w:rsidRPr="00724DA9">
        <w:rPr>
          <w:b/>
          <w:bCs/>
          <w:lang w:val="es-ES"/>
        </w:rPr>
        <w:t xml:space="preserve">. </w:t>
      </w:r>
      <w:r w:rsidR="00777753">
        <w:rPr>
          <w:b/>
          <w:bCs/>
          <w:u w:val="single"/>
          <w:lang w:val="es-ES"/>
        </w:rPr>
        <w:t>No suspensión de plazos</w:t>
      </w:r>
      <w:r w:rsidR="00683F9A">
        <w:rPr>
          <w:b/>
          <w:bCs/>
          <w:u w:val="single"/>
          <w:lang w:val="es-ES"/>
        </w:rPr>
        <w:t xml:space="preserve"> durante el estado de alarma</w:t>
      </w:r>
    </w:p>
    <w:p w14:paraId="5FFDBCC9" w14:textId="77777777" w:rsidR="00777753" w:rsidRDefault="00777753" w:rsidP="00777753">
      <w:pPr>
        <w:rPr>
          <w:rFonts w:cs="Arial"/>
          <w:szCs w:val="24"/>
        </w:rPr>
      </w:pPr>
      <w:r>
        <w:rPr>
          <w:rFonts w:cs="Arial"/>
          <w:szCs w:val="24"/>
        </w:rPr>
        <w:t>La disposición adicional tercera del Real Decreto 463/2020, de 14 de marzo, por el que se declara el estado de alarma para la gestión de la situación de crisis sanitaria ocasionada por el COVID-19, contempla suspensión de los plazos administrativos para la tramitación de los procedimientos de las entidades del sector público y establece que el cómputo de los plazos se reanudará en el momento en que pierda vigencia dicho real decreto o, en su caso, las prórrogas del mismo.</w:t>
      </w:r>
    </w:p>
    <w:p w14:paraId="24405D4A" w14:textId="50DC3F2A" w:rsidR="00777753" w:rsidRDefault="00777753" w:rsidP="00777753">
      <w:pPr>
        <w:rPr>
          <w:rFonts w:cs="Arial"/>
          <w:szCs w:val="24"/>
        </w:rPr>
      </w:pPr>
      <w:r>
        <w:rPr>
          <w:rFonts w:cs="Arial"/>
          <w:szCs w:val="24"/>
        </w:rPr>
        <w:t xml:space="preserve">Sin embargo, se ha estimado que el presente proyecto normativo requiere de su continuación, puesto que responde a una necesidad encaminada a la protección del interés general, debido a que, siendo España el primer productor y exportador mundial de aceite de oliva, se hace necesario actualizar la legislación, elaborando una norma propia, que ponga además un especial énfasis en evitar posibles prácticas fraudulentas y en </w:t>
      </w:r>
      <w:r w:rsidRPr="006062D6">
        <w:rPr>
          <w:rFonts w:cs="Arial"/>
          <w:szCs w:val="24"/>
        </w:rPr>
        <w:t xml:space="preserve">preservar y </w:t>
      </w:r>
      <w:r>
        <w:rPr>
          <w:rFonts w:cs="Arial"/>
          <w:szCs w:val="24"/>
        </w:rPr>
        <w:t>valorizar</w:t>
      </w:r>
      <w:r w:rsidRPr="006062D6">
        <w:rPr>
          <w:rFonts w:cs="Arial"/>
          <w:szCs w:val="24"/>
        </w:rPr>
        <w:t xml:space="preserve"> los aceites de oliva y de orujo de oliva</w:t>
      </w:r>
      <w:r>
        <w:rPr>
          <w:rFonts w:cs="Arial"/>
          <w:szCs w:val="24"/>
        </w:rPr>
        <w:t xml:space="preserve">. Esto es fundamental para </w:t>
      </w:r>
      <w:r w:rsidRPr="00A5586F">
        <w:rPr>
          <w:rFonts w:cs="Arial"/>
          <w:szCs w:val="24"/>
        </w:rPr>
        <w:t>promover la calidad alimentaria,</w:t>
      </w:r>
      <w:r>
        <w:rPr>
          <w:rFonts w:cs="Arial"/>
          <w:szCs w:val="24"/>
        </w:rPr>
        <w:t xml:space="preserve"> para</w:t>
      </w:r>
      <w:r w:rsidRPr="00A5586F">
        <w:rPr>
          <w:rFonts w:cs="Arial"/>
          <w:szCs w:val="24"/>
        </w:rPr>
        <w:t xml:space="preserve"> mejorar la confianza de los consumidores,</w:t>
      </w:r>
      <w:r>
        <w:rPr>
          <w:rFonts w:cs="Arial"/>
          <w:szCs w:val="24"/>
        </w:rPr>
        <w:t xml:space="preserve"> para </w:t>
      </w:r>
      <w:r w:rsidRPr="00A5586F">
        <w:rPr>
          <w:rFonts w:cs="Arial"/>
          <w:szCs w:val="24"/>
        </w:rPr>
        <w:t>diferenciar los productos respecto de otros similares</w:t>
      </w:r>
      <w:r>
        <w:rPr>
          <w:rFonts w:cs="Arial"/>
          <w:szCs w:val="24"/>
        </w:rPr>
        <w:t xml:space="preserve"> y</w:t>
      </w:r>
      <w:r w:rsidRPr="00A5586F">
        <w:rPr>
          <w:rFonts w:cs="Arial"/>
          <w:szCs w:val="24"/>
        </w:rPr>
        <w:t xml:space="preserve"> </w:t>
      </w:r>
      <w:r>
        <w:rPr>
          <w:rFonts w:cs="Arial"/>
          <w:szCs w:val="24"/>
        </w:rPr>
        <w:t>par</w:t>
      </w:r>
      <w:r w:rsidRPr="00A5586F">
        <w:rPr>
          <w:rFonts w:cs="Arial"/>
          <w:szCs w:val="24"/>
        </w:rPr>
        <w:t>a recuperar y potenciar el mercado</w:t>
      </w:r>
      <w:r>
        <w:rPr>
          <w:rFonts w:cs="Arial"/>
          <w:szCs w:val="24"/>
        </w:rPr>
        <w:t>, siendo la protección de la calidad y la autenticidad de los aceites de oliva una de las herramientas esenciales de que se dispone para hacer frente a la crisis de precios en que se ve sumido este sector en la actualidad.</w:t>
      </w:r>
    </w:p>
    <w:p w14:paraId="5447936F" w14:textId="40218204" w:rsidR="00777753" w:rsidRDefault="00777753" w:rsidP="00777753">
      <w:pPr>
        <w:spacing w:after="240"/>
        <w:rPr>
          <w:rFonts w:cs="Arial"/>
          <w:szCs w:val="24"/>
        </w:rPr>
      </w:pPr>
      <w:r>
        <w:rPr>
          <w:rFonts w:cs="Arial"/>
          <w:szCs w:val="24"/>
        </w:rPr>
        <w:t xml:space="preserve">Considerando los elementos expuestos, y en virtud del apartado 4 de la disposición adicional tercera del Real Decreto 463/2020, de 14 de marzo, la Secretaría General de Agricultura y Alimentación ha procedido a emitir Resolución, con fecha 27 de abril de 2020, </w:t>
      </w:r>
      <w:r w:rsidRPr="00054A18">
        <w:rPr>
          <w:rFonts w:cs="Arial"/>
          <w:szCs w:val="24"/>
        </w:rPr>
        <w:t>por la que se acuerda la no suspensión de los plazos previstos para la tramitación de</w:t>
      </w:r>
      <w:r>
        <w:rPr>
          <w:rFonts w:cs="Arial"/>
          <w:szCs w:val="24"/>
        </w:rPr>
        <w:t xml:space="preserve"> este</w:t>
      </w:r>
      <w:r w:rsidRPr="00054A18">
        <w:rPr>
          <w:rFonts w:cs="Arial"/>
          <w:szCs w:val="24"/>
        </w:rPr>
        <w:t xml:space="preserve"> proyecto de real decreto</w:t>
      </w:r>
      <w:r>
        <w:rPr>
          <w:rFonts w:cs="Arial"/>
          <w:szCs w:val="24"/>
        </w:rPr>
        <w:t>.</w:t>
      </w:r>
    </w:p>
    <w:p w14:paraId="608597B6" w14:textId="001A0D2B" w:rsidR="00EF6DD4" w:rsidRDefault="00EF6DD4" w:rsidP="00777753">
      <w:pPr>
        <w:spacing w:after="240"/>
        <w:rPr>
          <w:rFonts w:cs="Arial"/>
          <w:szCs w:val="24"/>
        </w:rPr>
      </w:pPr>
    </w:p>
    <w:p w14:paraId="0277DB41" w14:textId="30B35513" w:rsidR="00EF6DD4" w:rsidRPr="00F71254" w:rsidRDefault="00B63ED9" w:rsidP="00EF6DD4">
      <w:pPr>
        <w:spacing w:after="240"/>
        <w:rPr>
          <w:b/>
          <w:u w:val="single"/>
          <w:lang w:val="es-ES"/>
        </w:rPr>
      </w:pPr>
      <w:r>
        <w:rPr>
          <w:b/>
          <w:u w:val="single"/>
          <w:lang w:val="es-ES"/>
        </w:rPr>
        <w:t>8</w:t>
      </w:r>
      <w:r w:rsidR="00EF6DD4" w:rsidRPr="00EF6DD4">
        <w:rPr>
          <w:b/>
          <w:u w:val="single"/>
          <w:lang w:val="es-ES"/>
        </w:rPr>
        <w:t>.</w:t>
      </w:r>
      <w:r w:rsidR="00EF6DD4">
        <w:rPr>
          <w:b/>
          <w:u w:val="single"/>
          <w:lang w:val="es-ES"/>
        </w:rPr>
        <w:t xml:space="preserve"> </w:t>
      </w:r>
      <w:r w:rsidR="00EF6DD4" w:rsidRPr="00F71254">
        <w:rPr>
          <w:b/>
          <w:u w:val="single"/>
          <w:lang w:val="es-ES"/>
        </w:rPr>
        <w:t>Segundo trámite de Audiencia e información públicas</w:t>
      </w:r>
    </w:p>
    <w:p w14:paraId="19006706" w14:textId="3F720382" w:rsidR="00EF6DD4" w:rsidRDefault="00EF6DD4" w:rsidP="00EF6DD4">
      <w:pPr>
        <w:spacing w:after="240"/>
        <w:rPr>
          <w:rFonts w:cs="Arial"/>
          <w:szCs w:val="24"/>
        </w:rPr>
      </w:pPr>
      <w:r>
        <w:rPr>
          <w:rFonts w:cs="Arial"/>
          <w:szCs w:val="24"/>
        </w:rPr>
        <w:t xml:space="preserve">Con motivo de las observaciones recibidas durante el trámite de audiencia e información públicas por una parte, y por otra con el objetivo de incorporar soluciones que permitan hacer frente a la situación de grave crisis de precios que atraviesa el sector, se han introducido en el proyecto de real decreto modificaciones de entidad suficiente que justifican la celebración de un segundo trámite de audiencia e información públicas, con el fin de recabar, </w:t>
      </w:r>
      <w:r>
        <w:rPr>
          <w:lang w:val="es-ES"/>
        </w:rPr>
        <w:t xml:space="preserve">de acuerdo con el </w:t>
      </w:r>
      <w:r w:rsidRPr="00337F74">
        <w:rPr>
          <w:rFonts w:cs="Arial"/>
        </w:rPr>
        <w:t>art</w:t>
      </w:r>
      <w:r>
        <w:rPr>
          <w:rFonts w:cs="Arial"/>
        </w:rPr>
        <w:t>ículo</w:t>
      </w:r>
      <w:r w:rsidRPr="00337F74">
        <w:rPr>
          <w:rFonts w:cs="Arial"/>
        </w:rPr>
        <w:t xml:space="preserve"> 26.6</w:t>
      </w:r>
      <w:r>
        <w:rPr>
          <w:rFonts w:cs="Arial"/>
        </w:rPr>
        <w:t xml:space="preserve"> de la </w:t>
      </w:r>
      <w:r w:rsidRPr="00337F74">
        <w:rPr>
          <w:rFonts w:cs="Arial"/>
        </w:rPr>
        <w:t>Ley 50/1997</w:t>
      </w:r>
      <w:r>
        <w:rPr>
          <w:lang w:val="es-ES"/>
        </w:rPr>
        <w:t xml:space="preserve">, </w:t>
      </w:r>
      <w:r w:rsidRPr="00535BA7">
        <w:rPr>
          <w:lang w:val="es-ES"/>
        </w:rPr>
        <w:t>de 27 de noviembre, del Gobierno</w:t>
      </w:r>
      <w:r>
        <w:rPr>
          <w:lang w:val="es-ES"/>
        </w:rPr>
        <w:t>, las observaciones de los ciudadanos afectados y de las personas cuyos derechos e intereses legítimos pudieran verse afectados por dichas modificaciones al texto, así como con el objeto de obtener cuantas aportaciones adicionales pudieran hacerse por otras personas y entidades.</w:t>
      </w:r>
      <w:r w:rsidR="00A074A6">
        <w:rPr>
          <w:lang w:val="es-ES"/>
        </w:rPr>
        <w:t xml:space="preserve"> De </w:t>
      </w:r>
      <w:r w:rsidR="009F4BAB">
        <w:rPr>
          <w:lang w:val="es-ES"/>
        </w:rPr>
        <w:t>conformidad</w:t>
      </w:r>
      <w:r w:rsidR="00A074A6">
        <w:rPr>
          <w:lang w:val="es-ES"/>
        </w:rPr>
        <w:t xml:space="preserve"> con lo establecido en el mencionado artículo, el plazo para realizar observaciones ha sido de 7 días hábiles, debido a la necesidad de continuar con los plazos de tramitación previamente determinados, y teniendo en cuenta que las nuevas medidas que motivan este segundo trámite de audiencia e información públicas se circunscriben a dos artículos, a saber, </w:t>
      </w:r>
      <w:r w:rsidR="00A464D8">
        <w:rPr>
          <w:lang w:val="es-ES"/>
        </w:rPr>
        <w:t xml:space="preserve">la obligación de notificación de los movimientos de aceite de oliva y </w:t>
      </w:r>
      <w:r w:rsidR="00A074A6">
        <w:rPr>
          <w:lang w:val="es-ES"/>
        </w:rPr>
        <w:t>el establecimiento de un sistema informatizado habilitado por el Ministerio de Agricultura, Pesca y Alimentación</w:t>
      </w:r>
      <w:r w:rsidR="00A464D8">
        <w:rPr>
          <w:lang w:val="es-ES"/>
        </w:rPr>
        <w:t xml:space="preserve"> para tal efecto</w:t>
      </w:r>
      <w:r w:rsidR="00A074A6">
        <w:rPr>
          <w:lang w:val="es-ES"/>
        </w:rPr>
        <w:t xml:space="preserve">, y la prohibición del uso del plástico como material para envasar el aceite de oliva </w:t>
      </w:r>
      <w:r w:rsidR="00A464D8">
        <w:rPr>
          <w:lang w:val="es-ES"/>
        </w:rPr>
        <w:t>virgen extra destinado a los consumidores finales.</w:t>
      </w:r>
    </w:p>
    <w:p w14:paraId="36D78BF4" w14:textId="770F615A" w:rsidR="00EF6DD4" w:rsidRDefault="00EF6DD4" w:rsidP="00EF6DD4">
      <w:pPr>
        <w:rPr>
          <w:lang w:val="es-ES"/>
        </w:rPr>
      </w:pPr>
      <w:r>
        <w:rPr>
          <w:lang w:val="es-ES"/>
        </w:rPr>
        <w:t>Este segundo trámite de audiencia e información públicas permaneció abierto para emitir observaciones a través de la página web del Ministerio de Agricultura, Pesca y Alimentación, desde el día 19 de junio de 2020 hasta el día 30 de junio de 2020, ambos inclusive.</w:t>
      </w:r>
    </w:p>
    <w:p w14:paraId="6A32BB27" w14:textId="77777777" w:rsidR="00C37323" w:rsidRDefault="00C37323" w:rsidP="00C37323">
      <w:pPr>
        <w:rPr>
          <w:lang w:val="es-ES"/>
        </w:rPr>
      </w:pPr>
      <w:r>
        <w:rPr>
          <w:lang w:val="es-ES"/>
        </w:rPr>
        <w:t>Las personas y entidades que han emitido observaciones como consecuencia de su participación en dicho trámite de audiencia e información públicas a través de la página web del Ministerio de Agricultura, Pesca y Alimentación se recogen en el listado siguiente:</w:t>
      </w:r>
    </w:p>
    <w:p w14:paraId="742157DB" w14:textId="77777777" w:rsidR="00C37323" w:rsidRDefault="00C37323" w:rsidP="00C37323">
      <w:pPr>
        <w:pStyle w:val="Prrafodelista"/>
        <w:numPr>
          <w:ilvl w:val="0"/>
          <w:numId w:val="26"/>
        </w:numPr>
        <w:rPr>
          <w:lang w:val="es-ES"/>
        </w:rPr>
      </w:pPr>
      <w:r>
        <w:rPr>
          <w:lang w:val="es-ES"/>
        </w:rPr>
        <w:t>FECOAM.</w:t>
      </w:r>
    </w:p>
    <w:p w14:paraId="194E83C2" w14:textId="4B978415" w:rsidR="00C37323" w:rsidRDefault="00C37323" w:rsidP="00C37323">
      <w:pPr>
        <w:pStyle w:val="Prrafodelista"/>
        <w:numPr>
          <w:ilvl w:val="0"/>
          <w:numId w:val="26"/>
        </w:numPr>
        <w:rPr>
          <w:lang w:val="es-ES"/>
        </w:rPr>
      </w:pPr>
      <w:r>
        <w:rPr>
          <w:lang w:val="es-ES"/>
        </w:rPr>
        <w:t>AEVIN</w:t>
      </w:r>
      <w:r w:rsidR="00124D4E">
        <w:rPr>
          <w:lang w:val="es-ES"/>
        </w:rPr>
        <w:t>.</w:t>
      </w:r>
    </w:p>
    <w:p w14:paraId="78FE8C09" w14:textId="0EB309F3" w:rsidR="00C37323" w:rsidRDefault="00C37323" w:rsidP="00C37323">
      <w:pPr>
        <w:pStyle w:val="Prrafodelista"/>
        <w:numPr>
          <w:ilvl w:val="0"/>
          <w:numId w:val="26"/>
        </w:numPr>
        <w:rPr>
          <w:lang w:val="es-ES"/>
        </w:rPr>
      </w:pPr>
      <w:r>
        <w:rPr>
          <w:lang w:val="es-ES"/>
        </w:rPr>
        <w:t>ASEMESA</w:t>
      </w:r>
      <w:r w:rsidR="00124D4E">
        <w:rPr>
          <w:lang w:val="es-ES"/>
        </w:rPr>
        <w:t>.</w:t>
      </w:r>
    </w:p>
    <w:p w14:paraId="6E4AFCBD" w14:textId="05916D79" w:rsidR="00C37323" w:rsidRDefault="00C37323" w:rsidP="00C37323">
      <w:pPr>
        <w:pStyle w:val="Prrafodelista"/>
        <w:numPr>
          <w:ilvl w:val="0"/>
          <w:numId w:val="26"/>
        </w:numPr>
        <w:rPr>
          <w:lang w:val="es-ES"/>
        </w:rPr>
      </w:pPr>
      <w:r>
        <w:rPr>
          <w:lang w:val="es-ES"/>
        </w:rPr>
        <w:t>Landaluz</w:t>
      </w:r>
      <w:r w:rsidR="00124D4E">
        <w:rPr>
          <w:lang w:val="es-ES"/>
        </w:rPr>
        <w:t>.</w:t>
      </w:r>
    </w:p>
    <w:p w14:paraId="619D109C" w14:textId="3721654B" w:rsidR="00C37323" w:rsidRDefault="00C37323" w:rsidP="00C37323">
      <w:pPr>
        <w:pStyle w:val="Prrafodelista"/>
        <w:numPr>
          <w:ilvl w:val="0"/>
          <w:numId w:val="26"/>
        </w:numPr>
        <w:rPr>
          <w:lang w:val="es-ES"/>
        </w:rPr>
      </w:pPr>
      <w:r>
        <w:rPr>
          <w:lang w:val="es-ES"/>
        </w:rPr>
        <w:t>DO Oli de Mallorca</w:t>
      </w:r>
      <w:r w:rsidR="00124D4E">
        <w:rPr>
          <w:lang w:val="es-ES"/>
        </w:rPr>
        <w:t>.</w:t>
      </w:r>
    </w:p>
    <w:p w14:paraId="0B60AFC2" w14:textId="77777777" w:rsidR="00C37323" w:rsidRDefault="00C37323" w:rsidP="00C37323">
      <w:pPr>
        <w:pStyle w:val="Prrafodelista"/>
        <w:numPr>
          <w:ilvl w:val="0"/>
          <w:numId w:val="26"/>
        </w:numPr>
        <w:rPr>
          <w:lang w:val="es-ES"/>
        </w:rPr>
      </w:pPr>
      <w:r w:rsidRPr="00C163C4">
        <w:rPr>
          <w:lang w:val="es-ES"/>
        </w:rPr>
        <w:t xml:space="preserve">Aceites San-Lau S.L. </w:t>
      </w:r>
      <w:r>
        <w:rPr>
          <w:lang w:val="es-ES"/>
        </w:rPr>
        <w:t>y</w:t>
      </w:r>
      <w:r w:rsidRPr="00C163C4">
        <w:rPr>
          <w:lang w:val="es-ES"/>
        </w:rPr>
        <w:t xml:space="preserve"> Aceites Triana S.L.</w:t>
      </w:r>
    </w:p>
    <w:p w14:paraId="4AAA1E82" w14:textId="0EC6D446" w:rsidR="00C37323" w:rsidRDefault="00C37323" w:rsidP="00C37323">
      <w:pPr>
        <w:pStyle w:val="Prrafodelista"/>
        <w:numPr>
          <w:ilvl w:val="0"/>
          <w:numId w:val="26"/>
        </w:numPr>
        <w:rPr>
          <w:lang w:val="es-ES"/>
        </w:rPr>
      </w:pPr>
      <w:r>
        <w:rPr>
          <w:lang w:val="es-ES"/>
        </w:rPr>
        <w:t>Asociación QvExtra!</w:t>
      </w:r>
    </w:p>
    <w:p w14:paraId="7CCA3DD2" w14:textId="1F6A7180" w:rsidR="008E6FB5" w:rsidRDefault="008E6FB5" w:rsidP="00C37323">
      <w:pPr>
        <w:pStyle w:val="Prrafodelista"/>
        <w:numPr>
          <w:ilvl w:val="0"/>
          <w:numId w:val="26"/>
        </w:numPr>
        <w:rPr>
          <w:lang w:val="es-ES"/>
        </w:rPr>
      </w:pPr>
      <w:r>
        <w:rPr>
          <w:lang w:val="es-ES"/>
        </w:rPr>
        <w:t>379 alegaciones de consumidores y fabricantes en contra de la prohibición del plástico como material de envasado para el aceite de oliva virgen extra.</w:t>
      </w:r>
    </w:p>
    <w:p w14:paraId="64A7D4D8" w14:textId="5199EB45" w:rsidR="008662EE" w:rsidRDefault="008662EE" w:rsidP="008662EE">
      <w:pPr>
        <w:rPr>
          <w:lang w:val="es-ES"/>
        </w:rPr>
      </w:pPr>
      <w:r>
        <w:rPr>
          <w:lang w:val="es-ES"/>
        </w:rPr>
        <w:t xml:space="preserve">Así mismo, durante este segundo trámite de audiencia e información públicas se ha procedido a </w:t>
      </w:r>
      <w:r w:rsidRPr="00AA2DCC">
        <w:rPr>
          <w:lang w:val="es-ES"/>
        </w:rPr>
        <w:t>recabar directamente la opinión de las organizaciones o asociaciones reconocidas por ley que agrup</w:t>
      </w:r>
      <w:r>
        <w:rPr>
          <w:lang w:val="es-ES"/>
        </w:rPr>
        <w:t>a</w:t>
      </w:r>
      <w:r w:rsidRPr="00AA2DCC">
        <w:rPr>
          <w:lang w:val="es-ES"/>
        </w:rPr>
        <w:t>n o represent</w:t>
      </w:r>
      <w:r>
        <w:rPr>
          <w:lang w:val="es-ES"/>
        </w:rPr>
        <w:t>a</w:t>
      </w:r>
      <w:r w:rsidRPr="00AA2DCC">
        <w:rPr>
          <w:lang w:val="es-ES"/>
        </w:rPr>
        <w:t>n a las personas cuyos derechos o intereses legítimos se v</w:t>
      </w:r>
      <w:r>
        <w:rPr>
          <w:lang w:val="es-ES"/>
        </w:rPr>
        <w:t>e</w:t>
      </w:r>
      <w:r w:rsidRPr="00AA2DCC">
        <w:rPr>
          <w:lang w:val="es-ES"/>
        </w:rPr>
        <w:t>n afectados por la norma y cuyos fines guard</w:t>
      </w:r>
      <w:r>
        <w:rPr>
          <w:lang w:val="es-ES"/>
        </w:rPr>
        <w:t>a</w:t>
      </w:r>
      <w:r w:rsidRPr="00AA2DCC">
        <w:rPr>
          <w:lang w:val="es-ES"/>
        </w:rPr>
        <w:t>n relación directa con</w:t>
      </w:r>
      <w:r>
        <w:rPr>
          <w:lang w:val="es-ES"/>
        </w:rPr>
        <w:t xml:space="preserve"> el</w:t>
      </w:r>
      <w:r w:rsidRPr="00AA2DCC">
        <w:rPr>
          <w:lang w:val="es-ES"/>
        </w:rPr>
        <w:t xml:space="preserve"> objeto</w:t>
      </w:r>
      <w:r>
        <w:rPr>
          <w:lang w:val="es-ES"/>
        </w:rPr>
        <w:t xml:space="preserve"> de ésta.</w:t>
      </w:r>
    </w:p>
    <w:p w14:paraId="159D53B0" w14:textId="77777777" w:rsidR="008662EE" w:rsidRDefault="008662EE" w:rsidP="008662EE">
      <w:pPr>
        <w:rPr>
          <w:lang w:val="es-ES"/>
        </w:rPr>
      </w:pPr>
      <w:r>
        <w:rPr>
          <w:lang w:val="es-ES"/>
        </w:rPr>
        <w:t>Las organizaciones sectoriales que han emitido observaciones como respuesta a esta consulta se recogen en el listado siguiente:</w:t>
      </w:r>
    </w:p>
    <w:p w14:paraId="54FCFEDB" w14:textId="77777777" w:rsidR="00124D4E" w:rsidRPr="004C46D6" w:rsidRDefault="00124D4E" w:rsidP="00124D4E">
      <w:pPr>
        <w:pStyle w:val="Prrafodelista"/>
        <w:numPr>
          <w:ilvl w:val="0"/>
          <w:numId w:val="26"/>
        </w:numPr>
        <w:rPr>
          <w:lang w:val="es-ES"/>
        </w:rPr>
      </w:pPr>
      <w:r w:rsidRPr="00AB52F8">
        <w:rPr>
          <w:lang w:val="es-ES"/>
        </w:rPr>
        <w:t>ANEO-INFAOLIVA-ANIERAC-ASOLIVA</w:t>
      </w:r>
      <w:r>
        <w:rPr>
          <w:lang w:val="es-ES"/>
        </w:rPr>
        <w:t>.</w:t>
      </w:r>
    </w:p>
    <w:p w14:paraId="291991D9" w14:textId="1737B9C7" w:rsidR="00124D4E" w:rsidRDefault="00124D4E" w:rsidP="008662EE">
      <w:pPr>
        <w:pStyle w:val="Prrafodelista"/>
        <w:numPr>
          <w:ilvl w:val="0"/>
          <w:numId w:val="26"/>
        </w:numPr>
        <w:rPr>
          <w:lang w:val="es-ES"/>
        </w:rPr>
      </w:pPr>
      <w:r>
        <w:rPr>
          <w:lang w:val="es-ES"/>
        </w:rPr>
        <w:t>FIAB.</w:t>
      </w:r>
    </w:p>
    <w:p w14:paraId="7B8491A1" w14:textId="77777777" w:rsidR="00124D4E" w:rsidRDefault="00124D4E" w:rsidP="00124D4E">
      <w:pPr>
        <w:pStyle w:val="Prrafodelista"/>
        <w:numPr>
          <w:ilvl w:val="0"/>
          <w:numId w:val="26"/>
        </w:numPr>
        <w:rPr>
          <w:lang w:val="es-ES"/>
        </w:rPr>
      </w:pPr>
      <w:r w:rsidRPr="00EE2FE4">
        <w:rPr>
          <w:lang w:val="es-ES"/>
        </w:rPr>
        <w:t>Cooperativas Agroalimentarias de España</w:t>
      </w:r>
      <w:r>
        <w:rPr>
          <w:lang w:val="es-ES"/>
        </w:rPr>
        <w:t>.</w:t>
      </w:r>
    </w:p>
    <w:p w14:paraId="0630723D" w14:textId="77777777" w:rsidR="00124D4E" w:rsidRDefault="00124D4E" w:rsidP="00124D4E">
      <w:pPr>
        <w:pStyle w:val="Prrafodelista"/>
        <w:numPr>
          <w:ilvl w:val="0"/>
          <w:numId w:val="26"/>
        </w:numPr>
        <w:rPr>
          <w:lang w:val="es-ES"/>
        </w:rPr>
      </w:pPr>
      <w:r>
        <w:rPr>
          <w:lang w:val="es-ES"/>
        </w:rPr>
        <w:t>Almazaras Federadas de España.</w:t>
      </w:r>
    </w:p>
    <w:p w14:paraId="056D9637" w14:textId="77777777" w:rsidR="00124D4E" w:rsidRDefault="00124D4E" w:rsidP="00124D4E">
      <w:pPr>
        <w:pStyle w:val="Prrafodelista"/>
        <w:numPr>
          <w:ilvl w:val="0"/>
          <w:numId w:val="26"/>
        </w:numPr>
        <w:rPr>
          <w:lang w:val="es-ES"/>
        </w:rPr>
      </w:pPr>
      <w:r w:rsidRPr="001C60C7">
        <w:rPr>
          <w:lang w:val="es-ES"/>
        </w:rPr>
        <w:t xml:space="preserve">Sectorial Nacional </w:t>
      </w:r>
      <w:r>
        <w:rPr>
          <w:lang w:val="es-ES"/>
        </w:rPr>
        <w:t>d</w:t>
      </w:r>
      <w:r w:rsidRPr="001C60C7">
        <w:rPr>
          <w:lang w:val="es-ES"/>
        </w:rPr>
        <w:t xml:space="preserve">el Aceite </w:t>
      </w:r>
      <w:r>
        <w:rPr>
          <w:lang w:val="es-ES"/>
        </w:rPr>
        <w:t>d</w:t>
      </w:r>
      <w:r w:rsidRPr="001C60C7">
        <w:rPr>
          <w:lang w:val="es-ES"/>
        </w:rPr>
        <w:t xml:space="preserve">e Oliva Virgen </w:t>
      </w:r>
      <w:r>
        <w:rPr>
          <w:lang w:val="es-ES"/>
        </w:rPr>
        <w:t>c</w:t>
      </w:r>
      <w:r w:rsidRPr="001C60C7">
        <w:rPr>
          <w:lang w:val="es-ES"/>
        </w:rPr>
        <w:t xml:space="preserve">on Denominación </w:t>
      </w:r>
      <w:r>
        <w:rPr>
          <w:lang w:val="es-ES"/>
        </w:rPr>
        <w:t>d</w:t>
      </w:r>
      <w:r w:rsidRPr="001C60C7">
        <w:rPr>
          <w:lang w:val="es-ES"/>
        </w:rPr>
        <w:t>e Origen</w:t>
      </w:r>
      <w:r>
        <w:rPr>
          <w:lang w:val="es-ES"/>
        </w:rPr>
        <w:t>.</w:t>
      </w:r>
    </w:p>
    <w:p w14:paraId="1ECB623D" w14:textId="6E3B8E6D" w:rsidR="00124D4E" w:rsidRDefault="00124D4E" w:rsidP="008662EE">
      <w:pPr>
        <w:pStyle w:val="Prrafodelista"/>
        <w:numPr>
          <w:ilvl w:val="0"/>
          <w:numId w:val="26"/>
        </w:numPr>
        <w:rPr>
          <w:lang w:val="es-ES"/>
        </w:rPr>
      </w:pPr>
      <w:r>
        <w:rPr>
          <w:lang w:val="es-ES"/>
        </w:rPr>
        <w:t>Unión de Uniones y La Unió de Llauradors.</w:t>
      </w:r>
    </w:p>
    <w:p w14:paraId="3F99A179" w14:textId="77777777" w:rsidR="00124D4E" w:rsidRDefault="00124D4E" w:rsidP="00124D4E">
      <w:pPr>
        <w:pStyle w:val="Prrafodelista"/>
        <w:numPr>
          <w:ilvl w:val="0"/>
          <w:numId w:val="26"/>
        </w:numPr>
        <w:rPr>
          <w:lang w:val="es-ES"/>
        </w:rPr>
      </w:pPr>
      <w:r>
        <w:rPr>
          <w:lang w:val="es-ES"/>
        </w:rPr>
        <w:t>UPA.</w:t>
      </w:r>
    </w:p>
    <w:p w14:paraId="522838D5" w14:textId="122C6125" w:rsidR="00124D4E" w:rsidRDefault="00124D4E" w:rsidP="00124D4E">
      <w:pPr>
        <w:pStyle w:val="Prrafodelista"/>
        <w:numPr>
          <w:ilvl w:val="0"/>
          <w:numId w:val="26"/>
        </w:numPr>
        <w:rPr>
          <w:lang w:val="es-ES"/>
        </w:rPr>
      </w:pPr>
      <w:r>
        <w:rPr>
          <w:lang w:val="es-ES"/>
        </w:rPr>
        <w:t>COAG.</w:t>
      </w:r>
    </w:p>
    <w:p w14:paraId="399260D5" w14:textId="2F39E308" w:rsidR="00124D4E" w:rsidRDefault="00124D4E" w:rsidP="008662EE">
      <w:pPr>
        <w:pStyle w:val="Prrafodelista"/>
        <w:numPr>
          <w:ilvl w:val="0"/>
          <w:numId w:val="26"/>
        </w:numPr>
        <w:rPr>
          <w:lang w:val="es-ES"/>
        </w:rPr>
      </w:pPr>
      <w:r>
        <w:rPr>
          <w:lang w:val="es-ES"/>
        </w:rPr>
        <w:t>ASEDAS.</w:t>
      </w:r>
    </w:p>
    <w:p w14:paraId="1D5CDE2B" w14:textId="5AC77D4D" w:rsidR="00124D4E" w:rsidRDefault="00124D4E" w:rsidP="008662EE">
      <w:pPr>
        <w:pStyle w:val="Prrafodelista"/>
        <w:numPr>
          <w:ilvl w:val="0"/>
          <w:numId w:val="26"/>
        </w:numPr>
        <w:rPr>
          <w:lang w:val="es-ES"/>
        </w:rPr>
      </w:pPr>
      <w:r>
        <w:rPr>
          <w:lang w:val="es-ES"/>
        </w:rPr>
        <w:t>ASAJA.</w:t>
      </w:r>
    </w:p>
    <w:p w14:paraId="7EDC4DF6" w14:textId="77777777" w:rsidR="008662EE" w:rsidRDefault="008662EE" w:rsidP="00EF6DD4">
      <w:pPr>
        <w:rPr>
          <w:lang w:val="es-ES"/>
        </w:rPr>
      </w:pPr>
    </w:p>
    <w:p w14:paraId="6120F48A" w14:textId="3E5FAE09" w:rsidR="00EE5284" w:rsidRDefault="00DB2824" w:rsidP="00EE5284">
      <w:pPr>
        <w:rPr>
          <w:lang w:val="es-ES"/>
        </w:rPr>
      </w:pPr>
      <w:r>
        <w:rPr>
          <w:lang w:val="es-ES"/>
        </w:rPr>
        <w:t>Y adicionalmente</w:t>
      </w:r>
      <w:r w:rsidR="00EE5284">
        <w:rPr>
          <w:lang w:val="es-ES"/>
        </w:rPr>
        <w:t xml:space="preserve"> d</w:t>
      </w:r>
      <w:r w:rsidR="00EE5284" w:rsidRPr="004C1AB2">
        <w:rPr>
          <w:lang w:val="es-ES"/>
        </w:rPr>
        <w:t xml:space="preserve">urante el </w:t>
      </w:r>
      <w:r w:rsidR="00EE5284">
        <w:rPr>
          <w:lang w:val="es-ES"/>
        </w:rPr>
        <w:t xml:space="preserve">segundo trámite de audiencia e información públicas se ha procedido a consultar a las Comunidades Autónomas sobre el texto del proyecto de real decreto, de acuerdo con el </w:t>
      </w:r>
      <w:r w:rsidR="00EE5284" w:rsidRPr="00691B32">
        <w:rPr>
          <w:lang w:val="es-ES"/>
        </w:rPr>
        <w:t>art</w:t>
      </w:r>
      <w:r w:rsidR="00EE5284">
        <w:rPr>
          <w:lang w:val="es-ES"/>
        </w:rPr>
        <w:t>ículo</w:t>
      </w:r>
      <w:r w:rsidR="00EE5284" w:rsidRPr="00691B32">
        <w:rPr>
          <w:lang w:val="es-ES"/>
        </w:rPr>
        <w:t xml:space="preserve"> 3.1 k de la Ley 40/2015</w:t>
      </w:r>
      <w:r w:rsidR="00EE5284">
        <w:rPr>
          <w:lang w:val="es-ES"/>
        </w:rPr>
        <w:t>,</w:t>
      </w:r>
      <w:r w:rsidR="00EE5284" w:rsidRPr="00691B32">
        <w:rPr>
          <w:lang w:val="es-ES"/>
        </w:rPr>
        <w:t xml:space="preserve"> de 1 de octubre, de Régimen Jurídico del Sector Público y</w:t>
      </w:r>
      <w:r w:rsidR="00EE5284">
        <w:rPr>
          <w:lang w:val="es-ES"/>
        </w:rPr>
        <w:t xml:space="preserve"> con el</w:t>
      </w:r>
      <w:r w:rsidR="00EE5284" w:rsidRPr="00691B32">
        <w:rPr>
          <w:lang w:val="es-ES"/>
        </w:rPr>
        <w:t xml:space="preserve"> artículo 26 de la Ley 50/1997</w:t>
      </w:r>
      <w:r w:rsidR="00EE5284">
        <w:rPr>
          <w:lang w:val="es-ES"/>
        </w:rPr>
        <w:t xml:space="preserve">, </w:t>
      </w:r>
      <w:r w:rsidR="00EE5284" w:rsidRPr="00535BA7">
        <w:rPr>
          <w:lang w:val="es-ES"/>
        </w:rPr>
        <w:t xml:space="preserve">de 27 de noviembre, </w:t>
      </w:r>
      <w:r w:rsidR="00EE5284" w:rsidRPr="00691B32">
        <w:rPr>
          <w:lang w:val="es-ES"/>
        </w:rPr>
        <w:t>del Gobierno</w:t>
      </w:r>
      <w:r w:rsidR="00EE5284">
        <w:rPr>
          <w:lang w:val="es-ES"/>
        </w:rPr>
        <w:t>.</w:t>
      </w:r>
    </w:p>
    <w:p w14:paraId="4852497E" w14:textId="6C11A52B" w:rsidR="00EE5284" w:rsidRDefault="00EE5284" w:rsidP="00EE5284">
      <w:pPr>
        <w:pStyle w:val="Prrafodelista"/>
        <w:ind w:left="0"/>
        <w:rPr>
          <w:lang w:val="es-ES"/>
        </w:rPr>
      </w:pPr>
      <w:r>
        <w:rPr>
          <w:lang w:val="es-ES"/>
        </w:rPr>
        <w:t xml:space="preserve">En la </w:t>
      </w:r>
      <w:r>
        <w:rPr>
          <w:lang w:val="es-ES"/>
        </w:rPr>
        <w:fldChar w:fldCharType="begin"/>
      </w:r>
      <w:r>
        <w:rPr>
          <w:lang w:val="es-ES"/>
        </w:rPr>
        <w:instrText xml:space="preserve"> REF _Ref45197667 \h </w:instrText>
      </w:r>
      <w:r>
        <w:rPr>
          <w:lang w:val="es-ES"/>
        </w:rPr>
      </w:r>
      <w:r>
        <w:rPr>
          <w:lang w:val="es-ES"/>
        </w:rPr>
        <w:fldChar w:fldCharType="separate"/>
      </w:r>
      <w:r>
        <w:t xml:space="preserve">Tabla </w:t>
      </w:r>
      <w:r>
        <w:rPr>
          <w:noProof/>
        </w:rPr>
        <w:t>3</w:t>
      </w:r>
      <w:r>
        <w:rPr>
          <w:lang w:val="es-ES"/>
        </w:rPr>
        <w:fldChar w:fldCharType="end"/>
      </w:r>
      <w:r>
        <w:rPr>
          <w:lang w:val="es-ES"/>
        </w:rPr>
        <w:t xml:space="preserve"> se resumen las observaciones recibidas de las Comunidades Autónomas que han emitido respuesta.</w:t>
      </w:r>
    </w:p>
    <w:p w14:paraId="1F8A7EFE" w14:textId="040579DE" w:rsidR="00DB2824" w:rsidRDefault="00DB2824" w:rsidP="00EF6DD4">
      <w:pPr>
        <w:rPr>
          <w:lang w:val="es-ES"/>
        </w:rPr>
      </w:pPr>
    </w:p>
    <w:p w14:paraId="13566B52" w14:textId="229B4B14" w:rsidR="00EE5284" w:rsidRPr="00F71254" w:rsidRDefault="00EE5284" w:rsidP="00F71254">
      <w:pPr>
        <w:pStyle w:val="Descripcin"/>
        <w:spacing w:after="0"/>
        <w:jc w:val="center"/>
        <w:rPr>
          <w:b/>
          <w:lang w:val="es-ES"/>
        </w:rPr>
      </w:pPr>
      <w:bookmarkStart w:id="3" w:name="_Ref45197667"/>
      <w:r w:rsidRPr="00F71254">
        <w:rPr>
          <w:b/>
          <w:i w:val="0"/>
          <w:color w:val="auto"/>
        </w:rPr>
        <w:t xml:space="preserve">Tabla </w:t>
      </w:r>
      <w:r w:rsidRPr="00F71254">
        <w:rPr>
          <w:b/>
          <w:i w:val="0"/>
          <w:color w:val="auto"/>
        </w:rPr>
        <w:fldChar w:fldCharType="begin"/>
      </w:r>
      <w:r w:rsidRPr="00F71254">
        <w:rPr>
          <w:b/>
          <w:i w:val="0"/>
          <w:color w:val="auto"/>
        </w:rPr>
        <w:instrText xml:space="preserve"> SEQ Tabla \* ARABIC </w:instrText>
      </w:r>
      <w:r w:rsidRPr="00F71254">
        <w:rPr>
          <w:b/>
          <w:i w:val="0"/>
          <w:color w:val="auto"/>
        </w:rPr>
        <w:fldChar w:fldCharType="separate"/>
      </w:r>
      <w:r w:rsidRPr="00F71254">
        <w:rPr>
          <w:b/>
          <w:i w:val="0"/>
          <w:noProof/>
          <w:color w:val="auto"/>
        </w:rPr>
        <w:t>3</w:t>
      </w:r>
      <w:r w:rsidRPr="00F71254">
        <w:rPr>
          <w:b/>
          <w:i w:val="0"/>
          <w:color w:val="auto"/>
        </w:rPr>
        <w:fldChar w:fldCharType="end"/>
      </w:r>
      <w:bookmarkEnd w:id="3"/>
      <w:r w:rsidRPr="00F71254">
        <w:rPr>
          <w:b/>
          <w:i w:val="0"/>
          <w:color w:val="auto"/>
        </w:rPr>
        <w:t>: Cuadro recopilatorio de observaciones recibidas de las Comunidades Autónomas.</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32"/>
        <w:gridCol w:w="2410"/>
        <w:gridCol w:w="2976"/>
      </w:tblGrid>
      <w:tr w:rsidR="00EE5284" w:rsidRPr="002045C1" w14:paraId="3D7B5DFD" w14:textId="77777777" w:rsidTr="00C91CC3">
        <w:tc>
          <w:tcPr>
            <w:tcW w:w="3432" w:type="dxa"/>
            <w:vAlign w:val="center"/>
          </w:tcPr>
          <w:p w14:paraId="7AE1E283" w14:textId="77777777" w:rsidR="00EE5284" w:rsidRPr="002045C1" w:rsidRDefault="00EE5284" w:rsidP="00C91CC3">
            <w:pPr>
              <w:spacing w:before="0"/>
              <w:jc w:val="center"/>
              <w:rPr>
                <w:rFonts w:cs="Arial"/>
                <w:b/>
                <w:sz w:val="22"/>
                <w:szCs w:val="22"/>
              </w:rPr>
            </w:pPr>
            <w:r>
              <w:rPr>
                <w:rFonts w:cs="Arial"/>
                <w:b/>
                <w:sz w:val="22"/>
                <w:szCs w:val="22"/>
              </w:rPr>
              <w:t>Comunidad Autónoma</w:t>
            </w:r>
          </w:p>
        </w:tc>
        <w:tc>
          <w:tcPr>
            <w:tcW w:w="2410" w:type="dxa"/>
            <w:vAlign w:val="center"/>
          </w:tcPr>
          <w:p w14:paraId="46BBBFEA" w14:textId="77777777" w:rsidR="00EE5284" w:rsidRPr="002045C1" w:rsidRDefault="00EE5284" w:rsidP="00C91CC3">
            <w:pPr>
              <w:spacing w:before="0"/>
              <w:jc w:val="center"/>
              <w:rPr>
                <w:rFonts w:cs="Arial"/>
                <w:b/>
                <w:sz w:val="22"/>
                <w:szCs w:val="22"/>
              </w:rPr>
            </w:pPr>
            <w:r w:rsidRPr="002045C1">
              <w:rPr>
                <w:rFonts w:cs="Arial"/>
                <w:b/>
                <w:sz w:val="22"/>
                <w:szCs w:val="22"/>
              </w:rPr>
              <w:t>Sin observaciones</w:t>
            </w:r>
            <w:r>
              <w:rPr>
                <w:rFonts w:cs="Arial"/>
                <w:b/>
                <w:sz w:val="22"/>
                <w:szCs w:val="22"/>
              </w:rPr>
              <w:t xml:space="preserve"> (S/O)</w:t>
            </w:r>
          </w:p>
        </w:tc>
        <w:tc>
          <w:tcPr>
            <w:tcW w:w="2976" w:type="dxa"/>
            <w:vAlign w:val="center"/>
          </w:tcPr>
          <w:p w14:paraId="2BBE4575" w14:textId="77777777" w:rsidR="00EE5284" w:rsidRPr="002045C1" w:rsidRDefault="00EE5284" w:rsidP="00C91CC3">
            <w:pPr>
              <w:spacing w:before="0"/>
              <w:jc w:val="center"/>
              <w:rPr>
                <w:rFonts w:cs="Arial"/>
                <w:b/>
                <w:sz w:val="22"/>
                <w:szCs w:val="22"/>
              </w:rPr>
            </w:pPr>
            <w:r w:rsidRPr="002045C1">
              <w:rPr>
                <w:rFonts w:cs="Arial"/>
                <w:b/>
                <w:sz w:val="22"/>
                <w:szCs w:val="22"/>
              </w:rPr>
              <w:t>Han emitido observaciones</w:t>
            </w:r>
          </w:p>
        </w:tc>
      </w:tr>
      <w:tr w:rsidR="00EE5284" w:rsidRPr="00916B80" w14:paraId="73761D60" w14:textId="77777777" w:rsidTr="00C91CC3">
        <w:tc>
          <w:tcPr>
            <w:tcW w:w="3432" w:type="dxa"/>
            <w:tcMar>
              <w:top w:w="57" w:type="dxa"/>
              <w:bottom w:w="57" w:type="dxa"/>
            </w:tcMar>
            <w:vAlign w:val="center"/>
          </w:tcPr>
          <w:p w14:paraId="40D18D80" w14:textId="26932B84" w:rsidR="00EE5284" w:rsidRPr="00CF523F" w:rsidRDefault="003614B8" w:rsidP="00C91CC3">
            <w:pPr>
              <w:spacing w:before="0"/>
              <w:rPr>
                <w:rFonts w:cs="Arial"/>
                <w:bCs/>
                <w:sz w:val="22"/>
                <w:szCs w:val="22"/>
              </w:rPr>
            </w:pPr>
            <w:r w:rsidRPr="002A2078">
              <w:rPr>
                <w:rFonts w:cs="Arial"/>
                <w:bCs/>
                <w:sz w:val="22"/>
                <w:szCs w:val="22"/>
              </w:rPr>
              <w:t>Comunidad Autónoma de</w:t>
            </w:r>
            <w:r>
              <w:rPr>
                <w:rFonts w:cs="Arial"/>
                <w:bCs/>
                <w:sz w:val="22"/>
                <w:szCs w:val="22"/>
              </w:rPr>
              <w:t xml:space="preserve"> Andalucía</w:t>
            </w:r>
          </w:p>
        </w:tc>
        <w:tc>
          <w:tcPr>
            <w:tcW w:w="2410" w:type="dxa"/>
            <w:vAlign w:val="center"/>
          </w:tcPr>
          <w:p w14:paraId="422E3221" w14:textId="77777777" w:rsidR="00EE5284" w:rsidRPr="00CF523F" w:rsidRDefault="00EE5284" w:rsidP="00C91CC3">
            <w:pPr>
              <w:spacing w:before="0"/>
              <w:jc w:val="center"/>
              <w:rPr>
                <w:rFonts w:cs="Arial"/>
                <w:bCs/>
                <w:strike/>
                <w:sz w:val="22"/>
                <w:szCs w:val="22"/>
                <w:highlight w:val="cyan"/>
              </w:rPr>
            </w:pPr>
          </w:p>
        </w:tc>
        <w:tc>
          <w:tcPr>
            <w:tcW w:w="2976" w:type="dxa"/>
            <w:vAlign w:val="center"/>
          </w:tcPr>
          <w:p w14:paraId="0145F289" w14:textId="77777777" w:rsidR="00EE5284" w:rsidRPr="00916B80" w:rsidRDefault="00EE5284" w:rsidP="00C91CC3">
            <w:pPr>
              <w:spacing w:before="0"/>
              <w:jc w:val="center"/>
              <w:rPr>
                <w:rFonts w:cs="Arial"/>
                <w:bCs/>
                <w:sz w:val="22"/>
                <w:szCs w:val="22"/>
                <w:highlight w:val="cyan"/>
              </w:rPr>
            </w:pPr>
            <w:r w:rsidRPr="00916B80">
              <w:rPr>
                <w:rFonts w:cs="Arial"/>
                <w:bCs/>
                <w:sz w:val="22"/>
                <w:szCs w:val="22"/>
              </w:rPr>
              <w:t>X</w:t>
            </w:r>
          </w:p>
        </w:tc>
      </w:tr>
      <w:tr w:rsidR="00EE5284" w:rsidRPr="002045C1" w14:paraId="28CED771" w14:textId="77777777" w:rsidTr="00C91CC3">
        <w:trPr>
          <w:trHeight w:val="240"/>
        </w:trPr>
        <w:tc>
          <w:tcPr>
            <w:tcW w:w="3432" w:type="dxa"/>
            <w:tcMar>
              <w:top w:w="57" w:type="dxa"/>
              <w:bottom w:w="57" w:type="dxa"/>
            </w:tcMar>
            <w:vAlign w:val="center"/>
          </w:tcPr>
          <w:p w14:paraId="1551E124" w14:textId="1A255DD2" w:rsidR="00EE5284" w:rsidRPr="002F4752" w:rsidRDefault="003614B8" w:rsidP="00C91CC3">
            <w:pPr>
              <w:spacing w:before="0"/>
              <w:rPr>
                <w:rFonts w:cs="Arial"/>
                <w:sz w:val="22"/>
                <w:szCs w:val="22"/>
              </w:rPr>
            </w:pPr>
            <w:r w:rsidRPr="002A2078">
              <w:rPr>
                <w:rFonts w:cs="Arial"/>
                <w:bCs/>
                <w:sz w:val="22"/>
                <w:szCs w:val="22"/>
              </w:rPr>
              <w:t>Comunidad Autónoma de</w:t>
            </w:r>
            <w:r>
              <w:rPr>
                <w:rFonts w:cs="Arial"/>
                <w:bCs/>
                <w:sz w:val="22"/>
                <w:szCs w:val="22"/>
              </w:rPr>
              <w:t xml:space="preserve"> Aragón</w:t>
            </w:r>
          </w:p>
        </w:tc>
        <w:tc>
          <w:tcPr>
            <w:tcW w:w="2410" w:type="dxa"/>
            <w:vAlign w:val="center"/>
          </w:tcPr>
          <w:p w14:paraId="0136EB70" w14:textId="77777777" w:rsidR="00EE5284" w:rsidRPr="00CF523F" w:rsidRDefault="00EE5284" w:rsidP="00C91CC3">
            <w:pPr>
              <w:spacing w:before="0"/>
              <w:jc w:val="center"/>
              <w:rPr>
                <w:rFonts w:cs="Arial"/>
                <w:highlight w:val="cyan"/>
              </w:rPr>
            </w:pPr>
            <w:r w:rsidRPr="00CF523F">
              <w:rPr>
                <w:rFonts w:cs="Arial"/>
              </w:rPr>
              <w:t>S/O</w:t>
            </w:r>
          </w:p>
        </w:tc>
        <w:tc>
          <w:tcPr>
            <w:tcW w:w="2976" w:type="dxa"/>
            <w:vAlign w:val="center"/>
          </w:tcPr>
          <w:p w14:paraId="32F2D47F" w14:textId="77777777" w:rsidR="00EE5284" w:rsidRPr="002F4752" w:rsidRDefault="00EE5284" w:rsidP="00C91CC3">
            <w:pPr>
              <w:spacing w:before="0"/>
              <w:jc w:val="center"/>
              <w:rPr>
                <w:rFonts w:cs="Arial"/>
                <w:sz w:val="22"/>
                <w:szCs w:val="22"/>
              </w:rPr>
            </w:pPr>
          </w:p>
        </w:tc>
      </w:tr>
      <w:tr w:rsidR="00EE5284" w:rsidRPr="002045C1" w14:paraId="10648758" w14:textId="77777777" w:rsidTr="00C91CC3">
        <w:trPr>
          <w:trHeight w:val="240"/>
        </w:trPr>
        <w:tc>
          <w:tcPr>
            <w:tcW w:w="3432" w:type="dxa"/>
            <w:tcMar>
              <w:top w:w="57" w:type="dxa"/>
              <w:bottom w:w="57" w:type="dxa"/>
            </w:tcMar>
            <w:vAlign w:val="center"/>
          </w:tcPr>
          <w:p w14:paraId="222BDE16" w14:textId="05D918F2" w:rsidR="00EE5284" w:rsidRPr="002F4752" w:rsidRDefault="003614B8" w:rsidP="00C91CC3">
            <w:pPr>
              <w:spacing w:before="0"/>
              <w:rPr>
                <w:rFonts w:cs="Arial"/>
                <w:strike/>
                <w:sz w:val="22"/>
                <w:szCs w:val="22"/>
              </w:rPr>
            </w:pPr>
            <w:r>
              <w:rPr>
                <w:rFonts w:cs="Arial"/>
                <w:bCs/>
                <w:sz w:val="22"/>
                <w:szCs w:val="22"/>
              </w:rPr>
              <w:t>Comunidad Autónoma de Islas Baleares</w:t>
            </w:r>
          </w:p>
        </w:tc>
        <w:tc>
          <w:tcPr>
            <w:tcW w:w="2410" w:type="dxa"/>
            <w:vAlign w:val="center"/>
          </w:tcPr>
          <w:p w14:paraId="07F3AD87" w14:textId="749EA1FA" w:rsidR="00EE5284" w:rsidRPr="002A2078" w:rsidRDefault="00EE5284" w:rsidP="00C91CC3">
            <w:pPr>
              <w:spacing w:before="0"/>
              <w:jc w:val="center"/>
              <w:rPr>
                <w:rFonts w:cs="Arial"/>
                <w:highlight w:val="cyan"/>
              </w:rPr>
            </w:pPr>
          </w:p>
        </w:tc>
        <w:tc>
          <w:tcPr>
            <w:tcW w:w="2976" w:type="dxa"/>
            <w:vAlign w:val="center"/>
          </w:tcPr>
          <w:p w14:paraId="2A54C05D" w14:textId="04B8D827" w:rsidR="00EE5284" w:rsidRPr="002F4752" w:rsidRDefault="003614B8" w:rsidP="00C91CC3">
            <w:pPr>
              <w:spacing w:before="0"/>
              <w:jc w:val="center"/>
              <w:rPr>
                <w:rFonts w:cs="Arial"/>
                <w:sz w:val="22"/>
                <w:szCs w:val="22"/>
              </w:rPr>
            </w:pPr>
            <w:r>
              <w:rPr>
                <w:rFonts w:cs="Arial"/>
                <w:sz w:val="22"/>
                <w:szCs w:val="22"/>
              </w:rPr>
              <w:t>X</w:t>
            </w:r>
          </w:p>
        </w:tc>
      </w:tr>
      <w:tr w:rsidR="003614B8" w:rsidRPr="002045C1" w14:paraId="2FA2B160" w14:textId="77777777" w:rsidTr="00C91CC3">
        <w:trPr>
          <w:trHeight w:val="240"/>
        </w:trPr>
        <w:tc>
          <w:tcPr>
            <w:tcW w:w="3432" w:type="dxa"/>
            <w:tcMar>
              <w:top w:w="57" w:type="dxa"/>
              <w:bottom w:w="57" w:type="dxa"/>
            </w:tcMar>
            <w:vAlign w:val="center"/>
          </w:tcPr>
          <w:p w14:paraId="7BA8E4BD" w14:textId="210AD08E" w:rsidR="003614B8" w:rsidRPr="002A2078" w:rsidRDefault="003614B8" w:rsidP="003614B8">
            <w:pPr>
              <w:spacing w:before="0"/>
              <w:rPr>
                <w:rFonts w:cs="Arial"/>
                <w:bCs/>
                <w:sz w:val="22"/>
                <w:szCs w:val="22"/>
              </w:rPr>
            </w:pPr>
            <w:r>
              <w:rPr>
                <w:rFonts w:cs="Arial"/>
                <w:sz w:val="22"/>
                <w:szCs w:val="22"/>
              </w:rPr>
              <w:t>Comunidad Autónoma de Cantabria</w:t>
            </w:r>
          </w:p>
        </w:tc>
        <w:tc>
          <w:tcPr>
            <w:tcW w:w="2410" w:type="dxa"/>
            <w:vAlign w:val="center"/>
          </w:tcPr>
          <w:p w14:paraId="195C1DD6" w14:textId="60F7DFBB" w:rsidR="003614B8" w:rsidRPr="002A2078" w:rsidRDefault="003614B8" w:rsidP="003614B8">
            <w:pPr>
              <w:spacing w:before="0"/>
              <w:jc w:val="center"/>
              <w:rPr>
                <w:rFonts w:cs="Arial"/>
              </w:rPr>
            </w:pPr>
            <w:r w:rsidRPr="00CF523F">
              <w:rPr>
                <w:rFonts w:cs="Arial"/>
              </w:rPr>
              <w:t>S/O</w:t>
            </w:r>
          </w:p>
        </w:tc>
        <w:tc>
          <w:tcPr>
            <w:tcW w:w="2976" w:type="dxa"/>
            <w:vAlign w:val="center"/>
          </w:tcPr>
          <w:p w14:paraId="7DF15DA6" w14:textId="204EF582" w:rsidR="003614B8" w:rsidRPr="002F4752" w:rsidRDefault="003614B8" w:rsidP="003614B8">
            <w:pPr>
              <w:spacing w:before="0"/>
              <w:jc w:val="center"/>
              <w:rPr>
                <w:rFonts w:cs="Arial"/>
                <w:sz w:val="22"/>
                <w:szCs w:val="22"/>
              </w:rPr>
            </w:pPr>
          </w:p>
        </w:tc>
      </w:tr>
      <w:tr w:rsidR="003614B8" w:rsidRPr="002045C1" w14:paraId="4F8C5593" w14:textId="77777777" w:rsidTr="00C91CC3">
        <w:trPr>
          <w:trHeight w:val="240"/>
        </w:trPr>
        <w:tc>
          <w:tcPr>
            <w:tcW w:w="3432" w:type="dxa"/>
            <w:tcMar>
              <w:top w:w="57" w:type="dxa"/>
              <w:bottom w:w="57" w:type="dxa"/>
            </w:tcMar>
            <w:vAlign w:val="center"/>
          </w:tcPr>
          <w:p w14:paraId="0F7B8453" w14:textId="46738500" w:rsidR="003614B8" w:rsidRPr="002A2078" w:rsidRDefault="003614B8" w:rsidP="003614B8">
            <w:pPr>
              <w:spacing w:before="0"/>
              <w:rPr>
                <w:rFonts w:cs="Arial"/>
                <w:bCs/>
                <w:sz w:val="22"/>
                <w:szCs w:val="22"/>
              </w:rPr>
            </w:pPr>
            <w:r w:rsidRPr="002A2078">
              <w:rPr>
                <w:rFonts w:cs="Arial"/>
                <w:bCs/>
                <w:sz w:val="22"/>
                <w:szCs w:val="22"/>
              </w:rPr>
              <w:t>Comunidad Autónoma de</w:t>
            </w:r>
            <w:r>
              <w:rPr>
                <w:rFonts w:cs="Arial"/>
                <w:bCs/>
                <w:sz w:val="22"/>
                <w:szCs w:val="22"/>
              </w:rPr>
              <w:t xml:space="preserve"> Castilla La Mancha</w:t>
            </w:r>
          </w:p>
        </w:tc>
        <w:tc>
          <w:tcPr>
            <w:tcW w:w="2410" w:type="dxa"/>
            <w:vAlign w:val="center"/>
          </w:tcPr>
          <w:p w14:paraId="10900C78" w14:textId="77777777" w:rsidR="003614B8" w:rsidRPr="002A2078" w:rsidRDefault="003614B8" w:rsidP="003614B8">
            <w:pPr>
              <w:spacing w:before="0"/>
              <w:jc w:val="center"/>
              <w:rPr>
                <w:rFonts w:cs="Arial"/>
              </w:rPr>
            </w:pPr>
          </w:p>
        </w:tc>
        <w:tc>
          <w:tcPr>
            <w:tcW w:w="2976" w:type="dxa"/>
            <w:vAlign w:val="center"/>
          </w:tcPr>
          <w:p w14:paraId="013B006F" w14:textId="77777777" w:rsidR="003614B8" w:rsidRDefault="003614B8" w:rsidP="003614B8">
            <w:pPr>
              <w:spacing w:before="0"/>
              <w:jc w:val="center"/>
              <w:rPr>
                <w:rFonts w:cs="Arial"/>
                <w:sz w:val="22"/>
                <w:szCs w:val="22"/>
              </w:rPr>
            </w:pPr>
            <w:r>
              <w:rPr>
                <w:rFonts w:cs="Arial"/>
                <w:sz w:val="22"/>
                <w:szCs w:val="22"/>
              </w:rPr>
              <w:t>X</w:t>
            </w:r>
          </w:p>
        </w:tc>
      </w:tr>
      <w:tr w:rsidR="003614B8" w:rsidRPr="002045C1" w14:paraId="34BE993A" w14:textId="77777777" w:rsidTr="00C91CC3">
        <w:trPr>
          <w:trHeight w:val="240"/>
        </w:trPr>
        <w:tc>
          <w:tcPr>
            <w:tcW w:w="3432" w:type="dxa"/>
            <w:tcMar>
              <w:top w:w="57" w:type="dxa"/>
              <w:bottom w:w="57" w:type="dxa"/>
            </w:tcMar>
            <w:vAlign w:val="center"/>
          </w:tcPr>
          <w:p w14:paraId="55BBCB88" w14:textId="77777777" w:rsidR="003614B8" w:rsidRDefault="003614B8" w:rsidP="003614B8">
            <w:pPr>
              <w:spacing w:before="0"/>
              <w:rPr>
                <w:rFonts w:cs="Arial"/>
                <w:bCs/>
                <w:sz w:val="22"/>
                <w:szCs w:val="22"/>
              </w:rPr>
            </w:pPr>
            <w:r w:rsidRPr="002A2078">
              <w:rPr>
                <w:rFonts w:cs="Arial"/>
                <w:bCs/>
                <w:sz w:val="22"/>
                <w:szCs w:val="22"/>
              </w:rPr>
              <w:t>Comunidad Autónoma de</w:t>
            </w:r>
            <w:r>
              <w:rPr>
                <w:rFonts w:cs="Arial"/>
                <w:bCs/>
                <w:sz w:val="22"/>
                <w:szCs w:val="22"/>
              </w:rPr>
              <w:t xml:space="preserve"> Galicia</w:t>
            </w:r>
          </w:p>
        </w:tc>
        <w:tc>
          <w:tcPr>
            <w:tcW w:w="2410" w:type="dxa"/>
            <w:vAlign w:val="center"/>
          </w:tcPr>
          <w:p w14:paraId="207C11A0" w14:textId="77777777" w:rsidR="003614B8" w:rsidRPr="002A2078" w:rsidRDefault="003614B8" w:rsidP="003614B8">
            <w:pPr>
              <w:spacing w:before="0"/>
              <w:jc w:val="center"/>
              <w:rPr>
                <w:rFonts w:cs="Arial"/>
              </w:rPr>
            </w:pPr>
          </w:p>
        </w:tc>
        <w:tc>
          <w:tcPr>
            <w:tcW w:w="2976" w:type="dxa"/>
            <w:vAlign w:val="center"/>
          </w:tcPr>
          <w:p w14:paraId="52BCEC35" w14:textId="77777777" w:rsidR="003614B8" w:rsidRDefault="003614B8" w:rsidP="003614B8">
            <w:pPr>
              <w:spacing w:before="0"/>
              <w:jc w:val="center"/>
              <w:rPr>
                <w:rFonts w:cs="Arial"/>
                <w:sz w:val="22"/>
                <w:szCs w:val="22"/>
              </w:rPr>
            </w:pPr>
            <w:r>
              <w:rPr>
                <w:rFonts w:cs="Arial"/>
                <w:sz w:val="22"/>
                <w:szCs w:val="22"/>
              </w:rPr>
              <w:t>X</w:t>
            </w:r>
          </w:p>
        </w:tc>
      </w:tr>
      <w:tr w:rsidR="003614B8" w:rsidRPr="002045C1" w14:paraId="4B46D897" w14:textId="77777777" w:rsidTr="00C91CC3">
        <w:trPr>
          <w:trHeight w:val="240"/>
        </w:trPr>
        <w:tc>
          <w:tcPr>
            <w:tcW w:w="3432" w:type="dxa"/>
            <w:tcMar>
              <w:top w:w="57" w:type="dxa"/>
              <w:bottom w:w="57" w:type="dxa"/>
            </w:tcMar>
            <w:vAlign w:val="center"/>
          </w:tcPr>
          <w:p w14:paraId="0F091619" w14:textId="2F3E71F2" w:rsidR="003614B8" w:rsidRPr="002A2078" w:rsidRDefault="003614B8" w:rsidP="003614B8">
            <w:pPr>
              <w:spacing w:before="0"/>
              <w:rPr>
                <w:rFonts w:cs="Arial"/>
                <w:bCs/>
                <w:sz w:val="22"/>
                <w:szCs w:val="22"/>
              </w:rPr>
            </w:pPr>
            <w:r>
              <w:rPr>
                <w:rFonts w:cs="Arial"/>
                <w:sz w:val="22"/>
                <w:szCs w:val="22"/>
              </w:rPr>
              <w:t>Comunidad Autónoma de Cataluña</w:t>
            </w:r>
          </w:p>
        </w:tc>
        <w:tc>
          <w:tcPr>
            <w:tcW w:w="2410" w:type="dxa"/>
            <w:vAlign w:val="center"/>
          </w:tcPr>
          <w:p w14:paraId="6AA17041" w14:textId="77777777" w:rsidR="003614B8" w:rsidRPr="002A2078" w:rsidRDefault="003614B8" w:rsidP="003614B8">
            <w:pPr>
              <w:spacing w:before="0"/>
              <w:jc w:val="center"/>
              <w:rPr>
                <w:rFonts w:cs="Arial"/>
              </w:rPr>
            </w:pPr>
          </w:p>
        </w:tc>
        <w:tc>
          <w:tcPr>
            <w:tcW w:w="2976" w:type="dxa"/>
            <w:vAlign w:val="center"/>
          </w:tcPr>
          <w:p w14:paraId="4E5C7023" w14:textId="77777777" w:rsidR="003614B8" w:rsidRDefault="003614B8" w:rsidP="003614B8">
            <w:pPr>
              <w:spacing w:before="0"/>
              <w:jc w:val="center"/>
              <w:rPr>
                <w:rFonts w:cs="Arial"/>
                <w:sz w:val="22"/>
                <w:szCs w:val="22"/>
              </w:rPr>
            </w:pPr>
            <w:r>
              <w:rPr>
                <w:rFonts w:cs="Arial"/>
                <w:sz w:val="22"/>
                <w:szCs w:val="22"/>
              </w:rPr>
              <w:t>X</w:t>
            </w:r>
          </w:p>
        </w:tc>
      </w:tr>
      <w:tr w:rsidR="00840049" w:rsidRPr="002045C1" w14:paraId="43061577" w14:textId="77777777" w:rsidTr="00C91CC3">
        <w:trPr>
          <w:trHeight w:val="240"/>
        </w:trPr>
        <w:tc>
          <w:tcPr>
            <w:tcW w:w="3432" w:type="dxa"/>
            <w:tcMar>
              <w:top w:w="57" w:type="dxa"/>
              <w:bottom w:w="57" w:type="dxa"/>
            </w:tcMar>
            <w:vAlign w:val="center"/>
          </w:tcPr>
          <w:p w14:paraId="77EFE594" w14:textId="75F34D9F" w:rsidR="00840049" w:rsidRPr="002A2078" w:rsidRDefault="00840049" w:rsidP="00840049">
            <w:pPr>
              <w:spacing w:before="0"/>
              <w:rPr>
                <w:rFonts w:cs="Arial"/>
                <w:bCs/>
                <w:sz w:val="22"/>
                <w:szCs w:val="22"/>
              </w:rPr>
            </w:pPr>
            <w:r>
              <w:rPr>
                <w:rFonts w:cs="Arial"/>
                <w:sz w:val="22"/>
                <w:szCs w:val="22"/>
              </w:rPr>
              <w:t>Comunidad Autónoma de la Región de Murcia</w:t>
            </w:r>
          </w:p>
        </w:tc>
        <w:tc>
          <w:tcPr>
            <w:tcW w:w="2410" w:type="dxa"/>
            <w:vAlign w:val="center"/>
          </w:tcPr>
          <w:p w14:paraId="49475EF8" w14:textId="77777777" w:rsidR="00840049" w:rsidRPr="002A2078" w:rsidRDefault="00840049" w:rsidP="00840049">
            <w:pPr>
              <w:spacing w:before="0"/>
              <w:jc w:val="center"/>
              <w:rPr>
                <w:rFonts w:cs="Arial"/>
              </w:rPr>
            </w:pPr>
          </w:p>
        </w:tc>
        <w:tc>
          <w:tcPr>
            <w:tcW w:w="2976" w:type="dxa"/>
            <w:vAlign w:val="center"/>
          </w:tcPr>
          <w:p w14:paraId="521321D7" w14:textId="77777777" w:rsidR="00840049" w:rsidRDefault="00840049" w:rsidP="00840049">
            <w:pPr>
              <w:spacing w:before="0"/>
              <w:jc w:val="center"/>
              <w:rPr>
                <w:rFonts w:cs="Arial"/>
                <w:sz w:val="22"/>
                <w:szCs w:val="22"/>
              </w:rPr>
            </w:pPr>
            <w:r>
              <w:rPr>
                <w:rFonts w:cs="Arial"/>
                <w:sz w:val="22"/>
                <w:szCs w:val="22"/>
              </w:rPr>
              <w:t>X</w:t>
            </w:r>
          </w:p>
        </w:tc>
      </w:tr>
    </w:tbl>
    <w:p w14:paraId="447843B9" w14:textId="6BD4760F" w:rsidR="00B63ED9" w:rsidRPr="000D6E76" w:rsidRDefault="00B63ED9" w:rsidP="00B63ED9">
      <w:pPr>
        <w:rPr>
          <w:b/>
          <w:bCs/>
          <w:u w:val="single"/>
          <w:lang w:val="es-ES"/>
        </w:rPr>
      </w:pPr>
      <w:r>
        <w:rPr>
          <w:b/>
          <w:bCs/>
          <w:lang w:val="es-ES"/>
        </w:rPr>
        <w:t>9</w:t>
      </w:r>
      <w:r w:rsidRPr="00522668">
        <w:rPr>
          <w:b/>
          <w:bCs/>
          <w:lang w:val="es-ES"/>
        </w:rPr>
        <w:t xml:space="preserve">. </w:t>
      </w:r>
      <w:r w:rsidRPr="000D6E76">
        <w:rPr>
          <w:b/>
          <w:bCs/>
          <w:u w:val="single"/>
          <w:lang w:val="es-ES"/>
        </w:rPr>
        <w:t>Impacto de las observaciones</w:t>
      </w:r>
    </w:p>
    <w:p w14:paraId="3EF60413" w14:textId="77777777" w:rsidR="00B63ED9" w:rsidRDefault="00B63ED9" w:rsidP="00B63ED9">
      <w:pPr>
        <w:rPr>
          <w:lang w:val="es-ES"/>
        </w:rPr>
      </w:pPr>
      <w:r>
        <w:rPr>
          <w:lang w:val="es-ES"/>
        </w:rPr>
        <w:t xml:space="preserve">Como resultado del trámite de audiencia e información públicas, de las observaciones recabadas durante las consultas a las Comunidades Autónomas y a las organizaciones representativas del sector, así como de los informes emitidos por las Secretarías Generales Técnicas de los distintos Ministerios implicados, se han introducido modificaciones. </w:t>
      </w:r>
    </w:p>
    <w:p w14:paraId="54CAEFE4" w14:textId="50C20992" w:rsidR="00B63ED9" w:rsidRDefault="00B63ED9" w:rsidP="00B63ED9">
      <w:pPr>
        <w:rPr>
          <w:lang w:val="es-ES"/>
        </w:rPr>
      </w:pPr>
      <w:r>
        <w:rPr>
          <w:lang w:val="es-ES"/>
        </w:rPr>
        <w:t>A continuación se detallan los principales cambios al texto de real decreto consultado:</w:t>
      </w:r>
    </w:p>
    <w:p w14:paraId="0861D5F3" w14:textId="77777777" w:rsidR="00B63ED9" w:rsidRDefault="00B63ED9" w:rsidP="00B63ED9">
      <w:pPr>
        <w:rPr>
          <w:lang w:val="es-ES"/>
        </w:rPr>
      </w:pPr>
      <w:r>
        <w:rPr>
          <w:lang w:val="es-ES"/>
        </w:rPr>
        <w:t xml:space="preserve">En primer lugar, cabe mencionar la disconformidad con la incorporación de los términos “suave” e “intenso” en el etiquetado de los aceites de oliva - contiene exclusivamente aceites de oliva refinados y aceites de oliva vírgenes. Las principales alegaciones venían motivadas por una posible confusión en el consumidor en relación con el etiquetado de dichas menciones y por una carencia de métodos de análisis como herramienta en el control oficial. Por estas razones, se ha decidido suprimir del texto los preceptos que daban cabida normativa a estas menciones del etiquetado. </w:t>
      </w:r>
    </w:p>
    <w:p w14:paraId="2C596FC5" w14:textId="77777777" w:rsidR="00B63ED9" w:rsidRDefault="00B63ED9" w:rsidP="00B63ED9">
      <w:pPr>
        <w:rPr>
          <w:lang w:val="es-ES"/>
        </w:rPr>
      </w:pPr>
      <w:r>
        <w:rPr>
          <w:lang w:val="es-ES"/>
        </w:rPr>
        <w:t>En segundo lugar, ante las demandas del sector relativas a la importancia del control de los movimientos de aceite y de que estos movimientos sean notificados con anterioridad a las autoridades, se ha incorporado la obligación de notificar estos movimientos a un sistema de trazabilidad informático y/o telemático, y controlado directamente por la administración. Para responder a esta solicitud y facilitar a los operadores el cumplimiento de esta obligación y a las autoridades competentes el control, el Ministerio de Agricultura, Pesca y Alimentación desarrollará la herramienta. Con ello se contribuirá a reducir el fraude en el transporte de aceites de oliva y de orujo de oliva. Del mismo modo, se han clarificado determinados aspectos en la redacción en relación con las obligaciones asociadas con el mantenimiento de los registros de trazabilidad y los operadores a los que afecta.</w:t>
      </w:r>
    </w:p>
    <w:p w14:paraId="407B65F4" w14:textId="6CC2AAF0" w:rsidR="006067D0" w:rsidRDefault="000678EE" w:rsidP="00EF6DD4">
      <w:pPr>
        <w:rPr>
          <w:rFonts w:cs="Arial"/>
        </w:rPr>
      </w:pPr>
      <w:r>
        <w:rPr>
          <w:lang w:val="es-ES"/>
        </w:rPr>
        <w:t>R</w:t>
      </w:r>
      <w:r w:rsidR="006067D0">
        <w:rPr>
          <w:lang w:val="es-ES"/>
        </w:rPr>
        <w:t>especto de las obligaciones específicas de las instalaciones,</w:t>
      </w:r>
      <w:r w:rsidR="00747013">
        <w:rPr>
          <w:lang w:val="es-ES"/>
        </w:rPr>
        <w:t xml:space="preserve"> ante las demandas del sector y con el fin de evitar el elevado impacto económico que supondría su cumplimiento para las instalaciones afectadas,</w:t>
      </w:r>
      <w:r w:rsidR="006067D0">
        <w:rPr>
          <w:lang w:val="es-ES"/>
        </w:rPr>
        <w:t xml:space="preserve"> se ha eliminado la obligatoriedad de cumplir con el requisito de la separación de instalaciones</w:t>
      </w:r>
      <w:r w:rsidR="00747013">
        <w:rPr>
          <w:lang w:val="es-ES"/>
        </w:rPr>
        <w:t xml:space="preserve"> dentro de un periodo transitorio</w:t>
      </w:r>
      <w:r w:rsidR="006067D0">
        <w:rPr>
          <w:lang w:val="es-ES"/>
        </w:rPr>
        <w:t xml:space="preserve"> a aquellas </w:t>
      </w:r>
      <w:r w:rsidR="00747013">
        <w:rPr>
          <w:lang w:val="es-ES"/>
        </w:rPr>
        <w:t xml:space="preserve">que a la entrada en vigor de la norma no estén debidamente separadas, de modo que dicha obligación de separación sólo será aplicable a las instalaciones de nueva implantación a partir de la entrada en vigor de la norma. Con el objetivo no obstante de evitar posibles prácticas fraudulentas derivadas de la no separación de estas instalaciones, se incrementarán las obligaciones de declaración a las que éstas estarán sometidas, de tal manera que será obligatorio notificar </w:t>
      </w:r>
      <w:r w:rsidR="00747013">
        <w:rPr>
          <w:rFonts w:cs="Arial"/>
        </w:rPr>
        <w:t>los movimientos de aceites de oliva y de orujo de oliva que se produzcan entre las almazaras, refinerías y extractoras ubicadas en la misma instalación; y anualmente deberán</w:t>
      </w:r>
      <w:r w:rsidR="00264707">
        <w:rPr>
          <w:rFonts w:cs="Arial"/>
        </w:rPr>
        <w:t xml:space="preserve"> además</w:t>
      </w:r>
      <w:r w:rsidR="00747013">
        <w:rPr>
          <w:rFonts w:cs="Arial"/>
        </w:rPr>
        <w:t xml:space="preserve"> elaborar un informe dirigido a las autoridades competentes de control en el que se haga</w:t>
      </w:r>
      <w:r w:rsidR="00264707">
        <w:rPr>
          <w:rFonts w:cs="Arial"/>
        </w:rPr>
        <w:t>n</w:t>
      </w:r>
      <w:r w:rsidR="00747013">
        <w:rPr>
          <w:rFonts w:cs="Arial"/>
        </w:rPr>
        <w:t xml:space="preserve"> constar de manera clara los balances de masa respecto a cada categoría de aceite que produzcan, almacenen o comercialicen</w:t>
      </w:r>
      <w:r w:rsidR="00264707">
        <w:rPr>
          <w:rFonts w:cs="Arial"/>
        </w:rPr>
        <w:t>.</w:t>
      </w:r>
    </w:p>
    <w:p w14:paraId="2406ACAF" w14:textId="77777777" w:rsidR="000678EE" w:rsidRDefault="000678EE" w:rsidP="000678EE">
      <w:pPr>
        <w:rPr>
          <w:lang w:val="es-ES"/>
        </w:rPr>
      </w:pPr>
      <w:r>
        <w:rPr>
          <w:lang w:val="es-ES"/>
        </w:rPr>
        <w:t xml:space="preserve">Por otra parte, se ha procedido a introducir en el texto la prohibición de comercialización </w:t>
      </w:r>
      <w:r w:rsidRPr="00601F0C">
        <w:rPr>
          <w:lang w:val="es-ES"/>
        </w:rPr>
        <w:t xml:space="preserve">de los aceites de oliva virgen extra </w:t>
      </w:r>
      <w:r>
        <w:rPr>
          <w:lang w:val="es-ES"/>
        </w:rPr>
        <w:t>comercializados en el canal de comercio minorista</w:t>
      </w:r>
      <w:r w:rsidRPr="00601F0C">
        <w:rPr>
          <w:lang w:val="es-ES"/>
        </w:rPr>
        <w:t xml:space="preserve"> en recipientes de plástico</w:t>
      </w:r>
      <w:r>
        <w:rPr>
          <w:lang w:val="es-ES"/>
        </w:rPr>
        <w:t xml:space="preserve">. Esta medida es de gran utilidad en vistas a poner en valor la excepcional calidad de estos aceites pertenecientes a la categoría superior de los aceites de oliva, lo que se estima como un mecanismo que contribuirá a mejorar considerablemente la imagen e incrementar el valor de los aceites de oliva virgen extras, y que por tanto coadyuvará a superar la grave crisis de precios que atraviesa el sector actualmente. Adicionalmente, esta medida tiene un impacto medioambiental muy positivo al contribuir a reducir el uso de plásticos, sustituyéndolos por un material inerte y de mucho menor impacto, y por tanto introduciendo a este sector en la senda de los objetivos de desarrollo sostenible y la transición hacia una economía medioambiental y sostenible. La entrada en aplicación de esta prohibición se prevé para 2024 </w:t>
      </w:r>
      <w:r w:rsidRPr="00B63ED9">
        <w:rPr>
          <w:lang w:val="es-ES"/>
        </w:rPr>
        <w:t>para los envases de hasta un litro y a partir del 1 de enero de 2025 para el resto de los envases.</w:t>
      </w:r>
    </w:p>
    <w:p w14:paraId="6E8FF714" w14:textId="77777777" w:rsidR="000678EE" w:rsidRDefault="000678EE" w:rsidP="00EF6DD4">
      <w:pPr>
        <w:rPr>
          <w:rFonts w:cs="Arial"/>
        </w:rPr>
      </w:pPr>
    </w:p>
    <w:p w14:paraId="4DDCC959" w14:textId="4A85FC39" w:rsidR="00B3784C" w:rsidRDefault="00C91CC3" w:rsidP="00EF6DD4">
      <w:pPr>
        <w:rPr>
          <w:rFonts w:cs="Arial"/>
        </w:rPr>
      </w:pPr>
      <w:r>
        <w:rPr>
          <w:rFonts w:cs="Arial"/>
        </w:rPr>
        <w:t>Por otra parte, a la vista de la problemática que se puede suscitar en materia de competencia, y con el fin de garantizar la coherencia con la legislación comunitaria, se han eliminado del texto las reglas en relación con la tolerancia admitida en las indicaciones facultativas del etiquetado.</w:t>
      </w:r>
    </w:p>
    <w:p w14:paraId="139FBF67" w14:textId="2F23AFC7" w:rsidR="00CB2DFD" w:rsidRPr="00386E60" w:rsidRDefault="00CB2DFD" w:rsidP="00CB2DFD">
      <w:pPr>
        <w:rPr>
          <w:rFonts w:cs="Arial"/>
        </w:rPr>
      </w:pPr>
      <w:r>
        <w:rPr>
          <w:rFonts w:cs="Arial"/>
        </w:rPr>
        <w:t xml:space="preserve">Además, </w:t>
      </w:r>
      <w:r w:rsidR="001B6782">
        <w:rPr>
          <w:rFonts w:cs="Arial"/>
        </w:rPr>
        <w:t xml:space="preserve">debido a las implicaciones fiscales que pudieran derivarse de la anterior definición, </w:t>
      </w:r>
      <w:r>
        <w:rPr>
          <w:rFonts w:cs="Arial"/>
        </w:rPr>
        <w:t>se ha corregido la definición de “</w:t>
      </w:r>
      <w:r w:rsidR="001B6782">
        <w:rPr>
          <w:rFonts w:cs="Arial"/>
        </w:rPr>
        <w:t>c</w:t>
      </w:r>
      <w:r>
        <w:rPr>
          <w:rFonts w:cs="Arial"/>
        </w:rPr>
        <w:t>osechero”, haciendo hincapié en que se trata de un agricultor, y por tanto es el titular de la explotación olivarera, que produce aceituna,</w:t>
      </w:r>
      <w:r w:rsidR="001B6782">
        <w:rPr>
          <w:rFonts w:cs="Arial"/>
        </w:rPr>
        <w:t xml:space="preserve"> y al que la almazara únicamente presta servicio de molturación, por lo que el cosechero conserva la propiedad sobre el aceite de oliva virgen extraído</w:t>
      </w:r>
      <w:r>
        <w:rPr>
          <w:rFonts w:cs="Arial"/>
        </w:rPr>
        <w:t xml:space="preserve">. En la actualidad es la </w:t>
      </w:r>
      <w:r w:rsidRPr="00CB2DFD">
        <w:rPr>
          <w:rFonts w:cs="Arial"/>
        </w:rPr>
        <w:t>Orden de 12 de diciembre de 1984</w:t>
      </w:r>
      <w:r>
        <w:rPr>
          <w:rFonts w:cs="Arial"/>
        </w:rPr>
        <w:t xml:space="preserve"> la que regula la </w:t>
      </w:r>
      <w:r w:rsidRPr="00CB2DFD">
        <w:rPr>
          <w:rFonts w:cs="Arial"/>
        </w:rPr>
        <w:t>entrega de aceite de oliva virgen por las almazaras a sus cosecheros para autoconsumo.</w:t>
      </w:r>
      <w:r>
        <w:rPr>
          <w:rFonts w:cs="Arial"/>
        </w:rPr>
        <w:t xml:space="preserve"> </w:t>
      </w:r>
      <w:r>
        <w:rPr>
          <w:rFonts w:cs="Arial"/>
          <w:lang w:val="es-ES"/>
        </w:rPr>
        <w:t>En ocasiones las almazaras efectúan</w:t>
      </w:r>
      <w:r w:rsidRPr="00CB2DFD">
        <w:rPr>
          <w:rFonts w:cs="Arial"/>
          <w:lang w:val="es-ES"/>
        </w:rPr>
        <w:t xml:space="preserve"> </w:t>
      </w:r>
      <w:r w:rsidR="00386E60" w:rsidRPr="00CB2DFD">
        <w:rPr>
          <w:rFonts w:cs="Arial"/>
          <w:lang w:val="es-ES"/>
        </w:rPr>
        <w:t xml:space="preserve">suministros de aceite de oliva virgen directamente a </w:t>
      </w:r>
      <w:r w:rsidR="00386E60">
        <w:rPr>
          <w:rFonts w:cs="Arial"/>
          <w:lang w:val="es-ES"/>
        </w:rPr>
        <w:t>cosecheros</w:t>
      </w:r>
      <w:r w:rsidR="00386E60" w:rsidRPr="00CB2DFD">
        <w:rPr>
          <w:rFonts w:cs="Arial"/>
          <w:lang w:val="es-ES"/>
        </w:rPr>
        <w:t xml:space="preserve"> que en su día entregaron aceituna para su molturación.</w:t>
      </w:r>
      <w:r w:rsidR="00386E60">
        <w:rPr>
          <w:rFonts w:cs="Arial"/>
          <w:lang w:val="es-ES"/>
        </w:rPr>
        <w:t xml:space="preserve"> L</w:t>
      </w:r>
      <w:r w:rsidR="00386E60" w:rsidRPr="00CB2DFD">
        <w:rPr>
          <w:rFonts w:cs="Arial"/>
          <w:lang w:val="es-ES"/>
        </w:rPr>
        <w:t>os suministros a cosecheros que entregan aceituna a almazaras suponen simplemente la entrega del aceite a sus propietarios, ya que no ha habido venta de aceitunas</w:t>
      </w:r>
      <w:r w:rsidRPr="00CB2DFD">
        <w:rPr>
          <w:rFonts w:cs="Arial"/>
          <w:lang w:val="es-ES"/>
        </w:rPr>
        <w:t>.</w:t>
      </w:r>
      <w:r w:rsidR="00386E60">
        <w:rPr>
          <w:rFonts w:cs="Arial"/>
          <w:lang w:val="es-ES"/>
        </w:rPr>
        <w:t xml:space="preserve"> En estos casos, el cosechero, según el uso que haga del aceite entregado, será o bien un consumidor final al </w:t>
      </w:r>
      <w:r w:rsidR="00386E60" w:rsidRPr="00386E60">
        <w:rPr>
          <w:rFonts w:cs="Arial"/>
          <w:lang w:val="es-ES"/>
        </w:rPr>
        <w:t>que se le entrega su aceite con todas las garantías</w:t>
      </w:r>
      <w:r w:rsidR="00386E60">
        <w:rPr>
          <w:rFonts w:cs="Arial"/>
          <w:lang w:val="es-ES"/>
        </w:rPr>
        <w:t>, cuando el aceite va</w:t>
      </w:r>
      <w:r w:rsidR="001B6782">
        <w:rPr>
          <w:rFonts w:cs="Arial"/>
          <w:lang w:val="es-ES"/>
        </w:rPr>
        <w:t>ya</w:t>
      </w:r>
      <w:r w:rsidR="00386E60">
        <w:rPr>
          <w:rFonts w:cs="Arial"/>
          <w:lang w:val="es-ES"/>
        </w:rPr>
        <w:t xml:space="preserve"> a ser destinado al autoconsumo; o bien un operador, cuando dicho aceite vaya a ser comercializado. La definición de cosechero y las disposiciones que le son aplicables a lo largo del texto tienen por objetivo garantizar que se cumplen las debidas obligaciones en cualquiera de los dos casos en los que se encuentre el cosechero en cuestión.</w:t>
      </w:r>
    </w:p>
    <w:p w14:paraId="6B6C859B" w14:textId="05CB9A40" w:rsidR="00B03E26" w:rsidRDefault="00996078" w:rsidP="00F71254">
      <w:pPr>
        <w:spacing w:after="240"/>
        <w:rPr>
          <w:shd w:val="clear" w:color="auto" w:fill="FFFFFF"/>
        </w:rPr>
      </w:pPr>
      <w:r>
        <w:rPr>
          <w:rFonts w:cs="Arial"/>
        </w:rPr>
        <w:t xml:space="preserve">Asimismo, y con el fin de disipar las dudas que pudieran surgir en relación con la definición de operador, se ha introducido en el preámbulo un inciso, aclarando que quedan incluidos en esta definición todas las personas físicas o jurídicas que intervengan en cualquier modo y cualquiera de las etapas </w:t>
      </w:r>
      <w:r w:rsidRPr="00C17E00">
        <w:rPr>
          <w:shd w:val="clear" w:color="auto" w:fill="FFFFFF"/>
        </w:rPr>
        <w:t xml:space="preserve">de la producción y comercialización de los aceites de oliva y de orujo de oliva, </w:t>
      </w:r>
      <w:r>
        <w:rPr>
          <w:shd w:val="clear" w:color="auto" w:fill="FFFFFF"/>
        </w:rPr>
        <w:t>y que por tanto estarán también comprendidos en esta definición</w:t>
      </w:r>
      <w:r w:rsidRPr="00C17E00">
        <w:rPr>
          <w:shd w:val="clear" w:color="auto" w:fill="FFFFFF"/>
        </w:rPr>
        <w:t xml:space="preserve"> los centros de compra de aceituna, las cooperativas o las almazaras móviles</w:t>
      </w:r>
      <w:r>
        <w:rPr>
          <w:shd w:val="clear" w:color="auto" w:fill="FFFFFF"/>
        </w:rPr>
        <w:t>.</w:t>
      </w:r>
    </w:p>
    <w:p w14:paraId="05D1117A" w14:textId="77777777" w:rsidR="000678EE" w:rsidRDefault="000678EE" w:rsidP="000678EE">
      <w:pPr>
        <w:rPr>
          <w:lang w:val="es-ES"/>
        </w:rPr>
      </w:pPr>
      <w:r>
        <w:rPr>
          <w:lang w:val="es-ES"/>
        </w:rPr>
        <w:t>Cabe destacar asimismo que muchas de las observaciones han implicado cambios menores que mejoran el contenido y la comprensión del texto legal.</w:t>
      </w:r>
    </w:p>
    <w:p w14:paraId="4098310A" w14:textId="77777777" w:rsidR="000678EE" w:rsidRPr="00202D70" w:rsidRDefault="000678EE" w:rsidP="000678EE">
      <w:pPr>
        <w:rPr>
          <w:lang w:val="es-ES"/>
        </w:rPr>
      </w:pPr>
      <w:r>
        <w:rPr>
          <w:lang w:val="es-ES"/>
        </w:rPr>
        <w:t xml:space="preserve">Se adjunta a esta memoria un Anexo en el que se recogen de manera pormenorizada las observaciones recibidas durante la tramitación y la evaluación y consideración a cada una de ellas. </w:t>
      </w:r>
    </w:p>
    <w:p w14:paraId="6EE9438B" w14:textId="77777777" w:rsidR="000678EE" w:rsidRDefault="000678EE" w:rsidP="00F71254">
      <w:pPr>
        <w:spacing w:after="240"/>
        <w:rPr>
          <w:lang w:val="es-ES"/>
        </w:rPr>
      </w:pPr>
    </w:p>
    <w:p w14:paraId="20FD93C6" w14:textId="5EE052CF" w:rsidR="009E41E2" w:rsidRDefault="000B1CC6" w:rsidP="00CF523F">
      <w:pPr>
        <w:rPr>
          <w:b/>
          <w:lang w:val="es-ES"/>
        </w:rPr>
      </w:pPr>
      <w:r>
        <w:rPr>
          <w:b/>
          <w:lang w:val="es-ES"/>
        </w:rPr>
        <w:t>10</w:t>
      </w:r>
      <w:r w:rsidR="009E41E2" w:rsidRPr="00522668">
        <w:rPr>
          <w:b/>
          <w:lang w:val="es-ES"/>
        </w:rPr>
        <w:t>.</w:t>
      </w:r>
      <w:r w:rsidR="009E41E2" w:rsidRPr="00522668">
        <w:t xml:space="preserve"> </w:t>
      </w:r>
      <w:r w:rsidR="009E41E2" w:rsidRPr="00CF523F">
        <w:rPr>
          <w:b/>
          <w:u w:val="single"/>
          <w:lang w:val="es-ES"/>
        </w:rPr>
        <w:t>Informe de la Comisión Interministerial para la Ordenación Alimentaria</w:t>
      </w:r>
      <w:r w:rsidR="009E41E2">
        <w:rPr>
          <w:b/>
          <w:lang w:val="es-ES"/>
        </w:rPr>
        <w:t xml:space="preserve"> </w:t>
      </w:r>
    </w:p>
    <w:p w14:paraId="7D3FD8F7" w14:textId="53F0A14C" w:rsidR="00451A30" w:rsidRDefault="00451A30" w:rsidP="00F71254">
      <w:pPr>
        <w:spacing w:after="240"/>
        <w:rPr>
          <w:bCs/>
          <w:lang w:val="es-ES"/>
        </w:rPr>
      </w:pPr>
      <w:r>
        <w:rPr>
          <w:bCs/>
          <w:lang w:val="es-ES"/>
        </w:rPr>
        <w:t>E</w:t>
      </w:r>
      <w:r w:rsidRPr="00451A30">
        <w:rPr>
          <w:bCs/>
          <w:lang w:val="es-ES"/>
        </w:rPr>
        <w:t>n la sesión celebrada por el Pleno de la Comisión Interministerial para la Ordenación</w:t>
      </w:r>
      <w:r>
        <w:rPr>
          <w:bCs/>
          <w:lang w:val="es-ES"/>
        </w:rPr>
        <w:t xml:space="preserve"> </w:t>
      </w:r>
      <w:r w:rsidRPr="00451A30">
        <w:rPr>
          <w:bCs/>
          <w:lang w:val="es-ES"/>
        </w:rPr>
        <w:t>Alimentaria el 14 de julio de dos mil veinte se sometió a la consideración de los asistentes en el Punto</w:t>
      </w:r>
      <w:r>
        <w:rPr>
          <w:bCs/>
          <w:lang w:val="es-ES"/>
        </w:rPr>
        <w:t xml:space="preserve"> </w:t>
      </w:r>
      <w:r w:rsidRPr="00451A30">
        <w:rPr>
          <w:bCs/>
          <w:lang w:val="es-ES"/>
        </w:rPr>
        <w:t>2.1. del orden del día, el Proyecto de Real Decreto, por el que se aprueba la Norma de Calidad</w:t>
      </w:r>
      <w:r>
        <w:rPr>
          <w:bCs/>
          <w:lang w:val="es-ES"/>
        </w:rPr>
        <w:t xml:space="preserve"> </w:t>
      </w:r>
      <w:r w:rsidRPr="00451A30">
        <w:rPr>
          <w:bCs/>
          <w:lang w:val="es-ES"/>
        </w:rPr>
        <w:t>de los Aceites de Oliva y de Orujo de Oliva, habiendo recibido Informe favorable</w:t>
      </w:r>
      <w:r w:rsidR="00341FD5">
        <w:rPr>
          <w:bCs/>
          <w:lang w:val="es-ES"/>
        </w:rPr>
        <w:t xml:space="preserve"> de fecha 15 de julio de 2020</w:t>
      </w:r>
      <w:r>
        <w:rPr>
          <w:bCs/>
          <w:lang w:val="es-ES"/>
        </w:rPr>
        <w:t>.</w:t>
      </w:r>
    </w:p>
    <w:p w14:paraId="5168C6BC" w14:textId="41147D22" w:rsidR="00341FD5" w:rsidRPr="00FC04DD" w:rsidRDefault="00341FD5" w:rsidP="00F71254">
      <w:pPr>
        <w:spacing w:after="240"/>
        <w:rPr>
          <w:bCs/>
          <w:lang w:val="es-ES"/>
        </w:rPr>
      </w:pPr>
      <w:r>
        <w:rPr>
          <w:bCs/>
          <w:lang w:val="es-ES"/>
        </w:rPr>
        <w:t xml:space="preserve">Como consecuencia de las alegaciones presentadas por el sector, se ha introducido con posterioridad a la celebración de la citada reunión </w:t>
      </w:r>
      <w:r w:rsidR="00F44124">
        <w:rPr>
          <w:bCs/>
          <w:lang w:val="es-ES"/>
        </w:rPr>
        <w:t xml:space="preserve">una </w:t>
      </w:r>
      <w:r>
        <w:rPr>
          <w:bCs/>
          <w:lang w:val="es-ES"/>
        </w:rPr>
        <w:t>modificaci</w:t>
      </w:r>
      <w:r w:rsidR="00F44124">
        <w:rPr>
          <w:bCs/>
          <w:lang w:val="es-ES"/>
        </w:rPr>
        <w:t>ón</w:t>
      </w:r>
      <w:r>
        <w:rPr>
          <w:bCs/>
          <w:lang w:val="es-ES"/>
        </w:rPr>
        <w:t xml:space="preserve"> en el texto para aumentar el período transitorio en relación con la prohibición del envasado en recipientes de plástico. </w:t>
      </w:r>
    </w:p>
    <w:p w14:paraId="2034AC9A" w14:textId="4763838D" w:rsidR="00676019" w:rsidRDefault="0061109A" w:rsidP="00F71254">
      <w:pPr>
        <w:rPr>
          <w:lang w:val="es-ES"/>
        </w:rPr>
      </w:pPr>
      <w:r>
        <w:rPr>
          <w:b/>
          <w:lang w:val="es-ES"/>
        </w:rPr>
        <w:t>1</w:t>
      </w:r>
      <w:r w:rsidR="000B1CC6">
        <w:rPr>
          <w:b/>
          <w:lang w:val="es-ES"/>
        </w:rPr>
        <w:t>1</w:t>
      </w:r>
      <w:r w:rsidR="00676019" w:rsidRPr="00522668">
        <w:rPr>
          <w:b/>
          <w:lang w:val="es-ES"/>
        </w:rPr>
        <w:t xml:space="preserve">. </w:t>
      </w:r>
      <w:r w:rsidR="00676019" w:rsidRPr="00F44124">
        <w:rPr>
          <w:b/>
          <w:u w:val="single"/>
          <w:lang w:val="es-ES"/>
        </w:rPr>
        <w:t xml:space="preserve">Cumplimiento de trámites </w:t>
      </w:r>
      <w:r w:rsidR="00676019" w:rsidRPr="00F44124">
        <w:rPr>
          <w:b/>
          <w:bCs/>
          <w:u w:val="single"/>
          <w:lang w:val="es-ES"/>
        </w:rPr>
        <w:t>preceptivos</w:t>
      </w:r>
      <w:r w:rsidR="00676019" w:rsidRPr="00F44124">
        <w:rPr>
          <w:b/>
          <w:u w:val="single"/>
          <w:lang w:val="es-ES"/>
        </w:rPr>
        <w:t xml:space="preserve"> en Derecho de la Unión Europea</w:t>
      </w:r>
      <w:r>
        <w:rPr>
          <w:b/>
          <w:lang w:val="es-ES"/>
        </w:rPr>
        <w:t xml:space="preserve"> </w:t>
      </w:r>
      <w:r w:rsidR="00676019" w:rsidRPr="00CF523F">
        <w:rPr>
          <w:color w:val="FF0000"/>
          <w:lang w:val="es-ES"/>
        </w:rPr>
        <w:t>PENDIENTE</w:t>
      </w:r>
    </w:p>
    <w:p w14:paraId="07B87DD4" w14:textId="77777777" w:rsidR="007B7A2A" w:rsidRDefault="007B7A2A" w:rsidP="007B7A2A">
      <w:pPr>
        <w:pStyle w:val="Prrafodelista"/>
        <w:numPr>
          <w:ilvl w:val="0"/>
          <w:numId w:val="27"/>
        </w:numPr>
        <w:spacing w:before="0"/>
        <w:ind w:left="426" w:hanging="284"/>
        <w:contextualSpacing w:val="0"/>
        <w:rPr>
          <w:rFonts w:cs="Arial"/>
          <w:iCs/>
          <w:szCs w:val="24"/>
        </w:rPr>
      </w:pPr>
      <w:r w:rsidRPr="0052324F">
        <w:rPr>
          <w:rFonts w:cs="Arial"/>
          <w:iCs/>
          <w:szCs w:val="24"/>
        </w:rPr>
        <w:t xml:space="preserve">Notificación a la Comisión Europea, de conformidad con la Directiva 2015/1535/UE del Parlamento Europeo y del Consejo, de 9 de septiembre de 2015, por la que se establece un procedimiento de información en materia de reglamentaciones técnicas y de reglas relativas a los servicios de la sociedad de la información. </w:t>
      </w:r>
    </w:p>
    <w:p w14:paraId="2EDC1903" w14:textId="4BBFD282" w:rsidR="007B7A2A" w:rsidRDefault="007B7A2A" w:rsidP="007B7A2A">
      <w:pPr>
        <w:pStyle w:val="Prrafodelista"/>
        <w:numPr>
          <w:ilvl w:val="0"/>
          <w:numId w:val="27"/>
        </w:numPr>
        <w:spacing w:before="0"/>
        <w:ind w:left="426" w:hanging="284"/>
        <w:contextualSpacing w:val="0"/>
        <w:rPr>
          <w:rFonts w:cs="Arial"/>
          <w:iCs/>
          <w:szCs w:val="24"/>
        </w:rPr>
      </w:pPr>
      <w:r w:rsidRPr="0052324F">
        <w:rPr>
          <w:rFonts w:cs="Arial"/>
          <w:iCs/>
          <w:szCs w:val="24"/>
        </w:rPr>
        <w:t>Asimismo, la norma se ha notificado de conformidad con el artículo 45 del Reglamento (UE) 1169/2011 del Parlamento Europeo y del Consejo, de 25 de octubre de 2011, sobre la información alimentaria facilitada al consumidor (RIAC), por contener disposiciones obligatorias sobre información alimentaria.</w:t>
      </w:r>
    </w:p>
    <w:p w14:paraId="4EBCD802" w14:textId="131CA8F9" w:rsidR="008D0FCF" w:rsidRDefault="008D0FCF" w:rsidP="008D0FCF">
      <w:pPr>
        <w:spacing w:before="0"/>
        <w:rPr>
          <w:rFonts w:cs="Arial"/>
          <w:iCs/>
          <w:szCs w:val="24"/>
        </w:rPr>
      </w:pPr>
    </w:p>
    <w:p w14:paraId="31AEA24B" w14:textId="77777777" w:rsidR="008D0FCF" w:rsidRDefault="008D0FCF" w:rsidP="008D0FCF">
      <w:pPr>
        <w:spacing w:before="0"/>
        <w:rPr>
          <w:rFonts w:cs="Arial"/>
          <w:iCs/>
          <w:szCs w:val="24"/>
        </w:rPr>
      </w:pPr>
    </w:p>
    <w:p w14:paraId="3BED043F" w14:textId="4FBAA1DF" w:rsidR="008D0FCF" w:rsidRPr="008D0FCF" w:rsidRDefault="005504F1" w:rsidP="000D6E76">
      <w:pPr>
        <w:spacing w:before="0"/>
        <w:rPr>
          <w:rFonts w:cs="Arial"/>
          <w:iCs/>
          <w:szCs w:val="24"/>
        </w:rPr>
      </w:pPr>
      <w:r>
        <w:rPr>
          <w:b/>
          <w:lang w:val="es-ES"/>
        </w:rPr>
        <w:t>1</w:t>
      </w:r>
      <w:r w:rsidR="000B1CC6">
        <w:rPr>
          <w:b/>
          <w:lang w:val="es-ES"/>
        </w:rPr>
        <w:t>2</w:t>
      </w:r>
      <w:r w:rsidR="008D0FCF" w:rsidRPr="000D6E76">
        <w:rPr>
          <w:b/>
          <w:lang w:val="es-ES"/>
        </w:rPr>
        <w:t xml:space="preserve">. </w:t>
      </w:r>
      <w:r w:rsidR="008D0FCF" w:rsidRPr="00522668">
        <w:rPr>
          <w:b/>
          <w:u w:val="single"/>
          <w:lang w:val="es-ES"/>
        </w:rPr>
        <w:t>Cumplimiento de trámites preceptivos de notificación a la Organización Mundial de Comercio</w:t>
      </w:r>
      <w:r w:rsidR="008D0FCF" w:rsidRPr="000D6E76">
        <w:rPr>
          <w:b/>
          <w:color w:val="FF0000"/>
          <w:lang w:val="es-ES"/>
        </w:rPr>
        <w:t xml:space="preserve"> </w:t>
      </w:r>
      <w:r w:rsidR="008D0FCF" w:rsidRPr="00F44124">
        <w:rPr>
          <w:color w:val="FF0000"/>
          <w:lang w:val="es-ES"/>
        </w:rPr>
        <w:t>PENDIENTE</w:t>
      </w:r>
    </w:p>
    <w:p w14:paraId="62D839F4" w14:textId="45E0C632" w:rsidR="00162058" w:rsidRDefault="005504F1" w:rsidP="00162058">
      <w:pPr>
        <w:pStyle w:val="Ttulo4"/>
        <w:numPr>
          <w:ilvl w:val="0"/>
          <w:numId w:val="0"/>
        </w:numPr>
        <w:spacing w:before="480"/>
        <w:rPr>
          <w:lang w:val="es-ES"/>
        </w:rPr>
      </w:pPr>
      <w:r w:rsidRPr="00522668">
        <w:rPr>
          <w:b/>
          <w:bCs w:val="0"/>
          <w:u w:val="none"/>
          <w:lang w:val="es-ES"/>
        </w:rPr>
        <w:t>1</w:t>
      </w:r>
      <w:r w:rsidR="000B1CC6">
        <w:rPr>
          <w:b/>
          <w:bCs w:val="0"/>
          <w:u w:val="none"/>
          <w:lang w:val="es-ES"/>
        </w:rPr>
        <w:t>3</w:t>
      </w:r>
      <w:r w:rsidR="00162058" w:rsidRPr="00522668">
        <w:rPr>
          <w:b/>
          <w:bCs w:val="0"/>
          <w:u w:val="none"/>
          <w:lang w:val="es-ES"/>
        </w:rPr>
        <w:t xml:space="preserve">. </w:t>
      </w:r>
      <w:r w:rsidR="00162058">
        <w:rPr>
          <w:b/>
          <w:bCs w:val="0"/>
          <w:lang w:val="es-ES"/>
        </w:rPr>
        <w:t xml:space="preserve">Dictamen </w:t>
      </w:r>
      <w:r w:rsidR="00162058" w:rsidRPr="002A2078">
        <w:rPr>
          <w:b/>
          <w:bCs w:val="0"/>
          <w:lang w:val="es-ES"/>
        </w:rPr>
        <w:t xml:space="preserve">preceptivo </w:t>
      </w:r>
      <w:r w:rsidR="00162058">
        <w:rPr>
          <w:b/>
          <w:bCs w:val="0"/>
          <w:lang w:val="es-ES"/>
        </w:rPr>
        <w:t>del Consejo de Estado</w:t>
      </w:r>
      <w:r w:rsidR="00162058">
        <w:rPr>
          <w:lang w:val="es-ES"/>
        </w:rPr>
        <w:t xml:space="preserve"> </w:t>
      </w:r>
      <w:r w:rsidR="00162058" w:rsidRPr="00F44124">
        <w:rPr>
          <w:bCs w:val="0"/>
          <w:color w:val="FF0000"/>
          <w:szCs w:val="20"/>
          <w:u w:val="none"/>
          <w:lang w:val="es-ES"/>
        </w:rPr>
        <w:t>PENDIENTE</w:t>
      </w:r>
    </w:p>
    <w:p w14:paraId="1AB863DF" w14:textId="77777777" w:rsidR="007B7A2A" w:rsidRPr="00CF523F" w:rsidRDefault="007B7A2A" w:rsidP="00CF523F"/>
    <w:p w14:paraId="1FCE4C0A" w14:textId="77777777" w:rsidR="00676019" w:rsidRPr="00580694" w:rsidRDefault="00676019" w:rsidP="00676019">
      <w:pPr>
        <w:rPr>
          <w:lang w:val="es-ES"/>
        </w:rPr>
      </w:pPr>
    </w:p>
    <w:p w14:paraId="4847E909" w14:textId="77777777" w:rsidR="00676019" w:rsidRPr="00043CB1" w:rsidRDefault="00676019" w:rsidP="00676019">
      <w:pPr>
        <w:autoSpaceDE w:val="0"/>
        <w:autoSpaceDN w:val="0"/>
        <w:adjustRightInd w:val="0"/>
        <w:spacing w:before="0"/>
        <w:jc w:val="left"/>
        <w:rPr>
          <w:rFonts w:cs="Arial"/>
          <w:color w:val="FF0000"/>
          <w:szCs w:val="24"/>
          <w:lang w:val="es-ES"/>
        </w:rPr>
      </w:pPr>
    </w:p>
    <w:p w14:paraId="09C3CA1A" w14:textId="50C993DE" w:rsidR="00676019" w:rsidRDefault="00676019" w:rsidP="00676019">
      <w:pPr>
        <w:pStyle w:val="Ttulo2"/>
        <w:numPr>
          <w:ilvl w:val="0"/>
          <w:numId w:val="0"/>
        </w:numPr>
        <w:spacing w:before="0"/>
        <w:ind w:left="578" w:hanging="578"/>
      </w:pPr>
      <w:r w:rsidRPr="00522668">
        <w:rPr>
          <w:u w:val="none"/>
        </w:rPr>
        <w:t xml:space="preserve">VI. </w:t>
      </w:r>
      <w:r w:rsidRPr="00274B68">
        <w:t>ANÁLISIS DE IMPACTOS</w:t>
      </w:r>
    </w:p>
    <w:p w14:paraId="372CF407" w14:textId="77777777" w:rsidR="00676019" w:rsidRDefault="00676019" w:rsidP="00676019">
      <w:pPr>
        <w:rPr>
          <w:lang w:val="es-ES"/>
        </w:rPr>
      </w:pPr>
    </w:p>
    <w:p w14:paraId="529A8D4E" w14:textId="603A99CB" w:rsidR="00676019" w:rsidRDefault="00676019" w:rsidP="00676019">
      <w:pPr>
        <w:rPr>
          <w:b/>
          <w:u w:val="single"/>
          <w:lang w:val="es-ES"/>
        </w:rPr>
      </w:pPr>
      <w:r>
        <w:rPr>
          <w:lang w:val="es-ES"/>
        </w:rPr>
        <w:t xml:space="preserve">1. </w:t>
      </w:r>
      <w:r w:rsidRPr="00607E1C">
        <w:rPr>
          <w:b/>
          <w:u w:val="single"/>
          <w:lang w:val="es-ES"/>
        </w:rPr>
        <w:t>Impacto económico y presupuestario</w:t>
      </w:r>
    </w:p>
    <w:p w14:paraId="0E2BBE3C" w14:textId="432ADB09" w:rsidR="00676019" w:rsidRPr="006943D6" w:rsidRDefault="00676019" w:rsidP="00676019">
      <w:pPr>
        <w:rPr>
          <w:lang w:val="es-ES"/>
        </w:rPr>
      </w:pPr>
      <w:r>
        <w:rPr>
          <w:lang w:val="es-ES"/>
        </w:rPr>
        <w:t>1</w:t>
      </w:r>
      <w:r w:rsidRPr="00607E1C">
        <w:rPr>
          <w:lang w:val="es-ES"/>
        </w:rPr>
        <w:t xml:space="preserve">.1 </w:t>
      </w:r>
      <w:r w:rsidRPr="00607E1C">
        <w:rPr>
          <w:u w:val="single"/>
          <w:lang w:val="es-ES"/>
        </w:rPr>
        <w:t>Impacto económico general</w:t>
      </w:r>
    </w:p>
    <w:p w14:paraId="3F2DAF8E" w14:textId="77777777" w:rsidR="00676019" w:rsidRDefault="00676019" w:rsidP="00676019">
      <w:pPr>
        <w:spacing w:after="240"/>
      </w:pPr>
      <w:r w:rsidRPr="006943D6">
        <w:t>En tanto el Proyecto de norma se elabora con el objetivo de mejorar la calidad de los aceites, evitando además las prácticas fraudulentas, se entiende que su impacto</w:t>
      </w:r>
      <w:r>
        <w:t xml:space="preserve"> general</w:t>
      </w:r>
      <w:r w:rsidRPr="006943D6">
        <w:t xml:space="preserve"> sobre la economía será positivo y se verá impulsado, asimismo, por el efecto beneficioso que la norma propuesta tendrá en la garantía de la competencia.</w:t>
      </w:r>
    </w:p>
    <w:p w14:paraId="7F9B40EC" w14:textId="7F3163C9" w:rsidR="00461E63" w:rsidRDefault="00676019" w:rsidP="00676019">
      <w:r>
        <w:t xml:space="preserve">En relación con el impacto económico que la aprobación de la norma vaya a tener sobre el sector, </w:t>
      </w:r>
      <w:r w:rsidR="00461E63">
        <w:t xml:space="preserve">el principal coste vendrá derivado de </w:t>
      </w:r>
      <w:r w:rsidR="00461E63">
        <w:rPr>
          <w:lang w:val="es-ES"/>
        </w:rPr>
        <w:t>la prohibición de comercializar a través del canal de comercio minorista los aceites de oliva virgen extra envasados en recipiente de plástico, y por tanto de las modificaciones que los operadores se vean obligados a efectuar en sus líneas de envasado para adecuarlas a los nuevos materiales o formatos empleados</w:t>
      </w:r>
      <w:r w:rsidR="000B3F3B">
        <w:rPr>
          <w:lang w:val="es-ES"/>
        </w:rPr>
        <w:t>,</w:t>
      </w:r>
      <w:r w:rsidR="00451A30">
        <w:rPr>
          <w:lang w:val="es-ES"/>
        </w:rPr>
        <w:t xml:space="preserve"> así como el resto de costes derivados de la nueva forma de presentación</w:t>
      </w:r>
      <w:r w:rsidR="00461E63">
        <w:rPr>
          <w:lang w:val="es-ES"/>
        </w:rPr>
        <w:t>.</w:t>
      </w:r>
    </w:p>
    <w:p w14:paraId="4C3E3B15" w14:textId="663491BF" w:rsidR="00676019" w:rsidRPr="003C0877" w:rsidRDefault="00676019" w:rsidP="00676019">
      <w:pPr>
        <w:pStyle w:val="Ttulo4"/>
        <w:numPr>
          <w:ilvl w:val="0"/>
          <w:numId w:val="0"/>
        </w:numPr>
        <w:ind w:left="864" w:hanging="864"/>
        <w:rPr>
          <w:lang w:val="es-ES"/>
        </w:rPr>
      </w:pPr>
      <w:r>
        <w:rPr>
          <w:u w:val="none"/>
          <w:lang w:val="es-ES"/>
        </w:rPr>
        <w:t>1.</w:t>
      </w:r>
      <w:r w:rsidRPr="00607E1C">
        <w:rPr>
          <w:u w:val="none"/>
          <w:lang w:val="es-ES"/>
        </w:rPr>
        <w:t xml:space="preserve">2 </w:t>
      </w:r>
      <w:r w:rsidRPr="003C0877">
        <w:rPr>
          <w:lang w:val="es-ES"/>
        </w:rPr>
        <w:t>Efectos en la competencia en el mercado</w:t>
      </w:r>
    </w:p>
    <w:p w14:paraId="0A6D71EB" w14:textId="44804E64" w:rsidR="00676019" w:rsidRDefault="00676019" w:rsidP="00676019">
      <w:pPr>
        <w:rPr>
          <w:lang w:val="es-ES"/>
        </w:rPr>
      </w:pPr>
      <w:r w:rsidRPr="003C0877">
        <w:rPr>
          <w:lang w:val="es-ES"/>
        </w:rPr>
        <w:t>Dado que la propuesta de norma no limita el número o la variedad de los operadores del mercado, no limita la capacidad de los operadores para competir ni reduce los incentivos de los operadores para competir, no se aprecia que tenga efectos negativos sobre la competencia en el mercado. Al contrario, el efecto será beneficioso, en términos de la garantía de la competencia leal entre las industrias, en el marco del mercado único, en la dotación de las mismas condiciones a todos los productores y en la mejora de la competitividad del sector.</w:t>
      </w:r>
    </w:p>
    <w:p w14:paraId="094C1DC9" w14:textId="144617F5" w:rsidR="005F0DF5" w:rsidRPr="00CF523F" w:rsidRDefault="005F0DF5" w:rsidP="00676019">
      <w:r>
        <w:rPr>
          <w:lang w:val="es-ES"/>
        </w:rPr>
        <w:t xml:space="preserve">Además, en relación </w:t>
      </w:r>
      <w:r w:rsidRPr="005F0DF5">
        <w:t>con la Ley 20/2013, de 9 de diciembre, de Garantía de Unidad de Mercado</w:t>
      </w:r>
      <w:r>
        <w:t>,</w:t>
      </w:r>
      <w:r w:rsidRPr="005F0DF5">
        <w:t xml:space="preserve"> la norma es neutra y no contiene previsiones que pudieran considerarse incompatibles</w:t>
      </w:r>
      <w:r>
        <w:t xml:space="preserve"> con la misma</w:t>
      </w:r>
      <w:r w:rsidRPr="005F0DF5">
        <w:t xml:space="preserve">. Más bien al contrario, el contenido del proyecto -en el que se han respetado los principios de necesidad y proporcionalidad previsto en dicha ley- viene a dar más unidad si cabe al mercado, al clarificar las normas que han de tener en cuenta todos los operadores del sector </w:t>
      </w:r>
      <w:r w:rsidR="00A2352B">
        <w:t>del aceite de oliva y de orujo de oliva</w:t>
      </w:r>
      <w:r w:rsidRPr="005F0DF5">
        <w:t>, en todo el territorio nacional.</w:t>
      </w:r>
    </w:p>
    <w:p w14:paraId="23B7FD52" w14:textId="09C82960" w:rsidR="00676019" w:rsidRPr="00A8354B" w:rsidRDefault="00676019" w:rsidP="00676019">
      <w:pPr>
        <w:pStyle w:val="Ttulo4"/>
        <w:numPr>
          <w:ilvl w:val="0"/>
          <w:numId w:val="0"/>
        </w:numPr>
        <w:rPr>
          <w:lang w:val="es-ES"/>
        </w:rPr>
      </w:pPr>
      <w:r>
        <w:rPr>
          <w:u w:val="none"/>
          <w:lang w:val="es-ES"/>
        </w:rPr>
        <w:t>1.</w:t>
      </w:r>
      <w:r w:rsidRPr="00607E1C">
        <w:rPr>
          <w:u w:val="none"/>
          <w:lang w:val="es-ES"/>
        </w:rPr>
        <w:t xml:space="preserve">3 </w:t>
      </w:r>
      <w:r w:rsidRPr="00A8354B">
        <w:rPr>
          <w:lang w:val="es-ES"/>
        </w:rPr>
        <w:t xml:space="preserve">Análisis de las cargas administrativas </w:t>
      </w:r>
    </w:p>
    <w:p w14:paraId="647DE810" w14:textId="77777777" w:rsidR="00676019" w:rsidRPr="00A8354B" w:rsidRDefault="00676019" w:rsidP="00676019">
      <w:pPr>
        <w:pStyle w:val="Ttulo4"/>
        <w:numPr>
          <w:ilvl w:val="0"/>
          <w:numId w:val="0"/>
        </w:numPr>
        <w:rPr>
          <w:rFonts w:cs="Arial"/>
          <w:iCs/>
          <w:szCs w:val="24"/>
          <w:u w:val="none"/>
        </w:rPr>
      </w:pPr>
      <w:r w:rsidRPr="00A8354B">
        <w:rPr>
          <w:rFonts w:cs="Arial"/>
          <w:iCs/>
          <w:szCs w:val="24"/>
          <w:u w:val="none"/>
        </w:rPr>
        <w:t xml:space="preserve">Se consideran cargas administrativas todas aquellas tareas de naturaleza administrativa que deben llevar a cabo las empresas y los ciudadanos y ciudadanas para cumplir con las obligaciones derivadas de la norma. </w:t>
      </w:r>
    </w:p>
    <w:p w14:paraId="4D3C8D45" w14:textId="77777777" w:rsidR="00676019" w:rsidRPr="00A8354B" w:rsidRDefault="00676019" w:rsidP="00676019">
      <w:pPr>
        <w:pStyle w:val="Ttulo4"/>
        <w:numPr>
          <w:ilvl w:val="0"/>
          <w:numId w:val="0"/>
        </w:numPr>
        <w:rPr>
          <w:rFonts w:cs="Arial"/>
          <w:iCs/>
          <w:szCs w:val="24"/>
          <w:u w:val="none"/>
        </w:rPr>
      </w:pPr>
      <w:r w:rsidRPr="00A8354B">
        <w:rPr>
          <w:rFonts w:cs="Arial"/>
          <w:szCs w:val="24"/>
          <w:u w:val="none"/>
        </w:rPr>
        <w:t xml:space="preserve">Por lo que respecta a la posible generación de estas cargas por parte del proyecto, el artículo 2.1.e) del </w:t>
      </w:r>
      <w:r w:rsidRPr="00A8354B">
        <w:rPr>
          <w:rFonts w:cs="Arial"/>
          <w:iCs/>
          <w:szCs w:val="24"/>
          <w:u w:val="none"/>
        </w:rPr>
        <w:t xml:space="preserve">Real Decreto 931/2017, de 27 de octubre, por el que se regula la memoria del análisis de impacto normativo obliga a que en el contenido de la misma se realice una “detección y medición de dichas cargas administrativas”. </w:t>
      </w:r>
    </w:p>
    <w:p w14:paraId="1A71FF56" w14:textId="75A62B90" w:rsidR="001B01CF" w:rsidRPr="00F71254" w:rsidRDefault="00676019" w:rsidP="001B01CF">
      <w:pPr>
        <w:pStyle w:val="Prrafodelista"/>
        <w:ind w:left="0"/>
        <w:rPr>
          <w:lang w:val="es-ES"/>
        </w:rPr>
      </w:pPr>
      <w:r w:rsidRPr="00F3005D">
        <w:rPr>
          <w:rFonts w:cs="Arial"/>
          <w:szCs w:val="24"/>
        </w:rPr>
        <w:t>En consecuencia, realizado un análisis preliminar del impacto de la propuesta</w:t>
      </w:r>
      <w:r w:rsidR="005022DC" w:rsidRPr="00F3005D">
        <w:rPr>
          <w:rFonts w:cs="Arial"/>
          <w:szCs w:val="24"/>
        </w:rPr>
        <w:t>,</w:t>
      </w:r>
      <w:r w:rsidRPr="00F3005D">
        <w:rPr>
          <w:rFonts w:cs="Arial"/>
          <w:szCs w:val="24"/>
        </w:rPr>
        <w:t xml:space="preserve"> </w:t>
      </w:r>
      <w:r w:rsidR="00F77CC3" w:rsidRPr="00F3005D">
        <w:rPr>
          <w:rFonts w:cs="Arial"/>
          <w:szCs w:val="24"/>
        </w:rPr>
        <w:t xml:space="preserve">se ha identificado que </w:t>
      </w:r>
      <w:r w:rsidR="005022DC" w:rsidRPr="00F3005D">
        <w:rPr>
          <w:rFonts w:cs="Arial"/>
          <w:szCs w:val="24"/>
        </w:rPr>
        <w:t xml:space="preserve">el principal incremento de cargas administrativas </w:t>
      </w:r>
      <w:r w:rsidR="00F77CC3" w:rsidRPr="00F3005D">
        <w:rPr>
          <w:rFonts w:cs="Arial"/>
          <w:szCs w:val="24"/>
        </w:rPr>
        <w:t xml:space="preserve">para los operadores del sector </w:t>
      </w:r>
      <w:r w:rsidR="005022DC" w:rsidRPr="00F3005D">
        <w:rPr>
          <w:rFonts w:cs="Arial"/>
          <w:szCs w:val="24"/>
        </w:rPr>
        <w:t xml:space="preserve">se producirá </w:t>
      </w:r>
      <w:r w:rsidR="00F77CC3" w:rsidRPr="00F71254">
        <w:rPr>
          <w:lang w:val="es-ES"/>
        </w:rPr>
        <w:t>derivado de la obligatoriedad de notificación de los movimientos de los aceites de oliva y de orujo de oliva previstos en el artículo 4.3 al sistema</w:t>
      </w:r>
      <w:r w:rsidR="00F77CC3" w:rsidRPr="00F3005D">
        <w:rPr>
          <w:lang w:val="es-ES"/>
        </w:rPr>
        <w:t xml:space="preserve"> informatizado habilitado a tal efecto. </w:t>
      </w:r>
      <w:r w:rsidR="00F77CC3" w:rsidRPr="00F71254">
        <w:rPr>
          <w:lang w:val="es-ES"/>
        </w:rPr>
        <w:t>De acuerdo con fuentes oficiales (Agencia de Información y Control Alimentario) la cantidad de aceite de oliva y de orujo de oliva declarado a través del Sistema de Información de Mercados Oleícolas (SIMO) es de 4 millones de tonel</w:t>
      </w:r>
      <w:r w:rsidR="001B01CF" w:rsidRPr="00F71254">
        <w:rPr>
          <w:lang w:val="es-ES"/>
        </w:rPr>
        <w:t>adas. Teniendo en cuenta que la capacidad de la cisterna de un camión de transporte es de 20 t, se producen 200.000 movimientos anuales que deben ser notificados al sistema. Dado que el coste de la presentación electrónica se estima en 2 euros, las cargas administrativas derivadas de esta medida se cuantifican en 400.000 euros anuales.</w:t>
      </w:r>
    </w:p>
    <w:p w14:paraId="02E235C4" w14:textId="3B355CD2" w:rsidR="001B01CF" w:rsidRPr="00F71254" w:rsidRDefault="001B01CF" w:rsidP="001B01CF">
      <w:pPr>
        <w:pStyle w:val="Prrafodelista"/>
        <w:ind w:left="0"/>
        <w:rPr>
          <w:lang w:val="es-ES"/>
        </w:rPr>
      </w:pPr>
    </w:p>
    <w:p w14:paraId="74831143" w14:textId="57A2EC25" w:rsidR="00965209" w:rsidRDefault="001B01CF" w:rsidP="00965209">
      <w:pPr>
        <w:pStyle w:val="Prrafodelista"/>
        <w:ind w:left="0"/>
        <w:rPr>
          <w:lang w:val="es-ES"/>
        </w:rPr>
      </w:pPr>
      <w:r w:rsidRPr="00F3005D">
        <w:rPr>
          <w:rFonts w:cs="Arial"/>
          <w:szCs w:val="24"/>
        </w:rPr>
        <w:t xml:space="preserve">Por otra parte, de esta norma se desprenden también cargas administrativas adicionales </w:t>
      </w:r>
      <w:r w:rsidR="005022DC" w:rsidRPr="00F3005D">
        <w:rPr>
          <w:rFonts w:cs="Arial"/>
          <w:szCs w:val="24"/>
        </w:rPr>
        <w:t xml:space="preserve">para aquellas empresas que se compongan de </w:t>
      </w:r>
      <w:r w:rsidR="005022DC" w:rsidRPr="00F3005D">
        <w:rPr>
          <w:rFonts w:cs="Arial"/>
        </w:rPr>
        <w:t>almazara, refinería o extractora de aceite de orujo no ubicadas de manera independiente a la entrada en vigor de la norma, para las que pasa a ser obligatorio presentar anualmente a la autoridad competente de control un informe de los registros de trazabilidad en el que se hagan constar de manera clara los balances de masa respecto a cada categoría de aceite que produzca, almacene o comercialice</w:t>
      </w:r>
      <w:r w:rsidR="00302B05" w:rsidRPr="00F3005D">
        <w:rPr>
          <w:rFonts w:cs="Arial"/>
        </w:rPr>
        <w:t xml:space="preserve">, </w:t>
      </w:r>
      <w:r w:rsidR="00965209" w:rsidRPr="00F3005D">
        <w:rPr>
          <w:rFonts w:cs="Arial"/>
        </w:rPr>
        <w:t>según</w:t>
      </w:r>
      <w:r w:rsidR="00302B05" w:rsidRPr="00F3005D">
        <w:rPr>
          <w:rFonts w:cs="Arial"/>
        </w:rPr>
        <w:t xml:space="preserve"> lo previsto en el artículo 4.4.</w:t>
      </w:r>
      <w:r w:rsidR="00965209" w:rsidRPr="00F3005D">
        <w:rPr>
          <w:rFonts w:cs="Arial"/>
        </w:rPr>
        <w:t xml:space="preserve"> </w:t>
      </w:r>
      <w:r w:rsidR="00965209" w:rsidRPr="00F71254">
        <w:rPr>
          <w:lang w:val="es-ES"/>
        </w:rPr>
        <w:t>De acuerdo con fuentes oficiales (Agencia de Información y Control Alimentario), existen en España 23 empresas que no cumplen los requisitos de instalaciones que se imponen en la norma de calidad, por lo que estas empresas deberán presentan un informe anual con los registros de trazabilidad interna a la autoridad competente. El coste unitario estimado de la presentación de un informe o memoria, según las directrices de cálculo, es de 500 euros, y en consecuencia, se cuantifican en 11.500 euros anuales las cargas administrativas para el sector derivadas de esta medida.</w:t>
      </w:r>
      <w:r w:rsidR="00965209">
        <w:rPr>
          <w:lang w:val="es-ES"/>
        </w:rPr>
        <w:t xml:space="preserve"> </w:t>
      </w:r>
    </w:p>
    <w:p w14:paraId="4A4B329A" w14:textId="34574E08" w:rsidR="00A54AFA" w:rsidRDefault="00A54AFA" w:rsidP="00965209">
      <w:pPr>
        <w:pStyle w:val="Prrafodelista"/>
        <w:ind w:left="0"/>
        <w:rPr>
          <w:lang w:val="es-ES"/>
        </w:rPr>
      </w:pPr>
    </w:p>
    <w:p w14:paraId="14594FCB" w14:textId="004AC229" w:rsidR="00A54AFA" w:rsidRPr="00FC04DD" w:rsidRDefault="00A54AFA" w:rsidP="00F71254">
      <w:pPr>
        <w:pStyle w:val="Prrafodelista"/>
        <w:ind w:left="0"/>
        <w:rPr>
          <w:lang w:val="es-ES"/>
        </w:rPr>
      </w:pPr>
      <w:r w:rsidRPr="00A54AFA">
        <w:rPr>
          <w:lang w:val="es-ES"/>
        </w:rPr>
        <w:t>En relación con la obligación de mantener un registro de trazabilidad interna, se estima que esta medida no impone cargas administrativas adicionales a las actuales,  dado que, si bien se trata de una nueva obligación, ya era obligatorio el mantenimiento de registros de trazabilidad de acuerdo con lo establecido en el Reglamento (CE) n.º 178/2002 del Parlamento Europeo y del Consejo, de 28 de enero de 2002, por lo que no se considera que la obligación introducida incremente las cargas administrativas sobre las empresas y los ciudadanos. Además, el Real Decreto 861/2018, de 13 de julio, por el que se establece la normativa básica en materia de declaraciones obligatorias de los sectores del aceite de oliva y las aceitunas de mesa y por el que se modifica el Real Decreto 772/2017, de 28 de julio, por el que se regula el potencial de producción vitícola, establece la información que ha de notificarse al sistema de información de mercados oleícolas (SIMO). Aunque esta información se reporta con carácter mensual, el artículo 11 establece la obligatoriedad de que se disponga de un respaldo documental recogido en su anexo XI. Este Anexo XI exige la contabilización por día de las entradas de aceituna, entradas y salidas de aceite y salidas de orujo). Por todo ello, se considera que el mantenimiento de este registro de trazabilidad no impone a los administrados mayores cargas de las ya existentes</w:t>
      </w:r>
      <w:r>
        <w:rPr>
          <w:lang w:val="es-ES"/>
        </w:rPr>
        <w:t>.</w:t>
      </w:r>
    </w:p>
    <w:p w14:paraId="24DD7BCE" w14:textId="66C99F38" w:rsidR="00683F9A" w:rsidRPr="000D6E76" w:rsidRDefault="00683F9A" w:rsidP="00F71254">
      <w:pPr>
        <w:pStyle w:val="Ttulo4"/>
        <w:numPr>
          <w:ilvl w:val="0"/>
          <w:numId w:val="0"/>
        </w:numPr>
        <w:rPr>
          <w:lang w:val="es-ES"/>
        </w:rPr>
      </w:pPr>
    </w:p>
    <w:p w14:paraId="71BB5FCB" w14:textId="5EE80B4F" w:rsidR="00676019" w:rsidRPr="000D6E76" w:rsidRDefault="00676019" w:rsidP="00676019">
      <w:pPr>
        <w:pStyle w:val="Ttulo4"/>
        <w:numPr>
          <w:ilvl w:val="0"/>
          <w:numId w:val="0"/>
        </w:numPr>
        <w:rPr>
          <w:color w:val="FF0000"/>
          <w:lang w:val="es-ES"/>
        </w:rPr>
      </w:pPr>
      <w:r>
        <w:rPr>
          <w:u w:val="none"/>
          <w:lang w:val="es-ES"/>
        </w:rPr>
        <w:t>1</w:t>
      </w:r>
      <w:r w:rsidRPr="00607E1C">
        <w:rPr>
          <w:u w:val="none"/>
          <w:lang w:val="es-ES"/>
        </w:rPr>
        <w:t xml:space="preserve">.4 </w:t>
      </w:r>
      <w:r w:rsidRPr="004C748A">
        <w:rPr>
          <w:lang w:val="es-ES"/>
        </w:rPr>
        <w:t>Impacto presupuestario</w:t>
      </w:r>
    </w:p>
    <w:p w14:paraId="3C56D912" w14:textId="30AB3636" w:rsidR="00676019" w:rsidRPr="00135C66" w:rsidRDefault="00052E33" w:rsidP="00676019">
      <w:pPr>
        <w:spacing w:before="100" w:beforeAutospacing="1" w:after="100" w:afterAutospacing="1"/>
        <w:rPr>
          <w:rFonts w:cs="Arial"/>
          <w:szCs w:val="24"/>
        </w:rPr>
      </w:pPr>
      <w:r w:rsidRPr="00135C66">
        <w:rPr>
          <w:rFonts w:cs="Arial"/>
          <w:szCs w:val="24"/>
        </w:rPr>
        <w:t>El</w:t>
      </w:r>
      <w:r w:rsidR="00676019" w:rsidRPr="00135C66">
        <w:rPr>
          <w:rFonts w:cs="Arial"/>
          <w:szCs w:val="24"/>
        </w:rPr>
        <w:t xml:space="preserve"> presente proyecto normativo </w:t>
      </w:r>
      <w:r w:rsidRPr="00135C66">
        <w:rPr>
          <w:rFonts w:cs="Arial"/>
          <w:szCs w:val="24"/>
        </w:rPr>
        <w:t>es</w:t>
      </w:r>
      <w:r w:rsidR="00676019" w:rsidRPr="00135C66">
        <w:rPr>
          <w:rFonts w:cs="Arial"/>
          <w:szCs w:val="24"/>
        </w:rPr>
        <w:t xml:space="preserve"> una actualización del Real Decreto 308/1983 para adapta</w:t>
      </w:r>
      <w:r w:rsidR="00267E49" w:rsidRPr="00135C66">
        <w:rPr>
          <w:rFonts w:cs="Arial"/>
          <w:szCs w:val="24"/>
        </w:rPr>
        <w:t>rlo a los avances tecnológicos,</w:t>
      </w:r>
      <w:r w:rsidR="00676019" w:rsidRPr="00135C66">
        <w:rPr>
          <w:rFonts w:cs="Arial"/>
          <w:szCs w:val="24"/>
        </w:rPr>
        <w:t xml:space="preserve"> y no </w:t>
      </w:r>
      <w:r w:rsidR="00475D87" w:rsidRPr="00135C66">
        <w:rPr>
          <w:rFonts w:cs="Arial"/>
          <w:szCs w:val="24"/>
        </w:rPr>
        <w:t>supone</w:t>
      </w:r>
      <w:r w:rsidR="00676019" w:rsidRPr="00135C66">
        <w:rPr>
          <w:rFonts w:cs="Arial"/>
          <w:szCs w:val="24"/>
        </w:rPr>
        <w:t xml:space="preserve"> incremento de dotaciones ni de retribuciones ni de otros gastos de personal.</w:t>
      </w:r>
    </w:p>
    <w:p w14:paraId="3A0F8A5E" w14:textId="7158D4E0" w:rsidR="00052E33" w:rsidRPr="00043CB1" w:rsidRDefault="00052E33" w:rsidP="00676019">
      <w:pPr>
        <w:spacing w:before="100" w:beforeAutospacing="1" w:after="100" w:afterAutospacing="1"/>
        <w:rPr>
          <w:color w:val="FF0000"/>
          <w:lang w:val="es-ES"/>
        </w:rPr>
      </w:pPr>
      <w:r w:rsidRPr="00135C66">
        <w:rPr>
          <w:rFonts w:cs="Arial"/>
          <w:szCs w:val="24"/>
        </w:rPr>
        <w:t xml:space="preserve">No obstante, la aplicación de este real decreto </w:t>
      </w:r>
      <w:r w:rsidR="00135C66" w:rsidRPr="000D6E76">
        <w:rPr>
          <w:rFonts w:cs="Arial"/>
          <w:szCs w:val="24"/>
        </w:rPr>
        <w:t>implica e</w:t>
      </w:r>
      <w:r w:rsidRPr="00135C66">
        <w:rPr>
          <w:rFonts w:cs="Arial"/>
          <w:szCs w:val="24"/>
        </w:rPr>
        <w:t>l desarrollo por parte del Ministerio de Agricultura, Pesca y Alimentación del sistema informático de notificación en el transporte de aceites de oliva y de orujo de oliva</w:t>
      </w:r>
      <w:r>
        <w:rPr>
          <w:rFonts w:cs="Arial"/>
          <w:szCs w:val="24"/>
        </w:rPr>
        <w:t>.</w:t>
      </w:r>
      <w:r w:rsidR="00FC45F4">
        <w:rPr>
          <w:rFonts w:cs="Arial"/>
          <w:szCs w:val="24"/>
        </w:rPr>
        <w:t xml:space="preserve"> S</w:t>
      </w:r>
      <w:r w:rsidR="00FC45F4" w:rsidRPr="00FC45F4">
        <w:rPr>
          <w:rFonts w:cs="Arial"/>
          <w:szCs w:val="24"/>
        </w:rPr>
        <w:t>u implantación y gestión se llevará a cabo con los medios económicos y personales del Ministerio</w:t>
      </w:r>
      <w:r w:rsidR="00135C66">
        <w:rPr>
          <w:rFonts w:cs="Arial"/>
          <w:szCs w:val="24"/>
        </w:rPr>
        <w:t xml:space="preserve"> de Agricultura, Pesca y Alimentación</w:t>
      </w:r>
      <w:r w:rsidR="00FC45F4">
        <w:rPr>
          <w:rFonts w:cs="Arial"/>
          <w:szCs w:val="24"/>
        </w:rPr>
        <w:t>.</w:t>
      </w:r>
    </w:p>
    <w:p w14:paraId="6AD257C9" w14:textId="0706C1D3" w:rsidR="00676019" w:rsidRPr="00323E6E" w:rsidRDefault="00676019" w:rsidP="00676019">
      <w:pPr>
        <w:pStyle w:val="Ttulo3"/>
        <w:numPr>
          <w:ilvl w:val="0"/>
          <w:numId w:val="0"/>
        </w:numPr>
        <w:spacing w:before="480"/>
        <w:rPr>
          <w:color w:val="auto"/>
          <w:lang w:val="es-ES"/>
        </w:rPr>
      </w:pPr>
      <w:r w:rsidRPr="00522668">
        <w:rPr>
          <w:color w:val="auto"/>
          <w:u w:val="none"/>
          <w:lang w:val="es-ES"/>
        </w:rPr>
        <w:t xml:space="preserve">2. </w:t>
      </w:r>
      <w:r w:rsidRPr="00323E6E">
        <w:rPr>
          <w:color w:val="auto"/>
          <w:lang w:val="es-ES"/>
        </w:rPr>
        <w:t>Impacto por razón de género</w:t>
      </w:r>
    </w:p>
    <w:p w14:paraId="712D9047" w14:textId="295F0898" w:rsidR="00676019" w:rsidRDefault="000951E1" w:rsidP="00676019">
      <w:pPr>
        <w:rPr>
          <w:rFonts w:cs="Arial"/>
          <w:szCs w:val="24"/>
        </w:rPr>
      </w:pPr>
      <w:r w:rsidRPr="000951E1">
        <w:rPr>
          <w:rFonts w:cs="Arial"/>
          <w:szCs w:val="24"/>
        </w:rPr>
        <w:t>A los efectos de lo dispuesto en la Ley 30/2003, de 13 de octubre, sobre medidas para incorporar la valoración del impacto de género en las disposiciones normativas que elabore el Gobierno</w:t>
      </w:r>
      <w:r w:rsidR="000337D8">
        <w:rPr>
          <w:rFonts w:cs="Arial"/>
          <w:szCs w:val="24"/>
        </w:rPr>
        <w:t>,</w:t>
      </w:r>
      <w:r w:rsidRPr="000951E1">
        <w:rPr>
          <w:rFonts w:cs="Arial"/>
          <w:szCs w:val="24"/>
        </w:rPr>
        <w:t xml:space="preserve"> y en el artículo 19 de la Ley Orgánica 3/2007, de 22 de marzo, para la Igualdad efectiva entre hombres y mujeres, el presente proyecto de real decreto tiene un impacto de género nulo y no contiene medida alguna discriminatoria por razón de género, que pueda incumplir el principio de igualdad de oportunidades entre hombres y mujeres ni atentar contra el mismo.</w:t>
      </w:r>
    </w:p>
    <w:p w14:paraId="3DD97594" w14:textId="77777777" w:rsidR="000337D8" w:rsidRDefault="000337D8" w:rsidP="00676019">
      <w:pPr>
        <w:rPr>
          <w:rFonts w:cs="Arial"/>
          <w:b/>
          <w:i/>
          <w:iCs/>
          <w:szCs w:val="24"/>
        </w:rPr>
      </w:pPr>
    </w:p>
    <w:p w14:paraId="7C04FA96" w14:textId="29467340" w:rsidR="00676019" w:rsidRPr="000F2487" w:rsidRDefault="00676019" w:rsidP="00676019">
      <w:pPr>
        <w:rPr>
          <w:b/>
          <w:szCs w:val="24"/>
          <w:u w:val="single"/>
        </w:rPr>
      </w:pPr>
      <w:r>
        <w:rPr>
          <w:rFonts w:cs="Arial"/>
          <w:b/>
          <w:iCs/>
          <w:szCs w:val="24"/>
        </w:rPr>
        <w:t xml:space="preserve">3. </w:t>
      </w:r>
      <w:r w:rsidRPr="000F2487">
        <w:rPr>
          <w:rFonts w:cs="Arial"/>
          <w:b/>
          <w:bCs/>
          <w:iCs/>
          <w:szCs w:val="24"/>
          <w:u w:val="single"/>
        </w:rPr>
        <w:t xml:space="preserve">Impacto </w:t>
      </w:r>
      <w:r w:rsidRPr="000F2487">
        <w:rPr>
          <w:rFonts w:cs="Arial"/>
          <w:b/>
          <w:color w:val="000000"/>
          <w:szCs w:val="24"/>
          <w:u w:val="single"/>
        </w:rPr>
        <w:t>en materia de igualdad de oportunidades, no discriminación y accesibilidad universal de las personas con discapacidad</w:t>
      </w:r>
    </w:p>
    <w:p w14:paraId="660E4400" w14:textId="77777777" w:rsidR="00676019" w:rsidRPr="002045C1" w:rsidRDefault="00676019" w:rsidP="00676019">
      <w:pPr>
        <w:rPr>
          <w:rFonts w:cs="Arial"/>
          <w:szCs w:val="24"/>
        </w:rPr>
      </w:pPr>
    </w:p>
    <w:p w14:paraId="4C53A96A" w14:textId="23A542CA" w:rsidR="00676019" w:rsidRPr="003C7CFE" w:rsidRDefault="00676019" w:rsidP="00676019">
      <w:pPr>
        <w:pStyle w:val="Textonotapie"/>
        <w:tabs>
          <w:tab w:val="left" w:pos="-2552"/>
        </w:tabs>
        <w:rPr>
          <w:rFonts w:cs="Arial"/>
          <w:szCs w:val="24"/>
        </w:rPr>
      </w:pPr>
      <w:r w:rsidRPr="002045C1">
        <w:rPr>
          <w:rFonts w:cs="Arial"/>
          <w:szCs w:val="24"/>
        </w:rPr>
        <w:t xml:space="preserve">El proyecto de </w:t>
      </w:r>
      <w:r w:rsidR="00F244B4">
        <w:rPr>
          <w:rFonts w:cs="Arial"/>
          <w:szCs w:val="24"/>
        </w:rPr>
        <w:t>r</w:t>
      </w:r>
      <w:r w:rsidRPr="002045C1">
        <w:rPr>
          <w:rFonts w:cs="Arial"/>
          <w:szCs w:val="24"/>
        </w:rPr>
        <w:t xml:space="preserve">eal </w:t>
      </w:r>
      <w:r w:rsidR="00F244B4">
        <w:rPr>
          <w:rFonts w:cs="Arial"/>
          <w:szCs w:val="24"/>
        </w:rPr>
        <w:t>d</w:t>
      </w:r>
      <w:r w:rsidRPr="002045C1">
        <w:rPr>
          <w:rFonts w:cs="Arial"/>
          <w:szCs w:val="24"/>
        </w:rPr>
        <w:t xml:space="preserve">ecreto no tiene incidencia en materia de </w:t>
      </w:r>
      <w:r w:rsidRPr="003C7CFE">
        <w:rPr>
          <w:rFonts w:cs="Arial"/>
          <w:szCs w:val="24"/>
        </w:rPr>
        <w:t>igualdad de oportunidades, no discriminación y accesibilidad universal de las personas con discapacidad.</w:t>
      </w:r>
    </w:p>
    <w:p w14:paraId="40971330" w14:textId="77777777" w:rsidR="00676019" w:rsidRDefault="00676019" w:rsidP="00676019">
      <w:pPr>
        <w:rPr>
          <w:rFonts w:cs="Arial"/>
          <w:b/>
          <w:bCs/>
          <w:i/>
          <w:iCs/>
          <w:szCs w:val="24"/>
        </w:rPr>
      </w:pPr>
    </w:p>
    <w:p w14:paraId="7EC7DD71" w14:textId="0EC02F8D" w:rsidR="00676019" w:rsidRDefault="00676019" w:rsidP="00676019">
      <w:pPr>
        <w:rPr>
          <w:rFonts w:cs="Arial"/>
          <w:b/>
          <w:bCs/>
          <w:iCs/>
          <w:szCs w:val="24"/>
          <w:u w:val="single"/>
        </w:rPr>
      </w:pPr>
      <w:r>
        <w:rPr>
          <w:rFonts w:cs="Arial"/>
          <w:b/>
          <w:bCs/>
          <w:iCs/>
          <w:szCs w:val="24"/>
        </w:rPr>
        <w:t>4.</w:t>
      </w:r>
      <w:r w:rsidRPr="00BB0130">
        <w:rPr>
          <w:rFonts w:cs="Arial"/>
          <w:b/>
          <w:bCs/>
          <w:i/>
          <w:iCs/>
          <w:szCs w:val="24"/>
        </w:rPr>
        <w:t xml:space="preserve"> </w:t>
      </w:r>
      <w:r>
        <w:rPr>
          <w:rFonts w:cs="Arial"/>
          <w:b/>
          <w:bCs/>
          <w:iCs/>
          <w:szCs w:val="24"/>
          <w:u w:val="single"/>
        </w:rPr>
        <w:t>Impacto en la familia</w:t>
      </w:r>
    </w:p>
    <w:p w14:paraId="5487436B" w14:textId="77777777" w:rsidR="00676019" w:rsidRDefault="00676019" w:rsidP="00676019">
      <w:pPr>
        <w:pStyle w:val="Textonotapie"/>
        <w:tabs>
          <w:tab w:val="left" w:pos="-2552"/>
        </w:tabs>
        <w:rPr>
          <w:rFonts w:cs="Arial"/>
          <w:szCs w:val="24"/>
        </w:rPr>
      </w:pPr>
    </w:p>
    <w:p w14:paraId="7502569D" w14:textId="181D27B3" w:rsidR="00676019" w:rsidRDefault="00AD0578" w:rsidP="00676019">
      <w:pPr>
        <w:rPr>
          <w:rFonts w:cs="Arial"/>
          <w:szCs w:val="24"/>
        </w:rPr>
      </w:pPr>
      <w:r>
        <w:rPr>
          <w:rFonts w:cs="Arial"/>
          <w:szCs w:val="24"/>
        </w:rPr>
        <w:t>D</w:t>
      </w:r>
      <w:r w:rsidR="006E33FF" w:rsidRPr="006E33FF">
        <w:rPr>
          <w:rFonts w:cs="Arial"/>
          <w:szCs w:val="24"/>
        </w:rPr>
        <w:t>e acuerdo con lo exigido en la disposición adicional décima de la Ley 40/2003, de 18 de noviembre, de Protección a las Familias Numerosas, introducida por la Ley 26/2015, de 28 de julio, de modificación del sistema de protección a la infancia y a la adolescencia</w:t>
      </w:r>
      <w:r>
        <w:rPr>
          <w:rFonts w:cs="Arial"/>
          <w:szCs w:val="24"/>
        </w:rPr>
        <w:t xml:space="preserve">, que establece la obligación de incluir en </w:t>
      </w:r>
      <w:r w:rsidR="004F499C">
        <w:rPr>
          <w:rFonts w:cs="Arial"/>
          <w:szCs w:val="24"/>
        </w:rPr>
        <w:t>l</w:t>
      </w:r>
      <w:r w:rsidRPr="00AD0578">
        <w:rPr>
          <w:rFonts w:cs="Arial"/>
          <w:szCs w:val="24"/>
        </w:rPr>
        <w:t>as memorias del análisis de impacto normativo que deben acompañar a los anteproyectos de ley y a los proyectos de reglamentos</w:t>
      </w:r>
      <w:r w:rsidR="004F499C">
        <w:rPr>
          <w:rFonts w:cs="Arial"/>
          <w:szCs w:val="24"/>
        </w:rPr>
        <w:t>,</w:t>
      </w:r>
      <w:r w:rsidRPr="00AD0578">
        <w:rPr>
          <w:rFonts w:cs="Arial"/>
          <w:szCs w:val="24"/>
        </w:rPr>
        <w:t xml:space="preserve"> el impacto de la normativa en la familia</w:t>
      </w:r>
      <w:r w:rsidR="004F499C">
        <w:rPr>
          <w:rFonts w:cs="Arial"/>
          <w:szCs w:val="24"/>
        </w:rPr>
        <w:t>,</w:t>
      </w:r>
      <w:r w:rsidR="006E33FF" w:rsidRPr="006E33FF">
        <w:rPr>
          <w:rFonts w:cs="Arial"/>
          <w:szCs w:val="24"/>
        </w:rPr>
        <w:t xml:space="preserve"> </w:t>
      </w:r>
      <w:r w:rsidR="004F499C">
        <w:rPr>
          <w:rFonts w:cs="Arial"/>
          <w:szCs w:val="24"/>
        </w:rPr>
        <w:t>n</w:t>
      </w:r>
      <w:r w:rsidRPr="006E33FF">
        <w:rPr>
          <w:rFonts w:cs="Arial"/>
          <w:szCs w:val="24"/>
        </w:rPr>
        <w:t>o se prevé impacto alguno</w:t>
      </w:r>
      <w:r w:rsidR="004F499C">
        <w:rPr>
          <w:rFonts w:cs="Arial"/>
          <w:szCs w:val="24"/>
        </w:rPr>
        <w:t xml:space="preserve"> de este </w:t>
      </w:r>
      <w:r w:rsidR="00F244B4">
        <w:rPr>
          <w:rFonts w:cs="Arial"/>
          <w:szCs w:val="24"/>
        </w:rPr>
        <w:t>r</w:t>
      </w:r>
      <w:r w:rsidR="004F499C">
        <w:rPr>
          <w:rFonts w:cs="Arial"/>
          <w:szCs w:val="24"/>
        </w:rPr>
        <w:t xml:space="preserve">eal </w:t>
      </w:r>
      <w:r w:rsidR="00F244B4">
        <w:rPr>
          <w:rFonts w:cs="Arial"/>
          <w:szCs w:val="24"/>
        </w:rPr>
        <w:t>d</w:t>
      </w:r>
      <w:r w:rsidR="004F499C">
        <w:rPr>
          <w:rFonts w:cs="Arial"/>
          <w:szCs w:val="24"/>
        </w:rPr>
        <w:t>ecreto sobre</w:t>
      </w:r>
      <w:r w:rsidRPr="006E33FF">
        <w:rPr>
          <w:rFonts w:cs="Arial"/>
          <w:szCs w:val="24"/>
        </w:rPr>
        <w:t xml:space="preserve"> la familia</w:t>
      </w:r>
      <w:r w:rsidR="004F499C">
        <w:rPr>
          <w:rFonts w:cs="Arial"/>
          <w:szCs w:val="24"/>
        </w:rPr>
        <w:t>.</w:t>
      </w:r>
      <w:r w:rsidRPr="006E33FF">
        <w:rPr>
          <w:rFonts w:cs="Arial"/>
          <w:szCs w:val="24"/>
        </w:rPr>
        <w:t xml:space="preserve"> </w:t>
      </w:r>
    </w:p>
    <w:p w14:paraId="0D7EB115" w14:textId="77777777" w:rsidR="000337D8" w:rsidRDefault="000337D8" w:rsidP="00676019">
      <w:pPr>
        <w:rPr>
          <w:rFonts w:cs="Arial"/>
          <w:b/>
          <w:bCs/>
          <w:iCs/>
          <w:szCs w:val="24"/>
          <w:u w:val="single"/>
        </w:rPr>
      </w:pPr>
    </w:p>
    <w:p w14:paraId="75C1CB14" w14:textId="7DECEAC4" w:rsidR="00676019" w:rsidRDefault="00676019" w:rsidP="00676019">
      <w:pPr>
        <w:rPr>
          <w:rFonts w:cs="Arial"/>
          <w:b/>
          <w:bCs/>
          <w:iCs/>
          <w:szCs w:val="24"/>
          <w:u w:val="single"/>
        </w:rPr>
      </w:pPr>
      <w:r>
        <w:rPr>
          <w:rFonts w:cs="Arial"/>
          <w:b/>
          <w:bCs/>
          <w:iCs/>
          <w:szCs w:val="24"/>
        </w:rPr>
        <w:t xml:space="preserve">5. </w:t>
      </w:r>
      <w:r>
        <w:rPr>
          <w:rFonts w:cs="Arial"/>
          <w:b/>
          <w:bCs/>
          <w:iCs/>
          <w:szCs w:val="24"/>
          <w:u w:val="single"/>
        </w:rPr>
        <w:t>Impacto en la infancia y la adolescencia</w:t>
      </w:r>
    </w:p>
    <w:p w14:paraId="2698BCD2" w14:textId="77777777" w:rsidR="00676019" w:rsidRDefault="00676019" w:rsidP="00676019">
      <w:pPr>
        <w:rPr>
          <w:rFonts w:cs="Arial"/>
          <w:szCs w:val="24"/>
        </w:rPr>
      </w:pPr>
    </w:p>
    <w:p w14:paraId="4C90962F" w14:textId="64A9AC8D" w:rsidR="00676019" w:rsidRDefault="00676019" w:rsidP="00676019">
      <w:pPr>
        <w:rPr>
          <w:rFonts w:cs="Arial"/>
          <w:szCs w:val="24"/>
        </w:rPr>
      </w:pPr>
      <w:r>
        <w:rPr>
          <w:rFonts w:cs="Arial"/>
          <w:szCs w:val="24"/>
        </w:rPr>
        <w:t xml:space="preserve">El </w:t>
      </w:r>
      <w:r w:rsidRPr="002045C1">
        <w:rPr>
          <w:rFonts w:cs="Arial"/>
          <w:szCs w:val="24"/>
        </w:rPr>
        <w:t xml:space="preserve">proyecto de </w:t>
      </w:r>
      <w:r w:rsidR="00F244B4">
        <w:rPr>
          <w:rFonts w:cs="Arial"/>
          <w:szCs w:val="24"/>
        </w:rPr>
        <w:t>r</w:t>
      </w:r>
      <w:r w:rsidRPr="002045C1">
        <w:rPr>
          <w:rFonts w:cs="Arial"/>
          <w:szCs w:val="24"/>
        </w:rPr>
        <w:t xml:space="preserve">eal </w:t>
      </w:r>
      <w:r w:rsidR="00F244B4">
        <w:rPr>
          <w:rFonts w:cs="Arial"/>
          <w:szCs w:val="24"/>
        </w:rPr>
        <w:t>d</w:t>
      </w:r>
      <w:r w:rsidRPr="002045C1">
        <w:rPr>
          <w:rFonts w:cs="Arial"/>
          <w:szCs w:val="24"/>
        </w:rPr>
        <w:t xml:space="preserve">ecreto no tiene incidencia en </w:t>
      </w:r>
      <w:r>
        <w:rPr>
          <w:rFonts w:cs="Arial"/>
          <w:szCs w:val="24"/>
        </w:rPr>
        <w:t>la</w:t>
      </w:r>
      <w:r w:rsidRPr="00607E1C">
        <w:rPr>
          <w:rFonts w:cs="Arial"/>
          <w:szCs w:val="24"/>
        </w:rPr>
        <w:t xml:space="preserve"> </w:t>
      </w:r>
      <w:r>
        <w:rPr>
          <w:rFonts w:cs="Arial"/>
          <w:szCs w:val="24"/>
        </w:rPr>
        <w:t>protección jurídica del m</w:t>
      </w:r>
      <w:r w:rsidRPr="00607E1C">
        <w:rPr>
          <w:rFonts w:cs="Arial"/>
          <w:szCs w:val="24"/>
        </w:rPr>
        <w:t xml:space="preserve">enor </w:t>
      </w:r>
      <w:r>
        <w:rPr>
          <w:rFonts w:cs="Arial"/>
          <w:szCs w:val="24"/>
        </w:rPr>
        <w:t xml:space="preserve">establecida en la </w:t>
      </w:r>
      <w:r w:rsidRPr="00607E1C">
        <w:rPr>
          <w:rFonts w:cs="Arial"/>
          <w:szCs w:val="24"/>
        </w:rPr>
        <w:t xml:space="preserve">Ley Orgánica 1/1996, de 15 de enero, de Protección Jurídica del Menor de modificación parcial del Código Civil y de </w:t>
      </w:r>
      <w:r>
        <w:rPr>
          <w:rFonts w:cs="Arial"/>
          <w:szCs w:val="24"/>
        </w:rPr>
        <w:t>la Ley de Enjuiciamiento Civil.</w:t>
      </w:r>
    </w:p>
    <w:p w14:paraId="61DE775E" w14:textId="77777777" w:rsidR="00676019" w:rsidRDefault="00676019" w:rsidP="00676019">
      <w:pPr>
        <w:rPr>
          <w:rFonts w:cs="Arial"/>
          <w:szCs w:val="24"/>
        </w:rPr>
      </w:pPr>
    </w:p>
    <w:p w14:paraId="2E963960" w14:textId="22B99503" w:rsidR="00676019" w:rsidRDefault="00676019" w:rsidP="00676019">
      <w:pPr>
        <w:rPr>
          <w:rFonts w:cs="Arial"/>
          <w:b/>
          <w:bCs/>
          <w:iCs/>
          <w:szCs w:val="24"/>
          <w:u w:val="single"/>
        </w:rPr>
      </w:pPr>
      <w:r>
        <w:rPr>
          <w:rFonts w:cs="Arial"/>
          <w:b/>
          <w:bCs/>
          <w:iCs/>
          <w:szCs w:val="24"/>
        </w:rPr>
        <w:t>6</w:t>
      </w:r>
      <w:r w:rsidRPr="00F946C9">
        <w:rPr>
          <w:rFonts w:cs="Arial"/>
          <w:b/>
          <w:bCs/>
          <w:iCs/>
          <w:szCs w:val="24"/>
        </w:rPr>
        <w:t>.</w:t>
      </w:r>
      <w:r>
        <w:rPr>
          <w:rFonts w:cs="Arial"/>
          <w:b/>
          <w:bCs/>
          <w:i/>
          <w:iCs/>
          <w:szCs w:val="24"/>
        </w:rPr>
        <w:t xml:space="preserve"> </w:t>
      </w:r>
      <w:r w:rsidRPr="000F2487">
        <w:rPr>
          <w:rFonts w:cs="Arial"/>
          <w:b/>
          <w:bCs/>
          <w:iCs/>
          <w:szCs w:val="24"/>
          <w:u w:val="single"/>
        </w:rPr>
        <w:t>Otros impactos</w:t>
      </w:r>
    </w:p>
    <w:p w14:paraId="5423E4C0" w14:textId="14ED8C50" w:rsidR="00676019" w:rsidRPr="007067F1" w:rsidRDefault="00676019" w:rsidP="00676019">
      <w:pPr>
        <w:rPr>
          <w:rFonts w:cs="Arial"/>
          <w:szCs w:val="24"/>
        </w:rPr>
      </w:pPr>
    </w:p>
    <w:p w14:paraId="5CF55B8A" w14:textId="5C4D7E41" w:rsidR="00700BE5" w:rsidRPr="00700BE5" w:rsidRDefault="00700BE5" w:rsidP="00700BE5">
      <w:pPr>
        <w:rPr>
          <w:rFonts w:cs="Arial"/>
          <w:iCs/>
          <w:color w:val="000000"/>
          <w:szCs w:val="24"/>
        </w:rPr>
      </w:pPr>
      <w:r w:rsidRPr="00700BE5">
        <w:rPr>
          <w:rFonts w:cs="Arial"/>
          <w:iCs/>
          <w:color w:val="000000"/>
          <w:szCs w:val="24"/>
        </w:rPr>
        <w:t>No se prevé impacto alguno en materia de igualdad de oportunidades, no discriminación y accesibilidad universal de las personas con discapacidad, en los términos contemplados en el Texto Refundido de la Ley General de derechos de las personas con discapacidad y de su inclusión social, aprobado por el Real Decreto Legislativo 1/2013, de 29 de noviembre.</w:t>
      </w:r>
    </w:p>
    <w:p w14:paraId="4FBCE837" w14:textId="77777777" w:rsidR="000337D8" w:rsidRDefault="00700BE5" w:rsidP="00700BE5">
      <w:pPr>
        <w:rPr>
          <w:rFonts w:cs="Arial"/>
          <w:iCs/>
          <w:color w:val="000000"/>
          <w:szCs w:val="24"/>
        </w:rPr>
      </w:pPr>
      <w:r w:rsidRPr="00700BE5">
        <w:rPr>
          <w:rFonts w:cs="Arial"/>
          <w:iCs/>
          <w:color w:val="000000"/>
          <w:szCs w:val="24"/>
        </w:rPr>
        <w:t>Tampoco se prevé ningún impacto adicional de carácter social</w:t>
      </w:r>
      <w:r w:rsidR="000337D8">
        <w:rPr>
          <w:rFonts w:cs="Arial"/>
          <w:iCs/>
          <w:color w:val="000000"/>
          <w:szCs w:val="24"/>
        </w:rPr>
        <w:t>.</w:t>
      </w:r>
    </w:p>
    <w:p w14:paraId="5FE65088" w14:textId="0CCAB630" w:rsidR="00700BE5" w:rsidRPr="002045C1" w:rsidRDefault="000337D8" w:rsidP="00700BE5">
      <w:pPr>
        <w:rPr>
          <w:rFonts w:cs="Arial"/>
          <w:iCs/>
          <w:color w:val="000000"/>
          <w:szCs w:val="24"/>
        </w:rPr>
      </w:pPr>
      <w:r>
        <w:rPr>
          <w:rFonts w:cs="Arial"/>
          <w:iCs/>
          <w:color w:val="000000"/>
          <w:szCs w:val="24"/>
        </w:rPr>
        <w:t xml:space="preserve">En cuanto al impacto </w:t>
      </w:r>
      <w:r w:rsidR="00700BE5" w:rsidRPr="00700BE5">
        <w:rPr>
          <w:rFonts w:cs="Arial"/>
          <w:iCs/>
          <w:color w:val="000000"/>
          <w:szCs w:val="24"/>
        </w:rPr>
        <w:t>medioambiental</w:t>
      </w:r>
      <w:r>
        <w:rPr>
          <w:rFonts w:cs="Arial"/>
          <w:iCs/>
          <w:color w:val="000000"/>
          <w:szCs w:val="24"/>
        </w:rPr>
        <w:t xml:space="preserve"> de esta norma, se estima que su aprobación tendrá un impacto positivo derivado de la prohibición de utilización de envases de plástico para la comercialización de aceites de oliva virgen extra destinados al consumidor final, al reducirse la utilización de plástico</w:t>
      </w:r>
      <w:r w:rsidR="008D35C3">
        <w:rPr>
          <w:rFonts w:cs="Arial"/>
          <w:iCs/>
          <w:color w:val="000000"/>
          <w:szCs w:val="24"/>
        </w:rPr>
        <w:t>, en línea con las políticas de desarrollo sostenible</w:t>
      </w:r>
      <w:r>
        <w:rPr>
          <w:rFonts w:cs="Arial"/>
          <w:iCs/>
          <w:color w:val="000000"/>
          <w:szCs w:val="24"/>
        </w:rPr>
        <w:t>.</w:t>
      </w:r>
    </w:p>
    <w:p w14:paraId="22FAB919" w14:textId="77777777" w:rsidR="00676019" w:rsidRDefault="00676019" w:rsidP="00676019"/>
    <w:p w14:paraId="079BC8E8" w14:textId="44965248" w:rsidR="00676019" w:rsidRDefault="00676019" w:rsidP="00676019">
      <w:pPr>
        <w:rPr>
          <w:b/>
          <w:u w:val="single"/>
        </w:rPr>
      </w:pPr>
      <w:r>
        <w:rPr>
          <w:b/>
        </w:rPr>
        <w:t xml:space="preserve">VII. </w:t>
      </w:r>
      <w:r w:rsidRPr="00607E1C">
        <w:rPr>
          <w:b/>
          <w:u w:val="single"/>
        </w:rPr>
        <w:t>Evaluación ex post</w:t>
      </w:r>
    </w:p>
    <w:p w14:paraId="7E771111" w14:textId="77777777" w:rsidR="00676019" w:rsidRDefault="00676019" w:rsidP="00676019">
      <w:pPr>
        <w:rPr>
          <w:b/>
          <w:u w:val="single"/>
        </w:rPr>
      </w:pPr>
    </w:p>
    <w:p w14:paraId="38D6C07F" w14:textId="77777777" w:rsidR="00C03AF0" w:rsidRPr="00676019" w:rsidRDefault="00676019" w:rsidP="00676019">
      <w:pPr>
        <w:rPr>
          <w:b/>
          <w:u w:val="single"/>
        </w:rPr>
      </w:pPr>
      <w:r>
        <w:t>U</w:t>
      </w:r>
      <w:r w:rsidRPr="00607E1C">
        <w:t>na vez considerado lo dispuesto en el artículo 28.2 de</w:t>
      </w:r>
      <w:r>
        <w:t xml:space="preserve"> </w:t>
      </w:r>
      <w:r w:rsidRPr="00607E1C">
        <w:t>la Ley del Gobierno, y en el artículo 3 del Real Decreto 286/2017, de 24 de marzo, por el que</w:t>
      </w:r>
      <w:r>
        <w:t xml:space="preserve"> </w:t>
      </w:r>
      <w:r w:rsidRPr="00607E1C">
        <w:t>se regulan el Plan Anual Normativo y el Informe Anual de Evaluación Normativa de la</w:t>
      </w:r>
      <w:r>
        <w:t xml:space="preserve"> </w:t>
      </w:r>
      <w:r w:rsidRPr="00607E1C">
        <w:t>Administración General del Estado y se crea la Junta de Planificación y Evaluación Normativa,</w:t>
      </w:r>
      <w:r>
        <w:t xml:space="preserve"> </w:t>
      </w:r>
      <w:r w:rsidRPr="00607E1C">
        <w:t>por la naturaleza y contenido de la norma, se considera que la norma proyectada no es</w:t>
      </w:r>
      <w:r>
        <w:t xml:space="preserve"> </w:t>
      </w:r>
      <w:r w:rsidRPr="00607E1C">
        <w:t>susceptible de evaluación por sus r</w:t>
      </w:r>
      <w:r w:rsidR="00832584">
        <w:t>esultados.</w:t>
      </w:r>
    </w:p>
    <w:sectPr w:rsidR="00C03AF0" w:rsidRPr="00676019" w:rsidSect="00C93C23">
      <w:headerReference w:type="default" r:id="rId10"/>
      <w:footerReference w:type="default" r:id="rId11"/>
      <w:footerReference w:type="first" r:id="rId12"/>
      <w:type w:val="continuous"/>
      <w:pgSz w:w="11906" w:h="16838" w:code="9"/>
      <w:pgMar w:top="1134" w:right="1418" w:bottom="1134" w:left="1418" w:header="289" w:footer="408" w:gutter="0"/>
      <w:cols w:space="720" w:equalWidth="0">
        <w:col w:w="85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ED3E1" w14:textId="77777777" w:rsidR="00B63ED9" w:rsidRDefault="00B63ED9">
      <w:r>
        <w:separator/>
      </w:r>
    </w:p>
  </w:endnote>
  <w:endnote w:type="continuationSeparator" w:id="0">
    <w:p w14:paraId="06F7C460" w14:textId="77777777" w:rsidR="00B63ED9" w:rsidRDefault="00B6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5FD9F" w14:textId="7F5016E4" w:rsidR="00B63ED9" w:rsidRPr="00B83FAC" w:rsidRDefault="00B63ED9" w:rsidP="00F1690A">
    <w:pPr>
      <w:pStyle w:val="Piedepgina"/>
      <w:ind w:right="360"/>
      <w:jc w:val="right"/>
    </w:pPr>
    <w:r>
      <w:rPr>
        <w:rStyle w:val="Nmerodepgina"/>
      </w:rPr>
      <w:fldChar w:fldCharType="begin"/>
    </w:r>
    <w:r>
      <w:rPr>
        <w:rStyle w:val="Nmerodepgina"/>
      </w:rPr>
      <w:instrText xml:space="preserve"> PAGE </w:instrText>
    </w:r>
    <w:r>
      <w:rPr>
        <w:rStyle w:val="Nmerodepgina"/>
      </w:rPr>
      <w:fldChar w:fldCharType="separate"/>
    </w:r>
    <w:r w:rsidR="00FB0372">
      <w:rPr>
        <w:rStyle w:val="Nmerodepgina"/>
        <w:noProof/>
      </w:rPr>
      <w:t>5</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FB0372">
      <w:rPr>
        <w:rStyle w:val="Nmerodepgina"/>
        <w:noProof/>
      </w:rPr>
      <w:t>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37" w:type="dxa"/>
      <w:tblBorders>
        <w:insideV w:val="single" w:sz="4" w:space="0" w:color="auto"/>
      </w:tblBorders>
      <w:tblCellMar>
        <w:left w:w="70" w:type="dxa"/>
        <w:right w:w="70" w:type="dxa"/>
      </w:tblCellMar>
      <w:tblLook w:val="0000" w:firstRow="0" w:lastRow="0" w:firstColumn="0" w:lastColumn="0" w:noHBand="0" w:noVBand="0"/>
    </w:tblPr>
    <w:tblGrid>
      <w:gridCol w:w="7441"/>
      <w:gridCol w:w="1596"/>
    </w:tblGrid>
    <w:tr w:rsidR="00B63ED9" w:rsidRPr="00700DB8" w14:paraId="3777467A" w14:textId="77777777" w:rsidTr="00F56843">
      <w:tc>
        <w:tcPr>
          <w:tcW w:w="7441" w:type="dxa"/>
          <w:vAlign w:val="center"/>
        </w:tcPr>
        <w:p w14:paraId="3EB1B03C" w14:textId="77777777" w:rsidR="00B63ED9" w:rsidRDefault="00B63ED9" w:rsidP="00CE02B3">
          <w:pPr>
            <w:pStyle w:val="Textonotapie"/>
            <w:tabs>
              <w:tab w:val="left" w:pos="1021"/>
              <w:tab w:val="left" w:pos="8080"/>
            </w:tabs>
            <w:spacing w:before="20" w:after="20"/>
            <w:rPr>
              <w:rFonts w:ascii="Gill Sans MT" w:hAnsi="Gill Sans MT"/>
              <w:sz w:val="14"/>
            </w:rPr>
          </w:pPr>
          <w:r>
            <w:rPr>
              <w:rFonts w:ascii="Gill Sans MT" w:hAnsi="Gill Sans MT"/>
              <w:sz w:val="14"/>
            </w:rPr>
            <w:t>www.mapa.gob.es</w:t>
          </w:r>
        </w:p>
        <w:p w14:paraId="41C2C996" w14:textId="77777777" w:rsidR="00B63ED9" w:rsidRPr="00700DB8" w:rsidRDefault="00B63ED9" w:rsidP="00E114F1">
          <w:pPr>
            <w:pStyle w:val="Textonotapie"/>
            <w:tabs>
              <w:tab w:val="left" w:pos="1021"/>
              <w:tab w:val="left" w:pos="8080"/>
            </w:tabs>
            <w:spacing w:before="20" w:after="20"/>
            <w:jc w:val="left"/>
            <w:rPr>
              <w:rFonts w:ascii="Gill Sans MT" w:hAnsi="Gill Sans MT"/>
              <w:sz w:val="14"/>
            </w:rPr>
          </w:pPr>
          <w:r>
            <w:rPr>
              <w:rFonts w:ascii="Gill Sans MT" w:hAnsi="Gill Sans MT"/>
              <w:sz w:val="14"/>
            </w:rPr>
            <w:t>dgia@mapama.es</w:t>
          </w:r>
        </w:p>
      </w:tc>
      <w:tc>
        <w:tcPr>
          <w:tcW w:w="1596" w:type="dxa"/>
        </w:tcPr>
        <w:p w14:paraId="68BC4686" w14:textId="77777777" w:rsidR="00B63ED9" w:rsidRDefault="00B63ED9" w:rsidP="00CE02B3">
          <w:pPr>
            <w:pStyle w:val="Textonotapie"/>
            <w:tabs>
              <w:tab w:val="left" w:pos="1915"/>
              <w:tab w:val="left" w:pos="8080"/>
            </w:tabs>
            <w:spacing w:before="20"/>
            <w:rPr>
              <w:rFonts w:ascii="Gill Sans MT" w:hAnsi="Gill Sans MT"/>
              <w:sz w:val="14"/>
            </w:rPr>
          </w:pPr>
          <w:r>
            <w:rPr>
              <w:rFonts w:ascii="Gill Sans MT" w:hAnsi="Gill Sans MT"/>
              <w:sz w:val="14"/>
            </w:rPr>
            <w:t>Pº INFANTA ISABEL, 1</w:t>
          </w:r>
        </w:p>
        <w:p w14:paraId="19EA6404" w14:textId="77777777" w:rsidR="00B63ED9" w:rsidRDefault="00B63ED9" w:rsidP="00CE02B3">
          <w:pPr>
            <w:pStyle w:val="Textonotapie"/>
            <w:tabs>
              <w:tab w:val="left" w:pos="1915"/>
              <w:tab w:val="left" w:pos="8080"/>
            </w:tabs>
            <w:spacing w:before="20"/>
            <w:rPr>
              <w:rFonts w:ascii="Gill Sans MT" w:hAnsi="Gill Sans MT"/>
              <w:sz w:val="14"/>
            </w:rPr>
          </w:pPr>
          <w:r>
            <w:rPr>
              <w:rFonts w:ascii="Gill Sans MT" w:hAnsi="Gill Sans MT"/>
              <w:sz w:val="14"/>
            </w:rPr>
            <w:t>28071 MADRID</w:t>
          </w:r>
        </w:p>
        <w:p w14:paraId="500B9F0E" w14:textId="77777777" w:rsidR="00B63ED9" w:rsidRDefault="00B63ED9" w:rsidP="00CE02B3">
          <w:pPr>
            <w:pStyle w:val="Textonotapie"/>
            <w:tabs>
              <w:tab w:val="left" w:pos="1915"/>
              <w:tab w:val="left" w:pos="8080"/>
            </w:tabs>
            <w:spacing w:before="20"/>
            <w:rPr>
              <w:rFonts w:ascii="Gill Sans MT" w:hAnsi="Gill Sans MT"/>
              <w:sz w:val="14"/>
            </w:rPr>
          </w:pPr>
          <w:r>
            <w:rPr>
              <w:rFonts w:ascii="Gill Sans MT" w:hAnsi="Gill Sans MT"/>
              <w:sz w:val="14"/>
            </w:rPr>
            <w:t>TEL: 913475361</w:t>
          </w:r>
        </w:p>
        <w:p w14:paraId="68E1BF5D" w14:textId="77777777" w:rsidR="00B63ED9" w:rsidRPr="00700DB8" w:rsidRDefault="00B63ED9" w:rsidP="00CE02B3">
          <w:pPr>
            <w:pStyle w:val="Textonotapie"/>
            <w:tabs>
              <w:tab w:val="left" w:pos="1915"/>
              <w:tab w:val="left" w:pos="8080"/>
            </w:tabs>
            <w:spacing w:before="20"/>
            <w:rPr>
              <w:rFonts w:ascii="Gill Sans MT" w:hAnsi="Gill Sans MT"/>
              <w:sz w:val="14"/>
            </w:rPr>
          </w:pPr>
          <w:r>
            <w:rPr>
              <w:rFonts w:ascii="Gill Sans MT" w:hAnsi="Gill Sans MT"/>
              <w:sz w:val="14"/>
            </w:rPr>
            <w:t>FAX: 91347770</w:t>
          </w:r>
        </w:p>
      </w:tc>
    </w:tr>
  </w:tbl>
  <w:p w14:paraId="75D77B2D" w14:textId="77777777" w:rsidR="00B63ED9" w:rsidRDefault="00B63ED9" w:rsidP="00B83F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9B41D" w14:textId="77777777" w:rsidR="00B63ED9" w:rsidRDefault="00B63ED9">
      <w:r>
        <w:separator/>
      </w:r>
    </w:p>
  </w:footnote>
  <w:footnote w:type="continuationSeparator" w:id="0">
    <w:p w14:paraId="3F3EEA6A" w14:textId="77777777" w:rsidR="00B63ED9" w:rsidRDefault="00B63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16087" w14:textId="77777777" w:rsidR="00B63ED9" w:rsidRDefault="00B63ED9" w:rsidP="00EC1516">
    <w:pPr>
      <w:ind w:right="-87"/>
      <w:jc w:val="right"/>
    </w:pPr>
    <w:r>
      <w:rPr>
        <w:noProof/>
        <w:lang w:val="es-ES"/>
      </w:rPr>
      <mc:AlternateContent>
        <mc:Choice Requires="wps">
          <w:drawing>
            <wp:anchor distT="0" distB="0" distL="114300" distR="114300" simplePos="0" relativeHeight="251657728" behindDoc="0" locked="0" layoutInCell="0" allowOverlap="1" wp14:anchorId="2E5C1B5E" wp14:editId="1E92C3A3">
              <wp:simplePos x="0" y="0"/>
              <wp:positionH relativeFrom="column">
                <wp:posOffset>6041390</wp:posOffset>
              </wp:positionH>
              <wp:positionV relativeFrom="paragraph">
                <wp:posOffset>823595</wp:posOffset>
              </wp:positionV>
              <wp:extent cx="868680" cy="0"/>
              <wp:effectExtent l="12065" t="13970" r="5080" b="50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8BBEEE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pt,64.85pt" to="544.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" o:allowincell="f"/>
          </w:pict>
        </mc:Fallback>
      </mc:AlternateContent>
    </w:r>
    <w:r>
      <w:rPr>
        <w:noProof/>
        <w:lang w:val="es-ES"/>
      </w:rPr>
      <w:drawing>
        <wp:inline distT="0" distB="0" distL="0" distR="0" wp14:anchorId="7F67F98F" wp14:editId="52DDEFBD">
          <wp:extent cx="838200" cy="8763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8200" cy="876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89E"/>
    <w:multiLevelType w:val="hybridMultilevel"/>
    <w:tmpl w:val="A72007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071009"/>
    <w:multiLevelType w:val="singleLevel"/>
    <w:tmpl w:val="FAFC5D3A"/>
    <w:name w:val="List Bullet 2__1"/>
    <w:lvl w:ilvl="0">
      <w:start w:val="1"/>
      <w:numFmt w:val="bullet"/>
      <w:pStyle w:val="Listaconvietas2"/>
      <w:lvlText w:val=""/>
      <w:lvlJc w:val="left"/>
      <w:pPr>
        <w:tabs>
          <w:tab w:val="num" w:pos="1134"/>
        </w:tabs>
        <w:ind w:left="1134" w:hanging="283"/>
      </w:pPr>
      <w:rPr>
        <w:rFonts w:ascii="Symbol" w:hAnsi="Symbol" w:hint="default"/>
      </w:rPr>
    </w:lvl>
  </w:abstractNum>
  <w:abstractNum w:abstractNumId="2" w15:restartNumberingAfterBreak="0">
    <w:nsid w:val="0A255CFF"/>
    <w:multiLevelType w:val="hybridMultilevel"/>
    <w:tmpl w:val="7690DF4A"/>
    <w:lvl w:ilvl="0" w:tplc="9A7C0D60">
      <w:start w:val="1"/>
      <w:numFmt w:val="lowerLetter"/>
      <w:lvlText w:val="%1)"/>
      <w:lvlJc w:val="left"/>
      <w:pPr>
        <w:ind w:left="720" w:hanging="360"/>
      </w:pPr>
      <w:rPr>
        <w:rFonts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415579"/>
    <w:multiLevelType w:val="hybridMultilevel"/>
    <w:tmpl w:val="7DF0EE36"/>
    <w:lvl w:ilvl="0" w:tplc="315E71BC">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FA1987"/>
    <w:multiLevelType w:val="hybridMultilevel"/>
    <w:tmpl w:val="12720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561AA1"/>
    <w:multiLevelType w:val="hybridMultilevel"/>
    <w:tmpl w:val="72B86C06"/>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6" w15:restartNumberingAfterBreak="0">
    <w:nsid w:val="2C2D7F4D"/>
    <w:multiLevelType w:val="multilevel"/>
    <w:tmpl w:val="C0E22A40"/>
    <w:styleLink w:val="EstiloConvietas"/>
    <w:lvl w:ilvl="0">
      <w:start w:val="1"/>
      <w:numFmt w:val="bullet"/>
      <w:lvlText w:val="–"/>
      <w:lvlJc w:val="left"/>
      <w:pPr>
        <w:tabs>
          <w:tab w:val="num" w:pos="360"/>
        </w:tabs>
        <w:ind w:left="360" w:hanging="360"/>
      </w:pPr>
      <w:rPr>
        <w:rFonts w:ascii="Arial" w:hAnsi="Arial"/>
        <w:sz w:val="24"/>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DB74B86"/>
    <w:multiLevelType w:val="hybridMultilevel"/>
    <w:tmpl w:val="1AEE6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5F0928"/>
    <w:multiLevelType w:val="multilevel"/>
    <w:tmpl w:val="88EE9D42"/>
    <w:lvl w:ilvl="0">
      <w:start w:val="1"/>
      <w:numFmt w:val="none"/>
      <w:pStyle w:val="Ttulo1"/>
      <w:lvlText w:val=""/>
      <w:lvlJc w:val="left"/>
      <w:pPr>
        <w:tabs>
          <w:tab w:val="num" w:pos="432"/>
        </w:tabs>
        <w:ind w:left="432" w:hanging="432"/>
      </w:pPr>
      <w:rPr>
        <w:rFonts w:hint="default"/>
      </w:rPr>
    </w:lvl>
    <w:lvl w:ilvl="1">
      <w:start w:val="1"/>
      <w:numFmt w:val="upperRoman"/>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5%1.%2.%3.%4.%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9" w15:restartNumberingAfterBreak="0">
    <w:nsid w:val="4CC323BD"/>
    <w:multiLevelType w:val="hybridMultilevel"/>
    <w:tmpl w:val="78388C86"/>
    <w:lvl w:ilvl="0" w:tplc="315E71B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D5402C"/>
    <w:multiLevelType w:val="hybridMultilevel"/>
    <w:tmpl w:val="27CACF3A"/>
    <w:lvl w:ilvl="0" w:tplc="F956166E">
      <w:start w:val="1"/>
      <w:numFmt w:val="lowerLetter"/>
      <w:lvlText w:val="%1)"/>
      <w:lvlJc w:val="left"/>
      <w:pPr>
        <w:ind w:left="4754" w:hanging="360"/>
      </w:pPr>
      <w:rPr>
        <w:rFonts w:ascii="Arial" w:hAnsi="Arial" w:hint="default"/>
        <w:sz w:val="24"/>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1" w15:restartNumberingAfterBreak="0">
    <w:nsid w:val="52250CF5"/>
    <w:multiLevelType w:val="hybridMultilevel"/>
    <w:tmpl w:val="97807ECE"/>
    <w:lvl w:ilvl="0" w:tplc="F72C04DA">
      <w:start w:val="1"/>
      <w:numFmt w:val="bullet"/>
      <w:lvlText w:val="–"/>
      <w:lvlJc w:val="left"/>
      <w:pPr>
        <w:tabs>
          <w:tab w:val="num" w:pos="360"/>
        </w:tabs>
        <w:ind w:left="360" w:hanging="360"/>
      </w:pPr>
      <w:rPr>
        <w:rFonts w:ascii="Arial" w:hAnsi="Arial" w:hint="default"/>
      </w:rPr>
    </w:lvl>
    <w:lvl w:ilvl="1" w:tplc="912E21D6" w:tentative="1">
      <w:start w:val="1"/>
      <w:numFmt w:val="bullet"/>
      <w:lvlText w:val="o"/>
      <w:lvlJc w:val="left"/>
      <w:pPr>
        <w:tabs>
          <w:tab w:val="num" w:pos="1440"/>
        </w:tabs>
        <w:ind w:left="1440" w:hanging="360"/>
      </w:pPr>
      <w:rPr>
        <w:rFonts w:ascii="Courier New" w:hAnsi="Courier New" w:cs="Courier New" w:hint="default"/>
      </w:rPr>
    </w:lvl>
    <w:lvl w:ilvl="2" w:tplc="84CACF00" w:tentative="1">
      <w:start w:val="1"/>
      <w:numFmt w:val="bullet"/>
      <w:lvlText w:val=""/>
      <w:lvlJc w:val="left"/>
      <w:pPr>
        <w:tabs>
          <w:tab w:val="num" w:pos="2160"/>
        </w:tabs>
        <w:ind w:left="2160" w:hanging="360"/>
      </w:pPr>
      <w:rPr>
        <w:rFonts w:ascii="Wingdings" w:hAnsi="Wingdings" w:hint="default"/>
      </w:rPr>
    </w:lvl>
    <w:lvl w:ilvl="3" w:tplc="E1588DA2" w:tentative="1">
      <w:start w:val="1"/>
      <w:numFmt w:val="bullet"/>
      <w:lvlText w:val=""/>
      <w:lvlJc w:val="left"/>
      <w:pPr>
        <w:tabs>
          <w:tab w:val="num" w:pos="2880"/>
        </w:tabs>
        <w:ind w:left="2880" w:hanging="360"/>
      </w:pPr>
      <w:rPr>
        <w:rFonts w:ascii="Symbol" w:hAnsi="Symbol" w:hint="default"/>
      </w:rPr>
    </w:lvl>
    <w:lvl w:ilvl="4" w:tplc="2C9CC22A" w:tentative="1">
      <w:start w:val="1"/>
      <w:numFmt w:val="bullet"/>
      <w:lvlText w:val="o"/>
      <w:lvlJc w:val="left"/>
      <w:pPr>
        <w:tabs>
          <w:tab w:val="num" w:pos="3600"/>
        </w:tabs>
        <w:ind w:left="3600" w:hanging="360"/>
      </w:pPr>
      <w:rPr>
        <w:rFonts w:ascii="Courier New" w:hAnsi="Courier New" w:cs="Courier New" w:hint="default"/>
      </w:rPr>
    </w:lvl>
    <w:lvl w:ilvl="5" w:tplc="3EDCE0A6" w:tentative="1">
      <w:start w:val="1"/>
      <w:numFmt w:val="bullet"/>
      <w:lvlText w:val=""/>
      <w:lvlJc w:val="left"/>
      <w:pPr>
        <w:tabs>
          <w:tab w:val="num" w:pos="4320"/>
        </w:tabs>
        <w:ind w:left="4320" w:hanging="360"/>
      </w:pPr>
      <w:rPr>
        <w:rFonts w:ascii="Wingdings" w:hAnsi="Wingdings" w:hint="default"/>
      </w:rPr>
    </w:lvl>
    <w:lvl w:ilvl="6" w:tplc="EA3215FE" w:tentative="1">
      <w:start w:val="1"/>
      <w:numFmt w:val="bullet"/>
      <w:lvlText w:val=""/>
      <w:lvlJc w:val="left"/>
      <w:pPr>
        <w:tabs>
          <w:tab w:val="num" w:pos="5040"/>
        </w:tabs>
        <w:ind w:left="5040" w:hanging="360"/>
      </w:pPr>
      <w:rPr>
        <w:rFonts w:ascii="Symbol" w:hAnsi="Symbol" w:hint="default"/>
      </w:rPr>
    </w:lvl>
    <w:lvl w:ilvl="7" w:tplc="1F9E4B1E" w:tentative="1">
      <w:start w:val="1"/>
      <w:numFmt w:val="bullet"/>
      <w:lvlText w:val="o"/>
      <w:lvlJc w:val="left"/>
      <w:pPr>
        <w:tabs>
          <w:tab w:val="num" w:pos="5760"/>
        </w:tabs>
        <w:ind w:left="5760" w:hanging="360"/>
      </w:pPr>
      <w:rPr>
        <w:rFonts w:ascii="Courier New" w:hAnsi="Courier New" w:cs="Courier New" w:hint="default"/>
      </w:rPr>
    </w:lvl>
    <w:lvl w:ilvl="8" w:tplc="21F061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A35298"/>
    <w:multiLevelType w:val="multilevel"/>
    <w:tmpl w:val="3ADEA386"/>
    <w:lvl w:ilvl="0">
      <w:start w:val="1"/>
      <w:numFmt w:val="decimal"/>
      <w:pStyle w:val="Apartado"/>
      <w:suff w:val="space"/>
      <w:lvlText w:val="%1."/>
      <w:lvlJc w:val="left"/>
      <w:pPr>
        <w:ind w:left="360" w:hanging="360"/>
      </w:pPr>
      <w:rPr>
        <w:rFonts w:hint="default"/>
        <w:b w:val="0"/>
        <w:i w:val="0"/>
        <w:sz w:val="24"/>
      </w:rPr>
    </w:lvl>
    <w:lvl w:ilvl="1">
      <w:start w:val="1"/>
      <w:numFmt w:val="decimal"/>
      <w:lvlText w:val="%2."/>
      <w:lvlJc w:val="left"/>
      <w:pPr>
        <w:tabs>
          <w:tab w:val="num" w:pos="709"/>
        </w:tabs>
        <w:ind w:left="792" w:hanging="432"/>
      </w:pPr>
      <w:rPr>
        <w:rFonts w:hint="defau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5D327EDE"/>
    <w:multiLevelType w:val="hybridMultilevel"/>
    <w:tmpl w:val="D4AC54E8"/>
    <w:lvl w:ilvl="0" w:tplc="315E71B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315E71BC">
      <w:start w:val="1"/>
      <w:numFmt w:val="bullet"/>
      <w:lvlText w:val="–"/>
      <w:lvlJc w:val="left"/>
      <w:pPr>
        <w:ind w:left="2160" w:hanging="360"/>
      </w:pPr>
      <w:rPr>
        <w:rFonts w:ascii="Arial" w:hAnsi="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9411CA"/>
    <w:multiLevelType w:val="hybridMultilevel"/>
    <w:tmpl w:val="50C052B8"/>
    <w:lvl w:ilvl="0" w:tplc="3F608F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0F6BAE"/>
    <w:multiLevelType w:val="hybridMultilevel"/>
    <w:tmpl w:val="5DDC1DF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71D831C5"/>
    <w:multiLevelType w:val="hybridMultilevel"/>
    <w:tmpl w:val="37C4C4F0"/>
    <w:lvl w:ilvl="0" w:tplc="0D54CA40">
      <w:start w:val="1"/>
      <w:numFmt w:val="bullet"/>
      <w:lvlText w:val="–"/>
      <w:lvlJc w:val="left"/>
      <w:pPr>
        <w:tabs>
          <w:tab w:val="num" w:pos="644"/>
        </w:tabs>
        <w:ind w:left="644" w:hanging="360"/>
      </w:pPr>
      <w:rPr>
        <w:rFonts w:ascii="Arial" w:hAnsi="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3F71830"/>
    <w:multiLevelType w:val="hybridMultilevel"/>
    <w:tmpl w:val="D32CC510"/>
    <w:lvl w:ilvl="0" w:tplc="E6D050D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EE52EA"/>
    <w:multiLevelType w:val="hybridMultilevel"/>
    <w:tmpl w:val="86A2895A"/>
    <w:lvl w:ilvl="0" w:tplc="0C0A000F">
      <w:start w:val="1"/>
      <w:numFmt w:val="decimal"/>
      <w:lvlText w:val="%1."/>
      <w:lvlJc w:val="left"/>
      <w:pPr>
        <w:tabs>
          <w:tab w:val="num" w:pos="644"/>
        </w:tabs>
        <w:ind w:left="644"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E17CEAA4">
      <w:start w:val="1"/>
      <w:numFmt w:val="lowerLetter"/>
      <w:lvlText w:val="%3)"/>
      <w:lvlJc w:val="left"/>
      <w:pPr>
        <w:ind w:left="2520" w:hanging="360"/>
      </w:pPr>
      <w:rPr>
        <w:rFont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141351"/>
    <w:multiLevelType w:val="hybridMultilevel"/>
    <w:tmpl w:val="A9F6B5CE"/>
    <w:lvl w:ilvl="0" w:tplc="315E71BC">
      <w:start w:val="1"/>
      <w:numFmt w:val="bullet"/>
      <w:lvlText w:val="–"/>
      <w:lvlJc w:val="left"/>
      <w:pPr>
        <w:tabs>
          <w:tab w:val="num" w:pos="360"/>
        </w:tabs>
        <w:ind w:left="360" w:hanging="360"/>
      </w:pPr>
      <w:rPr>
        <w:rFonts w:ascii="Arial" w:hAnsi="Arial" w:hint="default"/>
      </w:rPr>
    </w:lvl>
    <w:lvl w:ilvl="1" w:tplc="A01A9354" w:tentative="1">
      <w:start w:val="1"/>
      <w:numFmt w:val="bullet"/>
      <w:lvlText w:val="o"/>
      <w:lvlJc w:val="left"/>
      <w:pPr>
        <w:tabs>
          <w:tab w:val="num" w:pos="1440"/>
        </w:tabs>
        <w:ind w:left="1440" w:hanging="360"/>
      </w:pPr>
      <w:rPr>
        <w:rFonts w:ascii="Courier New" w:hAnsi="Courier New" w:cs="Courier New" w:hint="default"/>
      </w:rPr>
    </w:lvl>
    <w:lvl w:ilvl="2" w:tplc="661E1E8E" w:tentative="1">
      <w:start w:val="1"/>
      <w:numFmt w:val="bullet"/>
      <w:lvlText w:val=""/>
      <w:lvlJc w:val="left"/>
      <w:pPr>
        <w:tabs>
          <w:tab w:val="num" w:pos="2160"/>
        </w:tabs>
        <w:ind w:left="2160" w:hanging="360"/>
      </w:pPr>
      <w:rPr>
        <w:rFonts w:ascii="Wingdings" w:hAnsi="Wingdings" w:hint="default"/>
      </w:rPr>
    </w:lvl>
    <w:lvl w:ilvl="3" w:tplc="7E1EBA9A" w:tentative="1">
      <w:start w:val="1"/>
      <w:numFmt w:val="bullet"/>
      <w:lvlText w:val=""/>
      <w:lvlJc w:val="left"/>
      <w:pPr>
        <w:tabs>
          <w:tab w:val="num" w:pos="2880"/>
        </w:tabs>
        <w:ind w:left="2880" w:hanging="360"/>
      </w:pPr>
      <w:rPr>
        <w:rFonts w:ascii="Symbol" w:hAnsi="Symbol" w:hint="default"/>
      </w:rPr>
    </w:lvl>
    <w:lvl w:ilvl="4" w:tplc="504283E4" w:tentative="1">
      <w:start w:val="1"/>
      <w:numFmt w:val="bullet"/>
      <w:lvlText w:val="o"/>
      <w:lvlJc w:val="left"/>
      <w:pPr>
        <w:tabs>
          <w:tab w:val="num" w:pos="3600"/>
        </w:tabs>
        <w:ind w:left="3600" w:hanging="360"/>
      </w:pPr>
      <w:rPr>
        <w:rFonts w:ascii="Courier New" w:hAnsi="Courier New" w:cs="Courier New" w:hint="default"/>
      </w:rPr>
    </w:lvl>
    <w:lvl w:ilvl="5" w:tplc="21229004" w:tentative="1">
      <w:start w:val="1"/>
      <w:numFmt w:val="bullet"/>
      <w:lvlText w:val=""/>
      <w:lvlJc w:val="left"/>
      <w:pPr>
        <w:tabs>
          <w:tab w:val="num" w:pos="4320"/>
        </w:tabs>
        <w:ind w:left="4320" w:hanging="360"/>
      </w:pPr>
      <w:rPr>
        <w:rFonts w:ascii="Wingdings" w:hAnsi="Wingdings" w:hint="default"/>
      </w:rPr>
    </w:lvl>
    <w:lvl w:ilvl="6" w:tplc="6FD0D8E8" w:tentative="1">
      <w:start w:val="1"/>
      <w:numFmt w:val="bullet"/>
      <w:lvlText w:val=""/>
      <w:lvlJc w:val="left"/>
      <w:pPr>
        <w:tabs>
          <w:tab w:val="num" w:pos="5040"/>
        </w:tabs>
        <w:ind w:left="5040" w:hanging="360"/>
      </w:pPr>
      <w:rPr>
        <w:rFonts w:ascii="Symbol" w:hAnsi="Symbol" w:hint="default"/>
      </w:rPr>
    </w:lvl>
    <w:lvl w:ilvl="7" w:tplc="D402E896" w:tentative="1">
      <w:start w:val="1"/>
      <w:numFmt w:val="bullet"/>
      <w:lvlText w:val="o"/>
      <w:lvlJc w:val="left"/>
      <w:pPr>
        <w:tabs>
          <w:tab w:val="num" w:pos="5760"/>
        </w:tabs>
        <w:ind w:left="5760" w:hanging="360"/>
      </w:pPr>
      <w:rPr>
        <w:rFonts w:ascii="Courier New" w:hAnsi="Courier New" w:cs="Courier New" w:hint="default"/>
      </w:rPr>
    </w:lvl>
    <w:lvl w:ilvl="8" w:tplc="7EF029D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1117CA"/>
    <w:multiLevelType w:val="hybridMultilevel"/>
    <w:tmpl w:val="FFF853E8"/>
    <w:lvl w:ilvl="0" w:tplc="76A2A2E4">
      <w:start w:val="4"/>
      <w:numFmt w:val="bullet"/>
      <w:lvlText w:val="-"/>
      <w:lvlJc w:val="left"/>
      <w:pPr>
        <w:ind w:left="720" w:hanging="360"/>
      </w:pPr>
      <w:rPr>
        <w:rFonts w:ascii="Arial" w:eastAsia="Times New Roman" w:hAnsi="Arial" w:cs="Aria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9"/>
  </w:num>
  <w:num w:numId="4">
    <w:abstractNumId w:val="11"/>
  </w:num>
  <w:num w:numId="5">
    <w:abstractNumId w:val="8"/>
  </w:num>
  <w:num w:numId="6">
    <w:abstractNumId w:val="16"/>
  </w:num>
  <w:num w:numId="7">
    <w:abstractNumId w:val="12"/>
  </w:num>
  <w:num w:numId="8">
    <w:abstractNumId w:val="3"/>
  </w:num>
  <w:num w:numId="9">
    <w:abstractNumId w:val="5"/>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18"/>
  </w:num>
  <w:num w:numId="23">
    <w:abstractNumId w:val="9"/>
  </w:num>
  <w:num w:numId="24">
    <w:abstractNumId w:val="13"/>
  </w:num>
  <w:num w:numId="25">
    <w:abstractNumId w:val="0"/>
  </w:num>
  <w:num w:numId="26">
    <w:abstractNumId w:val="17"/>
  </w:num>
  <w:num w:numId="27">
    <w:abstractNumId w:val="14"/>
  </w:num>
  <w:num w:numId="28">
    <w:abstractNumId w:val="2"/>
  </w:num>
  <w:num w:numId="29">
    <w:abstractNumId w:val="10"/>
  </w:num>
  <w:num w:numId="30">
    <w:abstractNumId w:val="20"/>
  </w:num>
  <w:num w:numId="31">
    <w:abstractNumId w:val="7"/>
  </w:num>
  <w:num w:numId="32">
    <w:abstractNumId w:val="15"/>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30"/>
    <w:rsid w:val="00000916"/>
    <w:rsid w:val="000026F7"/>
    <w:rsid w:val="00003ED6"/>
    <w:rsid w:val="00003FD6"/>
    <w:rsid w:val="00004A7E"/>
    <w:rsid w:val="00005B14"/>
    <w:rsid w:val="000061DC"/>
    <w:rsid w:val="00010FDF"/>
    <w:rsid w:val="000134FB"/>
    <w:rsid w:val="00015F11"/>
    <w:rsid w:val="0001755F"/>
    <w:rsid w:val="00017D18"/>
    <w:rsid w:val="00020561"/>
    <w:rsid w:val="00021854"/>
    <w:rsid w:val="0002191F"/>
    <w:rsid w:val="00021B0D"/>
    <w:rsid w:val="00027084"/>
    <w:rsid w:val="0003211D"/>
    <w:rsid w:val="00032A00"/>
    <w:rsid w:val="00032A66"/>
    <w:rsid w:val="0003330A"/>
    <w:rsid w:val="000337D8"/>
    <w:rsid w:val="000349F5"/>
    <w:rsid w:val="00034BA0"/>
    <w:rsid w:val="000353E1"/>
    <w:rsid w:val="00035477"/>
    <w:rsid w:val="000413CC"/>
    <w:rsid w:val="000416BE"/>
    <w:rsid w:val="00042209"/>
    <w:rsid w:val="00043CB1"/>
    <w:rsid w:val="00052E33"/>
    <w:rsid w:val="0005337D"/>
    <w:rsid w:val="00053452"/>
    <w:rsid w:val="00053BD1"/>
    <w:rsid w:val="00054110"/>
    <w:rsid w:val="00055312"/>
    <w:rsid w:val="0006216C"/>
    <w:rsid w:val="00062959"/>
    <w:rsid w:val="00063D67"/>
    <w:rsid w:val="000644B5"/>
    <w:rsid w:val="00066E1F"/>
    <w:rsid w:val="000678EE"/>
    <w:rsid w:val="00076DA4"/>
    <w:rsid w:val="000827CA"/>
    <w:rsid w:val="00084688"/>
    <w:rsid w:val="000849E1"/>
    <w:rsid w:val="0008517D"/>
    <w:rsid w:val="00085794"/>
    <w:rsid w:val="00085DB8"/>
    <w:rsid w:val="00091E7E"/>
    <w:rsid w:val="00092F23"/>
    <w:rsid w:val="000951E1"/>
    <w:rsid w:val="00097C3D"/>
    <w:rsid w:val="000A00E7"/>
    <w:rsid w:val="000A161F"/>
    <w:rsid w:val="000A2E2C"/>
    <w:rsid w:val="000A3740"/>
    <w:rsid w:val="000A37B3"/>
    <w:rsid w:val="000A6A4C"/>
    <w:rsid w:val="000B0B60"/>
    <w:rsid w:val="000B1745"/>
    <w:rsid w:val="000B1CC6"/>
    <w:rsid w:val="000B2F6F"/>
    <w:rsid w:val="000B39B8"/>
    <w:rsid w:val="000B3F3B"/>
    <w:rsid w:val="000B44C5"/>
    <w:rsid w:val="000B4B07"/>
    <w:rsid w:val="000B5894"/>
    <w:rsid w:val="000B5DE2"/>
    <w:rsid w:val="000B709A"/>
    <w:rsid w:val="000C0E3F"/>
    <w:rsid w:val="000C2CCA"/>
    <w:rsid w:val="000C3EC5"/>
    <w:rsid w:val="000C56B0"/>
    <w:rsid w:val="000C5AE7"/>
    <w:rsid w:val="000C643A"/>
    <w:rsid w:val="000C758D"/>
    <w:rsid w:val="000D0E37"/>
    <w:rsid w:val="000D167D"/>
    <w:rsid w:val="000D2B0C"/>
    <w:rsid w:val="000D2FA4"/>
    <w:rsid w:val="000D516D"/>
    <w:rsid w:val="000D6E76"/>
    <w:rsid w:val="000D7FFA"/>
    <w:rsid w:val="000E1BAF"/>
    <w:rsid w:val="000E4831"/>
    <w:rsid w:val="000E591F"/>
    <w:rsid w:val="000E64CB"/>
    <w:rsid w:val="000F2B75"/>
    <w:rsid w:val="000F301E"/>
    <w:rsid w:val="000F4417"/>
    <w:rsid w:val="000F64BC"/>
    <w:rsid w:val="000F66C8"/>
    <w:rsid w:val="001005DA"/>
    <w:rsid w:val="00102C1C"/>
    <w:rsid w:val="00103E19"/>
    <w:rsid w:val="00106203"/>
    <w:rsid w:val="00107B28"/>
    <w:rsid w:val="0011319A"/>
    <w:rsid w:val="00113876"/>
    <w:rsid w:val="00113B6A"/>
    <w:rsid w:val="001140A2"/>
    <w:rsid w:val="0011436A"/>
    <w:rsid w:val="0011609B"/>
    <w:rsid w:val="00116AE4"/>
    <w:rsid w:val="00117AF8"/>
    <w:rsid w:val="0012007D"/>
    <w:rsid w:val="00120992"/>
    <w:rsid w:val="001211DC"/>
    <w:rsid w:val="00124C6A"/>
    <w:rsid w:val="00124D4E"/>
    <w:rsid w:val="00125980"/>
    <w:rsid w:val="00127270"/>
    <w:rsid w:val="0012770D"/>
    <w:rsid w:val="001311CD"/>
    <w:rsid w:val="00133778"/>
    <w:rsid w:val="00133DBE"/>
    <w:rsid w:val="00134997"/>
    <w:rsid w:val="001351E4"/>
    <w:rsid w:val="0013552E"/>
    <w:rsid w:val="00135C66"/>
    <w:rsid w:val="00136D02"/>
    <w:rsid w:val="0014033D"/>
    <w:rsid w:val="001406F4"/>
    <w:rsid w:val="001445CF"/>
    <w:rsid w:val="0014494D"/>
    <w:rsid w:val="00145F7C"/>
    <w:rsid w:val="00146DCD"/>
    <w:rsid w:val="0015289D"/>
    <w:rsid w:val="00153ADE"/>
    <w:rsid w:val="00153F59"/>
    <w:rsid w:val="00154A65"/>
    <w:rsid w:val="00155C95"/>
    <w:rsid w:val="001564F7"/>
    <w:rsid w:val="001605E5"/>
    <w:rsid w:val="00162058"/>
    <w:rsid w:val="00162801"/>
    <w:rsid w:val="00163224"/>
    <w:rsid w:val="0016342F"/>
    <w:rsid w:val="00163E28"/>
    <w:rsid w:val="0016452E"/>
    <w:rsid w:val="00164A9B"/>
    <w:rsid w:val="00164FD3"/>
    <w:rsid w:val="00165C77"/>
    <w:rsid w:val="00166FDA"/>
    <w:rsid w:val="00167AED"/>
    <w:rsid w:val="00171568"/>
    <w:rsid w:val="00171D2C"/>
    <w:rsid w:val="00172F06"/>
    <w:rsid w:val="0017506E"/>
    <w:rsid w:val="0017608E"/>
    <w:rsid w:val="001765C5"/>
    <w:rsid w:val="00176862"/>
    <w:rsid w:val="0017795B"/>
    <w:rsid w:val="001825C0"/>
    <w:rsid w:val="00182CAB"/>
    <w:rsid w:val="00185414"/>
    <w:rsid w:val="00191DAA"/>
    <w:rsid w:val="001946E9"/>
    <w:rsid w:val="00194893"/>
    <w:rsid w:val="00194CF0"/>
    <w:rsid w:val="00196B75"/>
    <w:rsid w:val="001A04FF"/>
    <w:rsid w:val="001A3B5D"/>
    <w:rsid w:val="001A43EC"/>
    <w:rsid w:val="001A53BC"/>
    <w:rsid w:val="001A56A5"/>
    <w:rsid w:val="001A5E28"/>
    <w:rsid w:val="001B01CF"/>
    <w:rsid w:val="001B5C93"/>
    <w:rsid w:val="001B6782"/>
    <w:rsid w:val="001B780A"/>
    <w:rsid w:val="001C10C3"/>
    <w:rsid w:val="001C20F3"/>
    <w:rsid w:val="001C26ED"/>
    <w:rsid w:val="001C4E58"/>
    <w:rsid w:val="001C53CD"/>
    <w:rsid w:val="001C60C7"/>
    <w:rsid w:val="001D0979"/>
    <w:rsid w:val="001D0E62"/>
    <w:rsid w:val="001D25E6"/>
    <w:rsid w:val="001D46B7"/>
    <w:rsid w:val="001E0532"/>
    <w:rsid w:val="001E584B"/>
    <w:rsid w:val="001E5EA8"/>
    <w:rsid w:val="001F1F67"/>
    <w:rsid w:val="001F2176"/>
    <w:rsid w:val="001F3E37"/>
    <w:rsid w:val="001F4015"/>
    <w:rsid w:val="001F563E"/>
    <w:rsid w:val="001F5B69"/>
    <w:rsid w:val="001F7D35"/>
    <w:rsid w:val="00202648"/>
    <w:rsid w:val="00202D70"/>
    <w:rsid w:val="00204A5C"/>
    <w:rsid w:val="002105E1"/>
    <w:rsid w:val="002118F6"/>
    <w:rsid w:val="00211E35"/>
    <w:rsid w:val="00215E8D"/>
    <w:rsid w:val="00216E6D"/>
    <w:rsid w:val="00216EC1"/>
    <w:rsid w:val="00216FE4"/>
    <w:rsid w:val="002218E3"/>
    <w:rsid w:val="00221B11"/>
    <w:rsid w:val="00221B30"/>
    <w:rsid w:val="002263FD"/>
    <w:rsid w:val="00226525"/>
    <w:rsid w:val="00232190"/>
    <w:rsid w:val="002325EB"/>
    <w:rsid w:val="00235469"/>
    <w:rsid w:val="002355CA"/>
    <w:rsid w:val="002422AA"/>
    <w:rsid w:val="00242713"/>
    <w:rsid w:val="002437AE"/>
    <w:rsid w:val="0024389B"/>
    <w:rsid w:val="00244553"/>
    <w:rsid w:val="00244B57"/>
    <w:rsid w:val="00245AFF"/>
    <w:rsid w:val="00246B77"/>
    <w:rsid w:val="00246D25"/>
    <w:rsid w:val="00246D30"/>
    <w:rsid w:val="00247653"/>
    <w:rsid w:val="00250BAB"/>
    <w:rsid w:val="002519A2"/>
    <w:rsid w:val="002555BE"/>
    <w:rsid w:val="002567B8"/>
    <w:rsid w:val="00262D95"/>
    <w:rsid w:val="002634A1"/>
    <w:rsid w:val="00264707"/>
    <w:rsid w:val="002666BC"/>
    <w:rsid w:val="00266861"/>
    <w:rsid w:val="00267918"/>
    <w:rsid w:val="00267E49"/>
    <w:rsid w:val="00270DC1"/>
    <w:rsid w:val="00274A31"/>
    <w:rsid w:val="00274B68"/>
    <w:rsid w:val="0027742D"/>
    <w:rsid w:val="00277DE7"/>
    <w:rsid w:val="00281DF2"/>
    <w:rsid w:val="00291396"/>
    <w:rsid w:val="00292F54"/>
    <w:rsid w:val="0029552B"/>
    <w:rsid w:val="00295E6C"/>
    <w:rsid w:val="002A36D0"/>
    <w:rsid w:val="002A3E93"/>
    <w:rsid w:val="002A5F5D"/>
    <w:rsid w:val="002A7BDD"/>
    <w:rsid w:val="002B06EC"/>
    <w:rsid w:val="002B0A98"/>
    <w:rsid w:val="002B16B3"/>
    <w:rsid w:val="002B1711"/>
    <w:rsid w:val="002B3AF6"/>
    <w:rsid w:val="002B4E6E"/>
    <w:rsid w:val="002B68F3"/>
    <w:rsid w:val="002B6C0A"/>
    <w:rsid w:val="002C078A"/>
    <w:rsid w:val="002C11BE"/>
    <w:rsid w:val="002C1A9A"/>
    <w:rsid w:val="002C22E5"/>
    <w:rsid w:val="002C4AAD"/>
    <w:rsid w:val="002C602D"/>
    <w:rsid w:val="002C779E"/>
    <w:rsid w:val="002D021E"/>
    <w:rsid w:val="002D05EC"/>
    <w:rsid w:val="002D240A"/>
    <w:rsid w:val="002D67D7"/>
    <w:rsid w:val="002D6F6C"/>
    <w:rsid w:val="002E01D3"/>
    <w:rsid w:val="002E43BA"/>
    <w:rsid w:val="002E4410"/>
    <w:rsid w:val="002E7E6E"/>
    <w:rsid w:val="002F36F4"/>
    <w:rsid w:val="002F3AA7"/>
    <w:rsid w:val="002F43B7"/>
    <w:rsid w:val="003028BA"/>
    <w:rsid w:val="00302B05"/>
    <w:rsid w:val="00303D7C"/>
    <w:rsid w:val="0030485C"/>
    <w:rsid w:val="0030720D"/>
    <w:rsid w:val="00310BC9"/>
    <w:rsid w:val="0031253D"/>
    <w:rsid w:val="00313812"/>
    <w:rsid w:val="00316D53"/>
    <w:rsid w:val="003217BE"/>
    <w:rsid w:val="00323E6E"/>
    <w:rsid w:val="00324F65"/>
    <w:rsid w:val="00326E27"/>
    <w:rsid w:val="0033099E"/>
    <w:rsid w:val="003316D1"/>
    <w:rsid w:val="00332E07"/>
    <w:rsid w:val="003338AD"/>
    <w:rsid w:val="00334B38"/>
    <w:rsid w:val="003357CB"/>
    <w:rsid w:val="0033598A"/>
    <w:rsid w:val="003375A3"/>
    <w:rsid w:val="00337B87"/>
    <w:rsid w:val="00341FD5"/>
    <w:rsid w:val="00345A95"/>
    <w:rsid w:val="0034762B"/>
    <w:rsid w:val="0034785D"/>
    <w:rsid w:val="003508A2"/>
    <w:rsid w:val="00351ED8"/>
    <w:rsid w:val="003520E2"/>
    <w:rsid w:val="003529AF"/>
    <w:rsid w:val="00356A03"/>
    <w:rsid w:val="0035703E"/>
    <w:rsid w:val="003614B8"/>
    <w:rsid w:val="00361A06"/>
    <w:rsid w:val="00361E44"/>
    <w:rsid w:val="00364E46"/>
    <w:rsid w:val="00371449"/>
    <w:rsid w:val="00373DB8"/>
    <w:rsid w:val="00375717"/>
    <w:rsid w:val="00375CA2"/>
    <w:rsid w:val="00377405"/>
    <w:rsid w:val="003778ED"/>
    <w:rsid w:val="003804BE"/>
    <w:rsid w:val="003805A0"/>
    <w:rsid w:val="00381C60"/>
    <w:rsid w:val="003828A5"/>
    <w:rsid w:val="00383975"/>
    <w:rsid w:val="00386E60"/>
    <w:rsid w:val="00390E56"/>
    <w:rsid w:val="003938AB"/>
    <w:rsid w:val="003A01AD"/>
    <w:rsid w:val="003A0772"/>
    <w:rsid w:val="003A28D9"/>
    <w:rsid w:val="003A4045"/>
    <w:rsid w:val="003A4402"/>
    <w:rsid w:val="003B0746"/>
    <w:rsid w:val="003B0C10"/>
    <w:rsid w:val="003B1DE2"/>
    <w:rsid w:val="003B4740"/>
    <w:rsid w:val="003B6821"/>
    <w:rsid w:val="003C0877"/>
    <w:rsid w:val="003C0D09"/>
    <w:rsid w:val="003C0ED3"/>
    <w:rsid w:val="003C2E3F"/>
    <w:rsid w:val="003C6388"/>
    <w:rsid w:val="003D2687"/>
    <w:rsid w:val="003D3CDB"/>
    <w:rsid w:val="003D4A9F"/>
    <w:rsid w:val="003D4E5D"/>
    <w:rsid w:val="003D5E47"/>
    <w:rsid w:val="003E2698"/>
    <w:rsid w:val="003E37EC"/>
    <w:rsid w:val="003E3A0D"/>
    <w:rsid w:val="003E3EF6"/>
    <w:rsid w:val="003E55B3"/>
    <w:rsid w:val="003E5C5B"/>
    <w:rsid w:val="003F1736"/>
    <w:rsid w:val="003F21B0"/>
    <w:rsid w:val="003F3EF2"/>
    <w:rsid w:val="003F423E"/>
    <w:rsid w:val="003F4F9D"/>
    <w:rsid w:val="003F5699"/>
    <w:rsid w:val="003F63B5"/>
    <w:rsid w:val="00402B41"/>
    <w:rsid w:val="00406573"/>
    <w:rsid w:val="00407B1A"/>
    <w:rsid w:val="00411798"/>
    <w:rsid w:val="00412AC8"/>
    <w:rsid w:val="00413042"/>
    <w:rsid w:val="004214CD"/>
    <w:rsid w:val="0042227C"/>
    <w:rsid w:val="00423F58"/>
    <w:rsid w:val="00424FFF"/>
    <w:rsid w:val="00431D69"/>
    <w:rsid w:val="00433524"/>
    <w:rsid w:val="0043708A"/>
    <w:rsid w:val="004370B9"/>
    <w:rsid w:val="00440E4C"/>
    <w:rsid w:val="00441816"/>
    <w:rsid w:val="00441B58"/>
    <w:rsid w:val="00447EF1"/>
    <w:rsid w:val="00450D3D"/>
    <w:rsid w:val="00451188"/>
    <w:rsid w:val="00451A30"/>
    <w:rsid w:val="00451BF5"/>
    <w:rsid w:val="00460CEE"/>
    <w:rsid w:val="00460E61"/>
    <w:rsid w:val="00461E63"/>
    <w:rsid w:val="00462244"/>
    <w:rsid w:val="004627B9"/>
    <w:rsid w:val="00465A43"/>
    <w:rsid w:val="004667A6"/>
    <w:rsid w:val="00467F61"/>
    <w:rsid w:val="00471488"/>
    <w:rsid w:val="0047258D"/>
    <w:rsid w:val="00473014"/>
    <w:rsid w:val="004738D0"/>
    <w:rsid w:val="00475D87"/>
    <w:rsid w:val="004765B9"/>
    <w:rsid w:val="00476DCD"/>
    <w:rsid w:val="00477E0F"/>
    <w:rsid w:val="004802C0"/>
    <w:rsid w:val="00482A33"/>
    <w:rsid w:val="00483B68"/>
    <w:rsid w:val="0048400F"/>
    <w:rsid w:val="004848FD"/>
    <w:rsid w:val="00484E22"/>
    <w:rsid w:val="004856AD"/>
    <w:rsid w:val="00486F20"/>
    <w:rsid w:val="00486F52"/>
    <w:rsid w:val="00493B24"/>
    <w:rsid w:val="00493C10"/>
    <w:rsid w:val="00495DEF"/>
    <w:rsid w:val="004A30B6"/>
    <w:rsid w:val="004A74E2"/>
    <w:rsid w:val="004A7960"/>
    <w:rsid w:val="004B2B46"/>
    <w:rsid w:val="004B3276"/>
    <w:rsid w:val="004B4763"/>
    <w:rsid w:val="004C1AB2"/>
    <w:rsid w:val="004C2DCD"/>
    <w:rsid w:val="004C46D6"/>
    <w:rsid w:val="004C4F8C"/>
    <w:rsid w:val="004C5C5C"/>
    <w:rsid w:val="004C68CF"/>
    <w:rsid w:val="004C748A"/>
    <w:rsid w:val="004C7523"/>
    <w:rsid w:val="004D0457"/>
    <w:rsid w:val="004D0BFB"/>
    <w:rsid w:val="004D4AAE"/>
    <w:rsid w:val="004D5BA9"/>
    <w:rsid w:val="004D647F"/>
    <w:rsid w:val="004E2EE2"/>
    <w:rsid w:val="004E41CD"/>
    <w:rsid w:val="004E5C1E"/>
    <w:rsid w:val="004F3322"/>
    <w:rsid w:val="004F499C"/>
    <w:rsid w:val="004F51A0"/>
    <w:rsid w:val="004F54D8"/>
    <w:rsid w:val="00500AB2"/>
    <w:rsid w:val="00500EBF"/>
    <w:rsid w:val="0050140F"/>
    <w:rsid w:val="005022DC"/>
    <w:rsid w:val="00505CC0"/>
    <w:rsid w:val="0051114E"/>
    <w:rsid w:val="00511155"/>
    <w:rsid w:val="0051310D"/>
    <w:rsid w:val="00515CC5"/>
    <w:rsid w:val="0051713B"/>
    <w:rsid w:val="00520239"/>
    <w:rsid w:val="00522668"/>
    <w:rsid w:val="005254D8"/>
    <w:rsid w:val="00532689"/>
    <w:rsid w:val="00532A48"/>
    <w:rsid w:val="00532CBE"/>
    <w:rsid w:val="005335E7"/>
    <w:rsid w:val="00535248"/>
    <w:rsid w:val="00535BA7"/>
    <w:rsid w:val="005403A4"/>
    <w:rsid w:val="005418C2"/>
    <w:rsid w:val="00542968"/>
    <w:rsid w:val="0054639B"/>
    <w:rsid w:val="005467B1"/>
    <w:rsid w:val="00546B5B"/>
    <w:rsid w:val="005476B0"/>
    <w:rsid w:val="005504F1"/>
    <w:rsid w:val="005510A2"/>
    <w:rsid w:val="005512C5"/>
    <w:rsid w:val="00552F02"/>
    <w:rsid w:val="00553837"/>
    <w:rsid w:val="00554839"/>
    <w:rsid w:val="00554D4C"/>
    <w:rsid w:val="005577A5"/>
    <w:rsid w:val="005638E3"/>
    <w:rsid w:val="00565FB1"/>
    <w:rsid w:val="00567185"/>
    <w:rsid w:val="005677FD"/>
    <w:rsid w:val="00570143"/>
    <w:rsid w:val="00570F16"/>
    <w:rsid w:val="005714B1"/>
    <w:rsid w:val="00571FF9"/>
    <w:rsid w:val="0057581F"/>
    <w:rsid w:val="0057653B"/>
    <w:rsid w:val="00580694"/>
    <w:rsid w:val="00582252"/>
    <w:rsid w:val="0058283B"/>
    <w:rsid w:val="00583722"/>
    <w:rsid w:val="00585C9C"/>
    <w:rsid w:val="00586A54"/>
    <w:rsid w:val="00587054"/>
    <w:rsid w:val="00591484"/>
    <w:rsid w:val="005916CC"/>
    <w:rsid w:val="00592D5D"/>
    <w:rsid w:val="005930DF"/>
    <w:rsid w:val="00596A01"/>
    <w:rsid w:val="005B0835"/>
    <w:rsid w:val="005B22B5"/>
    <w:rsid w:val="005B2937"/>
    <w:rsid w:val="005B2AF3"/>
    <w:rsid w:val="005B44F0"/>
    <w:rsid w:val="005B6410"/>
    <w:rsid w:val="005B644A"/>
    <w:rsid w:val="005B6595"/>
    <w:rsid w:val="005B6879"/>
    <w:rsid w:val="005C0758"/>
    <w:rsid w:val="005C6153"/>
    <w:rsid w:val="005D4DBC"/>
    <w:rsid w:val="005D61A3"/>
    <w:rsid w:val="005D7301"/>
    <w:rsid w:val="005D7B58"/>
    <w:rsid w:val="005E038B"/>
    <w:rsid w:val="005E0926"/>
    <w:rsid w:val="005E16C6"/>
    <w:rsid w:val="005E1BF5"/>
    <w:rsid w:val="005E22B5"/>
    <w:rsid w:val="005E35B3"/>
    <w:rsid w:val="005F06D7"/>
    <w:rsid w:val="005F0B12"/>
    <w:rsid w:val="005F0DF5"/>
    <w:rsid w:val="005F0F39"/>
    <w:rsid w:val="005F3F5C"/>
    <w:rsid w:val="005F4E45"/>
    <w:rsid w:val="005F56A4"/>
    <w:rsid w:val="005F72D2"/>
    <w:rsid w:val="00600F68"/>
    <w:rsid w:val="006012D3"/>
    <w:rsid w:val="00601F0C"/>
    <w:rsid w:val="00603B19"/>
    <w:rsid w:val="0060460F"/>
    <w:rsid w:val="00604DA3"/>
    <w:rsid w:val="0060500B"/>
    <w:rsid w:val="006067D0"/>
    <w:rsid w:val="006108D2"/>
    <w:rsid w:val="0061109A"/>
    <w:rsid w:val="006122C3"/>
    <w:rsid w:val="00613DF0"/>
    <w:rsid w:val="006169C8"/>
    <w:rsid w:val="0062217C"/>
    <w:rsid w:val="00623047"/>
    <w:rsid w:val="006239F7"/>
    <w:rsid w:val="00627220"/>
    <w:rsid w:val="006300BA"/>
    <w:rsid w:val="006304E5"/>
    <w:rsid w:val="0063193C"/>
    <w:rsid w:val="006319DF"/>
    <w:rsid w:val="00631D7A"/>
    <w:rsid w:val="006343F2"/>
    <w:rsid w:val="00635400"/>
    <w:rsid w:val="006363EA"/>
    <w:rsid w:val="00637E07"/>
    <w:rsid w:val="00641C8B"/>
    <w:rsid w:val="00641E72"/>
    <w:rsid w:val="006422E1"/>
    <w:rsid w:val="00643740"/>
    <w:rsid w:val="006455FB"/>
    <w:rsid w:val="00647C4F"/>
    <w:rsid w:val="00647F06"/>
    <w:rsid w:val="0065067D"/>
    <w:rsid w:val="00652F41"/>
    <w:rsid w:val="00655A58"/>
    <w:rsid w:val="006565E7"/>
    <w:rsid w:val="00660D5B"/>
    <w:rsid w:val="00666C07"/>
    <w:rsid w:val="00672718"/>
    <w:rsid w:val="00672BE3"/>
    <w:rsid w:val="006745F1"/>
    <w:rsid w:val="00675201"/>
    <w:rsid w:val="006757AE"/>
    <w:rsid w:val="006757D9"/>
    <w:rsid w:val="00676019"/>
    <w:rsid w:val="006761D8"/>
    <w:rsid w:val="00676963"/>
    <w:rsid w:val="00683F9A"/>
    <w:rsid w:val="00685420"/>
    <w:rsid w:val="0068681A"/>
    <w:rsid w:val="006875BE"/>
    <w:rsid w:val="00687A7D"/>
    <w:rsid w:val="00687B6F"/>
    <w:rsid w:val="00691B32"/>
    <w:rsid w:val="006943D6"/>
    <w:rsid w:val="006A03E8"/>
    <w:rsid w:val="006A1FB8"/>
    <w:rsid w:val="006A2466"/>
    <w:rsid w:val="006A488C"/>
    <w:rsid w:val="006A777A"/>
    <w:rsid w:val="006B3B59"/>
    <w:rsid w:val="006B3F46"/>
    <w:rsid w:val="006B7214"/>
    <w:rsid w:val="006C0B35"/>
    <w:rsid w:val="006C1801"/>
    <w:rsid w:val="006C4FEE"/>
    <w:rsid w:val="006D1248"/>
    <w:rsid w:val="006D1287"/>
    <w:rsid w:val="006D16E2"/>
    <w:rsid w:val="006D1EAB"/>
    <w:rsid w:val="006D44B8"/>
    <w:rsid w:val="006D6207"/>
    <w:rsid w:val="006D667F"/>
    <w:rsid w:val="006E0384"/>
    <w:rsid w:val="006E16E8"/>
    <w:rsid w:val="006E2C1E"/>
    <w:rsid w:val="006E33FF"/>
    <w:rsid w:val="006E3C53"/>
    <w:rsid w:val="006E517A"/>
    <w:rsid w:val="006E5602"/>
    <w:rsid w:val="006E5B73"/>
    <w:rsid w:val="006F2F41"/>
    <w:rsid w:val="006F36FD"/>
    <w:rsid w:val="006F4209"/>
    <w:rsid w:val="006F4BDE"/>
    <w:rsid w:val="006F5A81"/>
    <w:rsid w:val="006F782E"/>
    <w:rsid w:val="00700BE5"/>
    <w:rsid w:val="00700DB8"/>
    <w:rsid w:val="00701927"/>
    <w:rsid w:val="0070453F"/>
    <w:rsid w:val="00706A76"/>
    <w:rsid w:val="00706D42"/>
    <w:rsid w:val="00710C56"/>
    <w:rsid w:val="00713BF7"/>
    <w:rsid w:val="00714AEE"/>
    <w:rsid w:val="007215BA"/>
    <w:rsid w:val="00721E76"/>
    <w:rsid w:val="00722F0C"/>
    <w:rsid w:val="00724849"/>
    <w:rsid w:val="00731110"/>
    <w:rsid w:val="007342E3"/>
    <w:rsid w:val="00734334"/>
    <w:rsid w:val="00737110"/>
    <w:rsid w:val="007428B9"/>
    <w:rsid w:val="00743862"/>
    <w:rsid w:val="00743E79"/>
    <w:rsid w:val="0074695D"/>
    <w:rsid w:val="00747013"/>
    <w:rsid w:val="007472B5"/>
    <w:rsid w:val="007524BB"/>
    <w:rsid w:val="0075283E"/>
    <w:rsid w:val="00753E7C"/>
    <w:rsid w:val="00754722"/>
    <w:rsid w:val="007562A8"/>
    <w:rsid w:val="007563F0"/>
    <w:rsid w:val="007566C0"/>
    <w:rsid w:val="00757D19"/>
    <w:rsid w:val="00757FCA"/>
    <w:rsid w:val="00761BC6"/>
    <w:rsid w:val="0076278D"/>
    <w:rsid w:val="00762C9A"/>
    <w:rsid w:val="00765B96"/>
    <w:rsid w:val="00766D87"/>
    <w:rsid w:val="0077376A"/>
    <w:rsid w:val="00773B58"/>
    <w:rsid w:val="007749FC"/>
    <w:rsid w:val="007770FE"/>
    <w:rsid w:val="00777753"/>
    <w:rsid w:val="00782F72"/>
    <w:rsid w:val="00785377"/>
    <w:rsid w:val="007867A4"/>
    <w:rsid w:val="00792730"/>
    <w:rsid w:val="0079292A"/>
    <w:rsid w:val="00792948"/>
    <w:rsid w:val="00793524"/>
    <w:rsid w:val="007979FD"/>
    <w:rsid w:val="00797A2F"/>
    <w:rsid w:val="007A011D"/>
    <w:rsid w:val="007A2791"/>
    <w:rsid w:val="007A495A"/>
    <w:rsid w:val="007B4D72"/>
    <w:rsid w:val="007B4FB4"/>
    <w:rsid w:val="007B7A2A"/>
    <w:rsid w:val="007B7F67"/>
    <w:rsid w:val="007C0352"/>
    <w:rsid w:val="007C166B"/>
    <w:rsid w:val="007C1EC9"/>
    <w:rsid w:val="007C2998"/>
    <w:rsid w:val="007C39F9"/>
    <w:rsid w:val="007C6246"/>
    <w:rsid w:val="007C7814"/>
    <w:rsid w:val="007D1909"/>
    <w:rsid w:val="007D35C9"/>
    <w:rsid w:val="007D53F5"/>
    <w:rsid w:val="007E0301"/>
    <w:rsid w:val="007E14B0"/>
    <w:rsid w:val="007E3730"/>
    <w:rsid w:val="007E3F4D"/>
    <w:rsid w:val="007E41AD"/>
    <w:rsid w:val="007F03AE"/>
    <w:rsid w:val="007F0907"/>
    <w:rsid w:val="007F0A2C"/>
    <w:rsid w:val="007F1ED0"/>
    <w:rsid w:val="007F3BF3"/>
    <w:rsid w:val="007F5149"/>
    <w:rsid w:val="007F5B30"/>
    <w:rsid w:val="007F6DAE"/>
    <w:rsid w:val="00800486"/>
    <w:rsid w:val="008045A7"/>
    <w:rsid w:val="0080611E"/>
    <w:rsid w:val="00811C93"/>
    <w:rsid w:val="008124E6"/>
    <w:rsid w:val="0081290F"/>
    <w:rsid w:val="008147D1"/>
    <w:rsid w:val="008170D4"/>
    <w:rsid w:val="00817B3A"/>
    <w:rsid w:val="00817C14"/>
    <w:rsid w:val="00817D6A"/>
    <w:rsid w:val="008203E0"/>
    <w:rsid w:val="0082152D"/>
    <w:rsid w:val="0082251A"/>
    <w:rsid w:val="00822A7B"/>
    <w:rsid w:val="008239C9"/>
    <w:rsid w:val="008241BC"/>
    <w:rsid w:val="00827576"/>
    <w:rsid w:val="00827894"/>
    <w:rsid w:val="0083239B"/>
    <w:rsid w:val="00832584"/>
    <w:rsid w:val="00840049"/>
    <w:rsid w:val="008409EC"/>
    <w:rsid w:val="00841497"/>
    <w:rsid w:val="00842B72"/>
    <w:rsid w:val="00845023"/>
    <w:rsid w:val="008457AF"/>
    <w:rsid w:val="00851D72"/>
    <w:rsid w:val="00856E83"/>
    <w:rsid w:val="00861B36"/>
    <w:rsid w:val="0086265B"/>
    <w:rsid w:val="008633BF"/>
    <w:rsid w:val="008662EE"/>
    <w:rsid w:val="00870487"/>
    <w:rsid w:val="0087053E"/>
    <w:rsid w:val="00870F97"/>
    <w:rsid w:val="0087183C"/>
    <w:rsid w:val="00871EB3"/>
    <w:rsid w:val="00872B99"/>
    <w:rsid w:val="00872FE6"/>
    <w:rsid w:val="00873C4F"/>
    <w:rsid w:val="00874D06"/>
    <w:rsid w:val="00875357"/>
    <w:rsid w:val="0088065C"/>
    <w:rsid w:val="00884014"/>
    <w:rsid w:val="008859F3"/>
    <w:rsid w:val="008868D8"/>
    <w:rsid w:val="008910BA"/>
    <w:rsid w:val="00892100"/>
    <w:rsid w:val="008926D5"/>
    <w:rsid w:val="00894CE1"/>
    <w:rsid w:val="00897251"/>
    <w:rsid w:val="008A28CF"/>
    <w:rsid w:val="008A2DE8"/>
    <w:rsid w:val="008A551E"/>
    <w:rsid w:val="008A5637"/>
    <w:rsid w:val="008A5E1D"/>
    <w:rsid w:val="008A7471"/>
    <w:rsid w:val="008A7C6C"/>
    <w:rsid w:val="008B0679"/>
    <w:rsid w:val="008B2649"/>
    <w:rsid w:val="008B4BA5"/>
    <w:rsid w:val="008B5102"/>
    <w:rsid w:val="008B754E"/>
    <w:rsid w:val="008C2CD2"/>
    <w:rsid w:val="008C31F5"/>
    <w:rsid w:val="008C3760"/>
    <w:rsid w:val="008C40B7"/>
    <w:rsid w:val="008C5A8F"/>
    <w:rsid w:val="008C5B5F"/>
    <w:rsid w:val="008C69DE"/>
    <w:rsid w:val="008D0FCF"/>
    <w:rsid w:val="008D2C50"/>
    <w:rsid w:val="008D35C3"/>
    <w:rsid w:val="008E68E2"/>
    <w:rsid w:val="008E6FB5"/>
    <w:rsid w:val="008F372F"/>
    <w:rsid w:val="008F6EF8"/>
    <w:rsid w:val="009008A3"/>
    <w:rsid w:val="00903D80"/>
    <w:rsid w:val="0090533C"/>
    <w:rsid w:val="00905BFA"/>
    <w:rsid w:val="00910E3F"/>
    <w:rsid w:val="00911AB4"/>
    <w:rsid w:val="00911D8B"/>
    <w:rsid w:val="00914242"/>
    <w:rsid w:val="009166CC"/>
    <w:rsid w:val="00916B80"/>
    <w:rsid w:val="00917534"/>
    <w:rsid w:val="00927126"/>
    <w:rsid w:val="00927AFD"/>
    <w:rsid w:val="00930011"/>
    <w:rsid w:val="009307BE"/>
    <w:rsid w:val="009318B7"/>
    <w:rsid w:val="00931B74"/>
    <w:rsid w:val="00935252"/>
    <w:rsid w:val="00940CED"/>
    <w:rsid w:val="00941620"/>
    <w:rsid w:val="0094332D"/>
    <w:rsid w:val="0094398E"/>
    <w:rsid w:val="009450C6"/>
    <w:rsid w:val="0094774C"/>
    <w:rsid w:val="009525FA"/>
    <w:rsid w:val="00952896"/>
    <w:rsid w:val="00952914"/>
    <w:rsid w:val="00952CF1"/>
    <w:rsid w:val="009615EB"/>
    <w:rsid w:val="00962C32"/>
    <w:rsid w:val="00965209"/>
    <w:rsid w:val="0096548B"/>
    <w:rsid w:val="00966090"/>
    <w:rsid w:val="009667A5"/>
    <w:rsid w:val="00970CA2"/>
    <w:rsid w:val="00973817"/>
    <w:rsid w:val="009755E5"/>
    <w:rsid w:val="00975F25"/>
    <w:rsid w:val="00976D2D"/>
    <w:rsid w:val="00977BED"/>
    <w:rsid w:val="00981716"/>
    <w:rsid w:val="00986822"/>
    <w:rsid w:val="00986E4F"/>
    <w:rsid w:val="00987F60"/>
    <w:rsid w:val="0099031A"/>
    <w:rsid w:val="00991A39"/>
    <w:rsid w:val="00994CBA"/>
    <w:rsid w:val="00995501"/>
    <w:rsid w:val="00995FB9"/>
    <w:rsid w:val="00996078"/>
    <w:rsid w:val="0099764B"/>
    <w:rsid w:val="009A01B0"/>
    <w:rsid w:val="009A0508"/>
    <w:rsid w:val="009A0C28"/>
    <w:rsid w:val="009A3F3B"/>
    <w:rsid w:val="009A76F8"/>
    <w:rsid w:val="009B15E4"/>
    <w:rsid w:val="009B1DB0"/>
    <w:rsid w:val="009B200A"/>
    <w:rsid w:val="009B293E"/>
    <w:rsid w:val="009B3355"/>
    <w:rsid w:val="009B532B"/>
    <w:rsid w:val="009B5B62"/>
    <w:rsid w:val="009B627B"/>
    <w:rsid w:val="009C2676"/>
    <w:rsid w:val="009C424E"/>
    <w:rsid w:val="009C59F1"/>
    <w:rsid w:val="009C67CB"/>
    <w:rsid w:val="009D11B3"/>
    <w:rsid w:val="009D1E3A"/>
    <w:rsid w:val="009D3203"/>
    <w:rsid w:val="009D3824"/>
    <w:rsid w:val="009D49EB"/>
    <w:rsid w:val="009D5A2D"/>
    <w:rsid w:val="009D7410"/>
    <w:rsid w:val="009E08C0"/>
    <w:rsid w:val="009E13E2"/>
    <w:rsid w:val="009E1A71"/>
    <w:rsid w:val="009E21BE"/>
    <w:rsid w:val="009E41E2"/>
    <w:rsid w:val="009F4178"/>
    <w:rsid w:val="009F4B04"/>
    <w:rsid w:val="009F4BAB"/>
    <w:rsid w:val="009F67F0"/>
    <w:rsid w:val="00A022F7"/>
    <w:rsid w:val="00A03EE1"/>
    <w:rsid w:val="00A04010"/>
    <w:rsid w:val="00A05061"/>
    <w:rsid w:val="00A05991"/>
    <w:rsid w:val="00A06B98"/>
    <w:rsid w:val="00A07371"/>
    <w:rsid w:val="00A074A6"/>
    <w:rsid w:val="00A10316"/>
    <w:rsid w:val="00A10E26"/>
    <w:rsid w:val="00A115DD"/>
    <w:rsid w:val="00A12346"/>
    <w:rsid w:val="00A141CC"/>
    <w:rsid w:val="00A1591E"/>
    <w:rsid w:val="00A17206"/>
    <w:rsid w:val="00A17334"/>
    <w:rsid w:val="00A17346"/>
    <w:rsid w:val="00A21578"/>
    <w:rsid w:val="00A2241E"/>
    <w:rsid w:val="00A23088"/>
    <w:rsid w:val="00A2352B"/>
    <w:rsid w:val="00A244BA"/>
    <w:rsid w:val="00A24D85"/>
    <w:rsid w:val="00A27B0E"/>
    <w:rsid w:val="00A31A07"/>
    <w:rsid w:val="00A3595B"/>
    <w:rsid w:val="00A36A56"/>
    <w:rsid w:val="00A41FA2"/>
    <w:rsid w:val="00A42133"/>
    <w:rsid w:val="00A44AE4"/>
    <w:rsid w:val="00A464D8"/>
    <w:rsid w:val="00A466AD"/>
    <w:rsid w:val="00A50211"/>
    <w:rsid w:val="00A507BF"/>
    <w:rsid w:val="00A5115D"/>
    <w:rsid w:val="00A513C6"/>
    <w:rsid w:val="00A51FA7"/>
    <w:rsid w:val="00A53940"/>
    <w:rsid w:val="00A53E2A"/>
    <w:rsid w:val="00A54AFA"/>
    <w:rsid w:val="00A55561"/>
    <w:rsid w:val="00A56C91"/>
    <w:rsid w:val="00A5728F"/>
    <w:rsid w:val="00A63A5A"/>
    <w:rsid w:val="00A643FD"/>
    <w:rsid w:val="00A7040D"/>
    <w:rsid w:val="00A72D45"/>
    <w:rsid w:val="00A73713"/>
    <w:rsid w:val="00A7454D"/>
    <w:rsid w:val="00A80CD7"/>
    <w:rsid w:val="00A82AA1"/>
    <w:rsid w:val="00A82F95"/>
    <w:rsid w:val="00A834C0"/>
    <w:rsid w:val="00A8354B"/>
    <w:rsid w:val="00A87B80"/>
    <w:rsid w:val="00A95071"/>
    <w:rsid w:val="00A9609E"/>
    <w:rsid w:val="00A96FD6"/>
    <w:rsid w:val="00AA07EC"/>
    <w:rsid w:val="00AA1A66"/>
    <w:rsid w:val="00AA2675"/>
    <w:rsid w:val="00AA276D"/>
    <w:rsid w:val="00AA2DCC"/>
    <w:rsid w:val="00AA2FE0"/>
    <w:rsid w:val="00AA4BF1"/>
    <w:rsid w:val="00AA4F8F"/>
    <w:rsid w:val="00AA5027"/>
    <w:rsid w:val="00AA70DA"/>
    <w:rsid w:val="00AA7969"/>
    <w:rsid w:val="00AB1DE0"/>
    <w:rsid w:val="00AB2597"/>
    <w:rsid w:val="00AB259E"/>
    <w:rsid w:val="00AB2A3B"/>
    <w:rsid w:val="00AB2C8C"/>
    <w:rsid w:val="00AB4261"/>
    <w:rsid w:val="00AB4534"/>
    <w:rsid w:val="00AB5097"/>
    <w:rsid w:val="00AB52F8"/>
    <w:rsid w:val="00AB693B"/>
    <w:rsid w:val="00AC0647"/>
    <w:rsid w:val="00AC2671"/>
    <w:rsid w:val="00AC271E"/>
    <w:rsid w:val="00AC41BB"/>
    <w:rsid w:val="00AC4CFB"/>
    <w:rsid w:val="00AD0578"/>
    <w:rsid w:val="00AD18A6"/>
    <w:rsid w:val="00AD3989"/>
    <w:rsid w:val="00AD60C0"/>
    <w:rsid w:val="00AD792F"/>
    <w:rsid w:val="00AE0E2B"/>
    <w:rsid w:val="00AE1870"/>
    <w:rsid w:val="00AE2398"/>
    <w:rsid w:val="00AE5667"/>
    <w:rsid w:val="00AE6635"/>
    <w:rsid w:val="00AE6D9B"/>
    <w:rsid w:val="00AE794B"/>
    <w:rsid w:val="00AF00B9"/>
    <w:rsid w:val="00AF20D1"/>
    <w:rsid w:val="00AF287C"/>
    <w:rsid w:val="00AF30D5"/>
    <w:rsid w:val="00AF3B93"/>
    <w:rsid w:val="00AF43AA"/>
    <w:rsid w:val="00B00747"/>
    <w:rsid w:val="00B00F25"/>
    <w:rsid w:val="00B015B4"/>
    <w:rsid w:val="00B03E26"/>
    <w:rsid w:val="00B0629A"/>
    <w:rsid w:val="00B06672"/>
    <w:rsid w:val="00B07D3F"/>
    <w:rsid w:val="00B135DB"/>
    <w:rsid w:val="00B14CEE"/>
    <w:rsid w:val="00B15E85"/>
    <w:rsid w:val="00B1696A"/>
    <w:rsid w:val="00B16BB8"/>
    <w:rsid w:val="00B22549"/>
    <w:rsid w:val="00B22E40"/>
    <w:rsid w:val="00B243E7"/>
    <w:rsid w:val="00B266E0"/>
    <w:rsid w:val="00B26862"/>
    <w:rsid w:val="00B27896"/>
    <w:rsid w:val="00B3323F"/>
    <w:rsid w:val="00B3784C"/>
    <w:rsid w:val="00B40E09"/>
    <w:rsid w:val="00B4123A"/>
    <w:rsid w:val="00B41B6C"/>
    <w:rsid w:val="00B4277A"/>
    <w:rsid w:val="00B42783"/>
    <w:rsid w:val="00B4484E"/>
    <w:rsid w:val="00B47DCC"/>
    <w:rsid w:val="00B51110"/>
    <w:rsid w:val="00B54238"/>
    <w:rsid w:val="00B548B2"/>
    <w:rsid w:val="00B5685D"/>
    <w:rsid w:val="00B57EBD"/>
    <w:rsid w:val="00B60003"/>
    <w:rsid w:val="00B618D7"/>
    <w:rsid w:val="00B627A3"/>
    <w:rsid w:val="00B63ED9"/>
    <w:rsid w:val="00B64AF5"/>
    <w:rsid w:val="00B650B4"/>
    <w:rsid w:val="00B67163"/>
    <w:rsid w:val="00B6727C"/>
    <w:rsid w:val="00B67F38"/>
    <w:rsid w:val="00B7184E"/>
    <w:rsid w:val="00B7220E"/>
    <w:rsid w:val="00B75259"/>
    <w:rsid w:val="00B75A09"/>
    <w:rsid w:val="00B83362"/>
    <w:rsid w:val="00B835FA"/>
    <w:rsid w:val="00B83FAC"/>
    <w:rsid w:val="00B83FEF"/>
    <w:rsid w:val="00B8431A"/>
    <w:rsid w:val="00B850B4"/>
    <w:rsid w:val="00B9631E"/>
    <w:rsid w:val="00B969E4"/>
    <w:rsid w:val="00B97389"/>
    <w:rsid w:val="00BA019F"/>
    <w:rsid w:val="00BA31AA"/>
    <w:rsid w:val="00BA3411"/>
    <w:rsid w:val="00BA5559"/>
    <w:rsid w:val="00BA7C66"/>
    <w:rsid w:val="00BB0E1C"/>
    <w:rsid w:val="00BB2DE6"/>
    <w:rsid w:val="00BB2ED7"/>
    <w:rsid w:val="00BB34DA"/>
    <w:rsid w:val="00BC0600"/>
    <w:rsid w:val="00BC22EF"/>
    <w:rsid w:val="00BC6CB4"/>
    <w:rsid w:val="00BD3609"/>
    <w:rsid w:val="00BD6BB2"/>
    <w:rsid w:val="00BD788C"/>
    <w:rsid w:val="00BE065B"/>
    <w:rsid w:val="00BE0A2D"/>
    <w:rsid w:val="00BE1620"/>
    <w:rsid w:val="00BE2EC3"/>
    <w:rsid w:val="00BE7E10"/>
    <w:rsid w:val="00BE7EFC"/>
    <w:rsid w:val="00BF0D5D"/>
    <w:rsid w:val="00BF215F"/>
    <w:rsid w:val="00BF2795"/>
    <w:rsid w:val="00BF2EAB"/>
    <w:rsid w:val="00BF355C"/>
    <w:rsid w:val="00BF6AC0"/>
    <w:rsid w:val="00BF79D2"/>
    <w:rsid w:val="00C03093"/>
    <w:rsid w:val="00C03AF0"/>
    <w:rsid w:val="00C046E9"/>
    <w:rsid w:val="00C062D0"/>
    <w:rsid w:val="00C07A4B"/>
    <w:rsid w:val="00C07BD6"/>
    <w:rsid w:val="00C11D38"/>
    <w:rsid w:val="00C11E5A"/>
    <w:rsid w:val="00C12098"/>
    <w:rsid w:val="00C163C4"/>
    <w:rsid w:val="00C20899"/>
    <w:rsid w:val="00C20AF5"/>
    <w:rsid w:val="00C210FE"/>
    <w:rsid w:val="00C22FB4"/>
    <w:rsid w:val="00C24961"/>
    <w:rsid w:val="00C24CD5"/>
    <w:rsid w:val="00C25F97"/>
    <w:rsid w:val="00C2611B"/>
    <w:rsid w:val="00C322E2"/>
    <w:rsid w:val="00C343D0"/>
    <w:rsid w:val="00C353D9"/>
    <w:rsid w:val="00C36A1D"/>
    <w:rsid w:val="00C37323"/>
    <w:rsid w:val="00C41FAF"/>
    <w:rsid w:val="00C42112"/>
    <w:rsid w:val="00C4416C"/>
    <w:rsid w:val="00C445C2"/>
    <w:rsid w:val="00C47DED"/>
    <w:rsid w:val="00C51033"/>
    <w:rsid w:val="00C51A48"/>
    <w:rsid w:val="00C52A18"/>
    <w:rsid w:val="00C54119"/>
    <w:rsid w:val="00C54204"/>
    <w:rsid w:val="00C543BB"/>
    <w:rsid w:val="00C54D3E"/>
    <w:rsid w:val="00C571A3"/>
    <w:rsid w:val="00C60E01"/>
    <w:rsid w:val="00C6222E"/>
    <w:rsid w:val="00C62737"/>
    <w:rsid w:val="00C65368"/>
    <w:rsid w:val="00C67DA4"/>
    <w:rsid w:val="00C70048"/>
    <w:rsid w:val="00C70A03"/>
    <w:rsid w:val="00C7672B"/>
    <w:rsid w:val="00C80795"/>
    <w:rsid w:val="00C80843"/>
    <w:rsid w:val="00C80B5D"/>
    <w:rsid w:val="00C824D5"/>
    <w:rsid w:val="00C83567"/>
    <w:rsid w:val="00C83A9D"/>
    <w:rsid w:val="00C84A3B"/>
    <w:rsid w:val="00C86392"/>
    <w:rsid w:val="00C86E44"/>
    <w:rsid w:val="00C86F26"/>
    <w:rsid w:val="00C87C1C"/>
    <w:rsid w:val="00C91CC3"/>
    <w:rsid w:val="00C93C23"/>
    <w:rsid w:val="00C95394"/>
    <w:rsid w:val="00C95E10"/>
    <w:rsid w:val="00C96FA1"/>
    <w:rsid w:val="00C97DD3"/>
    <w:rsid w:val="00CA07F5"/>
    <w:rsid w:val="00CA0811"/>
    <w:rsid w:val="00CA1858"/>
    <w:rsid w:val="00CA18FC"/>
    <w:rsid w:val="00CA23FE"/>
    <w:rsid w:val="00CA3F86"/>
    <w:rsid w:val="00CA5662"/>
    <w:rsid w:val="00CA7C1D"/>
    <w:rsid w:val="00CA7EE9"/>
    <w:rsid w:val="00CB1111"/>
    <w:rsid w:val="00CB2DFD"/>
    <w:rsid w:val="00CB3BB5"/>
    <w:rsid w:val="00CB3EC2"/>
    <w:rsid w:val="00CB725A"/>
    <w:rsid w:val="00CB7FB6"/>
    <w:rsid w:val="00CC04CE"/>
    <w:rsid w:val="00CC0AD9"/>
    <w:rsid w:val="00CC0C47"/>
    <w:rsid w:val="00CC12A2"/>
    <w:rsid w:val="00CC18D1"/>
    <w:rsid w:val="00CC37AF"/>
    <w:rsid w:val="00CC3882"/>
    <w:rsid w:val="00CC46B6"/>
    <w:rsid w:val="00CC4D30"/>
    <w:rsid w:val="00CC5097"/>
    <w:rsid w:val="00CC5A49"/>
    <w:rsid w:val="00CC620B"/>
    <w:rsid w:val="00CC75BB"/>
    <w:rsid w:val="00CC76BB"/>
    <w:rsid w:val="00CD25BE"/>
    <w:rsid w:val="00CD72DA"/>
    <w:rsid w:val="00CD7D93"/>
    <w:rsid w:val="00CE02B3"/>
    <w:rsid w:val="00CE196D"/>
    <w:rsid w:val="00CE1F83"/>
    <w:rsid w:val="00CE29A1"/>
    <w:rsid w:val="00CE2E0B"/>
    <w:rsid w:val="00CE2E53"/>
    <w:rsid w:val="00CE572F"/>
    <w:rsid w:val="00CE7737"/>
    <w:rsid w:val="00CE7A43"/>
    <w:rsid w:val="00CE7DC2"/>
    <w:rsid w:val="00CE7EC4"/>
    <w:rsid w:val="00CF0BC5"/>
    <w:rsid w:val="00CF1475"/>
    <w:rsid w:val="00CF1491"/>
    <w:rsid w:val="00CF400A"/>
    <w:rsid w:val="00CF523F"/>
    <w:rsid w:val="00CF5DB3"/>
    <w:rsid w:val="00CF68F2"/>
    <w:rsid w:val="00CF7270"/>
    <w:rsid w:val="00CF750F"/>
    <w:rsid w:val="00D010A4"/>
    <w:rsid w:val="00D03ECB"/>
    <w:rsid w:val="00D06842"/>
    <w:rsid w:val="00D06BEF"/>
    <w:rsid w:val="00D07350"/>
    <w:rsid w:val="00D1029E"/>
    <w:rsid w:val="00D10B89"/>
    <w:rsid w:val="00D2092B"/>
    <w:rsid w:val="00D221E6"/>
    <w:rsid w:val="00D22A81"/>
    <w:rsid w:val="00D2589F"/>
    <w:rsid w:val="00D25BA2"/>
    <w:rsid w:val="00D277C7"/>
    <w:rsid w:val="00D27FC1"/>
    <w:rsid w:val="00D302EB"/>
    <w:rsid w:val="00D33DBC"/>
    <w:rsid w:val="00D34F0A"/>
    <w:rsid w:val="00D37B67"/>
    <w:rsid w:val="00D41831"/>
    <w:rsid w:val="00D4282E"/>
    <w:rsid w:val="00D42E8C"/>
    <w:rsid w:val="00D46910"/>
    <w:rsid w:val="00D47F2D"/>
    <w:rsid w:val="00D51173"/>
    <w:rsid w:val="00D52412"/>
    <w:rsid w:val="00D5273E"/>
    <w:rsid w:val="00D52C27"/>
    <w:rsid w:val="00D53988"/>
    <w:rsid w:val="00D54D4B"/>
    <w:rsid w:val="00D55C8C"/>
    <w:rsid w:val="00D56A97"/>
    <w:rsid w:val="00D56CF5"/>
    <w:rsid w:val="00D60173"/>
    <w:rsid w:val="00D61AC0"/>
    <w:rsid w:val="00D656FF"/>
    <w:rsid w:val="00D71203"/>
    <w:rsid w:val="00D76C11"/>
    <w:rsid w:val="00D84F54"/>
    <w:rsid w:val="00D8656A"/>
    <w:rsid w:val="00D87066"/>
    <w:rsid w:val="00D870CF"/>
    <w:rsid w:val="00D9025A"/>
    <w:rsid w:val="00D91F2D"/>
    <w:rsid w:val="00D93ECD"/>
    <w:rsid w:val="00D94476"/>
    <w:rsid w:val="00D9661D"/>
    <w:rsid w:val="00DA0A97"/>
    <w:rsid w:val="00DA12D9"/>
    <w:rsid w:val="00DA660B"/>
    <w:rsid w:val="00DA6AB8"/>
    <w:rsid w:val="00DA6ED2"/>
    <w:rsid w:val="00DA7735"/>
    <w:rsid w:val="00DB0A90"/>
    <w:rsid w:val="00DB114B"/>
    <w:rsid w:val="00DB2824"/>
    <w:rsid w:val="00DB42B8"/>
    <w:rsid w:val="00DB601D"/>
    <w:rsid w:val="00DC00E9"/>
    <w:rsid w:val="00DC0507"/>
    <w:rsid w:val="00DC0701"/>
    <w:rsid w:val="00DC1D50"/>
    <w:rsid w:val="00DC50F9"/>
    <w:rsid w:val="00DC5E80"/>
    <w:rsid w:val="00DC5ECE"/>
    <w:rsid w:val="00DC6A30"/>
    <w:rsid w:val="00DC7F08"/>
    <w:rsid w:val="00DD131A"/>
    <w:rsid w:val="00DD2A9B"/>
    <w:rsid w:val="00DD4211"/>
    <w:rsid w:val="00DD469E"/>
    <w:rsid w:val="00DD5B96"/>
    <w:rsid w:val="00DD6ACE"/>
    <w:rsid w:val="00DD6B1B"/>
    <w:rsid w:val="00DE771D"/>
    <w:rsid w:val="00DE785E"/>
    <w:rsid w:val="00DE7E2F"/>
    <w:rsid w:val="00DF5199"/>
    <w:rsid w:val="00DF6D64"/>
    <w:rsid w:val="00DF72C8"/>
    <w:rsid w:val="00E02D33"/>
    <w:rsid w:val="00E033B9"/>
    <w:rsid w:val="00E03AF9"/>
    <w:rsid w:val="00E0759A"/>
    <w:rsid w:val="00E110CB"/>
    <w:rsid w:val="00E114F1"/>
    <w:rsid w:val="00E121D5"/>
    <w:rsid w:val="00E126FA"/>
    <w:rsid w:val="00E137DB"/>
    <w:rsid w:val="00E15A62"/>
    <w:rsid w:val="00E1631D"/>
    <w:rsid w:val="00E168C5"/>
    <w:rsid w:val="00E171AC"/>
    <w:rsid w:val="00E17FFB"/>
    <w:rsid w:val="00E20DD5"/>
    <w:rsid w:val="00E22994"/>
    <w:rsid w:val="00E2336E"/>
    <w:rsid w:val="00E24235"/>
    <w:rsid w:val="00E277D7"/>
    <w:rsid w:val="00E3026F"/>
    <w:rsid w:val="00E3150B"/>
    <w:rsid w:val="00E32002"/>
    <w:rsid w:val="00E32197"/>
    <w:rsid w:val="00E32CA4"/>
    <w:rsid w:val="00E33C29"/>
    <w:rsid w:val="00E36745"/>
    <w:rsid w:val="00E37F4D"/>
    <w:rsid w:val="00E40962"/>
    <w:rsid w:val="00E40A61"/>
    <w:rsid w:val="00E44582"/>
    <w:rsid w:val="00E469BC"/>
    <w:rsid w:val="00E50382"/>
    <w:rsid w:val="00E50BB6"/>
    <w:rsid w:val="00E51911"/>
    <w:rsid w:val="00E52AF8"/>
    <w:rsid w:val="00E5386E"/>
    <w:rsid w:val="00E539A3"/>
    <w:rsid w:val="00E53EC8"/>
    <w:rsid w:val="00E572A5"/>
    <w:rsid w:val="00E57920"/>
    <w:rsid w:val="00E57CCF"/>
    <w:rsid w:val="00E61115"/>
    <w:rsid w:val="00E61A33"/>
    <w:rsid w:val="00E62628"/>
    <w:rsid w:val="00E62A16"/>
    <w:rsid w:val="00E637D4"/>
    <w:rsid w:val="00E638DE"/>
    <w:rsid w:val="00E63EE5"/>
    <w:rsid w:val="00E65DD5"/>
    <w:rsid w:val="00E668CB"/>
    <w:rsid w:val="00E66FCC"/>
    <w:rsid w:val="00E71735"/>
    <w:rsid w:val="00E759D1"/>
    <w:rsid w:val="00E769AC"/>
    <w:rsid w:val="00E77098"/>
    <w:rsid w:val="00E8233B"/>
    <w:rsid w:val="00E82AE8"/>
    <w:rsid w:val="00E82BE9"/>
    <w:rsid w:val="00E83614"/>
    <w:rsid w:val="00E849A9"/>
    <w:rsid w:val="00E92751"/>
    <w:rsid w:val="00E96909"/>
    <w:rsid w:val="00E972FE"/>
    <w:rsid w:val="00EA17BA"/>
    <w:rsid w:val="00EA3873"/>
    <w:rsid w:val="00EA77FF"/>
    <w:rsid w:val="00EB3601"/>
    <w:rsid w:val="00EB39A3"/>
    <w:rsid w:val="00EB6D2B"/>
    <w:rsid w:val="00EC1516"/>
    <w:rsid w:val="00EC348C"/>
    <w:rsid w:val="00ED1BE8"/>
    <w:rsid w:val="00ED3045"/>
    <w:rsid w:val="00ED34D0"/>
    <w:rsid w:val="00ED79DB"/>
    <w:rsid w:val="00EE262C"/>
    <w:rsid w:val="00EE2FE4"/>
    <w:rsid w:val="00EE3CBD"/>
    <w:rsid w:val="00EE5284"/>
    <w:rsid w:val="00EE59F3"/>
    <w:rsid w:val="00EE5DB6"/>
    <w:rsid w:val="00EE7711"/>
    <w:rsid w:val="00EF19FF"/>
    <w:rsid w:val="00EF1D13"/>
    <w:rsid w:val="00EF331D"/>
    <w:rsid w:val="00EF6DD4"/>
    <w:rsid w:val="00F01658"/>
    <w:rsid w:val="00F02F33"/>
    <w:rsid w:val="00F0659F"/>
    <w:rsid w:val="00F10240"/>
    <w:rsid w:val="00F1690A"/>
    <w:rsid w:val="00F2030E"/>
    <w:rsid w:val="00F20803"/>
    <w:rsid w:val="00F21FF6"/>
    <w:rsid w:val="00F221CA"/>
    <w:rsid w:val="00F22549"/>
    <w:rsid w:val="00F23426"/>
    <w:rsid w:val="00F244B4"/>
    <w:rsid w:val="00F25BFA"/>
    <w:rsid w:val="00F3005D"/>
    <w:rsid w:val="00F3279D"/>
    <w:rsid w:val="00F3303E"/>
    <w:rsid w:val="00F35D06"/>
    <w:rsid w:val="00F3633B"/>
    <w:rsid w:val="00F376D5"/>
    <w:rsid w:val="00F40958"/>
    <w:rsid w:val="00F40E0D"/>
    <w:rsid w:val="00F40ECE"/>
    <w:rsid w:val="00F426FD"/>
    <w:rsid w:val="00F43392"/>
    <w:rsid w:val="00F44124"/>
    <w:rsid w:val="00F44219"/>
    <w:rsid w:val="00F44F73"/>
    <w:rsid w:val="00F45046"/>
    <w:rsid w:val="00F47E52"/>
    <w:rsid w:val="00F51C2D"/>
    <w:rsid w:val="00F53BFF"/>
    <w:rsid w:val="00F53C80"/>
    <w:rsid w:val="00F53F5E"/>
    <w:rsid w:val="00F54A7D"/>
    <w:rsid w:val="00F554A0"/>
    <w:rsid w:val="00F56843"/>
    <w:rsid w:val="00F56E31"/>
    <w:rsid w:val="00F6190B"/>
    <w:rsid w:val="00F62FAC"/>
    <w:rsid w:val="00F6380A"/>
    <w:rsid w:val="00F65DE4"/>
    <w:rsid w:val="00F66E01"/>
    <w:rsid w:val="00F70719"/>
    <w:rsid w:val="00F70DB8"/>
    <w:rsid w:val="00F71147"/>
    <w:rsid w:val="00F71254"/>
    <w:rsid w:val="00F71415"/>
    <w:rsid w:val="00F7180A"/>
    <w:rsid w:val="00F71C6E"/>
    <w:rsid w:val="00F7204C"/>
    <w:rsid w:val="00F73B6C"/>
    <w:rsid w:val="00F7484F"/>
    <w:rsid w:val="00F7543F"/>
    <w:rsid w:val="00F762DD"/>
    <w:rsid w:val="00F763A0"/>
    <w:rsid w:val="00F7688E"/>
    <w:rsid w:val="00F77CC3"/>
    <w:rsid w:val="00F83987"/>
    <w:rsid w:val="00F84118"/>
    <w:rsid w:val="00F8549A"/>
    <w:rsid w:val="00F906C2"/>
    <w:rsid w:val="00F90982"/>
    <w:rsid w:val="00F92A87"/>
    <w:rsid w:val="00F946F4"/>
    <w:rsid w:val="00F94CB6"/>
    <w:rsid w:val="00F95452"/>
    <w:rsid w:val="00F95E3C"/>
    <w:rsid w:val="00F96437"/>
    <w:rsid w:val="00F9688E"/>
    <w:rsid w:val="00FA2427"/>
    <w:rsid w:val="00FA5343"/>
    <w:rsid w:val="00FA579D"/>
    <w:rsid w:val="00FA5B89"/>
    <w:rsid w:val="00FB0372"/>
    <w:rsid w:val="00FB10C5"/>
    <w:rsid w:val="00FB116F"/>
    <w:rsid w:val="00FB1B51"/>
    <w:rsid w:val="00FB326D"/>
    <w:rsid w:val="00FB346A"/>
    <w:rsid w:val="00FB38D7"/>
    <w:rsid w:val="00FB4422"/>
    <w:rsid w:val="00FB48FE"/>
    <w:rsid w:val="00FC04DD"/>
    <w:rsid w:val="00FC2A02"/>
    <w:rsid w:val="00FC45F4"/>
    <w:rsid w:val="00FC6DF5"/>
    <w:rsid w:val="00FD04F7"/>
    <w:rsid w:val="00FD1E1C"/>
    <w:rsid w:val="00FD20EF"/>
    <w:rsid w:val="00FD23D9"/>
    <w:rsid w:val="00FD33DD"/>
    <w:rsid w:val="00FD3D25"/>
    <w:rsid w:val="00FE03CF"/>
    <w:rsid w:val="00FE062D"/>
    <w:rsid w:val="00FE0B8A"/>
    <w:rsid w:val="00FE1937"/>
    <w:rsid w:val="00FE28C9"/>
    <w:rsid w:val="00FE37E6"/>
    <w:rsid w:val="00FE42A4"/>
    <w:rsid w:val="00FE6102"/>
    <w:rsid w:val="00FF107E"/>
    <w:rsid w:val="00FF1AF6"/>
    <w:rsid w:val="00FF5565"/>
    <w:rsid w:val="00FF5E00"/>
    <w:rsid w:val="00FF7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89"/>
    <o:shapelayout v:ext="edit">
      <o:idmap v:ext="edit" data="1"/>
    </o:shapelayout>
  </w:shapeDefaults>
  <w:decimalSymbol w:val=","/>
  <w:listSeparator w:val=";"/>
  <w14:docId w14:val="52110EFF"/>
  <w15:docId w15:val="{FCBC29CD-A3FB-40B6-ADBC-1D8F2713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9AC"/>
    <w:pPr>
      <w:spacing w:before="120"/>
      <w:jc w:val="both"/>
    </w:pPr>
    <w:rPr>
      <w:rFonts w:ascii="Arial" w:hAnsi="Arial"/>
      <w:sz w:val="24"/>
      <w:lang w:val="es-ES_tradnl"/>
    </w:rPr>
  </w:style>
  <w:style w:type="paragraph" w:styleId="Ttulo1">
    <w:name w:val="heading 1"/>
    <w:basedOn w:val="Normal"/>
    <w:next w:val="Normal"/>
    <w:qFormat/>
    <w:rsid w:val="00B8431A"/>
    <w:pPr>
      <w:keepNext/>
      <w:numPr>
        <w:numId w:val="5"/>
      </w:numPr>
      <w:spacing w:before="480"/>
      <w:outlineLvl w:val="0"/>
    </w:pPr>
    <w:rPr>
      <w:b/>
      <w:u w:val="single"/>
    </w:rPr>
  </w:style>
  <w:style w:type="paragraph" w:styleId="Ttulo2">
    <w:name w:val="heading 2"/>
    <w:basedOn w:val="Normal"/>
    <w:next w:val="Normal"/>
    <w:qFormat/>
    <w:rsid w:val="00B8431A"/>
    <w:pPr>
      <w:keepNext/>
      <w:widowControl w:val="0"/>
      <w:numPr>
        <w:ilvl w:val="1"/>
        <w:numId w:val="5"/>
      </w:numPr>
      <w:spacing w:before="480"/>
      <w:ind w:left="578" w:hanging="578"/>
      <w:outlineLvl w:val="1"/>
    </w:pPr>
    <w:rPr>
      <w:b/>
      <w:u w:val="single"/>
    </w:rPr>
  </w:style>
  <w:style w:type="paragraph" w:styleId="Ttulo3">
    <w:name w:val="heading 3"/>
    <w:basedOn w:val="Normal"/>
    <w:next w:val="Normal"/>
    <w:link w:val="Ttulo3Car"/>
    <w:qFormat/>
    <w:rsid w:val="00B8431A"/>
    <w:pPr>
      <w:keepNext/>
      <w:numPr>
        <w:ilvl w:val="2"/>
        <w:numId w:val="5"/>
      </w:numPr>
      <w:spacing w:before="240"/>
      <w:outlineLvl w:val="2"/>
    </w:pPr>
    <w:rPr>
      <w:b/>
      <w:snapToGrid w:val="0"/>
      <w:color w:val="000000"/>
      <w:u w:val="single"/>
    </w:rPr>
  </w:style>
  <w:style w:type="paragraph" w:styleId="Ttulo4">
    <w:name w:val="heading 4"/>
    <w:basedOn w:val="Normal"/>
    <w:next w:val="Normal"/>
    <w:qFormat/>
    <w:rsid w:val="009D49EB"/>
    <w:pPr>
      <w:keepNext/>
      <w:numPr>
        <w:ilvl w:val="3"/>
        <w:numId w:val="5"/>
      </w:numPr>
      <w:spacing w:before="240"/>
      <w:outlineLvl w:val="3"/>
    </w:pPr>
    <w:rPr>
      <w:bCs/>
      <w:szCs w:val="28"/>
      <w:u w:val="single"/>
    </w:rPr>
  </w:style>
  <w:style w:type="paragraph" w:styleId="Ttulo5">
    <w:name w:val="heading 5"/>
    <w:basedOn w:val="Normal"/>
    <w:next w:val="Normal"/>
    <w:qFormat/>
    <w:rsid w:val="00B8431A"/>
    <w:pPr>
      <w:numPr>
        <w:ilvl w:val="4"/>
        <w:numId w:val="5"/>
      </w:numPr>
      <w:spacing w:before="240" w:after="60"/>
      <w:outlineLvl w:val="4"/>
    </w:pPr>
    <w:rPr>
      <w:b/>
      <w:bCs/>
      <w:i/>
      <w:iCs/>
      <w:sz w:val="26"/>
      <w:szCs w:val="26"/>
    </w:rPr>
  </w:style>
  <w:style w:type="paragraph" w:styleId="Ttulo6">
    <w:name w:val="heading 6"/>
    <w:basedOn w:val="Normal"/>
    <w:next w:val="Normal"/>
    <w:qFormat/>
    <w:rsid w:val="00B8431A"/>
    <w:pPr>
      <w:numPr>
        <w:ilvl w:val="5"/>
        <w:numId w:val="5"/>
      </w:numPr>
      <w:spacing w:before="240" w:after="60"/>
      <w:outlineLvl w:val="5"/>
    </w:pPr>
    <w:rPr>
      <w:rFonts w:ascii="Times New Roman" w:hAnsi="Times New Roman"/>
      <w:b/>
      <w:bCs/>
      <w:sz w:val="22"/>
      <w:szCs w:val="22"/>
    </w:rPr>
  </w:style>
  <w:style w:type="paragraph" w:styleId="Ttulo7">
    <w:name w:val="heading 7"/>
    <w:basedOn w:val="Normal"/>
    <w:next w:val="Normal"/>
    <w:qFormat/>
    <w:rsid w:val="00B8431A"/>
    <w:pPr>
      <w:numPr>
        <w:ilvl w:val="6"/>
        <w:numId w:val="5"/>
      </w:numPr>
      <w:spacing w:before="240" w:after="60"/>
      <w:outlineLvl w:val="6"/>
    </w:pPr>
    <w:rPr>
      <w:rFonts w:ascii="Times New Roman" w:hAnsi="Times New Roman"/>
      <w:szCs w:val="24"/>
    </w:rPr>
  </w:style>
  <w:style w:type="paragraph" w:styleId="Ttulo8">
    <w:name w:val="heading 8"/>
    <w:basedOn w:val="Normal"/>
    <w:next w:val="Normal"/>
    <w:qFormat/>
    <w:rsid w:val="00B8431A"/>
    <w:pPr>
      <w:numPr>
        <w:ilvl w:val="7"/>
        <w:numId w:val="5"/>
      </w:numPr>
      <w:spacing w:before="240" w:after="60"/>
      <w:outlineLvl w:val="7"/>
    </w:pPr>
    <w:rPr>
      <w:rFonts w:ascii="Times New Roman" w:hAnsi="Times New Roman"/>
      <w:i/>
      <w:iCs/>
      <w:szCs w:val="24"/>
    </w:rPr>
  </w:style>
  <w:style w:type="paragraph" w:styleId="Ttulo9">
    <w:name w:val="heading 9"/>
    <w:basedOn w:val="Normal"/>
    <w:next w:val="Normal"/>
    <w:qFormat/>
    <w:rsid w:val="00B8431A"/>
    <w:pPr>
      <w:numPr>
        <w:ilvl w:val="8"/>
        <w:numId w:val="5"/>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culo">
    <w:name w:val="Artículo"/>
    <w:basedOn w:val="Normal"/>
    <w:rsid w:val="00F71C6E"/>
    <w:pPr>
      <w:spacing w:before="240"/>
    </w:pPr>
    <w:rPr>
      <w:szCs w:val="24"/>
      <w:lang w:val="es-ES"/>
    </w:rPr>
  </w:style>
  <w:style w:type="paragraph" w:customStyle="1" w:styleId="EstiloTtulo3Subrayado">
    <w:name w:val="Estilo Título 3 + Subrayado"/>
    <w:basedOn w:val="Ttulo3"/>
    <w:rsid w:val="00F71C6E"/>
    <w:rPr>
      <w:rFonts w:cs="Arial"/>
      <w:b w:val="0"/>
      <w:bCs/>
      <w:snapToGrid/>
      <w:color w:val="auto"/>
      <w:szCs w:val="26"/>
      <w:lang w:val="es-ES"/>
    </w:rPr>
  </w:style>
  <w:style w:type="paragraph" w:styleId="Textonotapie">
    <w:name w:val="footnote text"/>
    <w:basedOn w:val="Normal"/>
    <w:link w:val="TextonotapieCar"/>
    <w:uiPriority w:val="99"/>
    <w:semiHidden/>
    <w:rsid w:val="00CE7EC4"/>
  </w:style>
  <w:style w:type="character" w:styleId="Refdenotaalpie">
    <w:name w:val="footnote reference"/>
    <w:basedOn w:val="Fuentedeprrafopredeter"/>
    <w:semiHidden/>
    <w:rsid w:val="00CE7EC4"/>
    <w:rPr>
      <w:vertAlign w:val="superscript"/>
    </w:rPr>
  </w:style>
  <w:style w:type="paragraph" w:customStyle="1" w:styleId="EstiloTtulo3Subrayado1">
    <w:name w:val="Estilo Título 3 + Subrayado1"/>
    <w:basedOn w:val="Ttulo3"/>
    <w:rsid w:val="00F71C6E"/>
    <w:rPr>
      <w:rFonts w:cs="Arial"/>
      <w:b w:val="0"/>
      <w:bCs/>
      <w:snapToGrid/>
      <w:color w:val="auto"/>
      <w:szCs w:val="26"/>
      <w:lang w:val="es-ES"/>
    </w:rPr>
  </w:style>
  <w:style w:type="paragraph" w:customStyle="1" w:styleId="EstiloEstiloTtulo3Subrayado1Negrita">
    <w:name w:val="Estilo Estilo Título 3 + Subrayado1 + Negrita"/>
    <w:basedOn w:val="EstiloTtulo3Subrayado1"/>
    <w:rsid w:val="00F71C6E"/>
    <w:rPr>
      <w:b/>
    </w:rPr>
  </w:style>
  <w:style w:type="paragraph" w:customStyle="1" w:styleId="EstiloTtulo3SinNegrita">
    <w:name w:val="Estilo Título 3 + Sin Negrita"/>
    <w:basedOn w:val="Ttulo3"/>
    <w:rsid w:val="00F71C6E"/>
    <w:rPr>
      <w:rFonts w:cs="Arial"/>
      <w:b w:val="0"/>
      <w:snapToGrid/>
      <w:color w:val="auto"/>
      <w:szCs w:val="26"/>
      <w:lang w:val="es-ES"/>
    </w:rPr>
  </w:style>
  <w:style w:type="numbering" w:customStyle="1" w:styleId="EstiloConvietas">
    <w:name w:val="Estilo Con viñetas"/>
    <w:basedOn w:val="Sinlista"/>
    <w:rsid w:val="00F71C6E"/>
    <w:pPr>
      <w:numPr>
        <w:numId w:val="1"/>
      </w:numPr>
    </w:pPr>
  </w:style>
  <w:style w:type="table" w:styleId="Tablaconcuadrcula">
    <w:name w:val="Table Grid"/>
    <w:basedOn w:val="Tablanormal"/>
    <w:rsid w:val="00F71C6E"/>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a">
    <w:name w:val="Normal tabla"/>
    <w:basedOn w:val="Normal"/>
    <w:rsid w:val="00F71C6E"/>
    <w:pPr>
      <w:spacing w:before="60" w:after="60"/>
    </w:pPr>
    <w:rPr>
      <w:sz w:val="22"/>
      <w:szCs w:val="24"/>
      <w:lang w:val="es-ES"/>
    </w:rPr>
  </w:style>
  <w:style w:type="character" w:styleId="Refdecomentario">
    <w:name w:val="annotation reference"/>
    <w:basedOn w:val="Fuentedeprrafopredeter"/>
    <w:semiHidden/>
    <w:rsid w:val="00F71C6E"/>
    <w:rPr>
      <w:sz w:val="16"/>
      <w:szCs w:val="16"/>
    </w:rPr>
  </w:style>
  <w:style w:type="paragraph" w:styleId="Textocomentario">
    <w:name w:val="annotation text"/>
    <w:basedOn w:val="Normal"/>
    <w:semiHidden/>
    <w:rsid w:val="00F71C6E"/>
    <w:rPr>
      <w:lang w:val="es-ES"/>
    </w:rPr>
  </w:style>
  <w:style w:type="paragraph" w:styleId="Asuntodelcomentario">
    <w:name w:val="annotation subject"/>
    <w:basedOn w:val="Textocomentario"/>
    <w:next w:val="Textocomentario"/>
    <w:semiHidden/>
    <w:rsid w:val="00F71C6E"/>
    <w:rPr>
      <w:b/>
      <w:bCs/>
    </w:rPr>
  </w:style>
  <w:style w:type="paragraph" w:styleId="Textodeglobo">
    <w:name w:val="Balloon Text"/>
    <w:basedOn w:val="Normal"/>
    <w:semiHidden/>
    <w:rsid w:val="00F71C6E"/>
    <w:rPr>
      <w:rFonts w:ascii="Tahoma" w:hAnsi="Tahoma" w:cs="Tahoma"/>
      <w:sz w:val="16"/>
      <w:szCs w:val="16"/>
      <w:lang w:val="es-ES"/>
    </w:rPr>
  </w:style>
  <w:style w:type="paragraph" w:styleId="Encabezado">
    <w:name w:val="header"/>
    <w:basedOn w:val="Normal"/>
    <w:link w:val="EncabezadoCar"/>
    <w:rsid w:val="00F71C6E"/>
    <w:pPr>
      <w:tabs>
        <w:tab w:val="center" w:pos="4252"/>
        <w:tab w:val="right" w:pos="8504"/>
      </w:tabs>
    </w:pPr>
    <w:rPr>
      <w:szCs w:val="24"/>
      <w:lang w:val="es-ES"/>
    </w:rPr>
  </w:style>
  <w:style w:type="paragraph" w:styleId="Mapadeldocumento">
    <w:name w:val="Document Map"/>
    <w:basedOn w:val="Normal"/>
    <w:semiHidden/>
    <w:rsid w:val="00CE7EC4"/>
    <w:pPr>
      <w:shd w:val="clear" w:color="auto" w:fill="000080"/>
    </w:pPr>
    <w:rPr>
      <w:rFonts w:ascii="Tahoma" w:hAnsi="Tahoma" w:cs="Tahoma"/>
    </w:rPr>
  </w:style>
  <w:style w:type="paragraph" w:styleId="Piedepgina">
    <w:name w:val="footer"/>
    <w:basedOn w:val="Normal"/>
    <w:rsid w:val="00F71C6E"/>
    <w:pPr>
      <w:tabs>
        <w:tab w:val="center" w:pos="4252"/>
        <w:tab w:val="right" w:pos="8504"/>
      </w:tabs>
    </w:pPr>
    <w:rPr>
      <w:szCs w:val="24"/>
      <w:lang w:val="es-ES"/>
    </w:rPr>
  </w:style>
  <w:style w:type="character" w:styleId="Nmerodepgina">
    <w:name w:val="page number"/>
    <w:basedOn w:val="Fuentedeprrafopredeter"/>
    <w:rsid w:val="00F71C6E"/>
  </w:style>
  <w:style w:type="paragraph" w:styleId="TDC1">
    <w:name w:val="toc 1"/>
    <w:basedOn w:val="Normal"/>
    <w:next w:val="Normal"/>
    <w:autoRedefine/>
    <w:semiHidden/>
    <w:rsid w:val="00F71C6E"/>
    <w:pPr>
      <w:tabs>
        <w:tab w:val="right" w:leader="dot" w:pos="9540"/>
      </w:tabs>
      <w:ind w:right="-110"/>
    </w:pPr>
    <w:rPr>
      <w:szCs w:val="24"/>
      <w:lang w:val="es-ES"/>
    </w:rPr>
  </w:style>
  <w:style w:type="paragraph" w:styleId="TDC2">
    <w:name w:val="toc 2"/>
    <w:basedOn w:val="Normal"/>
    <w:next w:val="Normal"/>
    <w:autoRedefine/>
    <w:semiHidden/>
    <w:rsid w:val="00F71C6E"/>
    <w:pPr>
      <w:tabs>
        <w:tab w:val="left" w:pos="720"/>
        <w:tab w:val="right" w:leader="dot" w:pos="9540"/>
      </w:tabs>
      <w:ind w:left="240"/>
    </w:pPr>
    <w:rPr>
      <w:szCs w:val="24"/>
      <w:lang w:val="es-ES"/>
    </w:rPr>
  </w:style>
  <w:style w:type="paragraph" w:styleId="TDC3">
    <w:name w:val="toc 3"/>
    <w:basedOn w:val="Normal"/>
    <w:next w:val="Normal"/>
    <w:autoRedefine/>
    <w:semiHidden/>
    <w:rsid w:val="00F71C6E"/>
    <w:pPr>
      <w:tabs>
        <w:tab w:val="left" w:pos="1080"/>
        <w:tab w:val="right" w:leader="dot" w:pos="9540"/>
      </w:tabs>
      <w:ind w:left="1080" w:hanging="723"/>
    </w:pPr>
    <w:rPr>
      <w:szCs w:val="24"/>
      <w:lang w:val="es-ES"/>
    </w:rPr>
  </w:style>
  <w:style w:type="character" w:styleId="Hipervnculo">
    <w:name w:val="Hyperlink"/>
    <w:basedOn w:val="Fuentedeprrafopredeter"/>
    <w:rsid w:val="00F71C6E"/>
    <w:rPr>
      <w:color w:val="0000FF"/>
      <w:u w:val="single"/>
    </w:rPr>
  </w:style>
  <w:style w:type="paragraph" w:styleId="NormalWeb">
    <w:name w:val="Normal (Web)"/>
    <w:basedOn w:val="Normal"/>
    <w:rsid w:val="00F71C6E"/>
    <w:pPr>
      <w:spacing w:before="100" w:beforeAutospacing="1" w:after="100" w:afterAutospacing="1"/>
    </w:pPr>
    <w:rPr>
      <w:rFonts w:ascii="Verdana" w:hAnsi="Verdana"/>
      <w:sz w:val="17"/>
      <w:szCs w:val="17"/>
      <w:lang w:val="es-ES"/>
    </w:rPr>
  </w:style>
  <w:style w:type="character" w:styleId="CitaHTML">
    <w:name w:val="HTML Cite"/>
    <w:basedOn w:val="Fuentedeprrafopredeter"/>
    <w:rsid w:val="00F71C6E"/>
    <w:rPr>
      <w:rFonts w:ascii="Times New Roman" w:hAnsi="Times New Roman" w:cs="Times New Roman" w:hint="default"/>
      <w:i/>
      <w:iCs/>
      <w:sz w:val="18"/>
      <w:szCs w:val="18"/>
    </w:rPr>
  </w:style>
  <w:style w:type="character" w:styleId="Textoennegrita">
    <w:name w:val="Strong"/>
    <w:basedOn w:val="Fuentedeprrafopredeter"/>
    <w:qFormat/>
    <w:rsid w:val="00F71C6E"/>
    <w:rPr>
      <w:b/>
      <w:bCs/>
    </w:rPr>
  </w:style>
  <w:style w:type="paragraph" w:styleId="Listaconvietas2">
    <w:name w:val="List Bullet 2"/>
    <w:basedOn w:val="Normal"/>
    <w:rsid w:val="00F71C6E"/>
    <w:pPr>
      <w:numPr>
        <w:numId w:val="2"/>
      </w:numPr>
      <w:spacing w:after="120"/>
    </w:pPr>
    <w:rPr>
      <w:rFonts w:ascii="Times New Roman" w:hAnsi="Times New Roman"/>
      <w:snapToGrid w:val="0"/>
      <w:szCs w:val="24"/>
      <w:lang w:eastAsia="en-GB"/>
    </w:rPr>
  </w:style>
  <w:style w:type="paragraph" w:customStyle="1" w:styleId="EstiloTtulo1Izquierda0cmPrimeralnea0cm">
    <w:name w:val="Estilo Título 1 + Izquierda:  0 cm Primera línea:  0 cm"/>
    <w:basedOn w:val="Ttulo1"/>
    <w:rsid w:val="00F71C6E"/>
    <w:pPr>
      <w:ind w:left="0" w:firstLine="0"/>
    </w:pPr>
    <w:rPr>
      <w:bCs/>
      <w:kern w:val="32"/>
      <w:lang w:val="es-ES"/>
    </w:rPr>
  </w:style>
  <w:style w:type="paragraph" w:customStyle="1" w:styleId="Institutionquisigne">
    <w:name w:val="Institution qui signe"/>
    <w:basedOn w:val="Normal"/>
    <w:next w:val="Personnequisigne"/>
    <w:rsid w:val="00F71C6E"/>
    <w:pPr>
      <w:keepNext/>
      <w:tabs>
        <w:tab w:val="left" w:pos="4252"/>
      </w:tabs>
      <w:spacing w:before="720"/>
    </w:pPr>
    <w:rPr>
      <w:rFonts w:ascii="Times New Roman" w:hAnsi="Times New Roman"/>
      <w:i/>
      <w:szCs w:val="24"/>
      <w:lang w:val="en-GB" w:eastAsia="de-DE"/>
    </w:rPr>
  </w:style>
  <w:style w:type="paragraph" w:customStyle="1" w:styleId="Personnequisigne">
    <w:name w:val="Personne qui signe"/>
    <w:basedOn w:val="Normal"/>
    <w:next w:val="Institutionquisigne"/>
    <w:rsid w:val="00F71C6E"/>
    <w:pPr>
      <w:tabs>
        <w:tab w:val="left" w:pos="4252"/>
      </w:tabs>
      <w:spacing w:before="0"/>
      <w:jc w:val="left"/>
    </w:pPr>
    <w:rPr>
      <w:rFonts w:ascii="Times New Roman" w:hAnsi="Times New Roman"/>
      <w:i/>
      <w:szCs w:val="24"/>
      <w:lang w:val="en-GB" w:eastAsia="de-DE"/>
    </w:rPr>
  </w:style>
  <w:style w:type="character" w:customStyle="1" w:styleId="texte1">
    <w:name w:val="texte1"/>
    <w:basedOn w:val="Fuentedeprrafopredeter"/>
    <w:rsid w:val="00F71C6E"/>
    <w:rPr>
      <w:rFonts w:ascii="Verdana" w:hAnsi="Verdana" w:cs="Times New Roman"/>
      <w:color w:val="000000"/>
      <w:sz w:val="15"/>
      <w:szCs w:val="15"/>
      <w:u w:val="none"/>
      <w:effect w:val="none"/>
    </w:rPr>
  </w:style>
  <w:style w:type="character" w:customStyle="1" w:styleId="Ttulo3Car">
    <w:name w:val="Título 3 Car"/>
    <w:basedOn w:val="Fuentedeprrafopredeter"/>
    <w:link w:val="Ttulo3"/>
    <w:rsid w:val="00B8431A"/>
    <w:rPr>
      <w:rFonts w:ascii="Arial" w:hAnsi="Arial"/>
      <w:b/>
      <w:snapToGrid w:val="0"/>
      <w:color w:val="000000"/>
      <w:sz w:val="24"/>
      <w:u w:val="single"/>
      <w:lang w:val="es-ES_tradnl"/>
    </w:rPr>
  </w:style>
  <w:style w:type="paragraph" w:customStyle="1" w:styleId="documento2">
    <w:name w:val="documento2"/>
    <w:basedOn w:val="Normal"/>
    <w:rsid w:val="00F71C6E"/>
    <w:pPr>
      <w:spacing w:before="0"/>
      <w:jc w:val="left"/>
    </w:pPr>
    <w:rPr>
      <w:rFonts w:ascii="Times New Roman" w:hAnsi="Times New Roman"/>
      <w:szCs w:val="24"/>
      <w:lang w:val="es-ES"/>
    </w:rPr>
  </w:style>
  <w:style w:type="paragraph" w:customStyle="1" w:styleId="Point1">
    <w:name w:val="Point 1"/>
    <w:basedOn w:val="Normal"/>
    <w:rsid w:val="00F71C6E"/>
    <w:pPr>
      <w:spacing w:after="120"/>
      <w:ind w:left="1417" w:hanging="567"/>
    </w:pPr>
    <w:rPr>
      <w:rFonts w:ascii="Times New Roman" w:hAnsi="Times New Roman"/>
      <w:szCs w:val="24"/>
      <w:lang w:val="en-GB" w:eastAsia="de-DE"/>
    </w:rPr>
  </w:style>
  <w:style w:type="paragraph" w:customStyle="1" w:styleId="CM1">
    <w:name w:val="CM1"/>
    <w:basedOn w:val="Normal"/>
    <w:next w:val="Normal"/>
    <w:rsid w:val="00F71C6E"/>
    <w:pPr>
      <w:autoSpaceDE w:val="0"/>
      <w:autoSpaceDN w:val="0"/>
      <w:adjustRightInd w:val="0"/>
      <w:spacing w:before="0"/>
      <w:jc w:val="left"/>
    </w:pPr>
    <w:rPr>
      <w:rFonts w:ascii="EUAlbertina" w:hAnsi="EUAlbertina"/>
      <w:szCs w:val="24"/>
      <w:lang w:val="es-ES"/>
    </w:rPr>
  </w:style>
  <w:style w:type="paragraph" w:customStyle="1" w:styleId="CM4">
    <w:name w:val="CM4"/>
    <w:basedOn w:val="Normal"/>
    <w:next w:val="Normal"/>
    <w:rsid w:val="00F71C6E"/>
    <w:pPr>
      <w:autoSpaceDE w:val="0"/>
      <w:autoSpaceDN w:val="0"/>
      <w:adjustRightInd w:val="0"/>
      <w:spacing w:before="0"/>
      <w:jc w:val="left"/>
    </w:pPr>
    <w:rPr>
      <w:rFonts w:ascii="EUAlbertina" w:hAnsi="EUAlbertina"/>
      <w:szCs w:val="24"/>
      <w:lang w:val="es-ES"/>
    </w:rPr>
  </w:style>
  <w:style w:type="paragraph" w:customStyle="1" w:styleId="documento-tit1">
    <w:name w:val="documento-tit1"/>
    <w:basedOn w:val="Normal"/>
    <w:rsid w:val="00F71C6E"/>
    <w:pPr>
      <w:pBdr>
        <w:top w:val="single" w:sz="6" w:space="6" w:color="AAAAAA"/>
        <w:left w:val="single" w:sz="6" w:space="18" w:color="AAAAAA"/>
        <w:bottom w:val="single" w:sz="6" w:space="6" w:color="AAAAAA"/>
        <w:right w:val="single" w:sz="6" w:space="18" w:color="AAAAAA"/>
      </w:pBdr>
      <w:shd w:val="clear" w:color="auto" w:fill="FFFFFF"/>
      <w:spacing w:after="120"/>
      <w:jc w:val="left"/>
    </w:pPr>
    <w:rPr>
      <w:rFonts w:ascii="Times New Roman" w:hAnsi="Times New Roman"/>
      <w:szCs w:val="24"/>
      <w:lang w:val="es-ES"/>
    </w:rPr>
  </w:style>
  <w:style w:type="character" w:styleId="nfasis">
    <w:name w:val="Emphasis"/>
    <w:basedOn w:val="Fuentedeprrafopredeter"/>
    <w:qFormat/>
    <w:rsid w:val="00F71C6E"/>
    <w:rPr>
      <w:i/>
      <w:iCs/>
    </w:rPr>
  </w:style>
  <w:style w:type="paragraph" w:customStyle="1" w:styleId="Text1">
    <w:name w:val="Text 1"/>
    <w:basedOn w:val="Normal"/>
    <w:rsid w:val="00F71C6E"/>
    <w:pPr>
      <w:spacing w:after="120"/>
      <w:ind w:left="850"/>
    </w:pPr>
    <w:rPr>
      <w:rFonts w:ascii="Times New Roman" w:hAnsi="Times New Roman"/>
      <w:szCs w:val="24"/>
      <w:lang w:val="fr-FR" w:eastAsia="de-DE"/>
    </w:rPr>
  </w:style>
  <w:style w:type="paragraph" w:customStyle="1" w:styleId="Typedudocument">
    <w:name w:val="Type du document"/>
    <w:basedOn w:val="Normal"/>
    <w:next w:val="Datedadoption"/>
    <w:rsid w:val="00F71C6E"/>
    <w:pPr>
      <w:spacing w:before="360"/>
      <w:jc w:val="center"/>
    </w:pPr>
    <w:rPr>
      <w:rFonts w:ascii="Times New Roman" w:hAnsi="Times New Roman"/>
      <w:b/>
      <w:szCs w:val="24"/>
      <w:lang w:eastAsia="de-DE"/>
    </w:rPr>
  </w:style>
  <w:style w:type="paragraph" w:customStyle="1" w:styleId="Datedadoption">
    <w:name w:val="Date d'adoption"/>
    <w:basedOn w:val="Normal"/>
    <w:next w:val="Titreobjet"/>
    <w:rsid w:val="00F71C6E"/>
    <w:pPr>
      <w:spacing w:before="360"/>
      <w:jc w:val="center"/>
    </w:pPr>
    <w:rPr>
      <w:rFonts w:ascii="Times New Roman" w:hAnsi="Times New Roman"/>
      <w:b/>
      <w:szCs w:val="24"/>
      <w:lang w:eastAsia="de-DE"/>
    </w:rPr>
  </w:style>
  <w:style w:type="paragraph" w:customStyle="1" w:styleId="Titreobjet">
    <w:name w:val="Titre objet"/>
    <w:basedOn w:val="Normal"/>
    <w:next w:val="Normal"/>
    <w:rsid w:val="00F71C6E"/>
    <w:pPr>
      <w:spacing w:before="360" w:after="360"/>
      <w:jc w:val="center"/>
    </w:pPr>
    <w:rPr>
      <w:rFonts w:ascii="Times New Roman" w:hAnsi="Times New Roman"/>
      <w:b/>
      <w:szCs w:val="24"/>
      <w:lang w:eastAsia="de-DE"/>
    </w:rPr>
  </w:style>
  <w:style w:type="paragraph" w:customStyle="1" w:styleId="Statut">
    <w:name w:val="Statut"/>
    <w:basedOn w:val="Normal"/>
    <w:next w:val="Typedudocument"/>
    <w:rsid w:val="00F71C6E"/>
    <w:pPr>
      <w:spacing w:before="360"/>
      <w:jc w:val="center"/>
    </w:pPr>
    <w:rPr>
      <w:rFonts w:ascii="Times New Roman" w:hAnsi="Times New Roman"/>
      <w:snapToGrid w:val="0"/>
      <w:szCs w:val="24"/>
      <w:lang w:eastAsia="en-GB"/>
    </w:rPr>
  </w:style>
  <w:style w:type="paragraph" w:customStyle="1" w:styleId="Default">
    <w:name w:val="Default"/>
    <w:rsid w:val="00F71C6E"/>
    <w:pPr>
      <w:autoSpaceDE w:val="0"/>
      <w:autoSpaceDN w:val="0"/>
      <w:adjustRightInd w:val="0"/>
    </w:pPr>
    <w:rPr>
      <w:rFonts w:ascii="EUAlbertina" w:hAnsi="EUAlbertina" w:cs="EUAlbertina"/>
      <w:color w:val="000000"/>
      <w:sz w:val="24"/>
      <w:szCs w:val="24"/>
    </w:rPr>
  </w:style>
  <w:style w:type="paragraph" w:styleId="TDC4">
    <w:name w:val="toc 4"/>
    <w:basedOn w:val="Normal"/>
    <w:next w:val="Normal"/>
    <w:autoRedefine/>
    <w:semiHidden/>
    <w:rsid w:val="00F71C6E"/>
    <w:pPr>
      <w:ind w:left="720"/>
    </w:pPr>
    <w:rPr>
      <w:szCs w:val="24"/>
      <w:lang w:val="es-ES"/>
    </w:rPr>
  </w:style>
  <w:style w:type="paragraph" w:styleId="TDC5">
    <w:name w:val="toc 5"/>
    <w:basedOn w:val="Normal"/>
    <w:next w:val="Normal"/>
    <w:autoRedefine/>
    <w:semiHidden/>
    <w:rsid w:val="00F71C6E"/>
    <w:pPr>
      <w:spacing w:before="0"/>
      <w:ind w:left="960"/>
      <w:jc w:val="left"/>
    </w:pPr>
    <w:rPr>
      <w:rFonts w:ascii="Times New Roman" w:hAnsi="Times New Roman"/>
      <w:szCs w:val="24"/>
      <w:lang w:val="es-ES"/>
    </w:rPr>
  </w:style>
  <w:style w:type="paragraph" w:styleId="TDC6">
    <w:name w:val="toc 6"/>
    <w:basedOn w:val="Normal"/>
    <w:next w:val="Normal"/>
    <w:autoRedefine/>
    <w:semiHidden/>
    <w:rsid w:val="00F71C6E"/>
    <w:pPr>
      <w:spacing w:before="0"/>
      <w:ind w:left="1200"/>
      <w:jc w:val="left"/>
    </w:pPr>
    <w:rPr>
      <w:rFonts w:ascii="Times New Roman" w:hAnsi="Times New Roman"/>
      <w:szCs w:val="24"/>
      <w:lang w:val="es-ES"/>
    </w:rPr>
  </w:style>
  <w:style w:type="paragraph" w:styleId="TDC7">
    <w:name w:val="toc 7"/>
    <w:basedOn w:val="Normal"/>
    <w:next w:val="Normal"/>
    <w:autoRedefine/>
    <w:semiHidden/>
    <w:rsid w:val="00F71C6E"/>
    <w:pPr>
      <w:spacing w:before="0"/>
      <w:ind w:left="1440"/>
      <w:jc w:val="left"/>
    </w:pPr>
    <w:rPr>
      <w:rFonts w:ascii="Times New Roman" w:hAnsi="Times New Roman"/>
      <w:szCs w:val="24"/>
      <w:lang w:val="es-ES"/>
    </w:rPr>
  </w:style>
  <w:style w:type="paragraph" w:styleId="TDC8">
    <w:name w:val="toc 8"/>
    <w:basedOn w:val="Normal"/>
    <w:next w:val="Normal"/>
    <w:autoRedefine/>
    <w:semiHidden/>
    <w:rsid w:val="00F71C6E"/>
    <w:pPr>
      <w:spacing w:before="0"/>
      <w:ind w:left="1680"/>
      <w:jc w:val="left"/>
    </w:pPr>
    <w:rPr>
      <w:rFonts w:ascii="Times New Roman" w:hAnsi="Times New Roman"/>
      <w:szCs w:val="24"/>
      <w:lang w:val="es-ES"/>
    </w:rPr>
  </w:style>
  <w:style w:type="paragraph" w:styleId="TDC9">
    <w:name w:val="toc 9"/>
    <w:basedOn w:val="Normal"/>
    <w:next w:val="Normal"/>
    <w:autoRedefine/>
    <w:semiHidden/>
    <w:rsid w:val="00F71C6E"/>
    <w:pPr>
      <w:spacing w:before="0"/>
      <w:ind w:left="1920"/>
      <w:jc w:val="left"/>
    </w:pPr>
    <w:rPr>
      <w:rFonts w:ascii="Times New Roman" w:hAnsi="Times New Roman"/>
      <w:szCs w:val="24"/>
      <w:lang w:val="es-ES"/>
    </w:rPr>
  </w:style>
  <w:style w:type="paragraph" w:customStyle="1" w:styleId="EstiloTtulo2Antes36pto">
    <w:name w:val="Estilo Título 2 + Antes:  36 pto"/>
    <w:basedOn w:val="Ttulo2"/>
    <w:rsid w:val="00D06842"/>
    <w:pPr>
      <w:spacing w:before="720"/>
      <w:ind w:left="0" w:firstLine="0"/>
    </w:pPr>
    <w:rPr>
      <w:bCs/>
    </w:rPr>
  </w:style>
  <w:style w:type="paragraph" w:customStyle="1" w:styleId="EstiloTtulo2Antes36pto1">
    <w:name w:val="Estilo Título 2 + Antes:  36 pto1"/>
    <w:basedOn w:val="Ttulo2"/>
    <w:rsid w:val="00D06842"/>
    <w:pPr>
      <w:tabs>
        <w:tab w:val="clear" w:pos="576"/>
        <w:tab w:val="num" w:pos="709"/>
      </w:tabs>
      <w:spacing w:before="720"/>
      <w:ind w:left="709" w:hanging="709"/>
    </w:pPr>
    <w:rPr>
      <w:bCs/>
    </w:rPr>
  </w:style>
  <w:style w:type="paragraph" w:styleId="Textoindependiente">
    <w:name w:val="Body Text"/>
    <w:basedOn w:val="Normal"/>
    <w:rsid w:val="00D52412"/>
    <w:pPr>
      <w:tabs>
        <w:tab w:val="left" w:pos="-720"/>
      </w:tabs>
      <w:spacing w:before="360" w:line="288" w:lineRule="auto"/>
    </w:pPr>
    <w:rPr>
      <w:spacing w:val="-3"/>
      <w:sz w:val="20"/>
    </w:rPr>
  </w:style>
  <w:style w:type="paragraph" w:styleId="Sangradetextonormal">
    <w:name w:val="Body Text Indent"/>
    <w:basedOn w:val="Normal"/>
    <w:rsid w:val="00D52412"/>
    <w:pPr>
      <w:tabs>
        <w:tab w:val="center" w:pos="4393"/>
      </w:tabs>
      <w:spacing w:before="240"/>
      <w:ind w:firstLine="737"/>
    </w:pPr>
    <w:rPr>
      <w:spacing w:val="-3"/>
    </w:rPr>
  </w:style>
  <w:style w:type="paragraph" w:styleId="Sangra3detindependiente">
    <w:name w:val="Body Text Indent 3"/>
    <w:basedOn w:val="Normal"/>
    <w:rsid w:val="00D52412"/>
    <w:pPr>
      <w:spacing w:before="0" w:after="120"/>
      <w:ind w:left="283"/>
      <w:jc w:val="left"/>
    </w:pPr>
    <w:rPr>
      <w:rFonts w:ascii="Times New Roman" w:hAnsi="Times New Roman"/>
      <w:sz w:val="16"/>
      <w:szCs w:val="16"/>
    </w:rPr>
  </w:style>
  <w:style w:type="character" w:customStyle="1" w:styleId="EncabezadoCar">
    <w:name w:val="Encabezado Car"/>
    <w:basedOn w:val="Fuentedeprrafopredeter"/>
    <w:link w:val="Encabezado"/>
    <w:rsid w:val="00062959"/>
    <w:rPr>
      <w:rFonts w:ascii="Arial" w:hAnsi="Arial"/>
      <w:sz w:val="24"/>
      <w:szCs w:val="24"/>
      <w:lang w:val="es-ES" w:eastAsia="es-ES" w:bidi="ar-SA"/>
    </w:rPr>
  </w:style>
  <w:style w:type="paragraph" w:customStyle="1" w:styleId="Cuerpo">
    <w:name w:val="Cuerpo"/>
    <w:rsid w:val="00062959"/>
    <w:pPr>
      <w:spacing w:before="200" w:after="80" w:line="336" w:lineRule="auto"/>
    </w:pPr>
    <w:rPr>
      <w:rFonts w:ascii="Bodoni SvtyTwo OS ITC TT-Book" w:eastAsia="ヒラギノ角ゴ Pro W3" w:hAnsi="Bodoni SvtyTwo OS ITC TT-Book"/>
      <w:color w:val="000000"/>
      <w:sz w:val="24"/>
      <w:lang w:val="es-ES_tradnl" w:eastAsia="en-US"/>
    </w:rPr>
  </w:style>
  <w:style w:type="paragraph" w:customStyle="1" w:styleId="Formatolibre">
    <w:name w:val="Formato libre"/>
    <w:rsid w:val="00062959"/>
    <w:pPr>
      <w:spacing w:line="336" w:lineRule="auto"/>
    </w:pPr>
    <w:rPr>
      <w:rFonts w:ascii="Bodoni SvtyTwo OS ITC TT-Book" w:eastAsia="ヒラギノ角ゴ Pro W3" w:hAnsi="Bodoni SvtyTwo OS ITC TT-Book"/>
      <w:color w:val="000000"/>
      <w:sz w:val="24"/>
      <w:lang w:val="es-ES_tradnl" w:eastAsia="en-US"/>
    </w:rPr>
  </w:style>
  <w:style w:type="paragraph" w:customStyle="1" w:styleId="EstiloArtculoPrimeralnea0cmInterlineadosencillo">
    <w:name w:val="Estilo Artículo + Primera línea:  0 cm Interlineado:  sencillo"/>
    <w:basedOn w:val="Artculo"/>
    <w:rsid w:val="00F7543F"/>
    <w:pPr>
      <w:keepNext/>
      <w:tabs>
        <w:tab w:val="left" w:pos="-720"/>
      </w:tabs>
      <w:suppressAutoHyphens/>
      <w:spacing w:before="480"/>
    </w:pPr>
    <w:rPr>
      <w:spacing w:val="-3"/>
      <w:szCs w:val="20"/>
      <w:lang w:val="es-ES_tradnl"/>
    </w:rPr>
  </w:style>
  <w:style w:type="character" w:customStyle="1" w:styleId="CITE">
    <w:name w:val="CITE"/>
    <w:rsid w:val="005C0758"/>
    <w:rPr>
      <w:i/>
    </w:rPr>
  </w:style>
  <w:style w:type="paragraph" w:customStyle="1" w:styleId="Pa6">
    <w:name w:val="Pa6"/>
    <w:basedOn w:val="Normal"/>
    <w:next w:val="Normal"/>
    <w:uiPriority w:val="99"/>
    <w:rsid w:val="00F02F33"/>
    <w:pPr>
      <w:autoSpaceDE w:val="0"/>
      <w:autoSpaceDN w:val="0"/>
      <w:adjustRightInd w:val="0"/>
      <w:spacing w:before="240" w:line="201" w:lineRule="atLeast"/>
      <w:ind w:firstLine="357"/>
    </w:pPr>
    <w:rPr>
      <w:szCs w:val="24"/>
      <w:lang w:val="es-ES"/>
    </w:rPr>
  </w:style>
  <w:style w:type="paragraph" w:customStyle="1" w:styleId="parrafo1">
    <w:name w:val="parrafo1"/>
    <w:basedOn w:val="Normal"/>
    <w:rsid w:val="001F1F67"/>
    <w:pPr>
      <w:spacing w:before="180" w:after="180"/>
      <w:ind w:firstLine="360"/>
    </w:pPr>
    <w:rPr>
      <w:rFonts w:ascii="Times New Roman" w:hAnsi="Times New Roman"/>
      <w:szCs w:val="24"/>
      <w:lang w:val="es-ES"/>
    </w:rPr>
  </w:style>
  <w:style w:type="paragraph" w:styleId="Ttulo">
    <w:name w:val="Title"/>
    <w:basedOn w:val="Normal"/>
    <w:qFormat/>
    <w:rsid w:val="009C67CB"/>
    <w:pPr>
      <w:spacing w:before="240" w:after="60"/>
      <w:jc w:val="center"/>
      <w:outlineLvl w:val="0"/>
    </w:pPr>
    <w:rPr>
      <w:rFonts w:cs="Arial"/>
      <w:b/>
      <w:bCs/>
      <w:caps/>
      <w:kern w:val="28"/>
      <w:sz w:val="32"/>
      <w:szCs w:val="32"/>
      <w:u w:val="single"/>
    </w:rPr>
  </w:style>
  <w:style w:type="paragraph" w:customStyle="1" w:styleId="EstiloTtulo1Izquierda0cmPrimeralnea0cm1">
    <w:name w:val="Estilo Título 1 + Izquierda:  0 cm Primera línea:  0 cm1"/>
    <w:basedOn w:val="Ttulo1"/>
    <w:rsid w:val="00A96FD6"/>
    <w:rPr>
      <w:bCs/>
      <w:u w:val="none"/>
    </w:rPr>
  </w:style>
  <w:style w:type="paragraph" w:customStyle="1" w:styleId="Apartado">
    <w:name w:val="Apartado"/>
    <w:basedOn w:val="Normal"/>
    <w:link w:val="ApartadoCarCar"/>
    <w:rsid w:val="0080611E"/>
    <w:pPr>
      <w:numPr>
        <w:numId w:val="7"/>
      </w:numPr>
    </w:pPr>
    <w:rPr>
      <w:lang w:val="es-ES"/>
    </w:rPr>
  </w:style>
  <w:style w:type="character" w:customStyle="1" w:styleId="ApartadoCarCar">
    <w:name w:val="Apartado Car Car"/>
    <w:basedOn w:val="Fuentedeprrafopredeter"/>
    <w:link w:val="Apartado"/>
    <w:rsid w:val="0080611E"/>
    <w:rPr>
      <w:rFonts w:ascii="Arial" w:hAnsi="Arial"/>
      <w:sz w:val="24"/>
    </w:rPr>
  </w:style>
  <w:style w:type="paragraph" w:customStyle="1" w:styleId="apartado0">
    <w:name w:val="apartado"/>
    <w:basedOn w:val="Normal"/>
    <w:rsid w:val="00A507BF"/>
    <w:pPr>
      <w:ind w:left="360" w:hanging="360"/>
    </w:pPr>
    <w:rPr>
      <w:rFonts w:cs="Arial"/>
      <w:szCs w:val="24"/>
      <w:lang w:val="es-ES"/>
    </w:rPr>
  </w:style>
  <w:style w:type="character" w:customStyle="1" w:styleId="TextonotapieCar">
    <w:name w:val="Texto nota pie Car"/>
    <w:basedOn w:val="Fuentedeprrafopredeter"/>
    <w:link w:val="Textonotapie"/>
    <w:uiPriority w:val="99"/>
    <w:semiHidden/>
    <w:locked/>
    <w:rsid w:val="00A507BF"/>
    <w:rPr>
      <w:rFonts w:ascii="Arial" w:hAnsi="Arial"/>
      <w:sz w:val="24"/>
      <w:lang w:val="es-ES_tradnl" w:eastAsia="es-ES" w:bidi="ar-SA"/>
    </w:rPr>
  </w:style>
  <w:style w:type="paragraph" w:styleId="Textonotaalfinal">
    <w:name w:val="endnote text"/>
    <w:basedOn w:val="Normal"/>
    <w:link w:val="TextonotaalfinalCar"/>
    <w:semiHidden/>
    <w:rsid w:val="00A507BF"/>
    <w:pPr>
      <w:spacing w:before="0"/>
      <w:jc w:val="left"/>
    </w:pPr>
    <w:rPr>
      <w:rFonts w:ascii="Times New Roman" w:hAnsi="Times New Roman"/>
      <w:noProof/>
      <w:sz w:val="20"/>
      <w:lang w:val="es-ES"/>
    </w:rPr>
  </w:style>
  <w:style w:type="character" w:customStyle="1" w:styleId="TextonotaalfinalCar">
    <w:name w:val="Texto nota al final Car"/>
    <w:basedOn w:val="Fuentedeprrafopredeter"/>
    <w:link w:val="Textonotaalfinal"/>
    <w:semiHidden/>
    <w:locked/>
    <w:rsid w:val="00A507BF"/>
    <w:rPr>
      <w:noProof/>
      <w:lang w:val="es-ES" w:eastAsia="es-ES" w:bidi="ar-SA"/>
    </w:rPr>
  </w:style>
  <w:style w:type="paragraph" w:styleId="Prrafodelista">
    <w:name w:val="List Paragraph"/>
    <w:basedOn w:val="Normal"/>
    <w:uiPriority w:val="34"/>
    <w:qFormat/>
    <w:rsid w:val="00A55561"/>
    <w:pPr>
      <w:ind w:left="720"/>
      <w:contextualSpacing/>
    </w:pPr>
  </w:style>
  <w:style w:type="paragraph" w:styleId="Revisin">
    <w:name w:val="Revision"/>
    <w:hidden/>
    <w:uiPriority w:val="99"/>
    <w:semiHidden/>
    <w:rsid w:val="00244B57"/>
    <w:rPr>
      <w:rFonts w:ascii="Arial" w:hAnsi="Arial"/>
      <w:sz w:val="24"/>
      <w:lang w:val="es-ES_tradnl"/>
    </w:rPr>
  </w:style>
  <w:style w:type="paragraph" w:styleId="Descripcin">
    <w:name w:val="caption"/>
    <w:basedOn w:val="Normal"/>
    <w:next w:val="Normal"/>
    <w:unhideWhenUsed/>
    <w:qFormat/>
    <w:rsid w:val="003E2698"/>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01158">
      <w:bodyDiv w:val="1"/>
      <w:marLeft w:val="144"/>
      <w:marRight w:val="1680"/>
      <w:marTop w:val="2604"/>
      <w:marBottom w:val="420"/>
      <w:divBdr>
        <w:top w:val="none" w:sz="0" w:space="0" w:color="auto"/>
        <w:left w:val="none" w:sz="0" w:space="0" w:color="auto"/>
        <w:bottom w:val="none" w:sz="0" w:space="0" w:color="auto"/>
        <w:right w:val="none" w:sz="0" w:space="0" w:color="auto"/>
      </w:divBdr>
    </w:div>
    <w:div w:id="891044216">
      <w:bodyDiv w:val="1"/>
      <w:marLeft w:val="0"/>
      <w:marRight w:val="0"/>
      <w:marTop w:val="0"/>
      <w:marBottom w:val="0"/>
      <w:divBdr>
        <w:top w:val="none" w:sz="0" w:space="0" w:color="auto"/>
        <w:left w:val="none" w:sz="0" w:space="0" w:color="auto"/>
        <w:bottom w:val="none" w:sz="0" w:space="0" w:color="auto"/>
        <w:right w:val="none" w:sz="0" w:space="0" w:color="auto"/>
      </w:divBdr>
    </w:div>
    <w:div w:id="911696204">
      <w:bodyDiv w:val="1"/>
      <w:marLeft w:val="0"/>
      <w:marRight w:val="0"/>
      <w:marTop w:val="0"/>
      <w:marBottom w:val="0"/>
      <w:divBdr>
        <w:top w:val="none" w:sz="0" w:space="0" w:color="auto"/>
        <w:left w:val="none" w:sz="0" w:space="0" w:color="auto"/>
        <w:bottom w:val="none" w:sz="0" w:space="0" w:color="auto"/>
        <w:right w:val="none" w:sz="0" w:space="0" w:color="auto"/>
      </w:divBdr>
    </w:div>
    <w:div w:id="1072389154">
      <w:bodyDiv w:val="1"/>
      <w:marLeft w:val="0"/>
      <w:marRight w:val="0"/>
      <w:marTop w:val="0"/>
      <w:marBottom w:val="0"/>
      <w:divBdr>
        <w:top w:val="none" w:sz="0" w:space="0" w:color="auto"/>
        <w:left w:val="none" w:sz="0" w:space="0" w:color="auto"/>
        <w:bottom w:val="none" w:sz="0" w:space="0" w:color="auto"/>
        <w:right w:val="none" w:sz="0" w:space="0" w:color="auto"/>
      </w:divBdr>
    </w:div>
    <w:div w:id="1091585206">
      <w:bodyDiv w:val="1"/>
      <w:marLeft w:val="144"/>
      <w:marRight w:val="1680"/>
      <w:marTop w:val="2604"/>
      <w:marBottom w:val="420"/>
      <w:divBdr>
        <w:top w:val="none" w:sz="0" w:space="0" w:color="auto"/>
        <w:left w:val="none" w:sz="0" w:space="0" w:color="auto"/>
        <w:bottom w:val="none" w:sz="0" w:space="0" w:color="auto"/>
        <w:right w:val="none" w:sz="0" w:space="0" w:color="auto"/>
      </w:divBdr>
    </w:div>
    <w:div w:id="1220702189">
      <w:bodyDiv w:val="1"/>
      <w:marLeft w:val="0"/>
      <w:marRight w:val="0"/>
      <w:marTop w:val="0"/>
      <w:marBottom w:val="0"/>
      <w:divBdr>
        <w:top w:val="none" w:sz="0" w:space="0" w:color="auto"/>
        <w:left w:val="none" w:sz="0" w:space="0" w:color="auto"/>
        <w:bottom w:val="none" w:sz="0" w:space="0" w:color="auto"/>
        <w:right w:val="none" w:sz="0" w:space="0" w:color="auto"/>
      </w:divBdr>
      <w:divsChild>
        <w:div w:id="1916742010">
          <w:marLeft w:val="0"/>
          <w:marRight w:val="0"/>
          <w:marTop w:val="0"/>
          <w:marBottom w:val="0"/>
          <w:divBdr>
            <w:top w:val="none" w:sz="0" w:space="0" w:color="auto"/>
            <w:left w:val="single" w:sz="6" w:space="0" w:color="DDDDDD"/>
            <w:bottom w:val="none" w:sz="0" w:space="0" w:color="auto"/>
            <w:right w:val="none" w:sz="0" w:space="0" w:color="auto"/>
          </w:divBdr>
          <w:divsChild>
            <w:div w:id="384109685">
              <w:marLeft w:val="0"/>
              <w:marRight w:val="0"/>
              <w:marTop w:val="0"/>
              <w:marBottom w:val="0"/>
              <w:divBdr>
                <w:top w:val="single" w:sz="2" w:space="0" w:color="008000"/>
                <w:left w:val="single" w:sz="2" w:space="0" w:color="008000"/>
                <w:bottom w:val="single" w:sz="2" w:space="0" w:color="008000"/>
                <w:right w:val="single" w:sz="2" w:space="0" w:color="008000"/>
              </w:divBdr>
              <w:divsChild>
                <w:div w:id="1214583279">
                  <w:marLeft w:val="0"/>
                  <w:marRight w:val="0"/>
                  <w:marTop w:val="0"/>
                  <w:marBottom w:val="0"/>
                  <w:divBdr>
                    <w:top w:val="none" w:sz="0" w:space="0" w:color="auto"/>
                    <w:left w:val="none" w:sz="0" w:space="0" w:color="auto"/>
                    <w:bottom w:val="none" w:sz="0" w:space="0" w:color="auto"/>
                    <w:right w:val="none" w:sz="0" w:space="0" w:color="auto"/>
                  </w:divBdr>
                  <w:divsChild>
                    <w:div w:id="1146049420">
                      <w:marLeft w:val="0"/>
                      <w:marRight w:val="0"/>
                      <w:marTop w:val="0"/>
                      <w:marBottom w:val="0"/>
                      <w:divBdr>
                        <w:top w:val="none" w:sz="0" w:space="0" w:color="auto"/>
                        <w:left w:val="none" w:sz="0" w:space="0" w:color="auto"/>
                        <w:bottom w:val="none" w:sz="0" w:space="0" w:color="auto"/>
                        <w:right w:val="none" w:sz="0" w:space="0" w:color="auto"/>
                      </w:divBdr>
                      <w:divsChild>
                        <w:div w:id="1184588912">
                          <w:marLeft w:val="720"/>
                          <w:marRight w:val="720"/>
                          <w:marTop w:val="0"/>
                          <w:marBottom w:val="0"/>
                          <w:divBdr>
                            <w:top w:val="none" w:sz="0" w:space="0" w:color="auto"/>
                            <w:left w:val="none" w:sz="0" w:space="0" w:color="auto"/>
                            <w:bottom w:val="none" w:sz="0" w:space="0" w:color="auto"/>
                            <w:right w:val="none" w:sz="0" w:space="0" w:color="auto"/>
                          </w:divBdr>
                          <w:divsChild>
                            <w:div w:id="1139616075">
                              <w:marLeft w:val="0"/>
                              <w:marRight w:val="0"/>
                              <w:marTop w:val="0"/>
                              <w:marBottom w:val="0"/>
                              <w:divBdr>
                                <w:top w:val="none" w:sz="0" w:space="0" w:color="auto"/>
                                <w:left w:val="none" w:sz="0" w:space="0" w:color="auto"/>
                                <w:bottom w:val="none" w:sz="0" w:space="0" w:color="auto"/>
                                <w:right w:val="none" w:sz="0" w:space="0" w:color="auto"/>
                              </w:divBdr>
                              <w:divsChild>
                                <w:div w:id="78330556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Child>
    </w:div>
    <w:div w:id="1230263427">
      <w:bodyDiv w:val="1"/>
      <w:marLeft w:val="0"/>
      <w:marRight w:val="0"/>
      <w:marTop w:val="0"/>
      <w:marBottom w:val="0"/>
      <w:divBdr>
        <w:top w:val="none" w:sz="0" w:space="0" w:color="auto"/>
        <w:left w:val="none" w:sz="0" w:space="0" w:color="auto"/>
        <w:bottom w:val="none" w:sz="0" w:space="0" w:color="auto"/>
        <w:right w:val="none" w:sz="0" w:space="0" w:color="auto"/>
      </w:divBdr>
      <w:divsChild>
        <w:div w:id="151861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238206">
              <w:marLeft w:val="0"/>
              <w:marRight w:val="0"/>
              <w:marTop w:val="0"/>
              <w:marBottom w:val="0"/>
              <w:divBdr>
                <w:top w:val="none" w:sz="0" w:space="0" w:color="auto"/>
                <w:left w:val="none" w:sz="0" w:space="0" w:color="auto"/>
                <w:bottom w:val="none" w:sz="0" w:space="0" w:color="auto"/>
                <w:right w:val="none" w:sz="0" w:space="0" w:color="auto"/>
              </w:divBdr>
              <w:divsChild>
                <w:div w:id="658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28104">
      <w:bodyDiv w:val="1"/>
      <w:marLeft w:val="0"/>
      <w:marRight w:val="0"/>
      <w:marTop w:val="0"/>
      <w:marBottom w:val="0"/>
      <w:divBdr>
        <w:top w:val="none" w:sz="0" w:space="0" w:color="auto"/>
        <w:left w:val="none" w:sz="0" w:space="0" w:color="auto"/>
        <w:bottom w:val="none" w:sz="0" w:space="0" w:color="auto"/>
        <w:right w:val="none" w:sz="0" w:space="0" w:color="auto"/>
      </w:divBdr>
    </w:div>
    <w:div w:id="1301886685">
      <w:bodyDiv w:val="1"/>
      <w:marLeft w:val="0"/>
      <w:marRight w:val="0"/>
      <w:marTop w:val="0"/>
      <w:marBottom w:val="0"/>
      <w:divBdr>
        <w:top w:val="none" w:sz="0" w:space="0" w:color="auto"/>
        <w:left w:val="none" w:sz="0" w:space="0" w:color="auto"/>
        <w:bottom w:val="none" w:sz="0" w:space="0" w:color="auto"/>
        <w:right w:val="none" w:sz="0" w:space="0" w:color="auto"/>
      </w:divBdr>
    </w:div>
    <w:div w:id="1348482038">
      <w:bodyDiv w:val="1"/>
      <w:marLeft w:val="0"/>
      <w:marRight w:val="0"/>
      <w:marTop w:val="0"/>
      <w:marBottom w:val="0"/>
      <w:divBdr>
        <w:top w:val="none" w:sz="0" w:space="0" w:color="auto"/>
        <w:left w:val="none" w:sz="0" w:space="0" w:color="auto"/>
        <w:bottom w:val="none" w:sz="0" w:space="0" w:color="auto"/>
        <w:right w:val="none" w:sz="0" w:space="0" w:color="auto"/>
      </w:divBdr>
    </w:div>
    <w:div w:id="1634674357">
      <w:bodyDiv w:val="1"/>
      <w:marLeft w:val="0"/>
      <w:marRight w:val="0"/>
      <w:marTop w:val="0"/>
      <w:marBottom w:val="0"/>
      <w:divBdr>
        <w:top w:val="none" w:sz="0" w:space="0" w:color="auto"/>
        <w:left w:val="none" w:sz="0" w:space="0" w:color="auto"/>
        <w:bottom w:val="none" w:sz="0" w:space="0" w:color="auto"/>
        <w:right w:val="none" w:sz="0" w:space="0" w:color="auto"/>
      </w:divBdr>
    </w:div>
    <w:div w:id="2088307719">
      <w:bodyDiv w:val="1"/>
      <w:marLeft w:val="0"/>
      <w:marRight w:val="0"/>
      <w:marTop w:val="0"/>
      <w:marBottom w:val="0"/>
      <w:divBdr>
        <w:top w:val="none" w:sz="0" w:space="0" w:color="auto"/>
        <w:left w:val="none" w:sz="0" w:space="0" w:color="auto"/>
        <w:bottom w:val="none" w:sz="0" w:space="0" w:color="auto"/>
        <w:right w:val="none" w:sz="0" w:space="0" w:color="auto"/>
      </w:divBdr>
    </w:div>
    <w:div w:id="20893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smartapi/cgi/sga_doc?smartapi!celexplus!prod!DocNumber&amp;lg=es&amp;type_doc=Regulation&amp;an_doc=2008&amp;nu_doc=133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1\DOCUME~1\plantillas\ofici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38D05-7CB7-452E-8A5B-57FB15D4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Template>
  <TotalTime>0</TotalTime>
  <Pages>6</Pages>
  <Words>8635</Words>
  <Characters>47495</Characters>
  <Application>Microsoft Office Word</Application>
  <DocSecurity>4</DocSecurity>
  <Lines>395</Lines>
  <Paragraphs>112</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creator>JMPL</dc:creator>
  <cp:lastModifiedBy>García Fiñana, Elena</cp:lastModifiedBy>
  <cp:revision>2</cp:revision>
  <cp:lastPrinted>2015-09-07T10:14:00Z</cp:lastPrinted>
  <dcterms:created xsi:type="dcterms:W3CDTF">2020-09-08T10:24:00Z</dcterms:created>
  <dcterms:modified xsi:type="dcterms:W3CDTF">2020-09-08T10:24:00Z</dcterms:modified>
</cp:coreProperties>
</file>