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70" w:type="dxa"/>
          <w:right w:w="70" w:type="dxa"/>
        </w:tblCellMar>
        <w:tblLook w:val="0000" w:firstRow="0" w:lastRow="0" w:firstColumn="0" w:lastColumn="0" w:noHBand="0" w:noVBand="0"/>
      </w:tblPr>
      <w:tblGrid>
        <w:gridCol w:w="3047"/>
      </w:tblGrid>
      <w:tr w:rsidR="00567E99" w:rsidRPr="00DC6D3D" w14:paraId="0ECD7ECD" w14:textId="77777777" w:rsidTr="00567E99">
        <w:tc>
          <w:tcPr>
            <w:tcW w:w="3047" w:type="dxa"/>
            <w:vAlign w:val="center"/>
          </w:tcPr>
          <w:p w14:paraId="47E09C00" w14:textId="77777777" w:rsidR="0047258D" w:rsidRPr="00DC6D3D" w:rsidRDefault="0047258D" w:rsidP="00700DB8">
            <w:pPr>
              <w:pStyle w:val="FootnoteText"/>
              <w:framePr w:hSpace="141" w:wrap="around" w:vAnchor="text" w:hAnchor="text" w:x="1131" w:y="1"/>
              <w:tabs>
                <w:tab w:val="left" w:pos="1021"/>
                <w:tab w:val="left" w:pos="8080"/>
              </w:tabs>
              <w:spacing w:before="0"/>
              <w:rPr>
                <w:lang w:val="es-ES"/>
              </w:rPr>
            </w:pPr>
          </w:p>
        </w:tc>
      </w:tr>
      <w:tr w:rsidR="00567E99" w:rsidRPr="00DC6D3D" w14:paraId="41907BF6" w14:textId="77777777" w:rsidTr="00567E99">
        <w:tc>
          <w:tcPr>
            <w:tcW w:w="3047" w:type="dxa"/>
            <w:vAlign w:val="center"/>
          </w:tcPr>
          <w:p w14:paraId="7C8626EE" w14:textId="77777777" w:rsidR="0047258D" w:rsidRPr="00DC6D3D" w:rsidRDefault="0047258D" w:rsidP="00413042">
            <w:pPr>
              <w:pStyle w:val="FootnoteText"/>
              <w:framePr w:hSpace="141" w:wrap="around" w:vAnchor="text" w:hAnchor="text" w:x="1131" w:y="1"/>
              <w:tabs>
                <w:tab w:val="left" w:pos="1021"/>
                <w:tab w:val="left" w:pos="8080"/>
              </w:tabs>
              <w:spacing w:before="0"/>
              <w:jc w:val="left"/>
              <w:rPr>
                <w:rFonts w:ascii="Gill Sans MT" w:hAnsi="Gill Sans MT"/>
                <w:snapToGrid w:val="0"/>
                <w:sz w:val="18"/>
              </w:rPr>
            </w:pPr>
            <w:r>
              <w:rPr>
                <w:rFonts w:ascii="Gill Sans MT" w:hAnsi="Gill Sans MT"/>
                <w:snapToGrid w:val="0"/>
                <w:sz w:val="18"/>
              </w:rPr>
              <w:t>MINISTÈRE DE L’AGRICULTURE, DE LA PÊCHE ET DE L’ALIMENTATION</w:t>
            </w:r>
          </w:p>
        </w:tc>
      </w:tr>
      <w:tr w:rsidR="00567E99" w:rsidRPr="00DC6D3D" w14:paraId="464BDF69" w14:textId="77777777" w:rsidTr="00567E99">
        <w:tc>
          <w:tcPr>
            <w:tcW w:w="3047" w:type="dxa"/>
          </w:tcPr>
          <w:p w14:paraId="5EF05DD0" w14:textId="77777777" w:rsidR="0047258D" w:rsidRPr="00DC6D3D" w:rsidRDefault="0047258D" w:rsidP="00700DB8">
            <w:pPr>
              <w:pStyle w:val="FootnoteText"/>
              <w:framePr w:hSpace="141" w:wrap="around" w:vAnchor="text" w:hAnchor="text" w:x="1131" w:y="1"/>
              <w:tabs>
                <w:tab w:val="left" w:pos="1021"/>
                <w:tab w:val="left" w:pos="8080"/>
              </w:tabs>
              <w:spacing w:before="0"/>
              <w:rPr>
                <w:lang w:val="es-ES"/>
              </w:rPr>
            </w:pPr>
          </w:p>
        </w:tc>
      </w:tr>
    </w:tbl>
    <w:tbl>
      <w:tblPr>
        <w:tblW w:w="0" w:type="auto"/>
        <w:tblLayout w:type="fixed"/>
        <w:tblCellMar>
          <w:left w:w="0" w:type="dxa"/>
          <w:right w:w="0" w:type="dxa"/>
        </w:tblCellMar>
        <w:tblLook w:val="0000" w:firstRow="0" w:lastRow="0" w:firstColumn="0" w:lastColumn="0" w:noHBand="0" w:noVBand="0"/>
      </w:tblPr>
      <w:tblGrid>
        <w:gridCol w:w="1418"/>
        <w:gridCol w:w="283"/>
        <w:gridCol w:w="2845"/>
      </w:tblGrid>
      <w:tr w:rsidR="00567E99" w:rsidRPr="00DC6D3D" w14:paraId="0D423A8E" w14:textId="77777777" w:rsidTr="00567E99">
        <w:tc>
          <w:tcPr>
            <w:tcW w:w="1418" w:type="dxa"/>
          </w:tcPr>
          <w:p w14:paraId="67C699BB" w14:textId="77777777" w:rsidR="0047258D" w:rsidRPr="00DC6D3D" w:rsidRDefault="0047258D" w:rsidP="00A17334">
            <w:pPr>
              <w:pStyle w:val="FootnoteText"/>
              <w:framePr w:hSpace="142" w:wrap="around" w:vAnchor="text" w:hAnchor="margin" w:xAlign="right" w:y="1"/>
              <w:tabs>
                <w:tab w:val="left" w:pos="1021"/>
                <w:tab w:val="left" w:pos="8080"/>
              </w:tabs>
              <w:spacing w:before="0"/>
              <w:ind w:left="142"/>
              <w:jc w:val="right"/>
              <w:rPr>
                <w:rFonts w:ascii="Gill Sans MT" w:hAnsi="Gill Sans MT"/>
                <w:sz w:val="14"/>
                <w:lang w:val="es-ES"/>
              </w:rPr>
            </w:pPr>
          </w:p>
        </w:tc>
        <w:tc>
          <w:tcPr>
            <w:tcW w:w="283" w:type="dxa"/>
            <w:tcBorders>
              <w:right w:val="single" w:sz="4" w:space="0" w:color="auto"/>
            </w:tcBorders>
          </w:tcPr>
          <w:p w14:paraId="49048BED" w14:textId="77777777" w:rsidR="0047258D" w:rsidRPr="00DC6D3D" w:rsidRDefault="0047258D" w:rsidP="00A17334">
            <w:pPr>
              <w:pStyle w:val="FootnoteText"/>
              <w:framePr w:hSpace="142" w:wrap="around" w:vAnchor="text" w:hAnchor="margin" w:xAlign="right" w:y="1"/>
              <w:tabs>
                <w:tab w:val="left" w:pos="1021"/>
                <w:tab w:val="left" w:pos="8080"/>
              </w:tabs>
              <w:spacing w:before="0"/>
              <w:ind w:left="142"/>
              <w:jc w:val="right"/>
              <w:rPr>
                <w:rFonts w:ascii="Gill Sans MT" w:hAnsi="Gill Sans MT"/>
                <w:sz w:val="14"/>
                <w:lang w:val="es-ES"/>
              </w:rPr>
            </w:pPr>
          </w:p>
        </w:tc>
        <w:tc>
          <w:tcPr>
            <w:tcW w:w="2845" w:type="dxa"/>
            <w:tcBorders>
              <w:top w:val="single" w:sz="4" w:space="0" w:color="auto"/>
              <w:left w:val="single" w:sz="4" w:space="0" w:color="auto"/>
              <w:bottom w:val="single" w:sz="4" w:space="0" w:color="auto"/>
              <w:right w:val="single" w:sz="4" w:space="0" w:color="auto"/>
            </w:tcBorders>
            <w:vAlign w:val="center"/>
          </w:tcPr>
          <w:p w14:paraId="4E78D9A4" w14:textId="77777777" w:rsidR="0047258D" w:rsidRPr="00DC6D3D" w:rsidRDefault="00EB39A3" w:rsidP="008C40B7">
            <w:pPr>
              <w:pStyle w:val="FootnoteText"/>
              <w:framePr w:hSpace="142" w:wrap="around" w:vAnchor="text" w:hAnchor="margin" w:xAlign="right" w:y="1"/>
              <w:tabs>
                <w:tab w:val="left" w:pos="1021"/>
                <w:tab w:val="left" w:pos="8080"/>
              </w:tabs>
              <w:spacing w:after="120"/>
              <w:ind w:left="57" w:right="57"/>
              <w:jc w:val="left"/>
              <w:rPr>
                <w:rFonts w:ascii="Gill Sans MT" w:hAnsi="Gill Sans MT"/>
                <w:sz w:val="14"/>
              </w:rPr>
            </w:pPr>
            <w:r>
              <w:rPr>
                <w:rFonts w:ascii="Gill Sans MT" w:hAnsi="Gill Sans MT"/>
                <w:sz w:val="14"/>
              </w:rPr>
              <w:t>SECRÉTARIAT GÉNÉRAL À L’AGRICULTURE ET À L’ALIMENTATION</w:t>
            </w:r>
          </w:p>
        </w:tc>
      </w:tr>
      <w:tr w:rsidR="00567E99" w:rsidRPr="00DC6D3D" w14:paraId="6F0D3F4E" w14:textId="77777777" w:rsidTr="00567E99">
        <w:tc>
          <w:tcPr>
            <w:tcW w:w="1418" w:type="dxa"/>
          </w:tcPr>
          <w:p w14:paraId="40CD021F" w14:textId="77777777" w:rsidR="0047258D" w:rsidRPr="00DC6D3D" w:rsidRDefault="0047258D" w:rsidP="00A17334">
            <w:pPr>
              <w:pStyle w:val="FootnoteText"/>
              <w:framePr w:hSpace="142" w:wrap="around" w:vAnchor="text" w:hAnchor="margin" w:xAlign="right" w:y="1"/>
              <w:tabs>
                <w:tab w:val="left" w:pos="1021"/>
                <w:tab w:val="left" w:pos="8080"/>
              </w:tabs>
              <w:spacing w:before="0"/>
              <w:ind w:left="142"/>
              <w:jc w:val="right"/>
              <w:rPr>
                <w:rFonts w:ascii="Gill Sans MT" w:hAnsi="Gill Sans MT"/>
                <w:sz w:val="14"/>
                <w:lang w:val="es-ES"/>
              </w:rPr>
            </w:pPr>
          </w:p>
        </w:tc>
        <w:tc>
          <w:tcPr>
            <w:tcW w:w="283" w:type="dxa"/>
          </w:tcPr>
          <w:p w14:paraId="13D7435E" w14:textId="77777777" w:rsidR="0047258D" w:rsidRPr="00DC6D3D" w:rsidRDefault="0047258D" w:rsidP="00A17334">
            <w:pPr>
              <w:pStyle w:val="FootnoteText"/>
              <w:framePr w:hSpace="142" w:wrap="around" w:vAnchor="text" w:hAnchor="margin" w:xAlign="right" w:y="1"/>
              <w:tabs>
                <w:tab w:val="left" w:pos="1021"/>
                <w:tab w:val="left" w:pos="8080"/>
              </w:tabs>
              <w:spacing w:before="0"/>
              <w:ind w:left="142"/>
              <w:jc w:val="right"/>
              <w:rPr>
                <w:rFonts w:ascii="Gill Sans MT" w:hAnsi="Gill Sans MT"/>
                <w:sz w:val="14"/>
                <w:lang w:val="es-ES"/>
              </w:rPr>
            </w:pPr>
          </w:p>
        </w:tc>
        <w:tc>
          <w:tcPr>
            <w:tcW w:w="2845" w:type="dxa"/>
            <w:tcBorders>
              <w:top w:val="single" w:sz="4" w:space="0" w:color="auto"/>
            </w:tcBorders>
          </w:tcPr>
          <w:p w14:paraId="44403A66" w14:textId="77777777" w:rsidR="0047258D" w:rsidRPr="00DC6D3D" w:rsidRDefault="0047258D" w:rsidP="00A17334">
            <w:pPr>
              <w:pStyle w:val="FootnoteText"/>
              <w:framePr w:hSpace="142" w:wrap="around" w:vAnchor="text" w:hAnchor="margin" w:xAlign="right" w:y="1"/>
              <w:tabs>
                <w:tab w:val="left" w:pos="1021"/>
                <w:tab w:val="left" w:pos="8080"/>
              </w:tabs>
              <w:spacing w:before="0"/>
              <w:ind w:left="142"/>
              <w:jc w:val="left"/>
              <w:rPr>
                <w:rFonts w:ascii="Gill Sans MT" w:hAnsi="Gill Sans MT"/>
                <w:sz w:val="14"/>
                <w:lang w:val="es-ES"/>
              </w:rPr>
            </w:pPr>
          </w:p>
        </w:tc>
      </w:tr>
      <w:tr w:rsidR="00567E99" w:rsidRPr="00DC6D3D" w14:paraId="291FFAD6" w14:textId="77777777" w:rsidTr="00567E99">
        <w:tc>
          <w:tcPr>
            <w:tcW w:w="1418" w:type="dxa"/>
          </w:tcPr>
          <w:p w14:paraId="6A4294E2" w14:textId="77777777" w:rsidR="00EB39A3" w:rsidRPr="00DC6D3D" w:rsidRDefault="00EB39A3" w:rsidP="00A17334">
            <w:pPr>
              <w:pStyle w:val="FootnoteText"/>
              <w:framePr w:hSpace="142" w:wrap="around" w:vAnchor="text" w:hAnchor="margin" w:xAlign="right" w:y="1"/>
              <w:tabs>
                <w:tab w:val="left" w:pos="1021"/>
                <w:tab w:val="left" w:pos="8080"/>
              </w:tabs>
              <w:spacing w:before="0"/>
              <w:ind w:left="142"/>
              <w:jc w:val="right"/>
              <w:rPr>
                <w:rFonts w:ascii="Gill Sans MT" w:hAnsi="Gill Sans MT"/>
                <w:sz w:val="14"/>
                <w:lang w:val="es-ES"/>
              </w:rPr>
            </w:pPr>
          </w:p>
        </w:tc>
        <w:tc>
          <w:tcPr>
            <w:tcW w:w="283" w:type="dxa"/>
          </w:tcPr>
          <w:p w14:paraId="1756A48E" w14:textId="77777777" w:rsidR="00EB39A3" w:rsidRPr="00DC6D3D" w:rsidRDefault="00EB39A3" w:rsidP="00A17334">
            <w:pPr>
              <w:pStyle w:val="FootnoteText"/>
              <w:framePr w:hSpace="142" w:wrap="around" w:vAnchor="text" w:hAnchor="margin" w:xAlign="right" w:y="1"/>
              <w:tabs>
                <w:tab w:val="left" w:pos="1021"/>
                <w:tab w:val="left" w:pos="8080"/>
              </w:tabs>
              <w:spacing w:before="0"/>
              <w:ind w:left="142"/>
              <w:jc w:val="right"/>
              <w:rPr>
                <w:rFonts w:ascii="Gill Sans MT" w:hAnsi="Gill Sans MT"/>
                <w:sz w:val="14"/>
                <w:lang w:val="es-ES"/>
              </w:rPr>
            </w:pPr>
          </w:p>
        </w:tc>
        <w:tc>
          <w:tcPr>
            <w:tcW w:w="2845" w:type="dxa"/>
          </w:tcPr>
          <w:p w14:paraId="71F39820" w14:textId="77777777" w:rsidR="00EB39A3" w:rsidRPr="00DC6D3D" w:rsidRDefault="00EB39A3" w:rsidP="008C40B7">
            <w:pPr>
              <w:pStyle w:val="FootnoteText"/>
              <w:framePr w:hSpace="142" w:wrap="around" w:vAnchor="text" w:hAnchor="margin" w:xAlign="right" w:y="1"/>
              <w:tabs>
                <w:tab w:val="left" w:pos="1021"/>
                <w:tab w:val="left" w:pos="8080"/>
              </w:tabs>
              <w:ind w:left="113" w:right="113"/>
              <w:jc w:val="left"/>
              <w:rPr>
                <w:rFonts w:ascii="Gill Sans MT" w:hAnsi="Gill Sans MT"/>
                <w:sz w:val="14"/>
              </w:rPr>
            </w:pPr>
            <w:r>
              <w:rPr>
                <w:rFonts w:ascii="Gill Sans MT" w:hAnsi="Gill Sans MT"/>
                <w:sz w:val="14"/>
              </w:rPr>
              <w:t>DIRECTION GÉNÉRALE DE L’INDUSTRIE ALIMENTAIRE</w:t>
            </w:r>
          </w:p>
        </w:tc>
      </w:tr>
    </w:tbl>
    <w:p w14:paraId="4AE6BD48" w14:textId="77777777" w:rsidR="0047258D" w:rsidRPr="00DC6D3D" w:rsidRDefault="000A37B3" w:rsidP="00F71C6E">
      <w:r>
        <w:rPr>
          <w:noProof/>
        </w:rPr>
        <w:drawing>
          <wp:anchor distT="0" distB="0" distL="114300" distR="114300" simplePos="0" relativeHeight="251657728" behindDoc="0" locked="0" layoutInCell="0" allowOverlap="1" wp14:anchorId="04322F41" wp14:editId="144B7914">
            <wp:simplePos x="0" y="0"/>
            <wp:positionH relativeFrom="column">
              <wp:posOffset>-288848</wp:posOffset>
            </wp:positionH>
            <wp:positionV relativeFrom="paragraph">
              <wp:posOffset>127</wp:posOffset>
            </wp:positionV>
            <wp:extent cx="838200" cy="876300"/>
            <wp:effectExtent l="19050" t="0" r="0" b="0"/>
            <wp:wrapTopAndBottom/>
            <wp:docPr id="81"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cstate="print"/>
                    <a:srcRect/>
                    <a:stretch>
                      <a:fillRect/>
                    </a:stretch>
                  </pic:blipFill>
                  <pic:spPr bwMode="auto">
                    <a:xfrm>
                      <a:off x="0" y="0"/>
                      <a:ext cx="838200" cy="876300"/>
                    </a:xfrm>
                    <a:prstGeom prst="rect">
                      <a:avLst/>
                    </a:prstGeom>
                    <a:noFill/>
                    <a:ln w="9525">
                      <a:noFill/>
                      <a:miter lim="800000"/>
                      <a:headEnd/>
                      <a:tailEnd/>
                    </a:ln>
                  </pic:spPr>
                </pic:pic>
              </a:graphicData>
            </a:graphic>
          </wp:anchor>
        </w:drawing>
      </w:r>
    </w:p>
    <w:p w14:paraId="10F84F52" w14:textId="77777777" w:rsidR="00E16F74" w:rsidRDefault="00E16F74" w:rsidP="00E16F74">
      <w:pPr>
        <w:pStyle w:val="PlainText"/>
        <w:jc w:val="center"/>
        <w:rPr>
          <w:rFonts w:ascii="Courier New" w:hAnsi="Courier New"/>
          <w:sz w:val="20"/>
          <w:szCs w:val="20"/>
        </w:rPr>
      </w:pPr>
      <w:r>
        <w:rPr>
          <w:rFonts w:ascii="Courier New" w:hAnsi="Courier New"/>
          <w:sz w:val="20"/>
        </w:rPr>
        <w:t>1. ------IND- 2020 0581 E-- FR- ------ 20201008 --- --- IMPACT</w:t>
      </w:r>
    </w:p>
    <w:p w14:paraId="2107C04D" w14:textId="33501ED0" w:rsidR="00A96FD6" w:rsidRPr="00DC6D3D" w:rsidRDefault="00D52412" w:rsidP="00CF523F">
      <w:pPr>
        <w:pStyle w:val="EstiloTtulo1Izquierda0cmPrimeralnea0cm1"/>
        <w:numPr>
          <w:ilvl w:val="0"/>
          <w:numId w:val="0"/>
        </w:numPr>
      </w:pPr>
      <w:r>
        <w:t>RAPPORT SUR L</w:t>
      </w:r>
      <w:r w:rsidR="00DD2821">
        <w:t>’</w:t>
      </w:r>
      <w:r>
        <w:t>ANALYSE DE L</w:t>
      </w:r>
      <w:r w:rsidR="00DD2821">
        <w:t>’</w:t>
      </w:r>
      <w:r>
        <w:t>IMPACT RÉGLEMENTAIRE DU PROJET DE DÉCRET ROYAL PORTANT APPROBATION DE LA NORME DE QUALITÉ APPLICABLE AUX HUILES D</w:t>
      </w:r>
      <w:r w:rsidR="00DD2821">
        <w:t>’</w:t>
      </w:r>
      <w:r>
        <w:t>OLIVE ET DE GRIGNONS D</w:t>
      </w:r>
      <w:r w:rsidR="00DD2821">
        <w:t>’</w:t>
      </w:r>
      <w:r>
        <w:t>OLIVE</w:t>
      </w:r>
    </w:p>
    <w:p w14:paraId="416916B3" w14:textId="77777777" w:rsidR="00D52412" w:rsidRPr="00DC6D3D" w:rsidRDefault="00D52412" w:rsidP="00C62737">
      <w:pPr>
        <w:pStyle w:val="Heading2"/>
        <w:numPr>
          <w:ilvl w:val="0"/>
          <w:numId w:val="0"/>
        </w:numPr>
        <w:spacing w:after="240"/>
      </w:pPr>
      <w:proofErr w:type="gramStart"/>
      <w:r>
        <w:t>SYNTHÈSE:</w:t>
      </w:r>
      <w:proofErr w:type="gramEnd"/>
    </w:p>
    <w:p w14:paraId="7798AADD" w14:textId="77777777" w:rsidR="001F563E" w:rsidRPr="00DC6D3D" w:rsidRDefault="001F563E" w:rsidP="001F563E"/>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2713"/>
        <w:gridCol w:w="2750"/>
        <w:gridCol w:w="1072"/>
        <w:gridCol w:w="964"/>
        <w:gridCol w:w="1646"/>
      </w:tblGrid>
      <w:tr w:rsidR="00567E99" w:rsidRPr="00DC6D3D" w14:paraId="3AA9CCEF" w14:textId="77777777" w:rsidTr="00905131">
        <w:tc>
          <w:tcPr>
            <w:tcW w:w="2713" w:type="dxa"/>
          </w:tcPr>
          <w:p w14:paraId="36DFD852" w14:textId="77777777" w:rsidR="00D52412" w:rsidRPr="00E52DAD" w:rsidRDefault="00D52412" w:rsidP="00724849">
            <w:pPr>
              <w:pStyle w:val="BodyTextIndent3"/>
              <w:spacing w:before="120"/>
              <w:ind w:left="0"/>
              <w:rPr>
                <w:rFonts w:ascii="Arial" w:hAnsi="Arial" w:cs="Arial"/>
                <w:b/>
                <w:spacing w:val="-4"/>
                <w:sz w:val="22"/>
                <w:szCs w:val="22"/>
              </w:rPr>
            </w:pPr>
            <w:r w:rsidRPr="00E52DAD">
              <w:rPr>
                <w:rFonts w:ascii="Arial" w:hAnsi="Arial"/>
                <w:b/>
                <w:spacing w:val="-4"/>
                <w:sz w:val="22"/>
              </w:rPr>
              <w:t>Ministère/Organe proposant</w:t>
            </w:r>
          </w:p>
        </w:tc>
        <w:tc>
          <w:tcPr>
            <w:tcW w:w="3822" w:type="dxa"/>
            <w:gridSpan w:val="2"/>
          </w:tcPr>
          <w:p w14:paraId="447A9B54" w14:textId="56562756" w:rsidR="00473014" w:rsidRPr="00E52DAD" w:rsidRDefault="00D52412" w:rsidP="00724849">
            <w:pPr>
              <w:pStyle w:val="BodyTextIndent3"/>
              <w:spacing w:before="120"/>
              <w:ind w:left="0"/>
              <w:jc w:val="both"/>
              <w:rPr>
                <w:rFonts w:ascii="Arial" w:hAnsi="Arial" w:cs="Arial"/>
                <w:spacing w:val="-4"/>
                <w:sz w:val="22"/>
                <w:szCs w:val="22"/>
              </w:rPr>
            </w:pPr>
            <w:r w:rsidRPr="00E52DAD">
              <w:rPr>
                <w:rFonts w:ascii="Arial" w:hAnsi="Arial"/>
                <w:spacing w:val="-4"/>
                <w:sz w:val="22"/>
              </w:rPr>
              <w:t>Ministère de l’agriculture, de la pêche et de l’alimentation (direction générale de l’industrie alimentaire)</w:t>
            </w:r>
            <w:r w:rsidR="00DD2821" w:rsidRPr="00E52DAD">
              <w:rPr>
                <w:rFonts w:ascii="Arial" w:hAnsi="Arial"/>
                <w:spacing w:val="-4"/>
                <w:sz w:val="22"/>
              </w:rPr>
              <w:t>.</w:t>
            </w:r>
          </w:p>
        </w:tc>
        <w:tc>
          <w:tcPr>
            <w:tcW w:w="964" w:type="dxa"/>
          </w:tcPr>
          <w:p w14:paraId="2EA5C1AE" w14:textId="77777777" w:rsidR="00D52412" w:rsidRPr="00E52DAD" w:rsidRDefault="00D52412" w:rsidP="00724849">
            <w:pPr>
              <w:pStyle w:val="BodyTextIndent3"/>
              <w:spacing w:before="120"/>
              <w:ind w:left="0"/>
              <w:jc w:val="both"/>
              <w:rPr>
                <w:rFonts w:ascii="Arial" w:hAnsi="Arial" w:cs="Arial"/>
                <w:b/>
                <w:spacing w:val="-4"/>
                <w:sz w:val="22"/>
                <w:szCs w:val="22"/>
              </w:rPr>
            </w:pPr>
            <w:r w:rsidRPr="00E52DAD">
              <w:rPr>
                <w:rFonts w:ascii="Arial" w:hAnsi="Arial"/>
                <w:b/>
                <w:spacing w:val="-4"/>
                <w:sz w:val="22"/>
              </w:rPr>
              <w:t>Date</w:t>
            </w:r>
          </w:p>
        </w:tc>
        <w:tc>
          <w:tcPr>
            <w:tcW w:w="1646" w:type="dxa"/>
          </w:tcPr>
          <w:p w14:paraId="2803F3B9" w14:textId="427E4AD7" w:rsidR="00D52412" w:rsidRPr="00E52DAD" w:rsidRDefault="001B780A" w:rsidP="00724849">
            <w:pPr>
              <w:pStyle w:val="BodyTextIndent3"/>
              <w:spacing w:before="120"/>
              <w:ind w:left="0"/>
              <w:jc w:val="both"/>
              <w:rPr>
                <w:rFonts w:ascii="Arial" w:hAnsi="Arial" w:cs="Arial"/>
                <w:spacing w:val="-4"/>
                <w:sz w:val="22"/>
                <w:szCs w:val="22"/>
              </w:rPr>
            </w:pPr>
            <w:r w:rsidRPr="00E52DAD">
              <w:rPr>
                <w:rFonts w:ascii="Arial" w:hAnsi="Arial"/>
                <w:spacing w:val="-4"/>
                <w:sz w:val="22"/>
              </w:rPr>
              <w:t xml:space="preserve"> 27</w:t>
            </w:r>
            <w:r w:rsidR="00DD2821" w:rsidRPr="00E52DAD">
              <w:rPr>
                <w:rFonts w:ascii="Arial" w:hAnsi="Arial"/>
                <w:spacing w:val="-4"/>
                <w:sz w:val="22"/>
              </w:rPr>
              <w:t> </w:t>
            </w:r>
            <w:r w:rsidRPr="00E52DAD">
              <w:rPr>
                <w:rFonts w:ascii="Arial" w:hAnsi="Arial"/>
                <w:spacing w:val="-4"/>
                <w:sz w:val="22"/>
              </w:rPr>
              <w:t>août</w:t>
            </w:r>
            <w:r w:rsidR="00DD2821" w:rsidRPr="00E52DAD">
              <w:rPr>
                <w:rFonts w:ascii="Arial" w:hAnsi="Arial"/>
                <w:spacing w:val="-4"/>
                <w:sz w:val="22"/>
              </w:rPr>
              <w:t> </w:t>
            </w:r>
            <w:r w:rsidRPr="00E52DAD">
              <w:rPr>
                <w:rFonts w:ascii="Arial" w:hAnsi="Arial"/>
                <w:spacing w:val="-4"/>
                <w:sz w:val="22"/>
              </w:rPr>
              <w:t>2020</w:t>
            </w:r>
          </w:p>
        </w:tc>
      </w:tr>
      <w:tr w:rsidR="00567E99" w:rsidRPr="00DC6D3D" w14:paraId="34910A5A" w14:textId="77777777" w:rsidTr="00905131">
        <w:tc>
          <w:tcPr>
            <w:tcW w:w="2713" w:type="dxa"/>
          </w:tcPr>
          <w:p w14:paraId="1F27C6AA" w14:textId="77777777" w:rsidR="00D52412" w:rsidRPr="00E52DAD" w:rsidRDefault="00D52412" w:rsidP="00724849">
            <w:pPr>
              <w:pStyle w:val="BodyTextIndent3"/>
              <w:spacing w:before="120"/>
              <w:ind w:left="0"/>
              <w:rPr>
                <w:rFonts w:ascii="Arial" w:hAnsi="Arial" w:cs="Arial"/>
                <w:b/>
                <w:spacing w:val="-4"/>
                <w:sz w:val="22"/>
                <w:szCs w:val="22"/>
              </w:rPr>
            </w:pPr>
            <w:r w:rsidRPr="00E52DAD">
              <w:rPr>
                <w:rFonts w:ascii="Arial" w:hAnsi="Arial"/>
                <w:b/>
                <w:spacing w:val="-4"/>
                <w:sz w:val="22"/>
              </w:rPr>
              <w:t>Titre de la réglementation</w:t>
            </w:r>
          </w:p>
        </w:tc>
        <w:tc>
          <w:tcPr>
            <w:tcW w:w="6432" w:type="dxa"/>
            <w:gridSpan w:val="4"/>
          </w:tcPr>
          <w:p w14:paraId="53FD396E" w14:textId="5076332C" w:rsidR="00A96FD6" w:rsidRPr="00E52DAD" w:rsidRDefault="0014033D" w:rsidP="00043CB1">
            <w:pPr>
              <w:pStyle w:val="BodyTextIndent3"/>
              <w:spacing w:before="120"/>
              <w:ind w:left="0"/>
              <w:jc w:val="both"/>
              <w:rPr>
                <w:rFonts w:ascii="Arial" w:hAnsi="Arial" w:cs="Arial"/>
                <w:spacing w:val="-4"/>
                <w:sz w:val="22"/>
                <w:szCs w:val="22"/>
              </w:rPr>
            </w:pPr>
            <w:r w:rsidRPr="00E52DAD">
              <w:rPr>
                <w:rFonts w:ascii="Arial" w:hAnsi="Arial"/>
                <w:spacing w:val="-4"/>
                <w:sz w:val="22"/>
              </w:rPr>
              <w:t>Projet de décret royal portant approbation de la norme de qualité applicable aux huiles d’olive et de grignons d</w:t>
            </w:r>
            <w:r w:rsidR="00DD2821" w:rsidRPr="00E52DAD">
              <w:rPr>
                <w:rFonts w:ascii="Arial" w:hAnsi="Arial"/>
                <w:spacing w:val="-4"/>
                <w:sz w:val="22"/>
              </w:rPr>
              <w:t>’</w:t>
            </w:r>
            <w:r w:rsidRPr="00E52DAD">
              <w:rPr>
                <w:rFonts w:ascii="Arial" w:hAnsi="Arial"/>
                <w:spacing w:val="-4"/>
                <w:sz w:val="22"/>
              </w:rPr>
              <w:t>olive</w:t>
            </w:r>
            <w:r w:rsidR="00DD2821" w:rsidRPr="00E52DAD">
              <w:rPr>
                <w:rFonts w:ascii="Arial" w:hAnsi="Arial"/>
                <w:spacing w:val="-4"/>
                <w:sz w:val="22"/>
              </w:rPr>
              <w:t>.</w:t>
            </w:r>
          </w:p>
        </w:tc>
      </w:tr>
      <w:tr w:rsidR="00567E99" w:rsidRPr="00DC6D3D" w14:paraId="60772490" w14:textId="77777777" w:rsidTr="00905131">
        <w:tc>
          <w:tcPr>
            <w:tcW w:w="2713" w:type="dxa"/>
          </w:tcPr>
          <w:p w14:paraId="3B46ECEC" w14:textId="77777777" w:rsidR="00D52412" w:rsidRPr="00E52DAD" w:rsidRDefault="00D52412" w:rsidP="00724849">
            <w:pPr>
              <w:pStyle w:val="BodyTextIndent3"/>
              <w:spacing w:before="120"/>
              <w:ind w:left="0"/>
              <w:rPr>
                <w:rFonts w:ascii="Arial" w:hAnsi="Arial" w:cs="Arial"/>
                <w:b/>
                <w:spacing w:val="-4"/>
                <w:sz w:val="22"/>
                <w:szCs w:val="22"/>
              </w:rPr>
            </w:pPr>
            <w:r w:rsidRPr="00E52DAD">
              <w:rPr>
                <w:rFonts w:ascii="Arial" w:hAnsi="Arial"/>
                <w:b/>
                <w:spacing w:val="-4"/>
                <w:sz w:val="22"/>
              </w:rPr>
              <w:t>Type de rapport</w:t>
            </w:r>
          </w:p>
        </w:tc>
        <w:tc>
          <w:tcPr>
            <w:tcW w:w="6432" w:type="dxa"/>
            <w:gridSpan w:val="4"/>
          </w:tcPr>
          <w:tbl>
            <w:tblPr>
              <w:tblpPr w:leftFromText="141" w:rightFromText="141" w:vertAnchor="text" w:horzAnchor="page" w:tblpX="2024" w:tblpY="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567E99" w:rsidRPr="00E52DAD" w14:paraId="1C9FB864" w14:textId="77777777" w:rsidTr="00724849">
              <w:tc>
                <w:tcPr>
                  <w:tcW w:w="419" w:type="dxa"/>
                </w:tcPr>
                <w:p w14:paraId="2AFBE57D" w14:textId="77777777" w:rsidR="00D52412" w:rsidRPr="00E52DAD" w:rsidRDefault="00202648" w:rsidP="00724849">
                  <w:pPr>
                    <w:pStyle w:val="BodyTextIndent3"/>
                    <w:spacing w:before="120"/>
                    <w:ind w:left="0"/>
                    <w:jc w:val="center"/>
                    <w:rPr>
                      <w:rFonts w:ascii="Arial" w:hAnsi="Arial" w:cs="Arial"/>
                      <w:spacing w:val="-4"/>
                      <w:sz w:val="22"/>
                      <w:szCs w:val="22"/>
                    </w:rPr>
                  </w:pPr>
                  <w:r w:rsidRPr="00E52DAD">
                    <w:rPr>
                      <w:rFonts w:ascii="Arial" w:hAnsi="Arial"/>
                      <w:spacing w:val="-4"/>
                      <w:sz w:val="22"/>
                    </w:rPr>
                    <w:t>X</w:t>
                  </w:r>
                </w:p>
              </w:tc>
            </w:tr>
          </w:tbl>
          <w:p w14:paraId="36718ED9" w14:textId="77777777" w:rsidR="006A5626" w:rsidRPr="00E52DAD" w:rsidRDefault="00D52412" w:rsidP="00724849">
            <w:pPr>
              <w:pStyle w:val="BodyTextIndent3"/>
              <w:spacing w:before="120"/>
              <w:ind w:left="0"/>
              <w:jc w:val="both"/>
              <w:rPr>
                <w:rFonts w:ascii="Arial" w:hAnsi="Arial" w:cs="Arial"/>
                <w:spacing w:val="-4"/>
                <w:sz w:val="22"/>
                <w:szCs w:val="22"/>
              </w:rPr>
            </w:pPr>
            <w:r w:rsidRPr="00E52DAD">
              <w:rPr>
                <w:rFonts w:ascii="Arial" w:hAnsi="Arial"/>
                <w:b/>
                <w:spacing w:val="-4"/>
                <w:sz w:val="22"/>
              </w:rPr>
              <w:t>Normal</w:t>
            </w:r>
            <w:r w:rsidRPr="00E52DAD">
              <w:rPr>
                <w:rFonts w:ascii="Arial" w:hAnsi="Arial"/>
                <w:spacing w:val="-4"/>
                <w:sz w:val="22"/>
              </w:rPr>
              <w:t>…</w:t>
            </w:r>
            <w:proofErr w:type="gramStart"/>
            <w:r w:rsidRPr="00E52DAD">
              <w:rPr>
                <w:rFonts w:ascii="Arial" w:hAnsi="Arial"/>
                <w:spacing w:val="-4"/>
                <w:sz w:val="22"/>
              </w:rPr>
              <w:t>…….</w:t>
            </w:r>
            <w:proofErr w:type="gramEnd"/>
            <w:r w:rsidRPr="00E52DAD">
              <w:rPr>
                <w:rFonts w:ascii="Arial" w:hAnsi="Arial"/>
                <w:spacing w:val="-4"/>
                <w:sz w:val="22"/>
              </w:rPr>
              <w:t xml:space="preserve">. </w:t>
            </w:r>
            <w:r w:rsidRPr="00E52DAD">
              <w:rPr>
                <w:spacing w:val="-4"/>
              </w:rPr>
              <w:tab/>
            </w:r>
            <w:r w:rsidRPr="00E52DAD">
              <w:rPr>
                <w:rFonts w:ascii="Arial" w:hAnsi="Arial"/>
                <w:b/>
                <w:spacing w:val="-4"/>
                <w:sz w:val="22"/>
              </w:rPr>
              <w:t>Abrégé</w:t>
            </w:r>
            <w:r w:rsidRPr="00E52DAD">
              <w:rPr>
                <w:rFonts w:ascii="Arial" w:hAnsi="Arial"/>
                <w:spacing w:val="-4"/>
                <w:sz w:val="22"/>
              </w:rPr>
              <w:t>……</w:t>
            </w:r>
          </w:p>
          <w:tbl>
            <w:tblPr>
              <w:tblpPr w:leftFromText="141" w:rightFromText="141" w:vertAnchor="text" w:horzAnchor="page" w:tblpX="5401" w:tblpY="-11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6A5626" w:rsidRPr="00E52DAD" w14:paraId="3CC82557" w14:textId="77777777" w:rsidTr="006A5626">
              <w:tc>
                <w:tcPr>
                  <w:tcW w:w="419" w:type="dxa"/>
                </w:tcPr>
                <w:p w14:paraId="3D81EF5A" w14:textId="77777777" w:rsidR="006A5626" w:rsidRPr="00E52DAD" w:rsidRDefault="006A5626" w:rsidP="006A5626">
                  <w:pPr>
                    <w:pStyle w:val="BodyTextIndent3"/>
                    <w:spacing w:before="120"/>
                    <w:ind w:left="0"/>
                    <w:jc w:val="center"/>
                    <w:rPr>
                      <w:rFonts w:ascii="Arial" w:hAnsi="Arial" w:cs="Arial"/>
                      <w:spacing w:val="-4"/>
                      <w:sz w:val="22"/>
                      <w:szCs w:val="22"/>
                    </w:rPr>
                  </w:pPr>
                </w:p>
              </w:tc>
            </w:tr>
          </w:tbl>
          <w:p w14:paraId="654D45AF" w14:textId="77777777" w:rsidR="00D52412" w:rsidRPr="00E52DAD" w:rsidRDefault="00BE308A" w:rsidP="00724849">
            <w:pPr>
              <w:pStyle w:val="BodyTextIndent3"/>
              <w:spacing w:before="120"/>
              <w:ind w:left="0"/>
              <w:jc w:val="right"/>
              <w:rPr>
                <w:rFonts w:ascii="Arial" w:hAnsi="Arial" w:cs="Arial"/>
                <w:spacing w:val="-4"/>
                <w:sz w:val="22"/>
                <w:szCs w:val="22"/>
              </w:rPr>
            </w:pPr>
            <w:r w:rsidRPr="00E52DAD">
              <w:rPr>
                <w:rFonts w:ascii="Arial" w:hAnsi="Arial"/>
                <w:spacing w:val="-4"/>
                <w:sz w:val="22"/>
              </w:rPr>
              <w:t xml:space="preserve">  </w:t>
            </w:r>
          </w:p>
        </w:tc>
      </w:tr>
      <w:tr w:rsidR="00567E99" w:rsidRPr="00DC6D3D" w14:paraId="22E539E2" w14:textId="77777777" w:rsidTr="00905131">
        <w:tc>
          <w:tcPr>
            <w:tcW w:w="9145" w:type="dxa"/>
            <w:gridSpan w:val="5"/>
          </w:tcPr>
          <w:p w14:paraId="55C287EC" w14:textId="77777777" w:rsidR="00D52412" w:rsidRPr="00E52DAD" w:rsidRDefault="00D52412" w:rsidP="00724849">
            <w:pPr>
              <w:pStyle w:val="BodyTextIndent3"/>
              <w:spacing w:before="240" w:after="240"/>
              <w:ind w:left="0"/>
              <w:jc w:val="center"/>
              <w:rPr>
                <w:rFonts w:ascii="Arial" w:hAnsi="Arial" w:cs="Arial"/>
                <w:b/>
                <w:spacing w:val="-4"/>
                <w:sz w:val="22"/>
                <w:szCs w:val="22"/>
              </w:rPr>
            </w:pPr>
            <w:r w:rsidRPr="00E52DAD">
              <w:rPr>
                <w:rFonts w:ascii="Arial" w:hAnsi="Arial"/>
                <w:b/>
                <w:spacing w:val="-4"/>
                <w:sz w:val="22"/>
              </w:rPr>
              <w:t>EXPOSÉ DES MOTIFS DE LA PROPOSITION</w:t>
            </w:r>
          </w:p>
        </w:tc>
      </w:tr>
      <w:tr w:rsidR="00567E99" w:rsidRPr="00DC6D3D" w14:paraId="653F08F3" w14:textId="77777777" w:rsidTr="00905131">
        <w:tc>
          <w:tcPr>
            <w:tcW w:w="2713" w:type="dxa"/>
          </w:tcPr>
          <w:p w14:paraId="4EEA6213" w14:textId="77777777" w:rsidR="00D52412" w:rsidRPr="00E52DAD" w:rsidRDefault="00D52412" w:rsidP="00724849">
            <w:pPr>
              <w:pStyle w:val="BodyTextIndent3"/>
              <w:spacing w:before="120"/>
              <w:ind w:left="0"/>
              <w:rPr>
                <w:rFonts w:ascii="Arial" w:hAnsi="Arial" w:cs="Arial"/>
                <w:b/>
                <w:spacing w:val="-4"/>
                <w:sz w:val="22"/>
                <w:szCs w:val="22"/>
              </w:rPr>
            </w:pPr>
            <w:r w:rsidRPr="00E52DAD">
              <w:rPr>
                <w:rFonts w:ascii="Arial" w:hAnsi="Arial"/>
                <w:b/>
                <w:spacing w:val="-4"/>
                <w:sz w:val="22"/>
              </w:rPr>
              <w:t>Situation réglementée</w:t>
            </w:r>
          </w:p>
        </w:tc>
        <w:tc>
          <w:tcPr>
            <w:tcW w:w="6432" w:type="dxa"/>
            <w:gridSpan w:val="4"/>
          </w:tcPr>
          <w:p w14:paraId="10C15DFA" w14:textId="27804B51" w:rsidR="00A96FD6" w:rsidRPr="00E52DAD" w:rsidRDefault="00A96FD6" w:rsidP="00043CB1">
            <w:pPr>
              <w:tabs>
                <w:tab w:val="left" w:pos="-720"/>
              </w:tabs>
              <w:suppressAutoHyphens/>
              <w:spacing w:after="120"/>
              <w:rPr>
                <w:rFonts w:cs="Arial"/>
                <w:spacing w:val="-4"/>
                <w:sz w:val="22"/>
                <w:szCs w:val="22"/>
              </w:rPr>
            </w:pPr>
            <w:r w:rsidRPr="00E52DAD">
              <w:rPr>
                <w:spacing w:val="-4"/>
                <w:sz w:val="22"/>
              </w:rPr>
              <w:t>La production et la commercialisation des huiles d</w:t>
            </w:r>
            <w:r w:rsidR="00DD2821" w:rsidRPr="00E52DAD">
              <w:rPr>
                <w:spacing w:val="-4"/>
                <w:sz w:val="22"/>
              </w:rPr>
              <w:t>’</w:t>
            </w:r>
            <w:r w:rsidRPr="00E52DAD">
              <w:rPr>
                <w:spacing w:val="-4"/>
                <w:sz w:val="22"/>
              </w:rPr>
              <w:t>olive et de grignons d</w:t>
            </w:r>
            <w:r w:rsidR="00DD2821" w:rsidRPr="00E52DAD">
              <w:rPr>
                <w:spacing w:val="-4"/>
                <w:sz w:val="22"/>
              </w:rPr>
              <w:t>’</w:t>
            </w:r>
            <w:r w:rsidRPr="00E52DAD">
              <w:rPr>
                <w:spacing w:val="-4"/>
                <w:sz w:val="22"/>
              </w:rPr>
              <w:t>olive produites et commercialisées en Espagne.</w:t>
            </w:r>
          </w:p>
        </w:tc>
      </w:tr>
      <w:tr w:rsidR="00567E99" w:rsidRPr="00DC6D3D" w14:paraId="23E0CD6B" w14:textId="77777777" w:rsidTr="00905131">
        <w:tc>
          <w:tcPr>
            <w:tcW w:w="2713" w:type="dxa"/>
          </w:tcPr>
          <w:p w14:paraId="3E4736E8" w14:textId="77777777" w:rsidR="00D52412" w:rsidRPr="00E52DAD" w:rsidRDefault="00D52412" w:rsidP="00724849">
            <w:pPr>
              <w:pStyle w:val="BodyTextIndent3"/>
              <w:spacing w:before="120"/>
              <w:ind w:left="0"/>
              <w:rPr>
                <w:rFonts w:ascii="Arial" w:hAnsi="Arial" w:cs="Arial"/>
                <w:b/>
                <w:spacing w:val="-4"/>
                <w:sz w:val="22"/>
                <w:szCs w:val="22"/>
              </w:rPr>
            </w:pPr>
            <w:r w:rsidRPr="00E52DAD">
              <w:rPr>
                <w:rFonts w:ascii="Arial" w:hAnsi="Arial"/>
                <w:b/>
                <w:spacing w:val="-4"/>
                <w:sz w:val="22"/>
              </w:rPr>
              <w:t>Objectifs poursuivis</w:t>
            </w:r>
          </w:p>
        </w:tc>
        <w:tc>
          <w:tcPr>
            <w:tcW w:w="6432" w:type="dxa"/>
            <w:gridSpan w:val="4"/>
          </w:tcPr>
          <w:p w14:paraId="4D1239F2" w14:textId="4B4C261E" w:rsidR="003D2687" w:rsidRPr="00E52DAD" w:rsidRDefault="003D2687" w:rsidP="003D2687">
            <w:pPr>
              <w:numPr>
                <w:ilvl w:val="0"/>
                <w:numId w:val="3"/>
              </w:numPr>
              <w:rPr>
                <w:rFonts w:cs="Arial"/>
                <w:spacing w:val="-4"/>
                <w:sz w:val="22"/>
                <w:szCs w:val="22"/>
              </w:rPr>
            </w:pPr>
            <w:r w:rsidRPr="00E52DAD">
              <w:rPr>
                <w:spacing w:val="-4"/>
                <w:sz w:val="22"/>
              </w:rPr>
              <w:t>Améliorer la compétitivité du secteur national de l</w:t>
            </w:r>
            <w:r w:rsidR="00DD2821" w:rsidRPr="00E52DAD">
              <w:rPr>
                <w:spacing w:val="-4"/>
                <w:sz w:val="22"/>
              </w:rPr>
              <w:t>’</w:t>
            </w:r>
            <w:r w:rsidRPr="00E52DAD">
              <w:rPr>
                <w:spacing w:val="-4"/>
                <w:sz w:val="22"/>
              </w:rPr>
              <w:t>huile d</w:t>
            </w:r>
            <w:r w:rsidR="00DD2821" w:rsidRPr="00E52DAD">
              <w:rPr>
                <w:spacing w:val="-4"/>
                <w:sz w:val="22"/>
              </w:rPr>
              <w:t>’</w:t>
            </w:r>
            <w:r w:rsidRPr="00E52DAD">
              <w:rPr>
                <w:spacing w:val="-4"/>
                <w:sz w:val="22"/>
              </w:rPr>
              <w:t>olive et de grignons d</w:t>
            </w:r>
            <w:r w:rsidR="00DD2821" w:rsidRPr="00E52DAD">
              <w:rPr>
                <w:spacing w:val="-4"/>
                <w:sz w:val="22"/>
              </w:rPr>
              <w:t>’</w:t>
            </w:r>
            <w:r w:rsidRPr="00E52DAD">
              <w:rPr>
                <w:spacing w:val="-4"/>
                <w:sz w:val="22"/>
              </w:rPr>
              <w:t>olive, garantir une concurrence loyale entre les installations du secteur et offrir les mêmes conditions à tous les producteurs.</w:t>
            </w:r>
          </w:p>
          <w:p w14:paraId="4F45E6AF" w14:textId="656B0BD6" w:rsidR="003D2687" w:rsidRPr="00E52DAD" w:rsidRDefault="003D2687" w:rsidP="003D2687">
            <w:pPr>
              <w:numPr>
                <w:ilvl w:val="0"/>
                <w:numId w:val="3"/>
              </w:numPr>
              <w:rPr>
                <w:rFonts w:cs="Arial"/>
                <w:spacing w:val="-4"/>
                <w:sz w:val="22"/>
                <w:szCs w:val="22"/>
              </w:rPr>
            </w:pPr>
            <w:r w:rsidRPr="00E52DAD">
              <w:rPr>
                <w:spacing w:val="-4"/>
                <w:sz w:val="22"/>
              </w:rPr>
              <w:t>Mettre à jour les réglementations nationales applicables à l</w:t>
            </w:r>
            <w:r w:rsidR="00DD2821" w:rsidRPr="00E52DAD">
              <w:rPr>
                <w:spacing w:val="-4"/>
                <w:sz w:val="22"/>
              </w:rPr>
              <w:t>’</w:t>
            </w:r>
            <w:r w:rsidRPr="00E52DAD">
              <w:rPr>
                <w:spacing w:val="-4"/>
                <w:sz w:val="22"/>
              </w:rPr>
              <w:t>huile d</w:t>
            </w:r>
            <w:r w:rsidR="00DD2821" w:rsidRPr="00E52DAD">
              <w:rPr>
                <w:spacing w:val="-4"/>
                <w:sz w:val="22"/>
              </w:rPr>
              <w:t>’</w:t>
            </w:r>
            <w:r w:rsidRPr="00E52DAD">
              <w:rPr>
                <w:spacing w:val="-4"/>
                <w:sz w:val="22"/>
              </w:rPr>
              <w:t>olive et de grignons d</w:t>
            </w:r>
            <w:r w:rsidR="00DD2821" w:rsidRPr="00E52DAD">
              <w:rPr>
                <w:spacing w:val="-4"/>
                <w:sz w:val="22"/>
              </w:rPr>
              <w:t>’</w:t>
            </w:r>
            <w:r w:rsidRPr="00E52DAD">
              <w:rPr>
                <w:spacing w:val="-4"/>
                <w:sz w:val="22"/>
              </w:rPr>
              <w:t>olive afin de promouvoir la qualité des aliments.</w:t>
            </w:r>
          </w:p>
          <w:p w14:paraId="47AFA562" w14:textId="02F7899F" w:rsidR="003D2687" w:rsidRPr="00E52DAD" w:rsidRDefault="003D2687" w:rsidP="003D2687">
            <w:pPr>
              <w:numPr>
                <w:ilvl w:val="0"/>
                <w:numId w:val="3"/>
              </w:numPr>
              <w:rPr>
                <w:rFonts w:cs="Arial"/>
                <w:spacing w:val="-4"/>
                <w:sz w:val="22"/>
                <w:szCs w:val="22"/>
              </w:rPr>
            </w:pPr>
            <w:r w:rsidRPr="00E52DAD">
              <w:rPr>
                <w:spacing w:val="-4"/>
                <w:sz w:val="22"/>
              </w:rPr>
              <w:t>Introduire des exigences de traçabilité supplémentaires encadrant la production et la commercialisation d</w:t>
            </w:r>
            <w:r w:rsidR="00DD2821" w:rsidRPr="00E52DAD">
              <w:rPr>
                <w:spacing w:val="-4"/>
                <w:sz w:val="22"/>
              </w:rPr>
              <w:t>’</w:t>
            </w:r>
            <w:r w:rsidRPr="00E52DAD">
              <w:rPr>
                <w:spacing w:val="-4"/>
                <w:sz w:val="22"/>
              </w:rPr>
              <w:t>huile d</w:t>
            </w:r>
            <w:r w:rsidR="00DD2821" w:rsidRPr="00E52DAD">
              <w:rPr>
                <w:spacing w:val="-4"/>
                <w:sz w:val="22"/>
              </w:rPr>
              <w:t>’</w:t>
            </w:r>
            <w:r w:rsidRPr="00E52DAD">
              <w:rPr>
                <w:spacing w:val="-4"/>
                <w:sz w:val="22"/>
              </w:rPr>
              <w:t>olive.</w:t>
            </w:r>
          </w:p>
          <w:p w14:paraId="38688A53" w14:textId="77777777" w:rsidR="003D2687" w:rsidRPr="00E52DAD" w:rsidRDefault="003D2687" w:rsidP="003D2687">
            <w:pPr>
              <w:numPr>
                <w:ilvl w:val="0"/>
                <w:numId w:val="3"/>
              </w:numPr>
              <w:rPr>
                <w:rFonts w:cs="Arial"/>
                <w:spacing w:val="-4"/>
                <w:sz w:val="22"/>
                <w:szCs w:val="22"/>
              </w:rPr>
            </w:pPr>
            <w:r w:rsidRPr="00E52DAD">
              <w:rPr>
                <w:spacing w:val="-4"/>
                <w:sz w:val="22"/>
              </w:rPr>
              <w:t>Fournir des informations adéquates aux consommateurs afin de garantir leur droit à un choix éclairé.</w:t>
            </w:r>
          </w:p>
          <w:p w14:paraId="1D8F774F" w14:textId="515FF009" w:rsidR="00266861" w:rsidRPr="00E52DAD" w:rsidRDefault="003D2687" w:rsidP="003D2687">
            <w:pPr>
              <w:numPr>
                <w:ilvl w:val="0"/>
                <w:numId w:val="3"/>
              </w:numPr>
              <w:rPr>
                <w:rFonts w:cs="Arial"/>
                <w:spacing w:val="-4"/>
                <w:sz w:val="22"/>
                <w:szCs w:val="22"/>
              </w:rPr>
            </w:pPr>
            <w:r w:rsidRPr="00E52DAD">
              <w:rPr>
                <w:spacing w:val="-4"/>
                <w:sz w:val="22"/>
              </w:rPr>
              <w:t>Valoriser la qualité des huiles d</w:t>
            </w:r>
            <w:r w:rsidR="00DD2821" w:rsidRPr="00E52DAD">
              <w:rPr>
                <w:spacing w:val="-4"/>
                <w:sz w:val="22"/>
              </w:rPr>
              <w:t>’</w:t>
            </w:r>
            <w:r w:rsidRPr="00E52DAD">
              <w:rPr>
                <w:spacing w:val="-4"/>
                <w:sz w:val="22"/>
              </w:rPr>
              <w:t>olive et de grignons d</w:t>
            </w:r>
            <w:r w:rsidR="00DD2821" w:rsidRPr="00E52DAD">
              <w:rPr>
                <w:spacing w:val="-4"/>
                <w:sz w:val="22"/>
              </w:rPr>
              <w:t>’</w:t>
            </w:r>
            <w:r w:rsidRPr="00E52DAD">
              <w:rPr>
                <w:spacing w:val="-4"/>
                <w:sz w:val="22"/>
              </w:rPr>
              <w:t>olive produites dans notre pays et prévenir les pratiques frauduleuses qui nuisent à cette qualité.</w:t>
            </w:r>
          </w:p>
        </w:tc>
      </w:tr>
      <w:tr w:rsidR="00567E99" w:rsidRPr="00DC6D3D" w14:paraId="3638C3AC" w14:textId="77777777" w:rsidTr="00905131">
        <w:tc>
          <w:tcPr>
            <w:tcW w:w="2713" w:type="dxa"/>
          </w:tcPr>
          <w:p w14:paraId="023552CC" w14:textId="77777777" w:rsidR="00D52412" w:rsidRPr="00E52DAD" w:rsidRDefault="00D52412" w:rsidP="00724849">
            <w:pPr>
              <w:pStyle w:val="BodyTextIndent3"/>
              <w:spacing w:before="120"/>
              <w:ind w:left="0"/>
              <w:rPr>
                <w:rFonts w:ascii="Arial" w:hAnsi="Arial" w:cs="Arial"/>
                <w:b/>
                <w:spacing w:val="-4"/>
                <w:sz w:val="22"/>
                <w:szCs w:val="22"/>
              </w:rPr>
            </w:pPr>
            <w:r w:rsidRPr="00E52DAD">
              <w:rPr>
                <w:rFonts w:ascii="Arial" w:hAnsi="Arial"/>
                <w:b/>
                <w:spacing w:val="-4"/>
                <w:sz w:val="22"/>
              </w:rPr>
              <w:lastRenderedPageBreak/>
              <w:t>Principales options envisagées</w:t>
            </w:r>
          </w:p>
        </w:tc>
        <w:tc>
          <w:tcPr>
            <w:tcW w:w="6432" w:type="dxa"/>
            <w:gridSpan w:val="4"/>
          </w:tcPr>
          <w:p w14:paraId="52B6162E" w14:textId="1D46ADDC" w:rsidR="003F5699" w:rsidRPr="00E52DAD" w:rsidRDefault="001F563E" w:rsidP="00724849">
            <w:pPr>
              <w:numPr>
                <w:ilvl w:val="0"/>
                <w:numId w:val="3"/>
              </w:numPr>
              <w:rPr>
                <w:rFonts w:cs="Arial"/>
                <w:spacing w:val="-4"/>
                <w:sz w:val="22"/>
                <w:szCs w:val="22"/>
              </w:rPr>
            </w:pPr>
            <w:r w:rsidRPr="00E52DAD">
              <w:rPr>
                <w:spacing w:val="-4"/>
                <w:sz w:val="22"/>
              </w:rPr>
              <w:t>Appliquer le projet de norme proposé, en réglementant la production et la commercialisation d</w:t>
            </w:r>
            <w:r w:rsidR="00DD2821" w:rsidRPr="00E52DAD">
              <w:rPr>
                <w:spacing w:val="-4"/>
                <w:sz w:val="22"/>
              </w:rPr>
              <w:t>’</w:t>
            </w:r>
            <w:r w:rsidRPr="00E52DAD">
              <w:rPr>
                <w:spacing w:val="-4"/>
                <w:sz w:val="22"/>
              </w:rPr>
              <w:t>huile d</w:t>
            </w:r>
            <w:r w:rsidR="00DD2821" w:rsidRPr="00E52DAD">
              <w:rPr>
                <w:spacing w:val="-4"/>
                <w:sz w:val="22"/>
              </w:rPr>
              <w:t>’</w:t>
            </w:r>
            <w:r w:rsidRPr="00E52DAD">
              <w:rPr>
                <w:spacing w:val="-4"/>
                <w:sz w:val="22"/>
              </w:rPr>
              <w:t>olive et de grignons d</w:t>
            </w:r>
            <w:r w:rsidR="00DD2821" w:rsidRPr="00E52DAD">
              <w:rPr>
                <w:spacing w:val="-4"/>
                <w:sz w:val="22"/>
              </w:rPr>
              <w:t>’</w:t>
            </w:r>
            <w:r w:rsidRPr="00E52DAD">
              <w:rPr>
                <w:spacing w:val="-4"/>
                <w:sz w:val="22"/>
              </w:rPr>
              <w:t>olive en Espagne et en abrogeant les réglementations nationales en vigueur relatives à la qualité alimentaire de ces produits.</w:t>
            </w:r>
          </w:p>
          <w:p w14:paraId="2E7DB3C9" w14:textId="77777777" w:rsidR="00B627A3" w:rsidRPr="00E52DAD" w:rsidRDefault="00B627A3" w:rsidP="002118F6">
            <w:pPr>
              <w:numPr>
                <w:ilvl w:val="0"/>
                <w:numId w:val="3"/>
              </w:numPr>
              <w:spacing w:after="120"/>
              <w:ind w:left="357" w:hanging="357"/>
              <w:rPr>
                <w:rFonts w:cs="Arial"/>
                <w:spacing w:val="-4"/>
                <w:sz w:val="22"/>
                <w:szCs w:val="22"/>
              </w:rPr>
            </w:pPr>
            <w:r w:rsidRPr="00E52DAD">
              <w:rPr>
                <w:spacing w:val="-4"/>
                <w:sz w:val="22"/>
              </w:rPr>
              <w:t>Maintenir la situation actuelle, encadrée par une norme obsolète datant de 1983.</w:t>
            </w:r>
          </w:p>
          <w:p w14:paraId="27670508" w14:textId="041497A3" w:rsidR="00515CC5" w:rsidRPr="00E52DAD" w:rsidRDefault="00515CC5" w:rsidP="002118F6">
            <w:pPr>
              <w:numPr>
                <w:ilvl w:val="0"/>
                <w:numId w:val="3"/>
              </w:numPr>
              <w:spacing w:after="120"/>
              <w:ind w:left="357" w:hanging="357"/>
              <w:rPr>
                <w:rFonts w:cs="Arial"/>
                <w:spacing w:val="-4"/>
                <w:sz w:val="22"/>
                <w:szCs w:val="22"/>
              </w:rPr>
            </w:pPr>
            <w:r w:rsidRPr="00E52DAD">
              <w:rPr>
                <w:spacing w:val="-4"/>
                <w:sz w:val="22"/>
              </w:rPr>
              <w:t>Modifier la norme actuelle (le décret royal nº 308/1983 du 25 janvier 1983 portant approbation de la réglementation technico-sanitaire en matière d</w:t>
            </w:r>
            <w:r w:rsidR="00DD2821" w:rsidRPr="00E52DAD">
              <w:rPr>
                <w:spacing w:val="-4"/>
                <w:sz w:val="22"/>
              </w:rPr>
              <w:t>’</w:t>
            </w:r>
            <w:r w:rsidRPr="00E52DAD">
              <w:rPr>
                <w:spacing w:val="-4"/>
                <w:sz w:val="22"/>
              </w:rPr>
              <w:t>huiles végétales comestibles).</w:t>
            </w:r>
          </w:p>
        </w:tc>
      </w:tr>
      <w:tr w:rsidR="00567E99" w:rsidRPr="00DC6D3D" w14:paraId="28F9B8E4" w14:textId="77777777" w:rsidTr="00905131">
        <w:tc>
          <w:tcPr>
            <w:tcW w:w="9145" w:type="dxa"/>
            <w:gridSpan w:val="5"/>
          </w:tcPr>
          <w:p w14:paraId="3AB76711" w14:textId="77777777" w:rsidR="00D52412" w:rsidRPr="00E52DAD" w:rsidRDefault="00D52412" w:rsidP="00724849">
            <w:pPr>
              <w:pStyle w:val="BodyTextIndent3"/>
              <w:spacing w:before="240" w:after="240"/>
              <w:ind w:left="0"/>
              <w:jc w:val="center"/>
              <w:rPr>
                <w:rFonts w:ascii="Arial" w:hAnsi="Arial" w:cs="Arial"/>
                <w:b/>
                <w:spacing w:val="-4"/>
                <w:sz w:val="22"/>
                <w:szCs w:val="22"/>
              </w:rPr>
            </w:pPr>
            <w:r w:rsidRPr="00E52DAD">
              <w:rPr>
                <w:rFonts w:ascii="Arial" w:hAnsi="Arial"/>
                <w:b/>
                <w:spacing w:val="-4"/>
                <w:sz w:val="22"/>
              </w:rPr>
              <w:t>CONTENU ET ANALYSE JURIDIQUE</w:t>
            </w:r>
          </w:p>
        </w:tc>
      </w:tr>
      <w:tr w:rsidR="00567E99" w:rsidRPr="00DC6D3D" w14:paraId="1EA88F64" w14:textId="77777777" w:rsidTr="00905131">
        <w:tc>
          <w:tcPr>
            <w:tcW w:w="2713" w:type="dxa"/>
          </w:tcPr>
          <w:p w14:paraId="0F36C1C5" w14:textId="77777777" w:rsidR="00D52412" w:rsidRPr="00E52DAD" w:rsidRDefault="00D52412" w:rsidP="00724849">
            <w:pPr>
              <w:pStyle w:val="BodyTextIndent3"/>
              <w:spacing w:before="120"/>
              <w:ind w:left="0"/>
              <w:rPr>
                <w:rFonts w:ascii="Arial" w:hAnsi="Arial" w:cs="Arial"/>
                <w:b/>
                <w:spacing w:val="-4"/>
                <w:sz w:val="22"/>
                <w:szCs w:val="22"/>
              </w:rPr>
            </w:pPr>
            <w:r w:rsidRPr="00E52DAD">
              <w:rPr>
                <w:rFonts w:ascii="Arial" w:hAnsi="Arial"/>
                <w:b/>
                <w:spacing w:val="-4"/>
                <w:sz w:val="22"/>
              </w:rPr>
              <w:t>Type de réglementation</w:t>
            </w:r>
          </w:p>
        </w:tc>
        <w:tc>
          <w:tcPr>
            <w:tcW w:w="6432" w:type="dxa"/>
            <w:gridSpan w:val="4"/>
          </w:tcPr>
          <w:p w14:paraId="42B46C39" w14:textId="77777777" w:rsidR="00D52412" w:rsidRPr="00E52DAD" w:rsidRDefault="00D52412" w:rsidP="00724849">
            <w:pPr>
              <w:pStyle w:val="BodyTextIndent3"/>
              <w:spacing w:before="120"/>
              <w:ind w:left="0"/>
              <w:jc w:val="both"/>
              <w:rPr>
                <w:rFonts w:ascii="Arial" w:hAnsi="Arial" w:cs="Arial"/>
                <w:spacing w:val="-4"/>
                <w:sz w:val="22"/>
                <w:szCs w:val="22"/>
              </w:rPr>
            </w:pPr>
            <w:r w:rsidRPr="00E52DAD">
              <w:rPr>
                <w:rFonts w:ascii="Arial" w:hAnsi="Arial"/>
                <w:spacing w:val="-4"/>
                <w:sz w:val="22"/>
              </w:rPr>
              <w:t>Décret royal.</w:t>
            </w:r>
          </w:p>
        </w:tc>
      </w:tr>
      <w:tr w:rsidR="00567E99" w:rsidRPr="00DC6D3D" w14:paraId="77204CC4" w14:textId="77777777" w:rsidTr="00905131">
        <w:tc>
          <w:tcPr>
            <w:tcW w:w="2713" w:type="dxa"/>
          </w:tcPr>
          <w:p w14:paraId="4391AA26" w14:textId="77777777" w:rsidR="00D52412" w:rsidRPr="00E52DAD" w:rsidRDefault="00D52412" w:rsidP="00724849">
            <w:pPr>
              <w:pStyle w:val="BodyTextIndent3"/>
              <w:spacing w:before="120"/>
              <w:ind w:left="0"/>
              <w:rPr>
                <w:rFonts w:ascii="Arial" w:hAnsi="Arial" w:cs="Arial"/>
                <w:b/>
                <w:spacing w:val="-4"/>
                <w:sz w:val="22"/>
                <w:szCs w:val="22"/>
              </w:rPr>
            </w:pPr>
            <w:r w:rsidRPr="00E52DAD">
              <w:rPr>
                <w:rFonts w:ascii="Arial" w:hAnsi="Arial"/>
                <w:b/>
                <w:spacing w:val="-4"/>
                <w:sz w:val="22"/>
              </w:rPr>
              <w:t>Structure de la réglementation</w:t>
            </w:r>
          </w:p>
        </w:tc>
        <w:tc>
          <w:tcPr>
            <w:tcW w:w="6432" w:type="dxa"/>
            <w:gridSpan w:val="4"/>
          </w:tcPr>
          <w:p w14:paraId="46393DD5" w14:textId="77777777" w:rsidR="00E849A9" w:rsidRPr="00E52DAD" w:rsidRDefault="004214CD" w:rsidP="00724849">
            <w:pPr>
              <w:pStyle w:val="BodyTextIndent3"/>
              <w:numPr>
                <w:ilvl w:val="0"/>
                <w:numId w:val="4"/>
              </w:numPr>
              <w:spacing w:before="120" w:after="0"/>
              <w:ind w:left="357" w:hanging="357"/>
              <w:jc w:val="both"/>
              <w:rPr>
                <w:rFonts w:ascii="Arial" w:hAnsi="Arial" w:cs="Arial"/>
                <w:spacing w:val="-4"/>
                <w:sz w:val="22"/>
                <w:szCs w:val="22"/>
              </w:rPr>
            </w:pPr>
            <w:r w:rsidRPr="00E52DAD">
              <w:rPr>
                <w:rFonts w:ascii="Arial" w:hAnsi="Arial"/>
                <w:spacing w:val="-4"/>
                <w:sz w:val="22"/>
              </w:rPr>
              <w:t>9 articles.</w:t>
            </w:r>
          </w:p>
          <w:p w14:paraId="1D05FFE7" w14:textId="77777777" w:rsidR="00E849A9" w:rsidRPr="00E52DAD" w:rsidRDefault="004214CD" w:rsidP="00724849">
            <w:pPr>
              <w:pStyle w:val="BodyTextIndent3"/>
              <w:numPr>
                <w:ilvl w:val="0"/>
                <w:numId w:val="4"/>
              </w:numPr>
              <w:spacing w:before="120" w:after="0"/>
              <w:ind w:left="357" w:hanging="357"/>
              <w:jc w:val="both"/>
              <w:rPr>
                <w:rFonts w:ascii="Arial" w:hAnsi="Arial" w:cs="Arial"/>
                <w:spacing w:val="-4"/>
                <w:sz w:val="22"/>
                <w:szCs w:val="22"/>
              </w:rPr>
            </w:pPr>
            <w:r w:rsidRPr="00E52DAD">
              <w:rPr>
                <w:rFonts w:ascii="Arial" w:hAnsi="Arial"/>
                <w:spacing w:val="-4"/>
                <w:sz w:val="22"/>
              </w:rPr>
              <w:t>2 dispositions additionnelles.</w:t>
            </w:r>
          </w:p>
          <w:p w14:paraId="0A370D80" w14:textId="77777777" w:rsidR="00800486" w:rsidRPr="00E52DAD" w:rsidRDefault="00800486" w:rsidP="00724849">
            <w:pPr>
              <w:pStyle w:val="BodyTextIndent3"/>
              <w:numPr>
                <w:ilvl w:val="0"/>
                <w:numId w:val="4"/>
              </w:numPr>
              <w:spacing w:before="120" w:after="0"/>
              <w:ind w:left="357" w:hanging="357"/>
              <w:jc w:val="both"/>
              <w:rPr>
                <w:rFonts w:ascii="Arial" w:hAnsi="Arial" w:cs="Arial"/>
                <w:spacing w:val="-4"/>
                <w:sz w:val="22"/>
                <w:szCs w:val="22"/>
              </w:rPr>
            </w:pPr>
            <w:r w:rsidRPr="00E52DAD">
              <w:rPr>
                <w:rFonts w:ascii="Arial" w:hAnsi="Arial"/>
                <w:spacing w:val="-4"/>
                <w:sz w:val="22"/>
              </w:rPr>
              <w:t>1 disposition transitoire (unique).</w:t>
            </w:r>
          </w:p>
          <w:p w14:paraId="7D0D8D09" w14:textId="77777777" w:rsidR="00E849A9" w:rsidRPr="00E52DAD" w:rsidRDefault="00E849A9" w:rsidP="00724849">
            <w:pPr>
              <w:pStyle w:val="BodyTextIndent3"/>
              <w:numPr>
                <w:ilvl w:val="0"/>
                <w:numId w:val="4"/>
              </w:numPr>
              <w:spacing w:before="120" w:after="0"/>
              <w:ind w:left="357" w:hanging="357"/>
              <w:jc w:val="both"/>
              <w:rPr>
                <w:rFonts w:ascii="Arial" w:hAnsi="Arial" w:cs="Arial"/>
                <w:spacing w:val="-4"/>
                <w:sz w:val="22"/>
                <w:szCs w:val="22"/>
              </w:rPr>
            </w:pPr>
            <w:r w:rsidRPr="00E52DAD">
              <w:rPr>
                <w:rFonts w:ascii="Arial" w:hAnsi="Arial"/>
                <w:spacing w:val="-4"/>
                <w:sz w:val="22"/>
              </w:rPr>
              <w:t>1 disposition abrogatoire (unique).</w:t>
            </w:r>
          </w:p>
          <w:p w14:paraId="0BE8928D" w14:textId="77777777" w:rsidR="00AF43AA" w:rsidRPr="00E52DAD" w:rsidRDefault="00C03093" w:rsidP="00FD04F7">
            <w:pPr>
              <w:pStyle w:val="BodyTextIndent3"/>
              <w:numPr>
                <w:ilvl w:val="0"/>
                <w:numId w:val="4"/>
              </w:numPr>
              <w:spacing w:before="120"/>
              <w:ind w:left="357" w:hanging="357"/>
              <w:jc w:val="both"/>
              <w:rPr>
                <w:rFonts w:ascii="Arial" w:hAnsi="Arial" w:cs="Arial"/>
                <w:spacing w:val="-4"/>
                <w:sz w:val="22"/>
                <w:szCs w:val="22"/>
              </w:rPr>
            </w:pPr>
            <w:r w:rsidRPr="00E52DAD">
              <w:rPr>
                <w:rFonts w:ascii="Arial" w:hAnsi="Arial"/>
                <w:spacing w:val="-4"/>
                <w:sz w:val="22"/>
              </w:rPr>
              <w:t>3 dispositions finales.</w:t>
            </w:r>
          </w:p>
          <w:p w14:paraId="744ADD7F" w14:textId="77777777" w:rsidR="00757FCA" w:rsidRPr="00E52DAD" w:rsidRDefault="00757FCA" w:rsidP="00FD04F7">
            <w:pPr>
              <w:pStyle w:val="BodyTextIndent3"/>
              <w:numPr>
                <w:ilvl w:val="0"/>
                <w:numId w:val="4"/>
              </w:numPr>
              <w:spacing w:before="120"/>
              <w:ind w:left="357" w:hanging="357"/>
              <w:jc w:val="both"/>
              <w:rPr>
                <w:rFonts w:ascii="Arial" w:hAnsi="Arial" w:cs="Arial"/>
                <w:spacing w:val="-4"/>
                <w:sz w:val="22"/>
                <w:szCs w:val="22"/>
              </w:rPr>
            </w:pPr>
            <w:proofErr w:type="gramStart"/>
            <w:r w:rsidRPr="00E52DAD">
              <w:rPr>
                <w:rFonts w:ascii="Arial" w:hAnsi="Arial"/>
                <w:spacing w:val="-4"/>
                <w:sz w:val="22"/>
              </w:rPr>
              <w:t>annexes</w:t>
            </w:r>
            <w:proofErr w:type="gramEnd"/>
          </w:p>
        </w:tc>
      </w:tr>
      <w:tr w:rsidR="00567E99" w:rsidRPr="00DC6D3D" w14:paraId="67E5FAD9" w14:textId="77777777" w:rsidTr="00905131">
        <w:tc>
          <w:tcPr>
            <w:tcW w:w="2713" w:type="dxa"/>
          </w:tcPr>
          <w:p w14:paraId="2D2DF051" w14:textId="77777777" w:rsidR="00D52412" w:rsidRPr="00E52DAD" w:rsidRDefault="00D52412" w:rsidP="00CF523F">
            <w:pPr>
              <w:pStyle w:val="BodyTextIndent3"/>
              <w:spacing w:after="0"/>
              <w:ind w:left="0"/>
              <w:rPr>
                <w:rFonts w:ascii="Arial" w:hAnsi="Arial" w:cs="Arial"/>
                <w:b/>
                <w:spacing w:val="-4"/>
                <w:sz w:val="22"/>
                <w:szCs w:val="22"/>
              </w:rPr>
            </w:pPr>
            <w:r w:rsidRPr="00E52DAD">
              <w:rPr>
                <w:rFonts w:ascii="Arial" w:hAnsi="Arial"/>
                <w:b/>
                <w:spacing w:val="-4"/>
                <w:sz w:val="22"/>
              </w:rPr>
              <w:t>Rapports demandés</w:t>
            </w:r>
          </w:p>
        </w:tc>
        <w:tc>
          <w:tcPr>
            <w:tcW w:w="6432" w:type="dxa"/>
            <w:gridSpan w:val="4"/>
          </w:tcPr>
          <w:p w14:paraId="566929AB" w14:textId="27C74C8E" w:rsidR="00905131" w:rsidRPr="00E52DAD" w:rsidRDefault="00905131" w:rsidP="00905131">
            <w:pPr>
              <w:pStyle w:val="ListParagraph"/>
              <w:numPr>
                <w:ilvl w:val="0"/>
                <w:numId w:val="28"/>
              </w:numPr>
              <w:spacing w:before="0"/>
              <w:rPr>
                <w:rFonts w:cs="Arial"/>
                <w:spacing w:val="-4"/>
                <w:sz w:val="22"/>
                <w:szCs w:val="22"/>
              </w:rPr>
            </w:pPr>
            <w:r w:rsidRPr="00E52DAD">
              <w:rPr>
                <w:spacing w:val="-4"/>
                <w:sz w:val="22"/>
              </w:rPr>
              <w:t>Rapport du ministère de la politique territoriale et de la fonction publique (article 26, paragraphe</w:t>
            </w:r>
            <w:r w:rsidR="00066C2B" w:rsidRPr="00E52DAD">
              <w:rPr>
                <w:spacing w:val="-4"/>
                <w:sz w:val="22"/>
              </w:rPr>
              <w:t> </w:t>
            </w:r>
            <w:r w:rsidRPr="00E52DAD">
              <w:rPr>
                <w:spacing w:val="-4"/>
                <w:sz w:val="22"/>
              </w:rPr>
              <w:t xml:space="preserve">5, sixième alinéa, relatif aux compétences communautés autonomes-État et </w:t>
            </w:r>
            <w:r w:rsidRPr="00E52DAD">
              <w:rPr>
                <w:color w:val="FF0000"/>
                <w:spacing w:val="-4"/>
                <w:sz w:val="22"/>
              </w:rPr>
              <w:t>article 26, paragraphe</w:t>
            </w:r>
            <w:r w:rsidR="00066C2B" w:rsidRPr="00E52DAD">
              <w:rPr>
                <w:color w:val="FF0000"/>
                <w:spacing w:val="-4"/>
                <w:sz w:val="22"/>
              </w:rPr>
              <w:t> </w:t>
            </w:r>
            <w:r w:rsidRPr="00E52DAD">
              <w:rPr>
                <w:color w:val="FF0000"/>
                <w:spacing w:val="-4"/>
                <w:sz w:val="22"/>
              </w:rPr>
              <w:t>9</w:t>
            </w:r>
            <w:r w:rsidRPr="00E52DAD">
              <w:rPr>
                <w:spacing w:val="-4"/>
                <w:sz w:val="22"/>
              </w:rPr>
              <w:t>, sur la qualité de l</w:t>
            </w:r>
            <w:r w:rsidR="00DD2821" w:rsidRPr="00E52DAD">
              <w:rPr>
                <w:spacing w:val="-4"/>
                <w:sz w:val="22"/>
              </w:rPr>
              <w:t>’</w:t>
            </w:r>
            <w:r w:rsidRPr="00E52DAD">
              <w:rPr>
                <w:spacing w:val="-4"/>
                <w:sz w:val="22"/>
              </w:rPr>
              <w:t xml:space="preserve">activité normative, de la loi n° 50/1997 </w:t>
            </w:r>
            <w:r w:rsidRPr="00E52DAD">
              <w:rPr>
                <w:color w:val="FF0000"/>
                <w:spacing w:val="-4"/>
                <w:sz w:val="22"/>
              </w:rPr>
              <w:t>En attente</w:t>
            </w:r>
            <w:r w:rsidRPr="00E52DAD">
              <w:rPr>
                <w:spacing w:val="-4"/>
                <w:sz w:val="22"/>
              </w:rPr>
              <w:t>).</w:t>
            </w:r>
          </w:p>
          <w:p w14:paraId="1B706196" w14:textId="77777777" w:rsidR="00905131" w:rsidRPr="00E52DAD" w:rsidRDefault="00905131" w:rsidP="00905131">
            <w:pPr>
              <w:spacing w:before="0"/>
              <w:ind w:left="367"/>
              <w:rPr>
                <w:rFonts w:cs="Arial"/>
                <w:spacing w:val="-4"/>
                <w:sz w:val="22"/>
                <w:szCs w:val="22"/>
              </w:rPr>
            </w:pPr>
          </w:p>
          <w:p w14:paraId="415C7083" w14:textId="192DF9B7" w:rsidR="00905131" w:rsidRPr="00E52DAD" w:rsidRDefault="00905131" w:rsidP="00905131">
            <w:pPr>
              <w:pStyle w:val="ListParagraph"/>
              <w:numPr>
                <w:ilvl w:val="0"/>
                <w:numId w:val="28"/>
              </w:numPr>
              <w:spacing w:before="0"/>
              <w:rPr>
                <w:rFonts w:cs="Arial"/>
                <w:spacing w:val="-4"/>
                <w:sz w:val="22"/>
                <w:szCs w:val="22"/>
              </w:rPr>
            </w:pPr>
            <w:r w:rsidRPr="00E52DAD">
              <w:rPr>
                <w:spacing w:val="-4"/>
                <w:sz w:val="22"/>
              </w:rPr>
              <w:t>Rapport du ministère de la consommation (article</w:t>
            </w:r>
            <w:r w:rsidR="00066C2B" w:rsidRPr="00E52DAD">
              <w:rPr>
                <w:spacing w:val="-4"/>
                <w:sz w:val="22"/>
              </w:rPr>
              <w:t> </w:t>
            </w:r>
            <w:r w:rsidRPr="00E52DAD">
              <w:rPr>
                <w:spacing w:val="-4"/>
                <w:sz w:val="22"/>
              </w:rPr>
              <w:t>26, paragraphe 5, quatrième alinéa, de la loi nº 50/1997).</w:t>
            </w:r>
          </w:p>
          <w:p w14:paraId="12553433" w14:textId="77777777" w:rsidR="00905131" w:rsidRPr="00E52DAD" w:rsidRDefault="00905131" w:rsidP="00905131">
            <w:pPr>
              <w:spacing w:before="0"/>
              <w:ind w:left="367"/>
              <w:rPr>
                <w:rFonts w:cs="Arial"/>
                <w:spacing w:val="-4"/>
                <w:sz w:val="22"/>
                <w:szCs w:val="22"/>
              </w:rPr>
            </w:pPr>
          </w:p>
          <w:p w14:paraId="69C03D80" w14:textId="695237ED" w:rsidR="00905131" w:rsidRPr="00E52DAD" w:rsidRDefault="00905131" w:rsidP="00905131">
            <w:pPr>
              <w:pStyle w:val="ListParagraph"/>
              <w:numPr>
                <w:ilvl w:val="0"/>
                <w:numId w:val="28"/>
              </w:numPr>
              <w:spacing w:before="0"/>
              <w:rPr>
                <w:rFonts w:cs="Arial"/>
                <w:spacing w:val="-4"/>
                <w:sz w:val="22"/>
                <w:szCs w:val="22"/>
              </w:rPr>
            </w:pPr>
            <w:r w:rsidRPr="00E52DAD">
              <w:rPr>
                <w:spacing w:val="-4"/>
                <w:sz w:val="22"/>
              </w:rPr>
              <w:t>Rapport du ministère de la santé (article</w:t>
            </w:r>
            <w:r w:rsidR="00066C2B" w:rsidRPr="00E52DAD">
              <w:rPr>
                <w:spacing w:val="-4"/>
                <w:sz w:val="22"/>
              </w:rPr>
              <w:t> </w:t>
            </w:r>
            <w:r w:rsidRPr="00E52DAD">
              <w:rPr>
                <w:spacing w:val="-4"/>
                <w:sz w:val="22"/>
              </w:rPr>
              <w:t>26, paragraphe 5, quatrième alinéa, de la loi nº 50/1997).</w:t>
            </w:r>
          </w:p>
          <w:p w14:paraId="0F044174" w14:textId="77777777" w:rsidR="00905131" w:rsidRPr="00E52DAD" w:rsidRDefault="00905131" w:rsidP="00905131">
            <w:pPr>
              <w:pStyle w:val="ListParagraph"/>
              <w:rPr>
                <w:rFonts w:cs="Arial"/>
                <w:spacing w:val="-4"/>
                <w:sz w:val="22"/>
                <w:szCs w:val="22"/>
              </w:rPr>
            </w:pPr>
          </w:p>
          <w:p w14:paraId="314FAC79" w14:textId="18A44ABF" w:rsidR="00905131" w:rsidRPr="00E52DAD" w:rsidRDefault="00905131" w:rsidP="00905131">
            <w:pPr>
              <w:pStyle w:val="ListParagraph"/>
              <w:numPr>
                <w:ilvl w:val="0"/>
                <w:numId w:val="28"/>
              </w:numPr>
              <w:spacing w:before="0"/>
              <w:rPr>
                <w:rFonts w:cs="Arial"/>
                <w:spacing w:val="-4"/>
                <w:sz w:val="22"/>
                <w:szCs w:val="22"/>
              </w:rPr>
            </w:pPr>
            <w:r w:rsidRPr="00E52DAD">
              <w:rPr>
                <w:spacing w:val="-4"/>
                <w:sz w:val="22"/>
              </w:rPr>
              <w:t>Rapport du ministère de l’industrie, du commerce et du tourisme (article</w:t>
            </w:r>
            <w:r w:rsidR="00066C2B" w:rsidRPr="00E52DAD">
              <w:rPr>
                <w:spacing w:val="-4"/>
                <w:sz w:val="22"/>
              </w:rPr>
              <w:t> </w:t>
            </w:r>
            <w:r w:rsidRPr="00E52DAD">
              <w:rPr>
                <w:spacing w:val="-4"/>
                <w:sz w:val="22"/>
              </w:rPr>
              <w:t>26, paragraphe 5, quatrième alinéa, de la loi nº 50/1997).</w:t>
            </w:r>
          </w:p>
          <w:p w14:paraId="589873AC" w14:textId="77777777" w:rsidR="00905131" w:rsidRPr="00E52DAD" w:rsidRDefault="00905131" w:rsidP="00905131">
            <w:pPr>
              <w:pStyle w:val="ListParagraph"/>
              <w:rPr>
                <w:rFonts w:cs="Arial"/>
                <w:spacing w:val="-4"/>
                <w:sz w:val="22"/>
                <w:szCs w:val="22"/>
              </w:rPr>
            </w:pPr>
          </w:p>
          <w:p w14:paraId="6B9A85E4" w14:textId="788C0AF5" w:rsidR="00905131" w:rsidRPr="00E52DAD" w:rsidRDefault="00DD2821" w:rsidP="00905131">
            <w:pPr>
              <w:pStyle w:val="Cuerpo"/>
              <w:numPr>
                <w:ilvl w:val="0"/>
                <w:numId w:val="28"/>
              </w:numPr>
              <w:spacing w:before="0" w:after="0" w:line="240" w:lineRule="auto"/>
              <w:ind w:right="57"/>
              <w:jc w:val="both"/>
              <w:rPr>
                <w:rFonts w:ascii="Arial" w:hAnsi="Arial" w:cs="Arial"/>
                <w:color w:val="auto"/>
                <w:spacing w:val="-4"/>
                <w:sz w:val="22"/>
                <w:szCs w:val="22"/>
              </w:rPr>
            </w:pPr>
            <w:r w:rsidRPr="00E52DAD">
              <w:rPr>
                <w:rFonts w:ascii="Arial" w:hAnsi="Arial"/>
                <w:color w:val="auto"/>
                <w:spacing w:val="-4"/>
                <w:sz w:val="22"/>
              </w:rPr>
              <w:t>R</w:t>
            </w:r>
            <w:r w:rsidR="00905131" w:rsidRPr="00E52DAD">
              <w:rPr>
                <w:rFonts w:ascii="Arial" w:hAnsi="Arial"/>
                <w:color w:val="auto"/>
                <w:spacing w:val="-4"/>
                <w:sz w:val="22"/>
              </w:rPr>
              <w:t>apport du ministère de l’agriculture, de la pêche et de l’alimentation (article</w:t>
            </w:r>
            <w:r w:rsidR="00066C2B" w:rsidRPr="00E52DAD">
              <w:rPr>
                <w:rFonts w:ascii="Arial" w:hAnsi="Arial"/>
                <w:color w:val="auto"/>
                <w:spacing w:val="-4"/>
                <w:sz w:val="22"/>
              </w:rPr>
              <w:t> </w:t>
            </w:r>
            <w:r w:rsidR="00905131" w:rsidRPr="00E52DAD">
              <w:rPr>
                <w:rFonts w:ascii="Arial" w:hAnsi="Arial"/>
                <w:color w:val="auto"/>
                <w:spacing w:val="-4"/>
                <w:sz w:val="22"/>
              </w:rPr>
              <w:t>26, paragraphe 5, quatrième alinéa, de la loi nº 50/1997).</w:t>
            </w:r>
          </w:p>
          <w:p w14:paraId="220F7810" w14:textId="77777777" w:rsidR="00905131" w:rsidRPr="00E52DAD" w:rsidRDefault="00905131" w:rsidP="00905131">
            <w:pPr>
              <w:pStyle w:val="Cuerpo"/>
              <w:spacing w:before="0" w:after="0" w:line="240" w:lineRule="auto"/>
              <w:ind w:left="720" w:right="57"/>
              <w:jc w:val="both"/>
              <w:rPr>
                <w:rFonts w:ascii="Arial" w:hAnsi="Arial" w:cs="Arial"/>
                <w:color w:val="auto"/>
                <w:spacing w:val="-4"/>
                <w:sz w:val="22"/>
                <w:szCs w:val="22"/>
              </w:rPr>
            </w:pPr>
          </w:p>
          <w:p w14:paraId="467DB795" w14:textId="54280DD8" w:rsidR="00905131" w:rsidRPr="00E52DAD" w:rsidRDefault="00905131" w:rsidP="00905131">
            <w:pPr>
              <w:pStyle w:val="Cuerpo"/>
              <w:numPr>
                <w:ilvl w:val="0"/>
                <w:numId w:val="28"/>
              </w:numPr>
              <w:spacing w:before="0" w:after="0" w:line="240" w:lineRule="auto"/>
              <w:ind w:right="57"/>
              <w:jc w:val="both"/>
              <w:rPr>
                <w:rFonts w:ascii="Arial" w:hAnsi="Arial" w:cs="Arial"/>
                <w:b/>
                <w:color w:val="auto"/>
                <w:spacing w:val="-4"/>
                <w:sz w:val="22"/>
                <w:szCs w:val="22"/>
              </w:rPr>
            </w:pPr>
            <w:r w:rsidRPr="00E52DAD">
              <w:rPr>
                <w:rFonts w:ascii="Arial" w:hAnsi="Arial"/>
                <w:color w:val="auto"/>
                <w:spacing w:val="-4"/>
                <w:sz w:val="22"/>
              </w:rPr>
              <w:t>Rapport de la commission interministérielle chargée de la réglementation en matière alimentaire (CIOA) du 15</w:t>
            </w:r>
            <w:r w:rsidR="00DD2821" w:rsidRPr="00E52DAD">
              <w:rPr>
                <w:rFonts w:ascii="Arial" w:hAnsi="Arial"/>
                <w:color w:val="auto"/>
                <w:spacing w:val="-4"/>
                <w:sz w:val="22"/>
              </w:rPr>
              <w:t> </w:t>
            </w:r>
            <w:r w:rsidRPr="00E52DAD">
              <w:rPr>
                <w:rFonts w:ascii="Arial" w:hAnsi="Arial"/>
                <w:color w:val="auto"/>
                <w:spacing w:val="-4"/>
                <w:sz w:val="22"/>
              </w:rPr>
              <w:t>juillet</w:t>
            </w:r>
            <w:r w:rsidR="00DD2821" w:rsidRPr="00E52DAD">
              <w:rPr>
                <w:rFonts w:ascii="Arial" w:hAnsi="Arial"/>
                <w:color w:val="auto"/>
                <w:spacing w:val="-4"/>
                <w:sz w:val="22"/>
              </w:rPr>
              <w:t> </w:t>
            </w:r>
            <w:r w:rsidRPr="00E52DAD">
              <w:rPr>
                <w:rFonts w:ascii="Arial" w:hAnsi="Arial"/>
                <w:color w:val="auto"/>
                <w:spacing w:val="-4"/>
                <w:sz w:val="22"/>
              </w:rPr>
              <w:t xml:space="preserve">2020. </w:t>
            </w:r>
          </w:p>
          <w:p w14:paraId="5FF8AAB1" w14:textId="77777777" w:rsidR="00905131" w:rsidRPr="00E52DAD" w:rsidRDefault="00905131" w:rsidP="00905131">
            <w:pPr>
              <w:pStyle w:val="Cuerpo"/>
              <w:spacing w:before="0" w:after="0" w:line="240" w:lineRule="auto"/>
              <w:ind w:left="720" w:right="57"/>
              <w:jc w:val="both"/>
              <w:rPr>
                <w:rFonts w:ascii="Arial" w:hAnsi="Arial" w:cs="Arial"/>
                <w:b/>
                <w:color w:val="auto"/>
                <w:spacing w:val="-4"/>
                <w:sz w:val="22"/>
                <w:szCs w:val="22"/>
              </w:rPr>
            </w:pPr>
          </w:p>
          <w:p w14:paraId="61B920CA" w14:textId="0765DD73" w:rsidR="00905131" w:rsidRPr="00E52DAD" w:rsidRDefault="00905131" w:rsidP="00905131">
            <w:pPr>
              <w:pStyle w:val="Cuerpo"/>
              <w:numPr>
                <w:ilvl w:val="0"/>
                <w:numId w:val="28"/>
              </w:numPr>
              <w:spacing w:before="0" w:after="0" w:line="240" w:lineRule="auto"/>
              <w:ind w:right="57"/>
              <w:jc w:val="both"/>
              <w:rPr>
                <w:rFonts w:ascii="Arial" w:hAnsi="Arial" w:cs="Arial"/>
                <w:color w:val="auto"/>
                <w:spacing w:val="-4"/>
                <w:sz w:val="22"/>
                <w:szCs w:val="22"/>
              </w:rPr>
            </w:pPr>
            <w:r w:rsidRPr="00E52DAD">
              <w:rPr>
                <w:rFonts w:ascii="Arial" w:hAnsi="Arial"/>
                <w:color w:val="auto"/>
                <w:spacing w:val="-4"/>
                <w:sz w:val="22"/>
              </w:rPr>
              <w:lastRenderedPageBreak/>
              <w:t>Notification à la Commission européenne en vertu de la directive (UE) 1535/1535 du Parlement européen et du Conseil du 9 septembre 2015 prévoyant une procédure d’information dans le domaine des réglementations techniques et des normes relatives aux services de la société de l’information</w:t>
            </w:r>
            <w:r w:rsidR="00DD2821" w:rsidRPr="00E52DAD">
              <w:rPr>
                <w:rFonts w:ascii="Arial" w:hAnsi="Arial"/>
                <w:color w:val="auto"/>
                <w:spacing w:val="-4"/>
                <w:sz w:val="22"/>
              </w:rPr>
              <w:t>.</w:t>
            </w:r>
            <w:r w:rsidRPr="00E52DAD">
              <w:rPr>
                <w:rFonts w:ascii="Arial" w:hAnsi="Arial"/>
                <w:color w:val="auto"/>
                <w:spacing w:val="-4"/>
                <w:sz w:val="22"/>
              </w:rPr>
              <w:t xml:space="preserve"> La norme a également été notifiée conformément à l</w:t>
            </w:r>
            <w:r w:rsidR="00DD2821" w:rsidRPr="00E52DAD">
              <w:rPr>
                <w:rFonts w:ascii="Arial" w:hAnsi="Arial"/>
                <w:color w:val="auto"/>
                <w:spacing w:val="-4"/>
                <w:sz w:val="22"/>
              </w:rPr>
              <w:t>’</w:t>
            </w:r>
            <w:r w:rsidRPr="00E52DAD">
              <w:rPr>
                <w:rFonts w:ascii="Arial" w:hAnsi="Arial"/>
                <w:color w:val="auto"/>
                <w:spacing w:val="-4"/>
                <w:sz w:val="22"/>
              </w:rPr>
              <w:t>article 45 du règlement (UE) 1169/2011 du Parlement européen et du Conseil du 25</w:t>
            </w:r>
            <w:r w:rsidR="00DD2821" w:rsidRPr="00E52DAD">
              <w:rPr>
                <w:rFonts w:ascii="Arial" w:hAnsi="Arial"/>
                <w:color w:val="auto"/>
                <w:spacing w:val="-4"/>
                <w:sz w:val="22"/>
              </w:rPr>
              <w:t> </w:t>
            </w:r>
            <w:r w:rsidRPr="00E52DAD">
              <w:rPr>
                <w:rFonts w:ascii="Arial" w:hAnsi="Arial"/>
                <w:color w:val="auto"/>
                <w:spacing w:val="-4"/>
                <w:sz w:val="22"/>
              </w:rPr>
              <w:t>octobre</w:t>
            </w:r>
            <w:r w:rsidR="00DD2821" w:rsidRPr="00E52DAD">
              <w:rPr>
                <w:rFonts w:ascii="Arial" w:hAnsi="Arial"/>
                <w:color w:val="auto"/>
                <w:spacing w:val="-4"/>
                <w:sz w:val="22"/>
              </w:rPr>
              <w:t> </w:t>
            </w:r>
            <w:r w:rsidRPr="00E52DAD">
              <w:rPr>
                <w:rFonts w:ascii="Arial" w:hAnsi="Arial"/>
                <w:color w:val="auto"/>
                <w:spacing w:val="-4"/>
                <w:sz w:val="22"/>
              </w:rPr>
              <w:t xml:space="preserve">2011 concernant l’information des consommateurs sur les denrées alimentaires, aux motifs qu’elle contient des dispositions obligatoires sur les informations alimentaires. </w:t>
            </w:r>
            <w:r w:rsidRPr="00E52DAD">
              <w:rPr>
                <w:rFonts w:ascii="Arial" w:hAnsi="Arial"/>
                <w:color w:val="FF0000"/>
                <w:spacing w:val="-4"/>
                <w:sz w:val="22"/>
              </w:rPr>
              <w:t>En attente</w:t>
            </w:r>
          </w:p>
          <w:p w14:paraId="162BD315" w14:textId="77777777" w:rsidR="00905131" w:rsidRPr="00E52DAD" w:rsidRDefault="00905131" w:rsidP="00905131">
            <w:pPr>
              <w:pStyle w:val="ListParagraph"/>
              <w:rPr>
                <w:rFonts w:cs="Arial"/>
                <w:spacing w:val="-4"/>
                <w:sz w:val="22"/>
                <w:szCs w:val="22"/>
              </w:rPr>
            </w:pPr>
          </w:p>
          <w:p w14:paraId="2A4D7D1C" w14:textId="4E144504" w:rsidR="00905131" w:rsidRPr="00E52DAD" w:rsidRDefault="00905131" w:rsidP="00905131">
            <w:pPr>
              <w:pStyle w:val="Cuerpo"/>
              <w:numPr>
                <w:ilvl w:val="0"/>
                <w:numId w:val="28"/>
              </w:numPr>
              <w:spacing w:before="0" w:after="0" w:line="240" w:lineRule="auto"/>
              <w:ind w:right="57"/>
              <w:jc w:val="both"/>
              <w:rPr>
                <w:rFonts w:ascii="Arial" w:hAnsi="Arial" w:cs="Arial"/>
                <w:color w:val="auto"/>
                <w:spacing w:val="-4"/>
                <w:sz w:val="22"/>
                <w:szCs w:val="22"/>
              </w:rPr>
            </w:pPr>
            <w:r w:rsidRPr="00E52DAD">
              <w:rPr>
                <w:rFonts w:ascii="Arial" w:hAnsi="Arial"/>
                <w:color w:val="auto"/>
                <w:spacing w:val="-4"/>
                <w:sz w:val="22"/>
              </w:rPr>
              <w:t>Notification à l</w:t>
            </w:r>
            <w:r w:rsidR="00DD2821" w:rsidRPr="00E52DAD">
              <w:rPr>
                <w:rFonts w:ascii="Arial" w:hAnsi="Arial"/>
                <w:color w:val="auto"/>
                <w:spacing w:val="-4"/>
                <w:sz w:val="22"/>
              </w:rPr>
              <w:t>’</w:t>
            </w:r>
            <w:r w:rsidRPr="00E52DAD">
              <w:rPr>
                <w:rFonts w:ascii="Arial" w:hAnsi="Arial"/>
                <w:color w:val="auto"/>
                <w:spacing w:val="-4"/>
                <w:sz w:val="22"/>
              </w:rPr>
              <w:t xml:space="preserve">Organisation mondiale du commerce. </w:t>
            </w:r>
            <w:r w:rsidRPr="00E52DAD">
              <w:rPr>
                <w:rFonts w:ascii="Arial" w:hAnsi="Arial"/>
                <w:color w:val="FF0000"/>
                <w:spacing w:val="-4"/>
                <w:sz w:val="22"/>
              </w:rPr>
              <w:t>En attente</w:t>
            </w:r>
          </w:p>
          <w:p w14:paraId="79C562A6" w14:textId="77777777" w:rsidR="00905131" w:rsidRPr="00E52DAD" w:rsidRDefault="00905131" w:rsidP="00905131">
            <w:pPr>
              <w:pStyle w:val="ListParagraph"/>
              <w:rPr>
                <w:rFonts w:cs="Arial"/>
                <w:spacing w:val="-4"/>
                <w:sz w:val="22"/>
                <w:szCs w:val="22"/>
              </w:rPr>
            </w:pPr>
          </w:p>
          <w:p w14:paraId="24668573" w14:textId="2D07CD02" w:rsidR="007F0907" w:rsidRPr="00E52DAD" w:rsidRDefault="00905131" w:rsidP="00905131">
            <w:pPr>
              <w:pStyle w:val="Cuerpo"/>
              <w:numPr>
                <w:ilvl w:val="0"/>
                <w:numId w:val="28"/>
              </w:numPr>
              <w:spacing w:before="0" w:after="0" w:line="240" w:lineRule="auto"/>
              <w:ind w:right="57"/>
              <w:jc w:val="both"/>
              <w:rPr>
                <w:rFonts w:ascii="Arial" w:hAnsi="Arial" w:cs="Arial"/>
                <w:color w:val="auto"/>
                <w:spacing w:val="-4"/>
                <w:sz w:val="22"/>
                <w:szCs w:val="22"/>
              </w:rPr>
            </w:pPr>
            <w:r w:rsidRPr="00E52DAD">
              <w:rPr>
                <w:rFonts w:ascii="Arial" w:hAnsi="Arial"/>
                <w:color w:val="auto"/>
                <w:spacing w:val="-4"/>
                <w:sz w:val="22"/>
              </w:rPr>
              <w:t>Avis obligatoire du Conseil d</w:t>
            </w:r>
            <w:r w:rsidR="00DD2821" w:rsidRPr="00E52DAD">
              <w:rPr>
                <w:rFonts w:ascii="Arial" w:hAnsi="Arial"/>
                <w:color w:val="auto"/>
                <w:spacing w:val="-4"/>
                <w:sz w:val="22"/>
              </w:rPr>
              <w:t>’</w:t>
            </w:r>
            <w:r w:rsidRPr="00E52DAD">
              <w:rPr>
                <w:rFonts w:ascii="Arial" w:hAnsi="Arial"/>
                <w:color w:val="auto"/>
                <w:spacing w:val="-4"/>
                <w:sz w:val="22"/>
              </w:rPr>
              <w:t xml:space="preserve">État. </w:t>
            </w:r>
            <w:r w:rsidRPr="00E52DAD">
              <w:rPr>
                <w:rFonts w:ascii="Arial" w:hAnsi="Arial"/>
                <w:color w:val="FF0000"/>
                <w:spacing w:val="-4"/>
                <w:sz w:val="22"/>
              </w:rPr>
              <w:t>En attente</w:t>
            </w:r>
          </w:p>
          <w:p w14:paraId="0C1A4C18" w14:textId="77777777" w:rsidR="00312D12" w:rsidRPr="00E52DAD" w:rsidRDefault="00312D12" w:rsidP="00312D12">
            <w:pPr>
              <w:pStyle w:val="Cuerpo"/>
              <w:spacing w:before="0" w:after="0" w:line="240" w:lineRule="auto"/>
              <w:ind w:left="720" w:right="57"/>
              <w:jc w:val="both"/>
              <w:rPr>
                <w:rFonts w:ascii="Arial" w:hAnsi="Arial" w:cs="Arial"/>
                <w:color w:val="auto"/>
                <w:spacing w:val="-4"/>
                <w:sz w:val="22"/>
                <w:szCs w:val="22"/>
              </w:rPr>
            </w:pPr>
          </w:p>
        </w:tc>
      </w:tr>
      <w:tr w:rsidR="00567E99" w:rsidRPr="00DC6D3D" w14:paraId="66CD6F89" w14:textId="77777777" w:rsidTr="00905131">
        <w:tc>
          <w:tcPr>
            <w:tcW w:w="2713" w:type="dxa"/>
          </w:tcPr>
          <w:p w14:paraId="7CD557A1" w14:textId="77777777" w:rsidR="00AA2FE0" w:rsidRPr="00E52DAD" w:rsidRDefault="00AA2FE0" w:rsidP="00AA2FE0">
            <w:pPr>
              <w:pStyle w:val="BodyTextIndent3"/>
              <w:spacing w:before="120"/>
              <w:ind w:left="0"/>
              <w:rPr>
                <w:rFonts w:ascii="Arial" w:hAnsi="Arial" w:cs="Arial"/>
                <w:b/>
                <w:spacing w:val="-4"/>
                <w:sz w:val="22"/>
                <w:szCs w:val="22"/>
              </w:rPr>
            </w:pPr>
            <w:r w:rsidRPr="00E52DAD">
              <w:rPr>
                <w:rFonts w:ascii="Arial" w:hAnsi="Arial"/>
                <w:b/>
                <w:spacing w:val="-4"/>
                <w:sz w:val="22"/>
              </w:rPr>
              <w:lastRenderedPageBreak/>
              <w:t>Procédure d’audition</w:t>
            </w:r>
          </w:p>
        </w:tc>
        <w:tc>
          <w:tcPr>
            <w:tcW w:w="6432" w:type="dxa"/>
            <w:gridSpan w:val="4"/>
          </w:tcPr>
          <w:p w14:paraId="1F8FC4E9" w14:textId="7284A682" w:rsidR="00905131" w:rsidRPr="00E52DAD" w:rsidRDefault="00905131" w:rsidP="00905131">
            <w:pPr>
              <w:pStyle w:val="Cuerpo"/>
              <w:numPr>
                <w:ilvl w:val="0"/>
                <w:numId w:val="30"/>
              </w:numPr>
              <w:spacing w:before="0" w:after="0" w:line="240" w:lineRule="auto"/>
              <w:ind w:left="215" w:right="57" w:hanging="215"/>
              <w:jc w:val="both"/>
              <w:rPr>
                <w:rFonts w:ascii="Arial" w:hAnsi="Arial" w:cs="Arial"/>
                <w:color w:val="auto"/>
                <w:spacing w:val="-4"/>
                <w:sz w:val="22"/>
                <w:szCs w:val="22"/>
              </w:rPr>
            </w:pPr>
            <w:r w:rsidRPr="00E52DAD">
              <w:rPr>
                <w:rFonts w:ascii="Arial" w:hAnsi="Arial"/>
                <w:color w:val="auto"/>
                <w:spacing w:val="-4"/>
                <w:sz w:val="22"/>
              </w:rPr>
              <w:t xml:space="preserve">Consultation publique préalable (article 26, paragraphe 2, de la loi nº 50/1997 du gouvernement). </w:t>
            </w:r>
            <w:proofErr w:type="gramStart"/>
            <w:r w:rsidRPr="00E52DAD">
              <w:rPr>
                <w:rFonts w:ascii="Arial" w:hAnsi="Arial"/>
                <w:color w:val="auto"/>
                <w:spacing w:val="-4"/>
                <w:sz w:val="22"/>
              </w:rPr>
              <w:t>Délai:</w:t>
            </w:r>
            <w:proofErr w:type="gramEnd"/>
            <w:r w:rsidRPr="00E52DAD">
              <w:rPr>
                <w:rFonts w:ascii="Arial" w:hAnsi="Arial"/>
                <w:color w:val="auto"/>
                <w:spacing w:val="-4"/>
                <w:sz w:val="22"/>
              </w:rPr>
              <w:t xml:space="preserve"> du 8</w:t>
            </w:r>
            <w:r w:rsidR="00DD2821" w:rsidRPr="00E52DAD">
              <w:rPr>
                <w:rFonts w:ascii="Arial" w:hAnsi="Arial"/>
                <w:color w:val="auto"/>
                <w:spacing w:val="-4"/>
                <w:sz w:val="22"/>
              </w:rPr>
              <w:t> </w:t>
            </w:r>
            <w:r w:rsidRPr="00E52DAD">
              <w:rPr>
                <w:rFonts w:ascii="Arial" w:hAnsi="Arial"/>
                <w:color w:val="auto"/>
                <w:spacing w:val="-4"/>
                <w:sz w:val="22"/>
              </w:rPr>
              <w:t>février</w:t>
            </w:r>
            <w:r w:rsidR="00DD2821" w:rsidRPr="00E52DAD">
              <w:rPr>
                <w:rFonts w:ascii="Arial" w:hAnsi="Arial"/>
                <w:color w:val="auto"/>
                <w:spacing w:val="-4"/>
                <w:sz w:val="22"/>
              </w:rPr>
              <w:t> </w:t>
            </w:r>
            <w:r w:rsidRPr="00E52DAD">
              <w:rPr>
                <w:rFonts w:ascii="Arial" w:hAnsi="Arial"/>
                <w:color w:val="auto"/>
                <w:spacing w:val="-4"/>
                <w:sz w:val="22"/>
              </w:rPr>
              <w:t>2018 au 1</w:t>
            </w:r>
            <w:r w:rsidRPr="00E52DAD">
              <w:rPr>
                <w:rFonts w:ascii="Arial" w:hAnsi="Arial"/>
                <w:color w:val="auto"/>
                <w:spacing w:val="-4"/>
                <w:sz w:val="22"/>
                <w:vertAlign w:val="superscript"/>
              </w:rPr>
              <w:t>er</w:t>
            </w:r>
            <w:r w:rsidR="00DD2821" w:rsidRPr="00E52DAD">
              <w:rPr>
                <w:rFonts w:ascii="Arial" w:hAnsi="Arial"/>
                <w:color w:val="auto"/>
                <w:spacing w:val="-4"/>
                <w:sz w:val="22"/>
              </w:rPr>
              <w:t> </w:t>
            </w:r>
            <w:r w:rsidRPr="00E52DAD">
              <w:rPr>
                <w:rFonts w:ascii="Arial" w:hAnsi="Arial"/>
                <w:color w:val="auto"/>
                <w:spacing w:val="-4"/>
                <w:sz w:val="22"/>
              </w:rPr>
              <w:t>mars</w:t>
            </w:r>
            <w:r w:rsidR="00DD2821" w:rsidRPr="00E52DAD">
              <w:rPr>
                <w:rFonts w:ascii="Arial" w:hAnsi="Arial"/>
                <w:color w:val="auto"/>
                <w:spacing w:val="-4"/>
                <w:sz w:val="22"/>
              </w:rPr>
              <w:t> </w:t>
            </w:r>
            <w:r w:rsidRPr="00E52DAD">
              <w:rPr>
                <w:rFonts w:ascii="Arial" w:hAnsi="Arial"/>
                <w:color w:val="auto"/>
                <w:spacing w:val="-4"/>
                <w:sz w:val="22"/>
              </w:rPr>
              <w:t>2018</w:t>
            </w:r>
            <w:r w:rsidR="00066C2B" w:rsidRPr="00E52DAD">
              <w:rPr>
                <w:rFonts w:ascii="Arial" w:hAnsi="Arial"/>
                <w:color w:val="auto"/>
                <w:spacing w:val="-4"/>
                <w:sz w:val="22"/>
              </w:rPr>
              <w:t>.</w:t>
            </w:r>
          </w:p>
          <w:p w14:paraId="6981D737" w14:textId="77777777" w:rsidR="00905131" w:rsidRPr="00E52DAD" w:rsidRDefault="00905131" w:rsidP="00905131">
            <w:pPr>
              <w:pStyle w:val="Cuerpo"/>
              <w:spacing w:before="0" w:after="0" w:line="240" w:lineRule="auto"/>
              <w:ind w:left="215" w:right="57"/>
              <w:jc w:val="both"/>
              <w:rPr>
                <w:rFonts w:ascii="Arial" w:hAnsi="Arial" w:cs="Arial"/>
                <w:color w:val="auto"/>
                <w:spacing w:val="-4"/>
                <w:sz w:val="22"/>
                <w:szCs w:val="22"/>
              </w:rPr>
            </w:pPr>
          </w:p>
          <w:p w14:paraId="352A3824" w14:textId="5C481C23" w:rsidR="00905131" w:rsidRPr="00E52DAD" w:rsidRDefault="00905131" w:rsidP="00905131">
            <w:pPr>
              <w:pStyle w:val="Cuerpo"/>
              <w:numPr>
                <w:ilvl w:val="0"/>
                <w:numId w:val="30"/>
              </w:numPr>
              <w:spacing w:before="0" w:after="0" w:line="240" w:lineRule="auto"/>
              <w:ind w:left="215" w:right="57" w:hanging="215"/>
              <w:jc w:val="both"/>
              <w:rPr>
                <w:rFonts w:ascii="Arial" w:hAnsi="Arial" w:cs="Arial"/>
                <w:color w:val="auto"/>
                <w:spacing w:val="-4"/>
                <w:sz w:val="22"/>
                <w:szCs w:val="22"/>
              </w:rPr>
            </w:pPr>
            <w:r w:rsidRPr="00E52DAD">
              <w:rPr>
                <w:rFonts w:ascii="Arial" w:hAnsi="Arial"/>
                <w:color w:val="auto"/>
                <w:spacing w:val="-4"/>
                <w:sz w:val="22"/>
              </w:rPr>
              <w:t>Audition et information publique (article 26, paragraphe</w:t>
            </w:r>
            <w:r w:rsidR="00066C2B" w:rsidRPr="00E52DAD">
              <w:rPr>
                <w:rFonts w:ascii="Arial" w:hAnsi="Arial"/>
                <w:color w:val="auto"/>
                <w:spacing w:val="-4"/>
                <w:sz w:val="22"/>
              </w:rPr>
              <w:t> </w:t>
            </w:r>
            <w:r w:rsidRPr="00E52DAD">
              <w:rPr>
                <w:rFonts w:ascii="Arial" w:hAnsi="Arial"/>
                <w:color w:val="auto"/>
                <w:spacing w:val="-4"/>
                <w:sz w:val="22"/>
              </w:rPr>
              <w:t xml:space="preserve">6, de la loi nº 50/1997 et article 133, paragraphe 2, de la loi nº 39/2015). </w:t>
            </w:r>
            <w:proofErr w:type="gramStart"/>
            <w:r w:rsidRPr="00E52DAD">
              <w:rPr>
                <w:rFonts w:ascii="Arial" w:hAnsi="Arial"/>
                <w:color w:val="auto"/>
                <w:spacing w:val="-4"/>
                <w:sz w:val="22"/>
              </w:rPr>
              <w:t>Délai:</w:t>
            </w:r>
            <w:proofErr w:type="gramEnd"/>
            <w:r w:rsidRPr="00E52DAD">
              <w:rPr>
                <w:rFonts w:ascii="Arial" w:hAnsi="Arial"/>
                <w:color w:val="auto"/>
                <w:spacing w:val="-4"/>
                <w:sz w:val="22"/>
              </w:rPr>
              <w:t xml:space="preserve"> du 13</w:t>
            </w:r>
            <w:r w:rsidR="00DD2821" w:rsidRPr="00E52DAD">
              <w:rPr>
                <w:rFonts w:ascii="Arial" w:hAnsi="Arial"/>
                <w:color w:val="auto"/>
                <w:spacing w:val="-4"/>
                <w:sz w:val="22"/>
              </w:rPr>
              <w:t> </w:t>
            </w:r>
            <w:r w:rsidRPr="00E52DAD">
              <w:rPr>
                <w:rFonts w:ascii="Arial" w:hAnsi="Arial"/>
                <w:color w:val="auto"/>
                <w:spacing w:val="-4"/>
                <w:sz w:val="22"/>
              </w:rPr>
              <w:t>février</w:t>
            </w:r>
            <w:r w:rsidR="00DD2821" w:rsidRPr="00E52DAD">
              <w:rPr>
                <w:rFonts w:ascii="Arial" w:hAnsi="Arial"/>
                <w:color w:val="auto"/>
                <w:spacing w:val="-4"/>
                <w:sz w:val="22"/>
              </w:rPr>
              <w:t> </w:t>
            </w:r>
            <w:r w:rsidRPr="00E52DAD">
              <w:rPr>
                <w:rFonts w:ascii="Arial" w:hAnsi="Arial"/>
                <w:color w:val="auto"/>
                <w:spacing w:val="-4"/>
                <w:sz w:val="22"/>
              </w:rPr>
              <w:t>2020 au 5</w:t>
            </w:r>
            <w:r w:rsidR="00DD2821" w:rsidRPr="00E52DAD">
              <w:rPr>
                <w:rFonts w:ascii="Arial" w:hAnsi="Arial"/>
                <w:color w:val="auto"/>
                <w:spacing w:val="-4"/>
                <w:sz w:val="22"/>
              </w:rPr>
              <w:t> </w:t>
            </w:r>
            <w:r w:rsidRPr="00E52DAD">
              <w:rPr>
                <w:rFonts w:ascii="Arial" w:hAnsi="Arial"/>
                <w:color w:val="auto"/>
                <w:spacing w:val="-4"/>
                <w:sz w:val="22"/>
              </w:rPr>
              <w:t>mars</w:t>
            </w:r>
            <w:r w:rsidR="00DD2821" w:rsidRPr="00E52DAD">
              <w:rPr>
                <w:rFonts w:ascii="Arial" w:hAnsi="Arial"/>
                <w:color w:val="auto"/>
                <w:spacing w:val="-4"/>
                <w:sz w:val="22"/>
              </w:rPr>
              <w:t> </w:t>
            </w:r>
            <w:r w:rsidRPr="00E52DAD">
              <w:rPr>
                <w:rFonts w:ascii="Arial" w:hAnsi="Arial"/>
                <w:color w:val="auto"/>
                <w:spacing w:val="-4"/>
                <w:sz w:val="22"/>
              </w:rPr>
              <w:t>2020.</w:t>
            </w:r>
          </w:p>
          <w:p w14:paraId="2FB88AC8" w14:textId="77777777" w:rsidR="00905131" w:rsidRPr="00E52DAD" w:rsidRDefault="00905131" w:rsidP="00905131">
            <w:pPr>
              <w:pStyle w:val="Cuerpo"/>
              <w:spacing w:before="0" w:after="0" w:line="240" w:lineRule="auto"/>
              <w:ind w:right="57"/>
              <w:jc w:val="both"/>
              <w:rPr>
                <w:rFonts w:ascii="Arial" w:hAnsi="Arial" w:cs="Arial"/>
                <w:color w:val="auto"/>
                <w:spacing w:val="-4"/>
                <w:sz w:val="22"/>
                <w:szCs w:val="22"/>
              </w:rPr>
            </w:pPr>
          </w:p>
          <w:p w14:paraId="55B0DBFE" w14:textId="390CC50A" w:rsidR="00905131" w:rsidRPr="00E52DAD" w:rsidRDefault="00905131" w:rsidP="00905131">
            <w:pPr>
              <w:pStyle w:val="Cuerpo"/>
              <w:numPr>
                <w:ilvl w:val="0"/>
                <w:numId w:val="30"/>
              </w:numPr>
              <w:spacing w:before="0" w:after="0" w:line="240" w:lineRule="auto"/>
              <w:ind w:left="215" w:right="57" w:hanging="215"/>
              <w:jc w:val="both"/>
              <w:rPr>
                <w:rFonts w:ascii="Arial" w:hAnsi="Arial" w:cs="Arial"/>
                <w:color w:val="auto"/>
                <w:spacing w:val="-4"/>
                <w:sz w:val="22"/>
                <w:szCs w:val="22"/>
              </w:rPr>
            </w:pPr>
            <w:r w:rsidRPr="00E52DAD">
              <w:rPr>
                <w:rFonts w:ascii="Arial" w:hAnsi="Arial"/>
                <w:color w:val="auto"/>
                <w:spacing w:val="-4"/>
                <w:sz w:val="22"/>
              </w:rPr>
              <w:t>Consultation directe avec les entités représentatives des secteurs concernés (article 26, paragraphe</w:t>
            </w:r>
            <w:r w:rsidR="00066C2B" w:rsidRPr="00E52DAD">
              <w:rPr>
                <w:rFonts w:ascii="Arial" w:hAnsi="Arial"/>
                <w:color w:val="auto"/>
                <w:spacing w:val="-4"/>
                <w:sz w:val="22"/>
              </w:rPr>
              <w:t> </w:t>
            </w:r>
            <w:r w:rsidRPr="00E52DAD">
              <w:rPr>
                <w:rFonts w:ascii="Arial" w:hAnsi="Arial"/>
                <w:color w:val="auto"/>
                <w:spacing w:val="-4"/>
                <w:sz w:val="22"/>
              </w:rPr>
              <w:t xml:space="preserve">6, de la loi n° 50/1997). </w:t>
            </w:r>
            <w:proofErr w:type="gramStart"/>
            <w:r w:rsidRPr="00E52DAD">
              <w:rPr>
                <w:rFonts w:ascii="Arial" w:hAnsi="Arial"/>
                <w:color w:val="auto"/>
                <w:spacing w:val="-4"/>
                <w:sz w:val="22"/>
              </w:rPr>
              <w:t>Délai:</w:t>
            </w:r>
            <w:proofErr w:type="gramEnd"/>
            <w:r w:rsidRPr="00E52DAD">
              <w:rPr>
                <w:rFonts w:ascii="Arial" w:hAnsi="Arial"/>
                <w:color w:val="auto"/>
                <w:spacing w:val="-4"/>
                <w:sz w:val="22"/>
              </w:rPr>
              <w:t xml:space="preserve"> 15 jours ouvrés à partir du 13</w:t>
            </w:r>
            <w:r w:rsidR="00DD2821" w:rsidRPr="00E52DAD">
              <w:rPr>
                <w:rFonts w:ascii="Arial" w:hAnsi="Arial"/>
                <w:color w:val="auto"/>
                <w:spacing w:val="-4"/>
                <w:sz w:val="22"/>
              </w:rPr>
              <w:t> </w:t>
            </w:r>
            <w:r w:rsidRPr="00E52DAD">
              <w:rPr>
                <w:rFonts w:ascii="Arial" w:hAnsi="Arial"/>
                <w:color w:val="auto"/>
                <w:spacing w:val="-4"/>
                <w:sz w:val="22"/>
              </w:rPr>
              <w:t>février</w:t>
            </w:r>
            <w:r w:rsidR="00DD2821" w:rsidRPr="00E52DAD">
              <w:rPr>
                <w:rFonts w:ascii="Arial" w:hAnsi="Arial"/>
                <w:color w:val="auto"/>
                <w:spacing w:val="-4"/>
                <w:sz w:val="22"/>
              </w:rPr>
              <w:t> </w:t>
            </w:r>
            <w:r w:rsidRPr="00E52DAD">
              <w:rPr>
                <w:rFonts w:ascii="Arial" w:hAnsi="Arial"/>
                <w:color w:val="auto"/>
                <w:spacing w:val="-4"/>
                <w:sz w:val="22"/>
              </w:rPr>
              <w:t>2020.</w:t>
            </w:r>
          </w:p>
          <w:p w14:paraId="7CF48818" w14:textId="77777777" w:rsidR="00905131" w:rsidRPr="00E52DAD" w:rsidRDefault="00905131" w:rsidP="00905131">
            <w:pPr>
              <w:pStyle w:val="Cuerpo"/>
              <w:spacing w:before="0" w:after="0" w:line="240" w:lineRule="auto"/>
              <w:ind w:right="57"/>
              <w:jc w:val="both"/>
              <w:rPr>
                <w:rFonts w:ascii="Arial" w:hAnsi="Arial" w:cs="Arial"/>
                <w:color w:val="auto"/>
                <w:spacing w:val="-4"/>
                <w:sz w:val="22"/>
                <w:szCs w:val="22"/>
              </w:rPr>
            </w:pPr>
          </w:p>
          <w:p w14:paraId="4C160557" w14:textId="4198F16F" w:rsidR="00905131" w:rsidRPr="00E52DAD" w:rsidRDefault="00905131" w:rsidP="00905131">
            <w:pPr>
              <w:pStyle w:val="Cuerpo"/>
              <w:numPr>
                <w:ilvl w:val="0"/>
                <w:numId w:val="30"/>
              </w:numPr>
              <w:spacing w:before="0" w:after="0" w:line="240" w:lineRule="auto"/>
              <w:ind w:left="215" w:right="57" w:hanging="215"/>
              <w:jc w:val="both"/>
              <w:rPr>
                <w:rFonts w:ascii="Arial" w:hAnsi="Arial" w:cs="Arial"/>
                <w:color w:val="auto"/>
                <w:spacing w:val="-4"/>
                <w:sz w:val="22"/>
                <w:szCs w:val="22"/>
              </w:rPr>
            </w:pPr>
            <w:r w:rsidRPr="00E52DAD">
              <w:rPr>
                <w:rFonts w:ascii="Arial" w:hAnsi="Arial"/>
                <w:color w:val="auto"/>
                <w:spacing w:val="-4"/>
                <w:sz w:val="22"/>
              </w:rPr>
              <w:t>Consultation avec les communautés autonomes (article</w:t>
            </w:r>
            <w:r w:rsidR="00066C2B" w:rsidRPr="00E52DAD">
              <w:rPr>
                <w:rFonts w:ascii="Arial" w:hAnsi="Arial"/>
                <w:color w:val="auto"/>
                <w:spacing w:val="-4"/>
                <w:sz w:val="22"/>
              </w:rPr>
              <w:t> </w:t>
            </w:r>
            <w:r w:rsidRPr="00E52DAD">
              <w:rPr>
                <w:rFonts w:ascii="Arial" w:hAnsi="Arial"/>
                <w:color w:val="auto"/>
                <w:spacing w:val="-4"/>
                <w:sz w:val="22"/>
              </w:rPr>
              <w:t xml:space="preserve">26 de la loi n° 50/1997). </w:t>
            </w:r>
            <w:proofErr w:type="gramStart"/>
            <w:r w:rsidRPr="00E52DAD">
              <w:rPr>
                <w:rFonts w:ascii="Arial" w:hAnsi="Arial"/>
                <w:color w:val="auto"/>
                <w:spacing w:val="-4"/>
                <w:sz w:val="22"/>
              </w:rPr>
              <w:t>Délai:</w:t>
            </w:r>
            <w:proofErr w:type="gramEnd"/>
            <w:r w:rsidRPr="00E52DAD">
              <w:rPr>
                <w:rFonts w:ascii="Arial" w:hAnsi="Arial"/>
                <w:color w:val="auto"/>
                <w:spacing w:val="-4"/>
                <w:sz w:val="22"/>
              </w:rPr>
              <w:t xml:space="preserve"> 15 jours ouvrés à partir du 13</w:t>
            </w:r>
            <w:r w:rsidR="00DD2821" w:rsidRPr="00E52DAD">
              <w:rPr>
                <w:rFonts w:ascii="Arial" w:hAnsi="Arial"/>
                <w:color w:val="auto"/>
                <w:spacing w:val="-4"/>
                <w:sz w:val="22"/>
              </w:rPr>
              <w:t> </w:t>
            </w:r>
            <w:r w:rsidRPr="00E52DAD">
              <w:rPr>
                <w:rFonts w:ascii="Arial" w:hAnsi="Arial"/>
                <w:color w:val="auto"/>
                <w:spacing w:val="-4"/>
                <w:sz w:val="22"/>
              </w:rPr>
              <w:t>février</w:t>
            </w:r>
            <w:r w:rsidR="00DD2821" w:rsidRPr="00E52DAD">
              <w:rPr>
                <w:rFonts w:ascii="Arial" w:hAnsi="Arial"/>
                <w:color w:val="auto"/>
                <w:spacing w:val="-4"/>
                <w:sz w:val="22"/>
              </w:rPr>
              <w:t> </w:t>
            </w:r>
            <w:r w:rsidRPr="00E52DAD">
              <w:rPr>
                <w:rFonts w:ascii="Arial" w:hAnsi="Arial"/>
                <w:color w:val="auto"/>
                <w:spacing w:val="-4"/>
                <w:sz w:val="22"/>
              </w:rPr>
              <w:t>2020.</w:t>
            </w:r>
          </w:p>
          <w:p w14:paraId="03D7C7EE" w14:textId="77777777" w:rsidR="00905131" w:rsidRPr="00E52DAD" w:rsidRDefault="00905131" w:rsidP="00905131">
            <w:pPr>
              <w:pStyle w:val="Cuerpo"/>
              <w:spacing w:before="0" w:after="0" w:line="240" w:lineRule="auto"/>
              <w:ind w:left="215" w:right="57"/>
              <w:jc w:val="both"/>
              <w:rPr>
                <w:rFonts w:ascii="Arial" w:hAnsi="Arial" w:cs="Arial"/>
                <w:color w:val="auto"/>
                <w:spacing w:val="-4"/>
                <w:sz w:val="22"/>
                <w:szCs w:val="22"/>
              </w:rPr>
            </w:pPr>
          </w:p>
          <w:p w14:paraId="081DA977" w14:textId="0FAEFC5F" w:rsidR="00905131" w:rsidRPr="00E52DAD" w:rsidRDefault="00905131" w:rsidP="00905131">
            <w:pPr>
              <w:pStyle w:val="Cuerpo"/>
              <w:numPr>
                <w:ilvl w:val="0"/>
                <w:numId w:val="30"/>
              </w:numPr>
              <w:spacing w:before="0" w:after="0" w:line="240" w:lineRule="auto"/>
              <w:ind w:left="215" w:right="57" w:hanging="215"/>
              <w:jc w:val="both"/>
              <w:rPr>
                <w:rFonts w:ascii="Arial" w:hAnsi="Arial" w:cs="Arial"/>
                <w:color w:val="auto"/>
                <w:spacing w:val="-4"/>
                <w:sz w:val="22"/>
                <w:szCs w:val="22"/>
              </w:rPr>
            </w:pPr>
            <w:r w:rsidRPr="00E52DAD">
              <w:rPr>
                <w:rFonts w:ascii="Arial" w:hAnsi="Arial"/>
                <w:color w:val="auto"/>
                <w:spacing w:val="-4"/>
                <w:sz w:val="22"/>
              </w:rPr>
              <w:t>Deuxième volet d’audition et d’information publique (article 26, paragraphe</w:t>
            </w:r>
            <w:r w:rsidR="00066C2B" w:rsidRPr="00E52DAD">
              <w:rPr>
                <w:rFonts w:ascii="Arial" w:hAnsi="Arial"/>
                <w:color w:val="auto"/>
                <w:spacing w:val="-4"/>
                <w:sz w:val="22"/>
              </w:rPr>
              <w:t> </w:t>
            </w:r>
            <w:r w:rsidRPr="00E52DAD">
              <w:rPr>
                <w:rFonts w:ascii="Arial" w:hAnsi="Arial"/>
                <w:color w:val="auto"/>
                <w:spacing w:val="-4"/>
                <w:sz w:val="22"/>
              </w:rPr>
              <w:t xml:space="preserve">6, de la loi nº 50/1997 et article 133, paragraphe 2, de la loi nº 39/2015). </w:t>
            </w:r>
            <w:proofErr w:type="gramStart"/>
            <w:r w:rsidRPr="00E52DAD">
              <w:rPr>
                <w:rFonts w:ascii="Arial" w:hAnsi="Arial"/>
                <w:color w:val="auto"/>
                <w:spacing w:val="-4"/>
                <w:sz w:val="22"/>
              </w:rPr>
              <w:t>Délai:</w:t>
            </w:r>
            <w:proofErr w:type="gramEnd"/>
            <w:r w:rsidRPr="00E52DAD">
              <w:rPr>
                <w:rFonts w:ascii="Arial" w:hAnsi="Arial"/>
                <w:color w:val="auto"/>
                <w:spacing w:val="-4"/>
                <w:sz w:val="22"/>
              </w:rPr>
              <w:t xml:space="preserve"> du 19</w:t>
            </w:r>
            <w:r w:rsidR="00DD2821" w:rsidRPr="00E52DAD">
              <w:rPr>
                <w:rFonts w:ascii="Arial" w:hAnsi="Arial"/>
                <w:color w:val="auto"/>
                <w:spacing w:val="-4"/>
                <w:sz w:val="22"/>
              </w:rPr>
              <w:t> </w:t>
            </w:r>
            <w:r w:rsidRPr="00E52DAD">
              <w:rPr>
                <w:rFonts w:ascii="Arial" w:hAnsi="Arial"/>
                <w:color w:val="auto"/>
                <w:spacing w:val="-4"/>
                <w:sz w:val="22"/>
              </w:rPr>
              <w:t>juin</w:t>
            </w:r>
            <w:r w:rsidR="00DD2821" w:rsidRPr="00E52DAD">
              <w:rPr>
                <w:rFonts w:ascii="Arial" w:hAnsi="Arial"/>
                <w:color w:val="auto"/>
                <w:spacing w:val="-4"/>
                <w:sz w:val="22"/>
              </w:rPr>
              <w:t> </w:t>
            </w:r>
            <w:r w:rsidRPr="00E52DAD">
              <w:rPr>
                <w:rFonts w:ascii="Arial" w:hAnsi="Arial"/>
                <w:color w:val="auto"/>
                <w:spacing w:val="-4"/>
                <w:sz w:val="22"/>
              </w:rPr>
              <w:t>2020 au 30</w:t>
            </w:r>
            <w:r w:rsidR="00DD2821" w:rsidRPr="00E52DAD">
              <w:rPr>
                <w:rFonts w:ascii="Arial" w:hAnsi="Arial"/>
                <w:color w:val="auto"/>
                <w:spacing w:val="-4"/>
                <w:sz w:val="22"/>
              </w:rPr>
              <w:t> </w:t>
            </w:r>
            <w:r w:rsidRPr="00E52DAD">
              <w:rPr>
                <w:rFonts w:ascii="Arial" w:hAnsi="Arial"/>
                <w:color w:val="auto"/>
                <w:spacing w:val="-4"/>
                <w:sz w:val="22"/>
              </w:rPr>
              <w:t>juin</w:t>
            </w:r>
            <w:r w:rsidR="00DD2821" w:rsidRPr="00E52DAD">
              <w:rPr>
                <w:rFonts w:ascii="Arial" w:hAnsi="Arial"/>
                <w:color w:val="auto"/>
                <w:spacing w:val="-4"/>
                <w:sz w:val="22"/>
              </w:rPr>
              <w:t> </w:t>
            </w:r>
            <w:r w:rsidRPr="00E52DAD">
              <w:rPr>
                <w:rFonts w:ascii="Arial" w:hAnsi="Arial"/>
                <w:color w:val="auto"/>
                <w:spacing w:val="-4"/>
                <w:sz w:val="22"/>
              </w:rPr>
              <w:t>2020.</w:t>
            </w:r>
          </w:p>
          <w:p w14:paraId="74FAEFF3" w14:textId="77777777" w:rsidR="00905131" w:rsidRPr="00E52DAD" w:rsidRDefault="00905131" w:rsidP="00905131">
            <w:pPr>
              <w:pStyle w:val="ListParagraph"/>
              <w:rPr>
                <w:rFonts w:cs="Arial"/>
                <w:spacing w:val="-4"/>
                <w:sz w:val="22"/>
                <w:szCs w:val="22"/>
              </w:rPr>
            </w:pPr>
          </w:p>
          <w:p w14:paraId="59D4468B" w14:textId="7A04B223" w:rsidR="00905131" w:rsidRPr="00E52DAD" w:rsidRDefault="00905131" w:rsidP="00905131">
            <w:pPr>
              <w:pStyle w:val="Cuerpo"/>
              <w:numPr>
                <w:ilvl w:val="0"/>
                <w:numId w:val="30"/>
              </w:numPr>
              <w:spacing w:before="0" w:after="0" w:line="240" w:lineRule="auto"/>
              <w:ind w:left="215" w:right="57" w:hanging="215"/>
              <w:jc w:val="both"/>
              <w:rPr>
                <w:rFonts w:ascii="Arial" w:hAnsi="Arial" w:cs="Arial"/>
                <w:color w:val="auto"/>
                <w:spacing w:val="-4"/>
                <w:sz w:val="22"/>
                <w:szCs w:val="22"/>
              </w:rPr>
            </w:pPr>
            <w:r w:rsidRPr="00E52DAD">
              <w:rPr>
                <w:rFonts w:ascii="Arial" w:hAnsi="Arial"/>
                <w:color w:val="auto"/>
                <w:spacing w:val="-4"/>
                <w:sz w:val="22"/>
              </w:rPr>
              <w:t>Deuxième consultation directe avec les entités représentatives des secteurs concernés (article 26, paragraphe</w:t>
            </w:r>
            <w:r w:rsidR="00066C2B" w:rsidRPr="00E52DAD">
              <w:rPr>
                <w:rFonts w:ascii="Arial" w:hAnsi="Arial"/>
                <w:color w:val="auto"/>
                <w:spacing w:val="-4"/>
                <w:sz w:val="22"/>
              </w:rPr>
              <w:t> </w:t>
            </w:r>
            <w:r w:rsidRPr="00E52DAD">
              <w:rPr>
                <w:rFonts w:ascii="Arial" w:hAnsi="Arial"/>
                <w:color w:val="auto"/>
                <w:spacing w:val="-4"/>
                <w:sz w:val="22"/>
              </w:rPr>
              <w:t xml:space="preserve">6, de la loi n° 50/1997). </w:t>
            </w:r>
            <w:proofErr w:type="gramStart"/>
            <w:r w:rsidRPr="00E52DAD">
              <w:rPr>
                <w:rFonts w:ascii="Arial" w:hAnsi="Arial"/>
                <w:color w:val="auto"/>
                <w:spacing w:val="-4"/>
                <w:sz w:val="22"/>
              </w:rPr>
              <w:t>Délai:</w:t>
            </w:r>
            <w:proofErr w:type="gramEnd"/>
            <w:r w:rsidRPr="00E52DAD">
              <w:rPr>
                <w:rFonts w:ascii="Arial" w:hAnsi="Arial"/>
                <w:color w:val="auto"/>
                <w:spacing w:val="-4"/>
                <w:sz w:val="22"/>
              </w:rPr>
              <w:t xml:space="preserve"> 7 jours ouvrés à partir du 19</w:t>
            </w:r>
            <w:r w:rsidR="00DD2821" w:rsidRPr="00E52DAD">
              <w:rPr>
                <w:rFonts w:ascii="Arial" w:hAnsi="Arial"/>
                <w:color w:val="auto"/>
                <w:spacing w:val="-4"/>
                <w:sz w:val="22"/>
              </w:rPr>
              <w:t> </w:t>
            </w:r>
            <w:r w:rsidRPr="00E52DAD">
              <w:rPr>
                <w:rFonts w:ascii="Arial" w:hAnsi="Arial"/>
                <w:color w:val="auto"/>
                <w:spacing w:val="-4"/>
                <w:sz w:val="22"/>
              </w:rPr>
              <w:t>juin</w:t>
            </w:r>
            <w:r w:rsidR="00DD2821" w:rsidRPr="00E52DAD">
              <w:rPr>
                <w:rFonts w:ascii="Arial" w:hAnsi="Arial"/>
                <w:color w:val="auto"/>
                <w:spacing w:val="-4"/>
                <w:sz w:val="22"/>
              </w:rPr>
              <w:t> </w:t>
            </w:r>
            <w:r w:rsidRPr="00E52DAD">
              <w:rPr>
                <w:rFonts w:ascii="Arial" w:hAnsi="Arial"/>
                <w:color w:val="auto"/>
                <w:spacing w:val="-4"/>
                <w:sz w:val="22"/>
              </w:rPr>
              <w:t>2020.</w:t>
            </w:r>
          </w:p>
          <w:p w14:paraId="3FA339B5" w14:textId="77777777" w:rsidR="00905131" w:rsidRPr="00E52DAD" w:rsidRDefault="00905131" w:rsidP="00905131">
            <w:pPr>
              <w:pStyle w:val="Cuerpo"/>
              <w:spacing w:before="0" w:after="0" w:line="240" w:lineRule="auto"/>
              <w:ind w:right="57"/>
              <w:jc w:val="both"/>
              <w:rPr>
                <w:rFonts w:ascii="Arial" w:hAnsi="Arial" w:cs="Arial"/>
                <w:color w:val="auto"/>
                <w:spacing w:val="-4"/>
                <w:sz w:val="22"/>
                <w:szCs w:val="22"/>
              </w:rPr>
            </w:pPr>
          </w:p>
          <w:p w14:paraId="73E9AE37" w14:textId="374F8604" w:rsidR="00AA2FE0" w:rsidRPr="00E52DAD" w:rsidRDefault="00905131" w:rsidP="00905131">
            <w:pPr>
              <w:pStyle w:val="Cuerpo"/>
              <w:numPr>
                <w:ilvl w:val="0"/>
                <w:numId w:val="30"/>
              </w:numPr>
              <w:spacing w:before="0" w:after="0" w:line="240" w:lineRule="auto"/>
              <w:ind w:left="215" w:right="57" w:hanging="215"/>
              <w:jc w:val="both"/>
              <w:rPr>
                <w:rFonts w:ascii="Arial" w:hAnsi="Arial"/>
                <w:color w:val="auto"/>
                <w:spacing w:val="-4"/>
                <w:sz w:val="22"/>
                <w:szCs w:val="22"/>
              </w:rPr>
            </w:pPr>
            <w:r w:rsidRPr="00E52DAD">
              <w:rPr>
                <w:rFonts w:ascii="Arial" w:hAnsi="Arial"/>
                <w:color w:val="auto"/>
                <w:spacing w:val="-4"/>
                <w:sz w:val="22"/>
              </w:rPr>
              <w:t>Deuxième consultation avec les communautés autonomes (article</w:t>
            </w:r>
            <w:r w:rsidR="00066C2B" w:rsidRPr="00E52DAD">
              <w:rPr>
                <w:rFonts w:ascii="Arial" w:hAnsi="Arial"/>
                <w:color w:val="auto"/>
                <w:spacing w:val="-4"/>
                <w:sz w:val="22"/>
              </w:rPr>
              <w:t> </w:t>
            </w:r>
            <w:r w:rsidRPr="00E52DAD">
              <w:rPr>
                <w:rFonts w:ascii="Arial" w:hAnsi="Arial"/>
                <w:color w:val="auto"/>
                <w:spacing w:val="-4"/>
                <w:sz w:val="22"/>
              </w:rPr>
              <w:t xml:space="preserve">26 de la loi n° 50/1997). </w:t>
            </w:r>
            <w:proofErr w:type="gramStart"/>
            <w:r w:rsidRPr="00E52DAD">
              <w:rPr>
                <w:rFonts w:ascii="Arial" w:hAnsi="Arial"/>
                <w:color w:val="auto"/>
                <w:spacing w:val="-4"/>
                <w:sz w:val="22"/>
              </w:rPr>
              <w:t>Délai:</w:t>
            </w:r>
            <w:proofErr w:type="gramEnd"/>
            <w:r w:rsidRPr="00E52DAD">
              <w:rPr>
                <w:rFonts w:ascii="Arial" w:hAnsi="Arial"/>
                <w:color w:val="auto"/>
                <w:spacing w:val="-4"/>
                <w:sz w:val="22"/>
              </w:rPr>
              <w:t xml:space="preserve"> 7 jours ouvrés à partir du 19</w:t>
            </w:r>
            <w:r w:rsidR="00DD2821" w:rsidRPr="00E52DAD">
              <w:rPr>
                <w:rFonts w:ascii="Arial" w:hAnsi="Arial"/>
                <w:color w:val="auto"/>
                <w:spacing w:val="-4"/>
                <w:sz w:val="22"/>
              </w:rPr>
              <w:t> </w:t>
            </w:r>
            <w:r w:rsidRPr="00E52DAD">
              <w:rPr>
                <w:rFonts w:ascii="Arial" w:hAnsi="Arial"/>
                <w:color w:val="auto"/>
                <w:spacing w:val="-4"/>
                <w:sz w:val="22"/>
              </w:rPr>
              <w:t>juin</w:t>
            </w:r>
            <w:r w:rsidR="00DD2821" w:rsidRPr="00E52DAD">
              <w:rPr>
                <w:rFonts w:ascii="Arial" w:hAnsi="Arial"/>
                <w:color w:val="auto"/>
                <w:spacing w:val="-4"/>
                <w:sz w:val="22"/>
              </w:rPr>
              <w:t> </w:t>
            </w:r>
            <w:r w:rsidRPr="00E52DAD">
              <w:rPr>
                <w:rFonts w:ascii="Arial" w:hAnsi="Arial"/>
                <w:color w:val="auto"/>
                <w:spacing w:val="-4"/>
                <w:sz w:val="22"/>
              </w:rPr>
              <w:t>2020.</w:t>
            </w:r>
          </w:p>
        </w:tc>
      </w:tr>
      <w:tr w:rsidR="00567E99" w:rsidRPr="00DC6D3D" w14:paraId="20F1B36E" w14:textId="77777777" w:rsidTr="00905131">
        <w:tc>
          <w:tcPr>
            <w:tcW w:w="9145" w:type="dxa"/>
            <w:gridSpan w:val="5"/>
          </w:tcPr>
          <w:p w14:paraId="723CC8D6" w14:textId="77777777" w:rsidR="00AA2FE0" w:rsidRPr="00E52DAD" w:rsidRDefault="00AA2FE0" w:rsidP="00AA2FE0">
            <w:pPr>
              <w:pStyle w:val="BodyTextIndent3"/>
              <w:keepNext/>
              <w:spacing w:before="240" w:after="240"/>
              <w:ind w:left="0"/>
              <w:jc w:val="center"/>
              <w:rPr>
                <w:rFonts w:ascii="Arial" w:hAnsi="Arial" w:cs="Arial"/>
                <w:b/>
                <w:spacing w:val="-4"/>
                <w:sz w:val="22"/>
                <w:szCs w:val="22"/>
              </w:rPr>
            </w:pPr>
            <w:r w:rsidRPr="00E52DAD">
              <w:rPr>
                <w:rFonts w:ascii="Arial" w:hAnsi="Arial"/>
                <w:b/>
                <w:spacing w:val="-4"/>
                <w:sz w:val="22"/>
              </w:rPr>
              <w:lastRenderedPageBreak/>
              <w:t>ANALYSE D’IMPACT</w:t>
            </w:r>
          </w:p>
        </w:tc>
      </w:tr>
      <w:tr w:rsidR="00567E99" w:rsidRPr="00DC6D3D" w14:paraId="6E1A09E8" w14:textId="77777777" w:rsidTr="00905131">
        <w:tc>
          <w:tcPr>
            <w:tcW w:w="2713" w:type="dxa"/>
          </w:tcPr>
          <w:p w14:paraId="737D35D6" w14:textId="77777777" w:rsidR="00AA2FE0" w:rsidRPr="00E52DAD" w:rsidRDefault="00AA2FE0" w:rsidP="00E52DAD">
            <w:pPr>
              <w:pStyle w:val="BodyTextIndent3"/>
              <w:keepNext/>
              <w:keepLines/>
              <w:spacing w:before="120"/>
              <w:ind w:left="0"/>
              <w:rPr>
                <w:rFonts w:ascii="Arial" w:hAnsi="Arial" w:cs="Arial"/>
                <w:b/>
                <w:spacing w:val="-4"/>
                <w:sz w:val="22"/>
                <w:szCs w:val="22"/>
              </w:rPr>
            </w:pPr>
            <w:r w:rsidRPr="00E52DAD">
              <w:rPr>
                <w:rFonts w:ascii="Arial" w:hAnsi="Arial"/>
                <w:b/>
                <w:spacing w:val="-4"/>
                <w:sz w:val="22"/>
              </w:rPr>
              <w:t>Adéquation aux compétences</w:t>
            </w:r>
          </w:p>
        </w:tc>
        <w:tc>
          <w:tcPr>
            <w:tcW w:w="6432" w:type="dxa"/>
            <w:gridSpan w:val="4"/>
          </w:tcPr>
          <w:p w14:paraId="25873965" w14:textId="77777777" w:rsidR="00AA2FE0" w:rsidRPr="00E52DAD" w:rsidRDefault="00AA2FE0" w:rsidP="00E52DAD">
            <w:pPr>
              <w:pStyle w:val="BodyTextIndent3"/>
              <w:keepNext/>
              <w:keepLines/>
              <w:spacing w:before="120" w:after="0"/>
              <w:ind w:left="0"/>
              <w:jc w:val="both"/>
              <w:rPr>
                <w:rFonts w:ascii="Arial" w:hAnsi="Arial" w:cs="Arial"/>
                <w:b/>
                <w:spacing w:val="-4"/>
                <w:sz w:val="22"/>
                <w:szCs w:val="22"/>
              </w:rPr>
            </w:pPr>
            <w:r w:rsidRPr="00E52DAD">
              <w:rPr>
                <w:rFonts w:ascii="Arial" w:hAnsi="Arial"/>
                <w:b/>
                <w:spacing w:val="-4"/>
                <w:sz w:val="22"/>
              </w:rPr>
              <w:t xml:space="preserve">Quel est l’instrument de l’attribution des compétences qui </w:t>
            </w:r>
            <w:proofErr w:type="gramStart"/>
            <w:r w:rsidRPr="00E52DAD">
              <w:rPr>
                <w:rFonts w:ascii="Arial" w:hAnsi="Arial"/>
                <w:b/>
                <w:spacing w:val="-4"/>
                <w:sz w:val="22"/>
              </w:rPr>
              <w:t>prévaut?</w:t>
            </w:r>
            <w:proofErr w:type="gramEnd"/>
          </w:p>
          <w:p w14:paraId="4FB1ABD6" w14:textId="13571FD0" w:rsidR="00AA2FE0" w:rsidRPr="00E52DAD" w:rsidRDefault="00AA2FE0" w:rsidP="00E52DAD">
            <w:pPr>
              <w:pStyle w:val="BodyTextIndent3"/>
              <w:keepNext/>
              <w:keepLines/>
              <w:spacing w:before="120"/>
              <w:ind w:left="0"/>
              <w:jc w:val="both"/>
              <w:rPr>
                <w:rFonts w:ascii="Arial" w:hAnsi="Arial" w:cs="Arial"/>
                <w:spacing w:val="-4"/>
                <w:sz w:val="22"/>
                <w:szCs w:val="22"/>
              </w:rPr>
            </w:pPr>
            <w:r w:rsidRPr="00E52DAD">
              <w:rPr>
                <w:rFonts w:ascii="Arial" w:hAnsi="Arial"/>
                <w:spacing w:val="-4"/>
                <w:sz w:val="22"/>
              </w:rPr>
              <w:t>Article 149, paragraphe 1, point </w:t>
            </w:r>
            <w:proofErr w:type="gramStart"/>
            <w:r w:rsidRPr="00E52DAD">
              <w:rPr>
                <w:rFonts w:ascii="Arial" w:hAnsi="Arial"/>
                <w:spacing w:val="-4"/>
                <w:sz w:val="22"/>
              </w:rPr>
              <w:t>13:</w:t>
            </w:r>
            <w:proofErr w:type="gramEnd"/>
            <w:r w:rsidRPr="00E52DAD">
              <w:rPr>
                <w:rFonts w:ascii="Arial" w:hAnsi="Arial"/>
                <w:spacing w:val="-4"/>
                <w:sz w:val="22"/>
              </w:rPr>
              <w:t xml:space="preserve"> compétence exclusive de l</w:t>
            </w:r>
            <w:r w:rsidR="00DD2821" w:rsidRPr="00E52DAD">
              <w:rPr>
                <w:rFonts w:ascii="Arial" w:hAnsi="Arial"/>
                <w:spacing w:val="-4"/>
                <w:sz w:val="22"/>
              </w:rPr>
              <w:t>’</w:t>
            </w:r>
            <w:r w:rsidRPr="00E52DAD">
              <w:rPr>
                <w:rFonts w:ascii="Arial" w:hAnsi="Arial"/>
                <w:spacing w:val="-4"/>
                <w:sz w:val="22"/>
              </w:rPr>
              <w:t>État en matière de bases et de coordination de la planification générale de l</w:t>
            </w:r>
            <w:r w:rsidR="00DD2821" w:rsidRPr="00E52DAD">
              <w:rPr>
                <w:rFonts w:ascii="Arial" w:hAnsi="Arial"/>
                <w:spacing w:val="-4"/>
                <w:sz w:val="22"/>
              </w:rPr>
              <w:t>’</w:t>
            </w:r>
            <w:r w:rsidRPr="00E52DAD">
              <w:rPr>
                <w:rFonts w:ascii="Arial" w:hAnsi="Arial"/>
                <w:spacing w:val="-4"/>
                <w:sz w:val="22"/>
              </w:rPr>
              <w:t>activité économique.</w:t>
            </w:r>
          </w:p>
        </w:tc>
      </w:tr>
      <w:tr w:rsidR="00567E99" w:rsidRPr="00DC6D3D" w14:paraId="459A9CDC" w14:textId="77777777" w:rsidTr="00905131">
        <w:tc>
          <w:tcPr>
            <w:tcW w:w="2713" w:type="dxa"/>
            <w:vMerge w:val="restart"/>
          </w:tcPr>
          <w:p w14:paraId="77FAE8F6" w14:textId="77777777" w:rsidR="00AA2FE0" w:rsidRPr="00E52DAD" w:rsidRDefault="00AA2FE0" w:rsidP="00AA2FE0">
            <w:pPr>
              <w:pStyle w:val="BodyTextIndent3"/>
              <w:spacing w:before="120"/>
              <w:ind w:left="0"/>
              <w:rPr>
                <w:rFonts w:ascii="Arial" w:hAnsi="Arial" w:cs="Arial"/>
                <w:b/>
                <w:spacing w:val="-4"/>
                <w:sz w:val="22"/>
                <w:szCs w:val="22"/>
              </w:rPr>
            </w:pPr>
            <w:r w:rsidRPr="00E52DAD">
              <w:rPr>
                <w:rFonts w:ascii="Arial" w:hAnsi="Arial"/>
                <w:b/>
                <w:spacing w:val="-4"/>
                <w:sz w:val="22"/>
              </w:rPr>
              <w:t>Impact économique et budgétaire</w:t>
            </w:r>
          </w:p>
        </w:tc>
        <w:tc>
          <w:tcPr>
            <w:tcW w:w="2750" w:type="dxa"/>
            <w:shd w:val="clear" w:color="auto" w:fill="auto"/>
          </w:tcPr>
          <w:p w14:paraId="6FC823EB" w14:textId="77777777" w:rsidR="00AA2FE0" w:rsidRPr="00E52DAD" w:rsidRDefault="00AA2FE0" w:rsidP="00AA2FE0">
            <w:pPr>
              <w:pStyle w:val="BodyTextIndent3"/>
              <w:spacing w:before="120"/>
              <w:ind w:left="0"/>
              <w:rPr>
                <w:rFonts w:ascii="Arial" w:hAnsi="Arial" w:cs="Arial"/>
                <w:b/>
                <w:spacing w:val="-4"/>
                <w:sz w:val="22"/>
                <w:szCs w:val="22"/>
              </w:rPr>
            </w:pPr>
            <w:r w:rsidRPr="00E52DAD">
              <w:rPr>
                <w:rFonts w:ascii="Arial" w:hAnsi="Arial"/>
                <w:b/>
                <w:spacing w:val="-4"/>
                <w:sz w:val="22"/>
              </w:rPr>
              <w:t>Effets sur l’économie en général</w:t>
            </w:r>
          </w:p>
        </w:tc>
        <w:tc>
          <w:tcPr>
            <w:tcW w:w="3682" w:type="dxa"/>
            <w:gridSpan w:val="3"/>
            <w:shd w:val="clear" w:color="auto" w:fill="auto"/>
          </w:tcPr>
          <w:p w14:paraId="6C16E6A1" w14:textId="2295E673" w:rsidR="00AA2FE0" w:rsidRPr="00E52DAD" w:rsidRDefault="00AA2FE0" w:rsidP="00AA2FE0">
            <w:pPr>
              <w:pStyle w:val="BodyTextIndent3"/>
              <w:spacing w:before="120"/>
              <w:ind w:left="0"/>
              <w:jc w:val="both"/>
              <w:rPr>
                <w:rFonts w:ascii="Arial" w:hAnsi="Arial" w:cs="Arial"/>
                <w:spacing w:val="-4"/>
                <w:sz w:val="22"/>
                <w:szCs w:val="22"/>
              </w:rPr>
            </w:pPr>
            <w:r w:rsidRPr="00E52DAD">
              <w:rPr>
                <w:rFonts w:ascii="Arial" w:hAnsi="Arial"/>
                <w:spacing w:val="-4"/>
                <w:sz w:val="22"/>
              </w:rPr>
              <w:t>Le projet de décret royal vise à améliorer la compétitivité du secteur, à garantir une concurrence loyale entre les installations et à offrir les mêmes conditions à tous les producteurs. Il devrait donc se traduire par un impact positif sur l</w:t>
            </w:r>
            <w:r w:rsidR="00DD2821" w:rsidRPr="00E52DAD">
              <w:rPr>
                <w:rFonts w:ascii="Arial" w:hAnsi="Arial"/>
                <w:spacing w:val="-4"/>
                <w:sz w:val="22"/>
              </w:rPr>
              <w:t>’</w:t>
            </w:r>
            <w:r w:rsidRPr="00E52DAD">
              <w:rPr>
                <w:rFonts w:ascii="Arial" w:hAnsi="Arial"/>
                <w:spacing w:val="-4"/>
                <w:sz w:val="22"/>
              </w:rPr>
              <w:t>économie.</w:t>
            </w:r>
          </w:p>
        </w:tc>
      </w:tr>
      <w:tr w:rsidR="00567E99" w:rsidRPr="00DC6D3D" w14:paraId="66E1C580" w14:textId="77777777" w:rsidTr="00905131">
        <w:tc>
          <w:tcPr>
            <w:tcW w:w="2713" w:type="dxa"/>
            <w:vMerge/>
          </w:tcPr>
          <w:p w14:paraId="57806CD3" w14:textId="77777777" w:rsidR="00AA2FE0" w:rsidRPr="00E52DAD" w:rsidRDefault="00AA2FE0" w:rsidP="00AA2FE0">
            <w:pPr>
              <w:pStyle w:val="BodyTextIndent3"/>
              <w:spacing w:before="120"/>
              <w:ind w:left="0"/>
              <w:jc w:val="both"/>
              <w:rPr>
                <w:rFonts w:ascii="Arial" w:hAnsi="Arial" w:cs="Arial"/>
                <w:b/>
                <w:spacing w:val="-4"/>
                <w:sz w:val="22"/>
                <w:szCs w:val="22"/>
              </w:rPr>
            </w:pPr>
          </w:p>
        </w:tc>
        <w:tc>
          <w:tcPr>
            <w:tcW w:w="2750" w:type="dxa"/>
            <w:shd w:val="clear" w:color="auto" w:fill="auto"/>
          </w:tcPr>
          <w:p w14:paraId="74DBD0BD" w14:textId="77777777" w:rsidR="00AA2FE0" w:rsidRPr="00E52DAD" w:rsidRDefault="00AA2FE0" w:rsidP="00AA2FE0">
            <w:pPr>
              <w:pStyle w:val="BodyTextIndent3"/>
              <w:spacing w:before="120"/>
              <w:ind w:left="0"/>
              <w:rPr>
                <w:rFonts w:ascii="Arial" w:hAnsi="Arial" w:cs="Arial"/>
                <w:b/>
                <w:spacing w:val="-4"/>
                <w:sz w:val="22"/>
                <w:szCs w:val="22"/>
              </w:rPr>
            </w:pPr>
            <w:r w:rsidRPr="00E52DAD">
              <w:rPr>
                <w:rFonts w:ascii="Arial" w:hAnsi="Arial"/>
                <w:b/>
                <w:spacing w:val="-4"/>
                <w:sz w:val="22"/>
              </w:rPr>
              <w:t>Effets sur la concurrence</w:t>
            </w:r>
          </w:p>
        </w:tc>
        <w:tc>
          <w:tcPr>
            <w:tcW w:w="3682" w:type="dxa"/>
            <w:gridSpan w:val="3"/>
            <w:shd w:val="clear" w:color="auto" w:fill="auto"/>
          </w:tcPr>
          <w:tbl>
            <w:tblPr>
              <w:tblpPr w:leftFromText="141" w:rightFromText="141" w:vertAnchor="text" w:horzAnchor="margin" w:tblpXSpec="right" w:tblpY="9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567E99" w:rsidRPr="00E52DAD" w14:paraId="504A3AA8" w14:textId="77777777" w:rsidTr="00724849">
              <w:tc>
                <w:tcPr>
                  <w:tcW w:w="419" w:type="dxa"/>
                </w:tcPr>
                <w:p w14:paraId="2FE3C6B1" w14:textId="77777777" w:rsidR="00AA2FE0" w:rsidRPr="00E52DAD" w:rsidRDefault="00AA2FE0" w:rsidP="00AA2FE0">
                  <w:pPr>
                    <w:pStyle w:val="BodyTextIndent3"/>
                    <w:spacing w:before="120"/>
                    <w:ind w:left="0"/>
                    <w:jc w:val="both"/>
                    <w:rPr>
                      <w:rFonts w:ascii="Arial" w:hAnsi="Arial" w:cs="Arial"/>
                      <w:spacing w:val="-4"/>
                      <w:sz w:val="22"/>
                      <w:szCs w:val="22"/>
                    </w:rPr>
                  </w:pPr>
                </w:p>
              </w:tc>
            </w:tr>
          </w:tbl>
          <w:p w14:paraId="4AB92E60" w14:textId="411E2C78" w:rsidR="00AA2FE0" w:rsidRPr="00E52DAD" w:rsidRDefault="00AA2FE0" w:rsidP="00AA2FE0">
            <w:pPr>
              <w:pStyle w:val="BodyTextIndent3"/>
              <w:spacing w:before="120"/>
              <w:ind w:left="0"/>
              <w:jc w:val="both"/>
              <w:rPr>
                <w:rFonts w:ascii="Arial" w:hAnsi="Arial" w:cs="Arial"/>
                <w:b/>
                <w:spacing w:val="-4"/>
                <w:sz w:val="22"/>
                <w:szCs w:val="22"/>
              </w:rPr>
            </w:pPr>
            <w:r w:rsidRPr="00E52DAD">
              <w:rPr>
                <w:rFonts w:ascii="Arial" w:hAnsi="Arial"/>
                <w:b/>
                <w:spacing w:val="-4"/>
                <w:sz w:val="22"/>
              </w:rPr>
              <w:t>La réglementation n</w:t>
            </w:r>
            <w:r w:rsidR="00DD2821" w:rsidRPr="00E52DAD">
              <w:rPr>
                <w:rFonts w:ascii="Arial" w:hAnsi="Arial"/>
                <w:b/>
                <w:spacing w:val="-4"/>
                <w:sz w:val="22"/>
              </w:rPr>
              <w:t>’</w:t>
            </w:r>
            <w:r w:rsidRPr="00E52DAD">
              <w:rPr>
                <w:rFonts w:ascii="Arial" w:hAnsi="Arial"/>
                <w:b/>
                <w:spacing w:val="-4"/>
                <w:sz w:val="22"/>
              </w:rPr>
              <w:t>a pas d</w:t>
            </w:r>
            <w:r w:rsidR="00DD2821" w:rsidRPr="00E52DAD">
              <w:rPr>
                <w:rFonts w:ascii="Arial" w:hAnsi="Arial"/>
                <w:b/>
                <w:spacing w:val="-4"/>
                <w:sz w:val="22"/>
              </w:rPr>
              <w:t>’</w:t>
            </w:r>
            <w:r w:rsidRPr="00E52DAD">
              <w:rPr>
                <w:rFonts w:ascii="Arial" w:hAnsi="Arial"/>
                <w:b/>
                <w:spacing w:val="-4"/>
                <w:sz w:val="22"/>
              </w:rPr>
              <w:t>effets significatifs sur la concurrence</w:t>
            </w:r>
          </w:p>
          <w:tbl>
            <w:tblPr>
              <w:tblpPr w:leftFromText="141" w:rightFromText="141" w:vertAnchor="text" w:horzAnchor="margin" w:tblpXSpec="right"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567E99" w:rsidRPr="00E52DAD" w14:paraId="32D76D96" w14:textId="77777777" w:rsidTr="00724849">
              <w:tc>
                <w:tcPr>
                  <w:tcW w:w="419" w:type="dxa"/>
                </w:tcPr>
                <w:p w14:paraId="3D34EF91" w14:textId="77777777" w:rsidR="00AA2FE0" w:rsidRPr="00E52DAD" w:rsidRDefault="00AA2FE0" w:rsidP="00AA2FE0">
                  <w:pPr>
                    <w:pStyle w:val="BodyTextIndent3"/>
                    <w:spacing w:before="120"/>
                    <w:ind w:left="0"/>
                    <w:jc w:val="center"/>
                    <w:rPr>
                      <w:rFonts w:ascii="Arial" w:hAnsi="Arial" w:cs="Arial"/>
                      <w:spacing w:val="-4"/>
                      <w:sz w:val="22"/>
                      <w:szCs w:val="22"/>
                    </w:rPr>
                  </w:pPr>
                  <w:r w:rsidRPr="00E52DAD">
                    <w:rPr>
                      <w:rFonts w:ascii="Arial" w:hAnsi="Arial"/>
                      <w:spacing w:val="-4"/>
                      <w:sz w:val="22"/>
                    </w:rPr>
                    <w:t>X</w:t>
                  </w:r>
                </w:p>
              </w:tc>
            </w:tr>
          </w:tbl>
          <w:p w14:paraId="0D93DA27" w14:textId="77777777" w:rsidR="00AA2FE0" w:rsidRPr="00E52DAD" w:rsidRDefault="00AA2FE0" w:rsidP="00AA2FE0">
            <w:pPr>
              <w:pStyle w:val="BodyTextIndent3"/>
              <w:spacing w:before="120"/>
              <w:ind w:left="0"/>
              <w:jc w:val="both"/>
              <w:rPr>
                <w:rFonts w:ascii="Arial" w:hAnsi="Arial" w:cs="Arial"/>
                <w:b/>
                <w:spacing w:val="-4"/>
                <w:sz w:val="22"/>
                <w:szCs w:val="22"/>
              </w:rPr>
            </w:pPr>
            <w:r w:rsidRPr="00E52DAD">
              <w:rPr>
                <w:rFonts w:ascii="Arial" w:hAnsi="Arial"/>
                <w:b/>
                <w:spacing w:val="-4"/>
                <w:sz w:val="22"/>
              </w:rPr>
              <w:t>La réglementation a des effets positifs sur la concurrence</w:t>
            </w:r>
          </w:p>
          <w:tbl>
            <w:tblPr>
              <w:tblpPr w:leftFromText="141" w:rightFromText="141" w:vertAnchor="text" w:horzAnchor="margin" w:tblpXSpec="right" w:tblpY="1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567E99" w:rsidRPr="00E52DAD" w14:paraId="2A32C19B" w14:textId="77777777" w:rsidTr="00724849">
              <w:tc>
                <w:tcPr>
                  <w:tcW w:w="419" w:type="dxa"/>
                </w:tcPr>
                <w:p w14:paraId="7C24C8A8" w14:textId="77777777" w:rsidR="00AA2FE0" w:rsidRPr="00E52DAD" w:rsidRDefault="00AA2FE0" w:rsidP="00AA2FE0">
                  <w:pPr>
                    <w:pStyle w:val="BodyTextIndent3"/>
                    <w:spacing w:before="120"/>
                    <w:ind w:left="0"/>
                    <w:jc w:val="center"/>
                    <w:rPr>
                      <w:rFonts w:ascii="Arial" w:hAnsi="Arial" w:cs="Arial"/>
                      <w:spacing w:val="-4"/>
                      <w:sz w:val="22"/>
                      <w:szCs w:val="22"/>
                    </w:rPr>
                  </w:pPr>
                </w:p>
              </w:tc>
            </w:tr>
          </w:tbl>
          <w:p w14:paraId="783A126D" w14:textId="77777777" w:rsidR="00AA2FE0" w:rsidRPr="00E52DAD" w:rsidRDefault="00AA2FE0" w:rsidP="00AA2FE0">
            <w:pPr>
              <w:pStyle w:val="BodyTextIndent3"/>
              <w:spacing w:before="120"/>
              <w:ind w:left="0"/>
              <w:jc w:val="both"/>
              <w:rPr>
                <w:rFonts w:ascii="Arial" w:hAnsi="Arial" w:cs="Arial"/>
                <w:b/>
                <w:spacing w:val="-4"/>
                <w:sz w:val="22"/>
                <w:szCs w:val="22"/>
              </w:rPr>
            </w:pPr>
            <w:r w:rsidRPr="00E52DAD">
              <w:rPr>
                <w:rFonts w:ascii="Arial" w:hAnsi="Arial"/>
                <w:b/>
                <w:spacing w:val="-4"/>
                <w:sz w:val="22"/>
              </w:rPr>
              <w:t>La réglementation a des effets négatifs sur la concurrence</w:t>
            </w:r>
          </w:p>
        </w:tc>
      </w:tr>
      <w:tr w:rsidR="00567E99" w:rsidRPr="00DC6D3D" w14:paraId="0642D57A" w14:textId="77777777" w:rsidTr="00905131">
        <w:tc>
          <w:tcPr>
            <w:tcW w:w="2713" w:type="dxa"/>
            <w:vMerge/>
          </w:tcPr>
          <w:p w14:paraId="7E629A89" w14:textId="77777777" w:rsidR="00AA2FE0" w:rsidRPr="00E52DAD" w:rsidRDefault="00AA2FE0" w:rsidP="00AA2FE0">
            <w:pPr>
              <w:pStyle w:val="BodyTextIndent3"/>
              <w:spacing w:before="240" w:after="0"/>
              <w:ind w:left="0"/>
              <w:jc w:val="both"/>
              <w:rPr>
                <w:rFonts w:ascii="Arial" w:hAnsi="Arial" w:cs="Arial"/>
                <w:b/>
                <w:spacing w:val="-4"/>
                <w:sz w:val="22"/>
                <w:szCs w:val="22"/>
              </w:rPr>
            </w:pPr>
          </w:p>
        </w:tc>
        <w:tc>
          <w:tcPr>
            <w:tcW w:w="2750" w:type="dxa"/>
            <w:shd w:val="clear" w:color="auto" w:fill="auto"/>
          </w:tcPr>
          <w:p w14:paraId="27CF6E36" w14:textId="77777777" w:rsidR="00AA2FE0" w:rsidRPr="00E52DAD" w:rsidRDefault="00AA2FE0" w:rsidP="00AA2FE0">
            <w:pPr>
              <w:pStyle w:val="BodyTextIndent3"/>
              <w:spacing w:before="120"/>
              <w:ind w:left="0"/>
              <w:rPr>
                <w:rFonts w:ascii="Arial" w:hAnsi="Arial" w:cs="Arial"/>
                <w:b/>
                <w:spacing w:val="-4"/>
                <w:sz w:val="22"/>
                <w:szCs w:val="22"/>
              </w:rPr>
            </w:pPr>
            <w:r w:rsidRPr="00E52DAD">
              <w:rPr>
                <w:rFonts w:ascii="Arial" w:hAnsi="Arial"/>
                <w:b/>
                <w:spacing w:val="-4"/>
                <w:sz w:val="22"/>
              </w:rPr>
              <w:t>Effets sur les charges administratives</w:t>
            </w:r>
          </w:p>
        </w:tc>
        <w:tc>
          <w:tcPr>
            <w:tcW w:w="3682" w:type="dxa"/>
            <w:gridSpan w:val="3"/>
            <w:shd w:val="clear" w:color="auto" w:fill="auto"/>
          </w:tcPr>
          <w:tbl>
            <w:tblPr>
              <w:tblpPr w:leftFromText="141" w:rightFromText="141" w:vertAnchor="text" w:horzAnchor="margin" w:tblpXSpec="right" w:tblpY="9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567E99" w:rsidRPr="00E52DAD" w14:paraId="0165F54A" w14:textId="77777777" w:rsidTr="00724849">
              <w:tc>
                <w:tcPr>
                  <w:tcW w:w="419" w:type="dxa"/>
                </w:tcPr>
                <w:p w14:paraId="5BC3CB95" w14:textId="77777777" w:rsidR="00AA2FE0" w:rsidRPr="00E52DAD" w:rsidRDefault="00AA2FE0" w:rsidP="00AA2FE0">
                  <w:pPr>
                    <w:pStyle w:val="BodyTextIndent3"/>
                    <w:spacing w:before="120"/>
                    <w:ind w:left="0"/>
                    <w:jc w:val="both"/>
                    <w:rPr>
                      <w:rFonts w:ascii="Arial" w:hAnsi="Arial" w:cs="Arial"/>
                      <w:spacing w:val="-4"/>
                      <w:sz w:val="22"/>
                      <w:szCs w:val="22"/>
                    </w:rPr>
                  </w:pPr>
                </w:p>
              </w:tc>
            </w:tr>
          </w:tbl>
          <w:p w14:paraId="3F7FC969" w14:textId="77777777" w:rsidR="00AA2FE0" w:rsidRPr="00E52DAD" w:rsidRDefault="00AA2FE0" w:rsidP="00AA2FE0">
            <w:pPr>
              <w:pStyle w:val="BodyTextIndent3"/>
              <w:spacing w:before="120"/>
              <w:ind w:left="0"/>
              <w:rPr>
                <w:rFonts w:ascii="Arial" w:hAnsi="Arial" w:cs="Arial"/>
                <w:b/>
                <w:spacing w:val="-4"/>
                <w:sz w:val="22"/>
                <w:szCs w:val="22"/>
              </w:rPr>
            </w:pPr>
            <w:r w:rsidRPr="00E52DAD">
              <w:rPr>
                <w:rFonts w:ascii="Arial" w:hAnsi="Arial"/>
                <w:b/>
                <w:spacing w:val="-4"/>
                <w:sz w:val="22"/>
              </w:rPr>
              <w:t>La réglementation implique une réduction des charges administratives.</w:t>
            </w:r>
          </w:p>
          <w:p w14:paraId="245E9D76" w14:textId="77777777" w:rsidR="00AA2FE0" w:rsidRPr="00E52DAD" w:rsidRDefault="00AA2FE0" w:rsidP="00AA2FE0">
            <w:pPr>
              <w:pStyle w:val="BodyTextIndent3"/>
              <w:spacing w:before="120"/>
              <w:ind w:left="0"/>
              <w:rPr>
                <w:rFonts w:ascii="Arial" w:hAnsi="Arial" w:cs="Arial"/>
                <w:b/>
                <w:spacing w:val="-4"/>
                <w:sz w:val="22"/>
                <w:szCs w:val="22"/>
              </w:rPr>
            </w:pPr>
            <w:proofErr w:type="gramStart"/>
            <w:r w:rsidRPr="00E52DAD">
              <w:rPr>
                <w:rFonts w:ascii="Arial" w:hAnsi="Arial"/>
                <w:b/>
                <w:spacing w:val="-4"/>
                <w:sz w:val="22"/>
              </w:rPr>
              <w:t>Estimation:</w:t>
            </w:r>
            <w:proofErr w:type="gramEnd"/>
            <w:r w:rsidRPr="00E52DAD">
              <w:rPr>
                <w:rFonts w:ascii="Arial" w:hAnsi="Arial"/>
                <w:b/>
                <w:spacing w:val="-4"/>
                <w:sz w:val="22"/>
              </w:rPr>
              <w:t xml:space="preserve"> </w:t>
            </w:r>
          </w:p>
          <w:tbl>
            <w:tblPr>
              <w:tblpPr w:leftFromText="141" w:rightFromText="141" w:vertAnchor="text" w:horzAnchor="margin" w:tblpXSpec="right"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567E99" w:rsidRPr="00E52DAD" w14:paraId="0357BB58" w14:textId="77777777" w:rsidTr="00724849">
              <w:tc>
                <w:tcPr>
                  <w:tcW w:w="419" w:type="dxa"/>
                </w:tcPr>
                <w:p w14:paraId="5CCB6E6A" w14:textId="77777777" w:rsidR="00AA2FE0" w:rsidRPr="00E52DAD" w:rsidRDefault="00AA2FE0" w:rsidP="00AA2FE0">
                  <w:pPr>
                    <w:pStyle w:val="BodyTextIndent3"/>
                    <w:spacing w:before="120"/>
                    <w:ind w:left="0"/>
                    <w:jc w:val="center"/>
                    <w:rPr>
                      <w:rFonts w:ascii="Arial" w:hAnsi="Arial" w:cs="Arial"/>
                      <w:spacing w:val="-4"/>
                      <w:sz w:val="22"/>
                      <w:szCs w:val="22"/>
                    </w:rPr>
                  </w:pPr>
                </w:p>
              </w:tc>
            </w:tr>
          </w:tbl>
          <w:p w14:paraId="57BAC27C" w14:textId="77777777" w:rsidR="00AA2FE0" w:rsidRPr="00E52DAD" w:rsidRDefault="00AA2FE0" w:rsidP="00AA2FE0">
            <w:pPr>
              <w:pStyle w:val="BodyTextIndent3"/>
              <w:spacing w:before="120"/>
              <w:ind w:left="0"/>
              <w:rPr>
                <w:rFonts w:ascii="Arial" w:hAnsi="Arial" w:cs="Arial"/>
                <w:b/>
                <w:spacing w:val="-4"/>
                <w:sz w:val="22"/>
                <w:szCs w:val="22"/>
              </w:rPr>
            </w:pPr>
            <w:r w:rsidRPr="00E52DAD">
              <w:rPr>
                <w:rFonts w:ascii="Arial" w:hAnsi="Arial"/>
                <w:b/>
                <w:spacing w:val="-4"/>
                <w:sz w:val="22"/>
              </w:rPr>
              <w:t>La réglementation intègre de nouvelles charges administratives.</w:t>
            </w:r>
          </w:p>
          <w:p w14:paraId="32C3ECA2" w14:textId="77777777" w:rsidR="00AA2FE0" w:rsidRPr="00E52DAD" w:rsidRDefault="00AA2FE0" w:rsidP="00AA2FE0">
            <w:pPr>
              <w:pStyle w:val="BodyTextIndent3"/>
              <w:spacing w:before="120"/>
              <w:ind w:left="0"/>
              <w:rPr>
                <w:rFonts w:ascii="Arial" w:hAnsi="Arial" w:cs="Arial"/>
                <w:b/>
                <w:spacing w:val="-4"/>
                <w:sz w:val="22"/>
                <w:szCs w:val="22"/>
              </w:rPr>
            </w:pPr>
            <w:proofErr w:type="gramStart"/>
            <w:r w:rsidRPr="00E52DAD">
              <w:rPr>
                <w:rFonts w:ascii="Arial" w:hAnsi="Arial"/>
                <w:b/>
                <w:spacing w:val="-4"/>
                <w:sz w:val="22"/>
              </w:rPr>
              <w:t>Estimation:</w:t>
            </w:r>
            <w:proofErr w:type="gramEnd"/>
            <w:r w:rsidRPr="00E52DAD">
              <w:rPr>
                <w:rFonts w:ascii="Arial" w:hAnsi="Arial"/>
                <w:b/>
                <w:spacing w:val="-4"/>
                <w:sz w:val="22"/>
              </w:rPr>
              <w:t xml:space="preserve"> </w:t>
            </w:r>
          </w:p>
          <w:tbl>
            <w:tblPr>
              <w:tblpPr w:leftFromText="141" w:rightFromText="141" w:vertAnchor="text" w:horzAnchor="margin" w:tblpXSpec="right" w:tblpY="1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567E99" w:rsidRPr="00E52DAD" w14:paraId="0EB3ACA4" w14:textId="77777777" w:rsidTr="00724849">
              <w:tc>
                <w:tcPr>
                  <w:tcW w:w="419" w:type="dxa"/>
                </w:tcPr>
                <w:p w14:paraId="2159D7AC" w14:textId="77777777" w:rsidR="00AA2FE0" w:rsidRPr="00E52DAD" w:rsidRDefault="00AA2FE0" w:rsidP="00AA2FE0">
                  <w:pPr>
                    <w:pStyle w:val="BodyTextIndent3"/>
                    <w:spacing w:before="120"/>
                    <w:ind w:left="0"/>
                    <w:jc w:val="center"/>
                    <w:rPr>
                      <w:rFonts w:ascii="Arial" w:hAnsi="Arial" w:cs="Arial"/>
                      <w:spacing w:val="-4"/>
                      <w:sz w:val="22"/>
                      <w:szCs w:val="22"/>
                    </w:rPr>
                  </w:pPr>
                  <w:r w:rsidRPr="00E52DAD">
                    <w:rPr>
                      <w:rFonts w:ascii="Arial" w:hAnsi="Arial"/>
                      <w:spacing w:val="-4"/>
                      <w:sz w:val="22"/>
                    </w:rPr>
                    <w:t>X</w:t>
                  </w:r>
                </w:p>
              </w:tc>
            </w:tr>
          </w:tbl>
          <w:p w14:paraId="1DF2CA2D" w14:textId="440FE183" w:rsidR="00AA2FE0" w:rsidRPr="00E52DAD" w:rsidRDefault="00AA2FE0" w:rsidP="00AA2FE0">
            <w:pPr>
              <w:pStyle w:val="BodyTextIndent3"/>
              <w:spacing w:before="120"/>
              <w:ind w:left="0"/>
              <w:rPr>
                <w:rFonts w:ascii="Arial" w:hAnsi="Arial" w:cs="Arial"/>
                <w:b/>
                <w:spacing w:val="-4"/>
                <w:sz w:val="22"/>
                <w:szCs w:val="22"/>
              </w:rPr>
            </w:pPr>
            <w:r w:rsidRPr="00E52DAD">
              <w:rPr>
                <w:rFonts w:ascii="Arial" w:hAnsi="Arial"/>
                <w:b/>
                <w:spacing w:val="-4"/>
                <w:sz w:val="22"/>
              </w:rPr>
              <w:t>La norme n</w:t>
            </w:r>
            <w:r w:rsidR="00DD2821" w:rsidRPr="00E52DAD">
              <w:rPr>
                <w:rFonts w:ascii="Arial" w:hAnsi="Arial"/>
                <w:b/>
                <w:spacing w:val="-4"/>
                <w:sz w:val="22"/>
              </w:rPr>
              <w:t>’</w:t>
            </w:r>
            <w:r w:rsidRPr="00E52DAD">
              <w:rPr>
                <w:rFonts w:ascii="Arial" w:hAnsi="Arial"/>
                <w:b/>
                <w:spacing w:val="-4"/>
                <w:sz w:val="22"/>
              </w:rPr>
              <w:t>affecte pas les charges administratives.</w:t>
            </w:r>
          </w:p>
        </w:tc>
      </w:tr>
      <w:tr w:rsidR="00567E99" w:rsidRPr="00DC6D3D" w14:paraId="56F024D5" w14:textId="77777777" w:rsidTr="00905131">
        <w:tc>
          <w:tcPr>
            <w:tcW w:w="2713" w:type="dxa"/>
            <w:vMerge/>
          </w:tcPr>
          <w:p w14:paraId="4D04547B" w14:textId="77777777" w:rsidR="00AA2FE0" w:rsidRPr="00E52DAD" w:rsidRDefault="00AA2FE0" w:rsidP="00AA2FE0">
            <w:pPr>
              <w:pStyle w:val="BodyTextIndent3"/>
              <w:spacing w:before="240" w:after="0"/>
              <w:ind w:left="0"/>
              <w:jc w:val="both"/>
              <w:rPr>
                <w:rFonts w:ascii="Arial" w:hAnsi="Arial" w:cs="Arial"/>
                <w:b/>
                <w:spacing w:val="-4"/>
                <w:sz w:val="22"/>
                <w:szCs w:val="22"/>
              </w:rPr>
            </w:pPr>
          </w:p>
        </w:tc>
        <w:tc>
          <w:tcPr>
            <w:tcW w:w="2750" w:type="dxa"/>
            <w:shd w:val="clear" w:color="auto" w:fill="auto"/>
          </w:tcPr>
          <w:p w14:paraId="3A29BE23" w14:textId="77777777" w:rsidR="00AA2FE0" w:rsidRPr="00E52DAD" w:rsidRDefault="00AA2FE0" w:rsidP="00AA2FE0">
            <w:pPr>
              <w:pStyle w:val="BodyTextIndent3"/>
              <w:spacing w:before="120"/>
              <w:ind w:left="0"/>
              <w:rPr>
                <w:rFonts w:ascii="Arial" w:hAnsi="Arial" w:cs="Arial"/>
                <w:b/>
                <w:spacing w:val="-4"/>
                <w:sz w:val="22"/>
                <w:szCs w:val="22"/>
              </w:rPr>
            </w:pPr>
            <w:r w:rsidRPr="00E52DAD">
              <w:rPr>
                <w:rFonts w:ascii="Arial" w:hAnsi="Arial"/>
                <w:b/>
                <w:spacing w:val="-4"/>
                <w:sz w:val="22"/>
              </w:rPr>
              <w:t>Effets sur les budgets</w:t>
            </w:r>
          </w:p>
          <w:tbl>
            <w:tblPr>
              <w:tblpPr w:leftFromText="141" w:rightFromText="141" w:vertAnchor="text" w:horzAnchor="margin" w:tblpXSpec="right"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567E99" w:rsidRPr="00E52DAD" w14:paraId="5DCFA513" w14:textId="77777777" w:rsidTr="00724849">
              <w:tc>
                <w:tcPr>
                  <w:tcW w:w="419" w:type="dxa"/>
                </w:tcPr>
                <w:p w14:paraId="6E701B2E" w14:textId="77777777" w:rsidR="00AA2FE0" w:rsidRPr="00E52DAD" w:rsidRDefault="00AA2FE0" w:rsidP="00AA2FE0">
                  <w:pPr>
                    <w:pStyle w:val="BodyTextIndent3"/>
                    <w:spacing w:before="120"/>
                    <w:ind w:left="0"/>
                    <w:jc w:val="center"/>
                    <w:rPr>
                      <w:rFonts w:ascii="Arial" w:hAnsi="Arial" w:cs="Arial"/>
                      <w:spacing w:val="-4"/>
                      <w:sz w:val="22"/>
                      <w:szCs w:val="22"/>
                    </w:rPr>
                  </w:pPr>
                </w:p>
              </w:tc>
            </w:tr>
          </w:tbl>
          <w:p w14:paraId="01FCC35D" w14:textId="545C63EB" w:rsidR="00AA2FE0" w:rsidRPr="00E52DAD" w:rsidRDefault="00AA2FE0" w:rsidP="00AA2FE0">
            <w:pPr>
              <w:pStyle w:val="BodyTextIndent3"/>
              <w:ind w:left="0"/>
              <w:rPr>
                <w:rFonts w:ascii="Arial" w:hAnsi="Arial" w:cs="Arial"/>
                <w:b/>
                <w:spacing w:val="-4"/>
                <w:sz w:val="22"/>
                <w:szCs w:val="22"/>
              </w:rPr>
            </w:pPr>
            <w:r w:rsidRPr="00E52DAD">
              <w:rPr>
                <w:rFonts w:ascii="Arial" w:hAnsi="Arial"/>
                <w:b/>
                <w:spacing w:val="-4"/>
                <w:sz w:val="22"/>
              </w:rPr>
              <w:t>La réglementation affecte les budgets de l’administration de l’État</w:t>
            </w:r>
          </w:p>
          <w:tbl>
            <w:tblPr>
              <w:tblpPr w:leftFromText="141" w:rightFromText="141" w:vertAnchor="text" w:horzAnchor="margin" w:tblpXSpec="right" w:tblpY="2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567E99" w:rsidRPr="00E52DAD" w14:paraId="12E8F0EB" w14:textId="77777777" w:rsidTr="00724849">
              <w:tc>
                <w:tcPr>
                  <w:tcW w:w="419" w:type="dxa"/>
                </w:tcPr>
                <w:p w14:paraId="58DF8B1E" w14:textId="77777777" w:rsidR="00AA2FE0" w:rsidRPr="00E52DAD" w:rsidRDefault="00AA2FE0" w:rsidP="00AA2FE0">
                  <w:pPr>
                    <w:pStyle w:val="BodyTextIndent3"/>
                    <w:spacing w:before="120"/>
                    <w:ind w:left="0"/>
                    <w:jc w:val="center"/>
                    <w:rPr>
                      <w:rFonts w:ascii="Arial" w:hAnsi="Arial" w:cs="Arial"/>
                      <w:spacing w:val="-4"/>
                      <w:sz w:val="22"/>
                      <w:szCs w:val="22"/>
                    </w:rPr>
                  </w:pPr>
                </w:p>
              </w:tc>
            </w:tr>
          </w:tbl>
          <w:p w14:paraId="0D6F2AE3" w14:textId="77720A3B" w:rsidR="00AA2FE0" w:rsidRPr="00E52DAD" w:rsidRDefault="00AA2FE0" w:rsidP="00AA2FE0">
            <w:pPr>
              <w:pStyle w:val="BodyTextIndent3"/>
              <w:spacing w:before="120" w:after="240"/>
              <w:ind w:left="0"/>
              <w:rPr>
                <w:rFonts w:ascii="Arial" w:hAnsi="Arial" w:cs="Arial"/>
                <w:b/>
                <w:spacing w:val="-4"/>
                <w:sz w:val="22"/>
                <w:szCs w:val="22"/>
              </w:rPr>
            </w:pPr>
            <w:r w:rsidRPr="00E52DAD">
              <w:rPr>
                <w:rFonts w:ascii="Arial" w:hAnsi="Arial"/>
                <w:b/>
                <w:spacing w:val="-4"/>
                <w:sz w:val="22"/>
              </w:rPr>
              <w:t>La réglementation affecte les budgets d’autres administrations territoriales</w:t>
            </w:r>
          </w:p>
        </w:tc>
        <w:tc>
          <w:tcPr>
            <w:tcW w:w="3682" w:type="dxa"/>
            <w:gridSpan w:val="3"/>
            <w:shd w:val="clear" w:color="auto" w:fill="auto"/>
          </w:tcPr>
          <w:tbl>
            <w:tblPr>
              <w:tblpPr w:leftFromText="141" w:rightFromText="141" w:vertAnchor="text" w:horzAnchor="margin" w:tblpXSpec="right" w:tblpY="-2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567E99" w:rsidRPr="00E52DAD" w14:paraId="5CA65ADA" w14:textId="77777777" w:rsidTr="00093790">
              <w:tc>
                <w:tcPr>
                  <w:tcW w:w="419" w:type="dxa"/>
                </w:tcPr>
                <w:p w14:paraId="7CCCECD3" w14:textId="77777777" w:rsidR="00093790" w:rsidRPr="00E52DAD" w:rsidRDefault="00093790" w:rsidP="00093790">
                  <w:pPr>
                    <w:pStyle w:val="BodyTextIndent3"/>
                    <w:spacing w:before="120"/>
                    <w:ind w:left="0"/>
                    <w:jc w:val="center"/>
                    <w:rPr>
                      <w:rFonts w:ascii="Arial" w:hAnsi="Arial" w:cs="Arial"/>
                      <w:spacing w:val="-4"/>
                      <w:sz w:val="22"/>
                      <w:szCs w:val="22"/>
                    </w:rPr>
                  </w:pPr>
                </w:p>
              </w:tc>
            </w:tr>
          </w:tbl>
          <w:p w14:paraId="74F8554D" w14:textId="77777777" w:rsidR="00093790" w:rsidRPr="00E52DAD" w:rsidRDefault="00AA2FE0" w:rsidP="00AA2FE0">
            <w:pPr>
              <w:pStyle w:val="BodyTextIndent3"/>
              <w:spacing w:before="120"/>
              <w:ind w:left="0"/>
              <w:rPr>
                <w:rFonts w:ascii="Arial" w:hAnsi="Arial" w:cs="Arial"/>
                <w:b/>
                <w:spacing w:val="-4"/>
                <w:sz w:val="22"/>
                <w:szCs w:val="22"/>
              </w:rPr>
            </w:pPr>
            <w:r w:rsidRPr="00E52DAD">
              <w:rPr>
                <w:rFonts w:ascii="Arial" w:hAnsi="Arial"/>
                <w:b/>
                <w:spacing w:val="-4"/>
                <w:sz w:val="22"/>
              </w:rPr>
              <w:t>La norme implique des dépenses.</w:t>
            </w:r>
          </w:p>
          <w:p w14:paraId="75ED71B1" w14:textId="77777777" w:rsidR="00AA2FE0" w:rsidRPr="00E52DAD" w:rsidRDefault="00AA2FE0" w:rsidP="00AA2FE0">
            <w:pPr>
              <w:pStyle w:val="BodyTextIndent3"/>
              <w:spacing w:before="480"/>
              <w:ind w:left="0"/>
              <w:rPr>
                <w:rFonts w:ascii="Arial" w:hAnsi="Arial" w:cs="Arial"/>
                <w:b/>
                <w:spacing w:val="-4"/>
                <w:sz w:val="22"/>
                <w:szCs w:val="22"/>
              </w:rPr>
            </w:pPr>
            <w:r w:rsidRPr="00E52DAD">
              <w:rPr>
                <w:rFonts w:ascii="Arial" w:hAnsi="Arial"/>
                <w:b/>
                <w:spacing w:val="-4"/>
                <w:sz w:val="22"/>
              </w:rPr>
              <w:lastRenderedPageBreak/>
              <w:t>La réglementation implique des recettes.</w:t>
            </w:r>
          </w:p>
          <w:tbl>
            <w:tblPr>
              <w:tblpPr w:leftFromText="141" w:rightFromText="141" w:vertAnchor="text" w:horzAnchor="margin" w:tblpXSpec="right" w:tblpY="-3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567E99" w:rsidRPr="00E52DAD" w14:paraId="06E4A883" w14:textId="77777777" w:rsidTr="00093790">
              <w:tc>
                <w:tcPr>
                  <w:tcW w:w="419" w:type="dxa"/>
                </w:tcPr>
                <w:p w14:paraId="312F83EB" w14:textId="77777777" w:rsidR="00093790" w:rsidRPr="00E52DAD" w:rsidRDefault="00093790" w:rsidP="00093790">
                  <w:pPr>
                    <w:pStyle w:val="BodyTextIndent3"/>
                    <w:spacing w:before="120"/>
                    <w:ind w:left="0"/>
                    <w:jc w:val="center"/>
                    <w:rPr>
                      <w:rFonts w:ascii="Arial" w:hAnsi="Arial" w:cs="Arial"/>
                      <w:spacing w:val="-4"/>
                      <w:sz w:val="22"/>
                      <w:szCs w:val="22"/>
                    </w:rPr>
                  </w:pPr>
                </w:p>
              </w:tc>
            </w:tr>
          </w:tbl>
          <w:p w14:paraId="0D2170C6" w14:textId="77777777" w:rsidR="00AA2FE0" w:rsidRPr="00E52DAD" w:rsidRDefault="00AA2FE0" w:rsidP="00AA2FE0">
            <w:pPr>
              <w:pStyle w:val="BodyTextIndent3"/>
              <w:spacing w:before="120"/>
              <w:ind w:left="0"/>
              <w:jc w:val="both"/>
              <w:rPr>
                <w:rFonts w:ascii="Arial" w:hAnsi="Arial" w:cs="Arial"/>
                <w:b/>
                <w:spacing w:val="-4"/>
                <w:sz w:val="22"/>
                <w:szCs w:val="22"/>
              </w:rPr>
            </w:pPr>
          </w:p>
        </w:tc>
      </w:tr>
      <w:tr w:rsidR="00567E99" w:rsidRPr="00DC6D3D" w14:paraId="25DC1A29" w14:textId="77777777" w:rsidTr="00905131">
        <w:tc>
          <w:tcPr>
            <w:tcW w:w="2713" w:type="dxa"/>
          </w:tcPr>
          <w:p w14:paraId="55C1F577" w14:textId="77777777" w:rsidR="00AA2FE0" w:rsidRPr="00E52DAD" w:rsidRDefault="00AA2FE0" w:rsidP="00AA2FE0">
            <w:pPr>
              <w:pStyle w:val="BodyTextIndent3"/>
              <w:spacing w:before="120"/>
              <w:ind w:left="0"/>
              <w:rPr>
                <w:rFonts w:ascii="Arial" w:hAnsi="Arial" w:cs="Arial"/>
                <w:b/>
                <w:spacing w:val="-4"/>
                <w:sz w:val="22"/>
                <w:szCs w:val="22"/>
              </w:rPr>
            </w:pPr>
            <w:r w:rsidRPr="00E52DAD">
              <w:rPr>
                <w:rFonts w:ascii="Arial" w:hAnsi="Arial"/>
                <w:b/>
                <w:spacing w:val="-4"/>
                <w:sz w:val="22"/>
              </w:rPr>
              <w:lastRenderedPageBreak/>
              <w:t>Impact selon le genre</w:t>
            </w:r>
          </w:p>
        </w:tc>
        <w:tc>
          <w:tcPr>
            <w:tcW w:w="2750" w:type="dxa"/>
            <w:shd w:val="clear" w:color="auto" w:fill="auto"/>
          </w:tcPr>
          <w:p w14:paraId="0CF2BA43" w14:textId="77777777" w:rsidR="00AA2FE0" w:rsidRPr="00E52DAD" w:rsidRDefault="00AA2FE0" w:rsidP="00AA2FE0">
            <w:pPr>
              <w:pStyle w:val="BodyTextIndent3"/>
              <w:spacing w:before="120"/>
              <w:ind w:left="0"/>
              <w:rPr>
                <w:rFonts w:ascii="Arial" w:hAnsi="Arial" w:cs="Arial"/>
                <w:b/>
                <w:spacing w:val="-4"/>
                <w:sz w:val="22"/>
                <w:szCs w:val="22"/>
              </w:rPr>
            </w:pPr>
            <w:r w:rsidRPr="00E52DAD">
              <w:rPr>
                <w:rFonts w:ascii="Arial" w:hAnsi="Arial"/>
                <w:b/>
                <w:spacing w:val="-4"/>
                <w:sz w:val="22"/>
              </w:rPr>
              <w:t>La réglementation a un impact selon le genre</w:t>
            </w:r>
          </w:p>
        </w:tc>
        <w:tc>
          <w:tcPr>
            <w:tcW w:w="3682" w:type="dxa"/>
            <w:gridSpan w:val="3"/>
            <w:shd w:val="clear" w:color="auto" w:fill="auto"/>
          </w:tcPr>
          <w:tbl>
            <w:tblPr>
              <w:tblpPr w:leftFromText="141" w:rightFromText="141" w:vertAnchor="text" w:horzAnchor="margin" w:tblpXSpec="right"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567E99" w:rsidRPr="00E52DAD" w14:paraId="79345622" w14:textId="77777777" w:rsidTr="00724849">
              <w:tc>
                <w:tcPr>
                  <w:tcW w:w="419" w:type="dxa"/>
                </w:tcPr>
                <w:p w14:paraId="56E0629F" w14:textId="77777777" w:rsidR="00AA2FE0" w:rsidRPr="00E52DAD" w:rsidRDefault="00AA2FE0" w:rsidP="00AA2FE0">
                  <w:pPr>
                    <w:pStyle w:val="BodyTextIndent3"/>
                    <w:spacing w:before="120"/>
                    <w:ind w:left="0"/>
                    <w:jc w:val="center"/>
                    <w:rPr>
                      <w:rFonts w:ascii="Arial" w:hAnsi="Arial" w:cs="Arial"/>
                      <w:spacing w:val="-4"/>
                      <w:sz w:val="22"/>
                      <w:szCs w:val="22"/>
                    </w:rPr>
                  </w:pPr>
                </w:p>
              </w:tc>
            </w:tr>
          </w:tbl>
          <w:p w14:paraId="67D95787" w14:textId="77777777" w:rsidR="00AA2FE0" w:rsidRPr="00E52DAD" w:rsidRDefault="00AA2FE0" w:rsidP="00AA2FE0">
            <w:pPr>
              <w:pStyle w:val="BodyTextIndent3"/>
              <w:spacing w:before="120"/>
              <w:ind w:left="0"/>
              <w:jc w:val="both"/>
              <w:rPr>
                <w:rFonts w:ascii="Arial" w:hAnsi="Arial" w:cs="Arial"/>
                <w:b/>
                <w:spacing w:val="-4"/>
                <w:sz w:val="22"/>
                <w:szCs w:val="22"/>
              </w:rPr>
            </w:pPr>
            <w:r w:rsidRPr="00E52DAD">
              <w:rPr>
                <w:rFonts w:ascii="Arial" w:hAnsi="Arial"/>
                <w:b/>
                <w:spacing w:val="-4"/>
                <w:sz w:val="22"/>
              </w:rPr>
              <w:t>Négatif</w:t>
            </w:r>
          </w:p>
          <w:p w14:paraId="17FFB594" w14:textId="77777777" w:rsidR="00AA2FE0" w:rsidRPr="00E52DAD" w:rsidRDefault="00AA2FE0" w:rsidP="00AA2FE0">
            <w:pPr>
              <w:pStyle w:val="BodyTextIndent3"/>
              <w:spacing w:before="120"/>
              <w:ind w:left="0"/>
              <w:jc w:val="both"/>
              <w:rPr>
                <w:rFonts w:ascii="Arial" w:hAnsi="Arial" w:cs="Arial"/>
                <w:b/>
                <w:spacing w:val="-4"/>
                <w:sz w:val="22"/>
                <w:szCs w:val="22"/>
              </w:rPr>
            </w:pPr>
          </w:p>
          <w:tbl>
            <w:tblPr>
              <w:tblpPr w:leftFromText="141" w:rightFromText="141" w:vertAnchor="text" w:horzAnchor="margin" w:tblpXSpec="right" w:tblpY="-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567E99" w:rsidRPr="00E52DAD" w14:paraId="52F4EF02" w14:textId="77777777" w:rsidTr="00093790">
              <w:tc>
                <w:tcPr>
                  <w:tcW w:w="419" w:type="dxa"/>
                </w:tcPr>
                <w:p w14:paraId="47E5B8F2" w14:textId="77777777" w:rsidR="00093790" w:rsidRPr="00E52DAD" w:rsidRDefault="00093790" w:rsidP="00093790">
                  <w:pPr>
                    <w:pStyle w:val="BodyTextIndent3"/>
                    <w:spacing w:before="120"/>
                    <w:ind w:left="0"/>
                    <w:jc w:val="center"/>
                    <w:rPr>
                      <w:rFonts w:ascii="Arial" w:hAnsi="Arial" w:cs="Arial"/>
                      <w:spacing w:val="-4"/>
                      <w:sz w:val="22"/>
                      <w:szCs w:val="22"/>
                    </w:rPr>
                  </w:pPr>
                  <w:r w:rsidRPr="00E52DAD">
                    <w:rPr>
                      <w:rFonts w:ascii="Arial" w:hAnsi="Arial"/>
                      <w:spacing w:val="-4"/>
                      <w:sz w:val="22"/>
                    </w:rPr>
                    <w:t>X</w:t>
                  </w:r>
                </w:p>
              </w:tc>
            </w:tr>
          </w:tbl>
          <w:p w14:paraId="19820A6D" w14:textId="77777777" w:rsidR="00093790" w:rsidRPr="00E52DAD" w:rsidRDefault="00AA2FE0" w:rsidP="00AA2FE0">
            <w:pPr>
              <w:pStyle w:val="BodyTextIndent3"/>
              <w:spacing w:before="120"/>
              <w:ind w:left="0"/>
              <w:jc w:val="both"/>
              <w:rPr>
                <w:rFonts w:ascii="Arial" w:hAnsi="Arial" w:cs="Arial"/>
                <w:b/>
                <w:spacing w:val="-4"/>
                <w:sz w:val="22"/>
                <w:szCs w:val="22"/>
              </w:rPr>
            </w:pPr>
            <w:r w:rsidRPr="00E52DAD">
              <w:rPr>
                <w:rFonts w:ascii="Arial" w:hAnsi="Arial"/>
                <w:b/>
                <w:spacing w:val="-4"/>
                <w:sz w:val="22"/>
              </w:rPr>
              <w:t>Nul</w:t>
            </w:r>
          </w:p>
          <w:p w14:paraId="2CD6C440" w14:textId="77777777" w:rsidR="00AA2FE0" w:rsidRPr="00E52DAD" w:rsidRDefault="00AA2FE0" w:rsidP="00AA2FE0">
            <w:pPr>
              <w:pStyle w:val="BodyTextIndent3"/>
              <w:spacing w:before="120"/>
              <w:ind w:left="0"/>
              <w:jc w:val="both"/>
              <w:rPr>
                <w:rFonts w:ascii="Arial" w:hAnsi="Arial" w:cs="Arial"/>
                <w:b/>
                <w:spacing w:val="-4"/>
                <w:sz w:val="22"/>
                <w:szCs w:val="22"/>
              </w:rPr>
            </w:pPr>
          </w:p>
          <w:p w14:paraId="46339E1F" w14:textId="77777777" w:rsidR="00093790" w:rsidRPr="00E52DAD" w:rsidRDefault="00AA2FE0" w:rsidP="00AA2FE0">
            <w:pPr>
              <w:pStyle w:val="BodyTextIndent3"/>
              <w:spacing w:before="120"/>
              <w:ind w:left="0"/>
              <w:jc w:val="both"/>
              <w:rPr>
                <w:rFonts w:ascii="Arial" w:hAnsi="Arial" w:cs="Arial"/>
                <w:b/>
                <w:spacing w:val="-4"/>
                <w:sz w:val="22"/>
                <w:szCs w:val="22"/>
              </w:rPr>
            </w:pPr>
            <w:r w:rsidRPr="00E52DAD">
              <w:rPr>
                <w:rFonts w:ascii="Arial" w:hAnsi="Arial"/>
                <w:b/>
                <w:spacing w:val="-4"/>
                <w:sz w:val="22"/>
              </w:rPr>
              <w:t>Positif</w:t>
            </w:r>
          </w:p>
          <w:tbl>
            <w:tblPr>
              <w:tblpPr w:leftFromText="141" w:rightFromText="141" w:vertAnchor="text" w:horzAnchor="margin" w:tblpXSpec="right" w:tblpY="-3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tblGrid>
            <w:tr w:rsidR="00567E99" w:rsidRPr="00E52DAD" w14:paraId="24D7AF1A" w14:textId="77777777" w:rsidTr="00A22EAB">
              <w:tc>
                <w:tcPr>
                  <w:tcW w:w="419" w:type="dxa"/>
                </w:tcPr>
                <w:p w14:paraId="4545E10E" w14:textId="77777777" w:rsidR="00093790" w:rsidRPr="00E52DAD" w:rsidRDefault="00093790" w:rsidP="00093790">
                  <w:pPr>
                    <w:pStyle w:val="BodyTextIndent3"/>
                    <w:spacing w:before="120"/>
                    <w:ind w:left="0"/>
                    <w:jc w:val="center"/>
                    <w:rPr>
                      <w:rFonts w:ascii="Arial" w:hAnsi="Arial" w:cs="Arial"/>
                      <w:spacing w:val="-4"/>
                      <w:sz w:val="22"/>
                      <w:szCs w:val="22"/>
                    </w:rPr>
                  </w:pPr>
                </w:p>
              </w:tc>
            </w:tr>
          </w:tbl>
          <w:p w14:paraId="01654A32" w14:textId="77777777" w:rsidR="00AA2FE0" w:rsidRPr="00E52DAD" w:rsidRDefault="00AA2FE0" w:rsidP="00AA2FE0">
            <w:pPr>
              <w:pStyle w:val="BodyTextIndent3"/>
              <w:spacing w:before="120"/>
              <w:ind w:left="0"/>
              <w:jc w:val="both"/>
              <w:rPr>
                <w:rFonts w:ascii="Arial" w:hAnsi="Arial" w:cs="Arial"/>
                <w:b/>
                <w:spacing w:val="-4"/>
                <w:sz w:val="22"/>
                <w:szCs w:val="22"/>
              </w:rPr>
            </w:pPr>
          </w:p>
        </w:tc>
      </w:tr>
      <w:tr w:rsidR="00567E99" w:rsidRPr="00DC6D3D" w14:paraId="03A63B99" w14:textId="77777777" w:rsidTr="00905131">
        <w:tc>
          <w:tcPr>
            <w:tcW w:w="2713" w:type="dxa"/>
          </w:tcPr>
          <w:p w14:paraId="07E46101" w14:textId="77777777" w:rsidR="00AA2FE0" w:rsidRPr="00E52DAD" w:rsidRDefault="00AA2FE0" w:rsidP="00AA2FE0">
            <w:pPr>
              <w:pStyle w:val="BodyTextIndent3"/>
              <w:spacing w:before="120"/>
              <w:ind w:left="0"/>
              <w:rPr>
                <w:rFonts w:ascii="Arial" w:hAnsi="Arial" w:cs="Arial"/>
                <w:b/>
                <w:spacing w:val="-4"/>
                <w:sz w:val="22"/>
                <w:szCs w:val="22"/>
              </w:rPr>
            </w:pPr>
            <w:r w:rsidRPr="00E52DAD">
              <w:rPr>
                <w:rFonts w:ascii="Arial" w:hAnsi="Arial"/>
                <w:b/>
                <w:spacing w:val="-4"/>
                <w:sz w:val="22"/>
              </w:rPr>
              <w:t>Autres impacts considérés</w:t>
            </w:r>
          </w:p>
        </w:tc>
        <w:tc>
          <w:tcPr>
            <w:tcW w:w="6432" w:type="dxa"/>
            <w:gridSpan w:val="4"/>
            <w:shd w:val="clear" w:color="auto" w:fill="auto"/>
          </w:tcPr>
          <w:p w14:paraId="5F6A14A1" w14:textId="1EAFE8E5" w:rsidR="00AA2FE0" w:rsidRPr="00E52DAD" w:rsidRDefault="00AA2FE0" w:rsidP="00AA2FE0">
            <w:pPr>
              <w:pStyle w:val="BodyTextIndent3"/>
              <w:spacing w:before="120"/>
              <w:ind w:left="0"/>
              <w:jc w:val="both"/>
              <w:rPr>
                <w:rFonts w:ascii="Arial" w:hAnsi="Arial" w:cs="Arial"/>
                <w:spacing w:val="-4"/>
                <w:sz w:val="22"/>
                <w:szCs w:val="22"/>
              </w:rPr>
            </w:pPr>
            <w:r w:rsidRPr="00E52DAD">
              <w:rPr>
                <w:rFonts w:ascii="Arial" w:hAnsi="Arial"/>
                <w:spacing w:val="-4"/>
                <w:sz w:val="22"/>
              </w:rPr>
              <w:t>Impact en matière d</w:t>
            </w:r>
            <w:r w:rsidR="00DD2821" w:rsidRPr="00E52DAD">
              <w:rPr>
                <w:rFonts w:ascii="Arial" w:hAnsi="Arial"/>
                <w:spacing w:val="-4"/>
                <w:sz w:val="22"/>
              </w:rPr>
              <w:t>’</w:t>
            </w:r>
            <w:r w:rsidRPr="00E52DAD">
              <w:rPr>
                <w:rFonts w:ascii="Arial" w:hAnsi="Arial"/>
                <w:spacing w:val="-4"/>
                <w:sz w:val="22"/>
              </w:rPr>
              <w:t>égalité des chances, de non-discrimination et d</w:t>
            </w:r>
            <w:r w:rsidR="00DD2821" w:rsidRPr="00E52DAD">
              <w:rPr>
                <w:rFonts w:ascii="Arial" w:hAnsi="Arial"/>
                <w:spacing w:val="-4"/>
                <w:sz w:val="22"/>
              </w:rPr>
              <w:t>’</w:t>
            </w:r>
            <w:r w:rsidRPr="00E52DAD">
              <w:rPr>
                <w:rFonts w:ascii="Arial" w:hAnsi="Arial"/>
                <w:spacing w:val="-4"/>
                <w:sz w:val="22"/>
              </w:rPr>
              <w:t>accessibilité universelle des personnes handicapées, impact sur la famille, l’enfance et les adolescents, impact sur l</w:t>
            </w:r>
            <w:r w:rsidR="00DD2821" w:rsidRPr="00E52DAD">
              <w:rPr>
                <w:rFonts w:ascii="Arial" w:hAnsi="Arial"/>
                <w:spacing w:val="-4"/>
                <w:sz w:val="22"/>
              </w:rPr>
              <w:t>’</w:t>
            </w:r>
            <w:r w:rsidRPr="00E52DAD">
              <w:rPr>
                <w:rFonts w:ascii="Arial" w:hAnsi="Arial"/>
                <w:spacing w:val="-4"/>
                <w:sz w:val="22"/>
              </w:rPr>
              <w:t>unité de marché.</w:t>
            </w:r>
          </w:p>
        </w:tc>
      </w:tr>
      <w:tr w:rsidR="00567E99" w:rsidRPr="00DC6D3D" w14:paraId="171BD8CA" w14:textId="77777777" w:rsidTr="00905131">
        <w:tc>
          <w:tcPr>
            <w:tcW w:w="2713" w:type="dxa"/>
          </w:tcPr>
          <w:p w14:paraId="1B4902F3" w14:textId="77777777" w:rsidR="00AA2FE0" w:rsidRPr="00E52DAD" w:rsidRDefault="00AA2FE0" w:rsidP="00AA2FE0">
            <w:pPr>
              <w:pStyle w:val="BodyTextIndent3"/>
              <w:spacing w:before="120"/>
              <w:ind w:left="0"/>
              <w:rPr>
                <w:rFonts w:ascii="Arial" w:hAnsi="Arial" w:cs="Arial"/>
                <w:b/>
                <w:spacing w:val="-4"/>
                <w:sz w:val="22"/>
                <w:szCs w:val="22"/>
              </w:rPr>
            </w:pPr>
            <w:r w:rsidRPr="00E52DAD">
              <w:rPr>
                <w:rFonts w:ascii="Arial" w:hAnsi="Arial"/>
                <w:b/>
                <w:spacing w:val="-4"/>
                <w:sz w:val="22"/>
              </w:rPr>
              <w:t>Autres considérations</w:t>
            </w:r>
          </w:p>
        </w:tc>
        <w:tc>
          <w:tcPr>
            <w:tcW w:w="6432" w:type="dxa"/>
            <w:gridSpan w:val="4"/>
            <w:shd w:val="clear" w:color="auto" w:fill="auto"/>
          </w:tcPr>
          <w:p w14:paraId="5B02D7C0" w14:textId="77777777" w:rsidR="00AA2FE0" w:rsidRPr="00E52DAD" w:rsidRDefault="00AA2FE0" w:rsidP="00AA2FE0">
            <w:pPr>
              <w:pStyle w:val="BodyTextIndent3"/>
              <w:spacing w:before="120"/>
              <w:ind w:left="0"/>
              <w:rPr>
                <w:rFonts w:ascii="Arial" w:hAnsi="Arial" w:cs="Arial"/>
                <w:spacing w:val="-4"/>
                <w:sz w:val="22"/>
                <w:szCs w:val="22"/>
              </w:rPr>
            </w:pPr>
          </w:p>
        </w:tc>
      </w:tr>
    </w:tbl>
    <w:p w14:paraId="22587069" w14:textId="77777777" w:rsidR="00676019" w:rsidRPr="00DC6D3D" w:rsidRDefault="00676019" w:rsidP="00093790">
      <w:pPr>
        <w:pStyle w:val="Heading2"/>
        <w:pageBreakBefore/>
        <w:numPr>
          <w:ilvl w:val="0"/>
          <w:numId w:val="0"/>
        </w:numPr>
        <w:spacing w:before="960"/>
        <w:ind w:left="576" w:hanging="576"/>
      </w:pPr>
      <w:r>
        <w:lastRenderedPageBreak/>
        <w:t>I. EXPOSÉ DES MOTIFS DE LA PROPOSITION</w:t>
      </w:r>
    </w:p>
    <w:p w14:paraId="35DD3A5F" w14:textId="77777777" w:rsidR="00676019" w:rsidRPr="00DC6D3D" w:rsidRDefault="00676019" w:rsidP="00676019">
      <w:pPr>
        <w:pStyle w:val="Heading3"/>
        <w:numPr>
          <w:ilvl w:val="0"/>
          <w:numId w:val="0"/>
        </w:numPr>
        <w:spacing w:before="480"/>
        <w:rPr>
          <w:color w:val="auto"/>
        </w:rPr>
      </w:pPr>
      <w:r>
        <w:rPr>
          <w:color w:val="auto"/>
          <w:u w:val="none"/>
        </w:rPr>
        <w:t xml:space="preserve">1. </w:t>
      </w:r>
      <w:r>
        <w:rPr>
          <w:color w:val="auto"/>
        </w:rPr>
        <w:t>Raison d’être</w:t>
      </w:r>
    </w:p>
    <w:p w14:paraId="03151A45" w14:textId="08E997BD" w:rsidR="00676019" w:rsidRPr="00DC6D3D" w:rsidRDefault="00676019" w:rsidP="00676019">
      <w:pPr>
        <w:keepNext/>
        <w:rPr>
          <w:szCs w:val="24"/>
        </w:rPr>
      </w:pPr>
      <w:r>
        <w:t>Le projet de décret royal portant approbation de la norme de qualité applicable aux huiles d’olive et de grignons d</w:t>
      </w:r>
      <w:r w:rsidR="00DD2821">
        <w:t>’</w:t>
      </w:r>
      <w:r>
        <w:t xml:space="preserve">olive est motivé par les constats </w:t>
      </w:r>
      <w:proofErr w:type="gramStart"/>
      <w:r>
        <w:t>suivants:</w:t>
      </w:r>
      <w:proofErr w:type="gramEnd"/>
    </w:p>
    <w:p w14:paraId="5B9D6EAE" w14:textId="300FD018" w:rsidR="00676019" w:rsidRPr="00DC6D3D" w:rsidRDefault="00676019" w:rsidP="00676019">
      <w:pPr>
        <w:numPr>
          <w:ilvl w:val="0"/>
          <w:numId w:val="6"/>
        </w:numPr>
      </w:pPr>
      <w:r>
        <w:t>La quatrième disposition finale de la loi nº 28/2015 du 30 juillet 2015 pour la défense de la qualité alimentaire autorise le gouvernement à approuver des normes de qualité des denrées alimentaires, avec l</w:t>
      </w:r>
      <w:r w:rsidR="00DD2821">
        <w:t>’</w:t>
      </w:r>
      <w:r>
        <w:t>objectif, entre autres, d</w:t>
      </w:r>
      <w:r w:rsidR="00DD2821">
        <w:t>’</w:t>
      </w:r>
      <w:r>
        <w:t>adapter à la réglementation de l</w:t>
      </w:r>
      <w:r w:rsidR="00DD2821">
        <w:t>’</w:t>
      </w:r>
      <w:r>
        <w:t>Union européenne, de simplifier, de moderniser et valoriser les réglementations existantes, ainsi que d</w:t>
      </w:r>
      <w:r w:rsidR="00DD2821">
        <w:t>’</w:t>
      </w:r>
      <w:r>
        <w:t>améliorer la compétitivité du secteur, en incluant les avancées réalisées grâce à l</w:t>
      </w:r>
      <w:r w:rsidR="00DD2821">
        <w:t>’</w:t>
      </w:r>
      <w:r>
        <w:t>innovation technologique.</w:t>
      </w:r>
    </w:p>
    <w:p w14:paraId="41ABEA19" w14:textId="0D6D4A69" w:rsidR="00676019" w:rsidRPr="00DC6D3D" w:rsidRDefault="00676019" w:rsidP="00676019">
      <w:pPr>
        <w:numPr>
          <w:ilvl w:val="0"/>
          <w:numId w:val="6"/>
        </w:numPr>
        <w:ind w:left="641" w:hanging="357"/>
      </w:pPr>
      <w:r>
        <w:t>Les évolutions du marché de l</w:t>
      </w:r>
      <w:r w:rsidR="00DD2821">
        <w:t>’</w:t>
      </w:r>
      <w:r>
        <w:t>huile d</w:t>
      </w:r>
      <w:r w:rsidR="00DD2821">
        <w:t>’</w:t>
      </w:r>
      <w:r>
        <w:t>olive et de grignons d</w:t>
      </w:r>
      <w:r w:rsidR="00DD2821">
        <w:t>’</w:t>
      </w:r>
      <w:r>
        <w:t>olive justifient de mettre à jour la réglementation spécifique à ces produits, notamment en ce qui concerne la qualité alimentaire de la production d</w:t>
      </w:r>
      <w:r w:rsidR="00DD2821">
        <w:t>’</w:t>
      </w:r>
      <w:r>
        <w:t>huile d</w:t>
      </w:r>
      <w:r w:rsidR="00DD2821">
        <w:t>’</w:t>
      </w:r>
      <w:r>
        <w:t>olive et de grignons d</w:t>
      </w:r>
      <w:r w:rsidR="00DD2821">
        <w:t>’</w:t>
      </w:r>
      <w:r>
        <w:t>olive en Espagne.</w:t>
      </w:r>
    </w:p>
    <w:p w14:paraId="7B40863D" w14:textId="61150DFE" w:rsidR="00676019" w:rsidRPr="00DC6D3D" w:rsidRDefault="00676019" w:rsidP="00676019">
      <w:pPr>
        <w:rPr>
          <w:rFonts w:cs="Arial"/>
          <w:szCs w:val="24"/>
        </w:rPr>
      </w:pPr>
      <w:r>
        <w:t>Cette modification de la réglementation sur l</w:t>
      </w:r>
      <w:r w:rsidR="00DD2821">
        <w:t>’</w:t>
      </w:r>
      <w:r>
        <w:t>huile d</w:t>
      </w:r>
      <w:r w:rsidR="00DD2821">
        <w:t>’</w:t>
      </w:r>
      <w:r>
        <w:t>olive vise à garantir la qualité supérieure de ce produit et à éviter les fraudes dans ce secteur. Elle s’inscrit également dans le cadre de mise à jour des normes de qualité à l’initiative du ministère de l</w:t>
      </w:r>
      <w:r w:rsidR="00DD2821">
        <w:t>’</w:t>
      </w:r>
      <w:r>
        <w:t>agriculture, de la pêche et de l</w:t>
      </w:r>
      <w:r w:rsidR="00DD2821">
        <w:t>’</w:t>
      </w:r>
      <w:r>
        <w:t>alimentation.</w:t>
      </w:r>
    </w:p>
    <w:p w14:paraId="756AC519" w14:textId="52D8FA0B" w:rsidR="00676019" w:rsidRPr="00DC6D3D" w:rsidRDefault="00676019" w:rsidP="00676019">
      <w:r>
        <w:t>Ce projet de décret royal concerne les producteurs d</w:t>
      </w:r>
      <w:r w:rsidR="00DD2821">
        <w:t>’</w:t>
      </w:r>
      <w:r>
        <w:t>huile d</w:t>
      </w:r>
      <w:r w:rsidR="00DD2821">
        <w:t>’</w:t>
      </w:r>
      <w:r>
        <w:t>olive et de grignons d</w:t>
      </w:r>
      <w:r w:rsidR="00DD2821">
        <w:t>’</w:t>
      </w:r>
      <w:r>
        <w:t>olive en Espagne, les opérateurs qui les commercialisent et les consommateurs. Il a également une influence indirecte sur les fournisseurs des matières premières à partir desquelles ces produits peuvent être fabriqués.</w:t>
      </w:r>
    </w:p>
    <w:p w14:paraId="1C184280" w14:textId="77777777" w:rsidR="00676019" w:rsidRPr="00DC6D3D" w:rsidRDefault="00676019" w:rsidP="00676019">
      <w:pPr>
        <w:pStyle w:val="Heading3"/>
        <w:numPr>
          <w:ilvl w:val="0"/>
          <w:numId w:val="0"/>
        </w:numPr>
        <w:spacing w:before="480"/>
        <w:rPr>
          <w:color w:val="auto"/>
        </w:rPr>
      </w:pPr>
      <w:r>
        <w:rPr>
          <w:color w:val="auto"/>
          <w:u w:val="none"/>
        </w:rPr>
        <w:t xml:space="preserve">2. </w:t>
      </w:r>
      <w:r>
        <w:rPr>
          <w:color w:val="auto"/>
        </w:rPr>
        <w:t>Objectifs</w:t>
      </w:r>
    </w:p>
    <w:p w14:paraId="69BBEA0F" w14:textId="4A3BC8DF" w:rsidR="00676019" w:rsidRPr="00DC6D3D" w:rsidRDefault="00676019" w:rsidP="00676019">
      <w:pPr>
        <w:numPr>
          <w:ilvl w:val="0"/>
          <w:numId w:val="6"/>
        </w:numPr>
      </w:pPr>
      <w:r>
        <w:t>Améliorer la compétitivité du secteur national de l</w:t>
      </w:r>
      <w:r w:rsidR="00DD2821">
        <w:t>’</w:t>
      </w:r>
      <w:r>
        <w:t>huile d</w:t>
      </w:r>
      <w:r w:rsidR="00DD2821">
        <w:t>’</w:t>
      </w:r>
      <w:r>
        <w:t>olive et de grignons d</w:t>
      </w:r>
      <w:r w:rsidR="00DD2821">
        <w:t>’</w:t>
      </w:r>
      <w:r>
        <w:t>olive, garantir une concurrence loyale entre les installations du secteur et offrir les mêmes conditions à tous les producteurs.</w:t>
      </w:r>
    </w:p>
    <w:p w14:paraId="690F3F2D" w14:textId="563308A2" w:rsidR="00676019" w:rsidRPr="00DC6D3D" w:rsidRDefault="00676019" w:rsidP="00676019">
      <w:pPr>
        <w:numPr>
          <w:ilvl w:val="0"/>
          <w:numId w:val="6"/>
        </w:numPr>
      </w:pPr>
      <w:r>
        <w:t>Mettre à jour les réglementations nationales applicables à l</w:t>
      </w:r>
      <w:r w:rsidR="00DD2821">
        <w:t>’</w:t>
      </w:r>
      <w:r>
        <w:t>huile d</w:t>
      </w:r>
      <w:r w:rsidR="00DD2821">
        <w:t>’</w:t>
      </w:r>
      <w:r>
        <w:t>olive et de grignons d</w:t>
      </w:r>
      <w:r w:rsidR="00DD2821">
        <w:t>’</w:t>
      </w:r>
      <w:r>
        <w:t>olive afin de promouvoir la qualité des aliments.</w:t>
      </w:r>
    </w:p>
    <w:p w14:paraId="08F7999C" w14:textId="22E760C1" w:rsidR="00676019" w:rsidRPr="00DC6D3D" w:rsidRDefault="00676019" w:rsidP="00676019">
      <w:pPr>
        <w:numPr>
          <w:ilvl w:val="0"/>
          <w:numId w:val="6"/>
        </w:numPr>
      </w:pPr>
      <w:r>
        <w:t>Introduire des exigences de traçabilité supplémentaires encadrant la production et la commercialisation d</w:t>
      </w:r>
      <w:r w:rsidR="00DD2821">
        <w:t>’</w:t>
      </w:r>
      <w:r>
        <w:t>huile d</w:t>
      </w:r>
      <w:r w:rsidR="00DD2821">
        <w:t>’</w:t>
      </w:r>
      <w:r>
        <w:t>olive.</w:t>
      </w:r>
    </w:p>
    <w:p w14:paraId="1DCCBD9B" w14:textId="77777777" w:rsidR="00676019" w:rsidRPr="00DC6D3D" w:rsidRDefault="00676019" w:rsidP="00676019">
      <w:pPr>
        <w:numPr>
          <w:ilvl w:val="0"/>
          <w:numId w:val="6"/>
        </w:numPr>
      </w:pPr>
      <w:r>
        <w:t>Fournir des informations adéquates aux consommateurs afin de garantir leur droit à un choix éclairé.</w:t>
      </w:r>
    </w:p>
    <w:p w14:paraId="5292A52B" w14:textId="39F67A8C" w:rsidR="00676019" w:rsidRPr="00DC6D3D" w:rsidRDefault="00676019" w:rsidP="00676019">
      <w:pPr>
        <w:numPr>
          <w:ilvl w:val="0"/>
          <w:numId w:val="6"/>
        </w:numPr>
      </w:pPr>
      <w:r>
        <w:t>Garantir une qualité élevée des huiles d</w:t>
      </w:r>
      <w:r w:rsidR="00DD2821">
        <w:t>’</w:t>
      </w:r>
      <w:r>
        <w:t>olive et de grignons d</w:t>
      </w:r>
      <w:r w:rsidR="00DD2821">
        <w:t>’</w:t>
      </w:r>
      <w:r>
        <w:t>olive produites dans notre pays et prévenir les pratiques frauduleuses qui nuisent à cette qualité.</w:t>
      </w:r>
    </w:p>
    <w:p w14:paraId="5ED755DC" w14:textId="77777777" w:rsidR="00676019" w:rsidRPr="00DC6D3D" w:rsidRDefault="00676019" w:rsidP="00F4239E">
      <w:pPr>
        <w:pStyle w:val="Heading3"/>
        <w:numPr>
          <w:ilvl w:val="0"/>
          <w:numId w:val="0"/>
        </w:numPr>
        <w:spacing w:before="480"/>
        <w:rPr>
          <w:color w:val="auto"/>
        </w:rPr>
      </w:pPr>
      <w:r>
        <w:rPr>
          <w:color w:val="auto"/>
          <w:u w:val="none"/>
        </w:rPr>
        <w:lastRenderedPageBreak/>
        <w:t xml:space="preserve">3. </w:t>
      </w:r>
      <w:r>
        <w:rPr>
          <w:color w:val="auto"/>
        </w:rPr>
        <w:t>Analyse des options</w:t>
      </w:r>
    </w:p>
    <w:p w14:paraId="0605C0B4" w14:textId="77777777" w:rsidR="00676019" w:rsidRPr="00DC6D3D" w:rsidRDefault="00676019" w:rsidP="00676019">
      <w:pPr>
        <w:keepNext/>
      </w:pPr>
      <w:r>
        <w:t xml:space="preserve">Les alternatives envisagées sont les </w:t>
      </w:r>
      <w:proofErr w:type="gramStart"/>
      <w:r>
        <w:t>suivantes:</w:t>
      </w:r>
      <w:proofErr w:type="gramEnd"/>
    </w:p>
    <w:p w14:paraId="25BE5C76" w14:textId="20543E73" w:rsidR="00676019" w:rsidRPr="00DC6D3D" w:rsidRDefault="00676019" w:rsidP="00565FB1">
      <w:pPr>
        <w:pStyle w:val="Heading4"/>
        <w:numPr>
          <w:ilvl w:val="0"/>
          <w:numId w:val="0"/>
        </w:numPr>
        <w:rPr>
          <w:szCs w:val="22"/>
        </w:rPr>
      </w:pPr>
      <w:r>
        <w:t>Appliquer le projet de norme proposé et abroger les réglementations nationales en vigueur relatives à la qualité alimentaire de l</w:t>
      </w:r>
      <w:r w:rsidR="00DD2821">
        <w:t>’</w:t>
      </w:r>
      <w:r>
        <w:t>huile d</w:t>
      </w:r>
      <w:r w:rsidR="00DD2821">
        <w:t>’</w:t>
      </w:r>
      <w:r>
        <w:t>olive et de grignons d</w:t>
      </w:r>
      <w:r w:rsidR="00DD2821">
        <w:t>’</w:t>
      </w:r>
      <w:r>
        <w:t>olive</w:t>
      </w:r>
    </w:p>
    <w:p w14:paraId="12EDCEA5" w14:textId="77777777" w:rsidR="00676019" w:rsidRPr="00DC6D3D" w:rsidRDefault="00676019" w:rsidP="00676019">
      <w:r>
        <w:t>Cette option semble être la plus efficace pour atteindre tous les objectifs visés. Son principal avantage est de créer une norme nationale actualisée et adaptée à la réalité du marché.</w:t>
      </w:r>
    </w:p>
    <w:p w14:paraId="481D5720" w14:textId="79C1980A" w:rsidR="00676019" w:rsidRPr="00DC6D3D" w:rsidRDefault="00676019" w:rsidP="00676019">
      <w:r>
        <w:t>Il s’agit également de l’option la plus conforme à l</w:t>
      </w:r>
      <w:r w:rsidR="00DD2821">
        <w:t>’</w:t>
      </w:r>
      <w:r>
        <w:t>accord du Conseil des ministres du 22</w:t>
      </w:r>
      <w:r w:rsidR="00DD2821">
        <w:t> </w:t>
      </w:r>
      <w:r>
        <w:t>juillet</w:t>
      </w:r>
      <w:r w:rsidR="00DD2821">
        <w:t> </w:t>
      </w:r>
      <w:r>
        <w:t>2005 portant approbation des directives techniques normatives, dans la mesure où il convient de privilégier l</w:t>
      </w:r>
      <w:r w:rsidR="00DD2821">
        <w:t>’</w:t>
      </w:r>
      <w:r>
        <w:t>approbation d</w:t>
      </w:r>
      <w:r w:rsidR="00DD2821">
        <w:t>’</w:t>
      </w:r>
      <w:r>
        <w:t>une nouvelle disposition à la coexistence d’une norme d</w:t>
      </w:r>
      <w:r w:rsidR="00DD2821">
        <w:t>’</w:t>
      </w:r>
      <w:r>
        <w:t>origine avec ses modifications ultérieures.</w:t>
      </w:r>
    </w:p>
    <w:p w14:paraId="28A42F88" w14:textId="6CFF6DCB" w:rsidR="00676019" w:rsidRPr="00DC6D3D" w:rsidRDefault="00676019" w:rsidP="00565FB1">
      <w:pPr>
        <w:pStyle w:val="Heading4"/>
        <w:numPr>
          <w:ilvl w:val="0"/>
          <w:numId w:val="0"/>
        </w:numPr>
      </w:pPr>
      <w:r>
        <w:t>Maintenir la situation actuelle</w:t>
      </w:r>
    </w:p>
    <w:p w14:paraId="3DC04421" w14:textId="3D50BC9F" w:rsidR="00676019" w:rsidRPr="00DC6D3D" w:rsidRDefault="00676019" w:rsidP="00B57EBD">
      <w:pPr>
        <w:spacing w:after="240"/>
      </w:pPr>
      <w:r>
        <w:t>Cette alternative ne permet pas d</w:t>
      </w:r>
      <w:r w:rsidR="00DD2821">
        <w:t>’</w:t>
      </w:r>
      <w:r>
        <w:t>atteindre les objectifs définis au point I.2 et génère une grande insécurité juridique, tant pour les producteurs que pour les services de contrôle.</w:t>
      </w:r>
    </w:p>
    <w:p w14:paraId="14028A05" w14:textId="6B93C348" w:rsidR="00A82AA1" w:rsidRPr="00DC6D3D" w:rsidRDefault="00A82AA1" w:rsidP="00A82AA1">
      <w:pPr>
        <w:pStyle w:val="Heading4"/>
        <w:numPr>
          <w:ilvl w:val="0"/>
          <w:numId w:val="0"/>
        </w:numPr>
        <w:rPr>
          <w:szCs w:val="24"/>
        </w:rPr>
      </w:pPr>
      <w:r>
        <w:t>Modifier la norme actuelle (le décret royal nº 308/1983 du 25 janvier 1983 portant approbation de la réglementation technico-sanitaire en matière d</w:t>
      </w:r>
      <w:r w:rsidR="00DD2821">
        <w:t>’</w:t>
      </w:r>
      <w:r>
        <w:t>huiles végétales comestibles)</w:t>
      </w:r>
    </w:p>
    <w:p w14:paraId="4075A819" w14:textId="04300251" w:rsidR="00A82AA1" w:rsidRPr="00DC6D3D" w:rsidRDefault="00A82AA1" w:rsidP="00A82AA1">
      <w:pPr>
        <w:spacing w:after="240"/>
      </w:pPr>
      <w:r>
        <w:t>Le décret royal n° 308/1983 du 25</w:t>
      </w:r>
      <w:r w:rsidR="00DD2821">
        <w:t> </w:t>
      </w:r>
      <w:r>
        <w:t>janvier 1983 portant approbation de la réglementation technico-sanitaire en matière d</w:t>
      </w:r>
      <w:r w:rsidR="00DD2821">
        <w:t>’</w:t>
      </w:r>
      <w:r>
        <w:t>huiles végétales comestibles a déjà été modifié à plusieurs reprises. Cette option est jugée moins adéquate, car elle réduit la clarté réglementaire et augmente l</w:t>
      </w:r>
      <w:r w:rsidR="00DD2821">
        <w:t>’</w:t>
      </w:r>
      <w:r>
        <w:t>incertitude juridique. Par ailleurs, conformément à l</w:t>
      </w:r>
      <w:r w:rsidR="00DD2821">
        <w:t>’</w:t>
      </w:r>
      <w:r>
        <w:t>accord du Conseil des ministres du 22</w:t>
      </w:r>
      <w:r w:rsidR="00DD2821">
        <w:t> </w:t>
      </w:r>
      <w:r>
        <w:t>juillet</w:t>
      </w:r>
      <w:r w:rsidR="00DD2821">
        <w:t> </w:t>
      </w:r>
      <w:r>
        <w:t>2005 portant approbation des directives techniques normatives, il convient de privilégier l</w:t>
      </w:r>
      <w:r w:rsidR="00DD2821">
        <w:t>’</w:t>
      </w:r>
      <w:r>
        <w:t>approbation d</w:t>
      </w:r>
      <w:r w:rsidR="00DD2821">
        <w:t>’</w:t>
      </w:r>
      <w:r>
        <w:t>une nouvelle disposition à la coexistence d’une norme d</w:t>
      </w:r>
      <w:r w:rsidR="00DD2821">
        <w:t>’</w:t>
      </w:r>
      <w:r>
        <w:t>origine avec ses modifications ultérieures. En conclusion, cette option ne permet pas d</w:t>
      </w:r>
      <w:r w:rsidR="00DD2821">
        <w:t>’</w:t>
      </w:r>
      <w:r>
        <w:t>atteindre les objectifs définis au point I.2 et génère une grande insécurité juridique, tant pour les producteurs que pour les services de contrôle.</w:t>
      </w:r>
    </w:p>
    <w:p w14:paraId="7CBEAF74" w14:textId="77777777" w:rsidR="00A82AA1" w:rsidRPr="00DC6D3D" w:rsidRDefault="00A82AA1" w:rsidP="00B57EBD">
      <w:pPr>
        <w:spacing w:after="240"/>
      </w:pPr>
    </w:p>
    <w:p w14:paraId="3A5DF651" w14:textId="77777777" w:rsidR="00676019" w:rsidRPr="00DC6D3D" w:rsidRDefault="00676019" w:rsidP="00F4239E">
      <w:pPr>
        <w:keepNext/>
        <w:spacing w:after="240"/>
        <w:rPr>
          <w:b/>
        </w:rPr>
      </w:pPr>
      <w:r>
        <w:rPr>
          <w:b/>
        </w:rPr>
        <w:t xml:space="preserve">4. </w:t>
      </w:r>
      <w:r>
        <w:rPr>
          <w:b/>
          <w:u w:val="single"/>
        </w:rPr>
        <w:t>Adéquation aux principes de bonne réglementation</w:t>
      </w:r>
    </w:p>
    <w:p w14:paraId="41BF60F6" w14:textId="77777777" w:rsidR="00676019" w:rsidRPr="00DC6D3D" w:rsidRDefault="00676019" w:rsidP="00676019">
      <w:r>
        <w:t>Le contenu de ce décret royal est conforme aux principes de bonne réglementation prévus à l’article 129 de la loi nº 39/2015 du 1</w:t>
      </w:r>
      <w:r>
        <w:rPr>
          <w:vertAlign w:val="superscript"/>
        </w:rPr>
        <w:t>er </w:t>
      </w:r>
      <w:r>
        <w:t xml:space="preserve">octobre 2015 sur la procédure administrative commune des administrations publiques. </w:t>
      </w:r>
    </w:p>
    <w:p w14:paraId="65F7878B" w14:textId="5ED3C0AE" w:rsidR="00676019" w:rsidRPr="00DC6D3D" w:rsidRDefault="00676019" w:rsidP="00676019">
      <w:r>
        <w:t>Dans la lignée des principes de nécessité et d</w:t>
      </w:r>
      <w:r w:rsidR="00DD2821">
        <w:t>’</w:t>
      </w:r>
      <w:r>
        <w:t>efficacité, cette norme se justifie par la nécessité de gérer plus efficacement le secteur de l</w:t>
      </w:r>
      <w:r w:rsidR="00DD2821">
        <w:t>’</w:t>
      </w:r>
      <w:r>
        <w:t>huile d</w:t>
      </w:r>
      <w:r w:rsidR="00DD2821">
        <w:t>’</w:t>
      </w:r>
      <w:r>
        <w:t>olive et des grignons d</w:t>
      </w:r>
      <w:r w:rsidR="00DD2821">
        <w:t>’</w:t>
      </w:r>
      <w:r>
        <w:t>olive, en abrogeant les dispositions relatives aux huiles d</w:t>
      </w:r>
      <w:r w:rsidR="00DD2821">
        <w:t>’</w:t>
      </w:r>
      <w:r>
        <w:t>olive et de grignons d</w:t>
      </w:r>
      <w:r w:rsidR="00DD2821">
        <w:t>’</w:t>
      </w:r>
      <w:r>
        <w:t>olive du décret royal n° 308/1983 du 25</w:t>
      </w:r>
      <w:r w:rsidR="00DD2821">
        <w:t> </w:t>
      </w:r>
      <w:r>
        <w:t>janvier</w:t>
      </w:r>
      <w:r w:rsidR="00DD2821">
        <w:t> </w:t>
      </w:r>
      <w:r>
        <w:t>1983 portant approbation de la réglementation technico-sanitaire en matière d</w:t>
      </w:r>
      <w:r w:rsidR="00DD2821">
        <w:t>’</w:t>
      </w:r>
      <w:r>
        <w:t>huiles végétales comestibles, et en approuvant une nouvelle norme de qualité régissant spécifiquement l</w:t>
      </w:r>
      <w:r w:rsidR="00DD2821">
        <w:t>’</w:t>
      </w:r>
      <w:r>
        <w:t>huile d</w:t>
      </w:r>
      <w:r w:rsidR="00DD2821">
        <w:t>’</w:t>
      </w:r>
      <w:r>
        <w:t>olive et de grignons d</w:t>
      </w:r>
      <w:r w:rsidR="00DD2821">
        <w:t>’</w:t>
      </w:r>
      <w:r>
        <w:t xml:space="preserve">olive olive. </w:t>
      </w:r>
    </w:p>
    <w:p w14:paraId="6417D8F4" w14:textId="2FCBDC64" w:rsidR="00676019" w:rsidRPr="00DC6D3D" w:rsidRDefault="00676019" w:rsidP="00676019">
      <w:r>
        <w:lastRenderedPageBreak/>
        <w:t>Les principes d</w:t>
      </w:r>
      <w:r w:rsidR="00DD2821">
        <w:t>’</w:t>
      </w:r>
      <w:r>
        <w:t>efficacité et de proportionnalité ont également été pris en compte lors de l</w:t>
      </w:r>
      <w:r w:rsidR="00DD2821">
        <w:t>’</w:t>
      </w:r>
      <w:r>
        <w:t xml:space="preserve">établissement des réglementations, et les charges administratives ont été limitées au minimum indispensable pour atteindre les objectifs visés. </w:t>
      </w:r>
    </w:p>
    <w:p w14:paraId="01EAF358" w14:textId="77777777" w:rsidR="00676019" w:rsidRPr="00DC6D3D" w:rsidRDefault="00676019" w:rsidP="00676019">
      <w:r>
        <w:t xml:space="preserve">En application du principe de transparence, outre l’audience publique, lors de la procédure de cette disposition, les communautés autonomes, les organismes représentatifs des secteurs concernés et les consommateurs ont été consultés. </w:t>
      </w:r>
    </w:p>
    <w:p w14:paraId="2D861D42" w14:textId="3ECC6732" w:rsidR="00676019" w:rsidRPr="00DC6D3D" w:rsidRDefault="00676019" w:rsidP="00493B24">
      <w:pPr>
        <w:spacing w:after="240"/>
      </w:pPr>
      <w:r>
        <w:t>Enfin, ce décret royal maintient la cohérence avec le reste du système juridique applicable et accorde aux opérateurs les périodes transitoires nécessaires pour s</w:t>
      </w:r>
      <w:r w:rsidR="00DD2821">
        <w:t>’</w:t>
      </w:r>
      <w:r>
        <w:t>adapter à la norme. Il respecte donc le principe de sécurité juridique,</w:t>
      </w:r>
    </w:p>
    <w:p w14:paraId="0D1D3FDA" w14:textId="77777777" w:rsidR="00DC6D3D" w:rsidRPr="00DC6D3D" w:rsidRDefault="00DC6D3D" w:rsidP="00493B24">
      <w:pPr>
        <w:spacing w:after="240"/>
      </w:pPr>
    </w:p>
    <w:p w14:paraId="362754A1" w14:textId="77777777" w:rsidR="00B54238" w:rsidRPr="00DC6D3D" w:rsidRDefault="00B54238" w:rsidP="00F4239E">
      <w:pPr>
        <w:keepNext/>
        <w:spacing w:after="240"/>
        <w:rPr>
          <w:b/>
          <w:bCs/>
          <w:u w:val="single"/>
        </w:rPr>
      </w:pPr>
      <w:r>
        <w:rPr>
          <w:b/>
        </w:rPr>
        <w:t xml:space="preserve">5. </w:t>
      </w:r>
      <w:r>
        <w:rPr>
          <w:b/>
          <w:u w:val="single"/>
        </w:rPr>
        <w:t>Inclusion dans le plan annuel réglementaire</w:t>
      </w:r>
    </w:p>
    <w:p w14:paraId="1DE67470" w14:textId="0962C354" w:rsidR="00D91F2D" w:rsidRPr="00E52DAD" w:rsidRDefault="00D91F2D" w:rsidP="00CF523F">
      <w:pPr>
        <w:rPr>
          <w:rFonts w:cs="Arial"/>
          <w:spacing w:val="-4"/>
          <w:szCs w:val="24"/>
        </w:rPr>
      </w:pPr>
      <w:r w:rsidRPr="00E52DAD">
        <w:rPr>
          <w:spacing w:val="-4"/>
        </w:rPr>
        <w:t>Conformément à l</w:t>
      </w:r>
      <w:r w:rsidR="00DD2821" w:rsidRPr="00E52DAD">
        <w:rPr>
          <w:spacing w:val="-4"/>
        </w:rPr>
        <w:t>’</w:t>
      </w:r>
      <w:r w:rsidRPr="00E52DAD">
        <w:rPr>
          <w:spacing w:val="-4"/>
        </w:rPr>
        <w:t>article</w:t>
      </w:r>
      <w:r w:rsidR="00066C2B" w:rsidRPr="00E52DAD">
        <w:rPr>
          <w:spacing w:val="-4"/>
        </w:rPr>
        <w:t> </w:t>
      </w:r>
      <w:r w:rsidRPr="00E52DAD">
        <w:rPr>
          <w:spacing w:val="-4"/>
        </w:rPr>
        <w:t>25 de la loi n° 50/1997 du 27</w:t>
      </w:r>
      <w:r w:rsidR="00DD2821" w:rsidRPr="00E52DAD">
        <w:rPr>
          <w:spacing w:val="-4"/>
        </w:rPr>
        <w:t> </w:t>
      </w:r>
      <w:r w:rsidRPr="00E52DAD">
        <w:rPr>
          <w:spacing w:val="-4"/>
        </w:rPr>
        <w:t>novembre</w:t>
      </w:r>
      <w:r w:rsidR="00DD2821" w:rsidRPr="00E52DAD">
        <w:rPr>
          <w:spacing w:val="-4"/>
        </w:rPr>
        <w:t> </w:t>
      </w:r>
      <w:r w:rsidRPr="00E52DAD">
        <w:rPr>
          <w:spacing w:val="-4"/>
        </w:rPr>
        <w:t xml:space="preserve">1997 sur le gouvernement, ce projet est </w:t>
      </w:r>
      <w:r w:rsidR="00DD2821" w:rsidRPr="00E52DAD">
        <w:rPr>
          <w:spacing w:val="-4"/>
        </w:rPr>
        <w:t>inclus</w:t>
      </w:r>
      <w:r w:rsidRPr="00E52DAD">
        <w:rPr>
          <w:spacing w:val="-4"/>
        </w:rPr>
        <w:t xml:space="preserve"> dans le plan annuel réglementaire de 2018 approuvé par le Conseil des ministres le 7</w:t>
      </w:r>
      <w:r w:rsidR="00DD2821" w:rsidRPr="00E52DAD">
        <w:rPr>
          <w:spacing w:val="-4"/>
        </w:rPr>
        <w:t> </w:t>
      </w:r>
      <w:r w:rsidRPr="00E52DAD">
        <w:rPr>
          <w:spacing w:val="-4"/>
        </w:rPr>
        <w:t>décembre</w:t>
      </w:r>
      <w:r w:rsidR="00DD2821" w:rsidRPr="00E52DAD">
        <w:rPr>
          <w:spacing w:val="-4"/>
        </w:rPr>
        <w:t> </w:t>
      </w:r>
      <w:r w:rsidRPr="00E52DAD">
        <w:rPr>
          <w:spacing w:val="-4"/>
        </w:rPr>
        <w:t>2017. Aucun plan r</w:t>
      </w:r>
      <w:r w:rsidR="00DD2821" w:rsidRPr="00E52DAD">
        <w:rPr>
          <w:spacing w:val="-4"/>
        </w:rPr>
        <w:t>é</w:t>
      </w:r>
      <w:r w:rsidRPr="00E52DAD">
        <w:rPr>
          <w:spacing w:val="-4"/>
        </w:rPr>
        <w:t xml:space="preserve">glementaire n’a été approuvé en 2019 ni en 2020, le projet n’y est donc pas inclus. </w:t>
      </w:r>
    </w:p>
    <w:p w14:paraId="2D0DBF43" w14:textId="77777777" w:rsidR="00B54238" w:rsidRPr="00DC6D3D" w:rsidRDefault="00B54238" w:rsidP="00493B24">
      <w:pPr>
        <w:spacing w:after="240"/>
      </w:pPr>
    </w:p>
    <w:p w14:paraId="036F2743" w14:textId="77777777" w:rsidR="00676019" w:rsidRPr="00DC6D3D" w:rsidRDefault="00676019" w:rsidP="00F4239E">
      <w:pPr>
        <w:keepNext/>
        <w:rPr>
          <w:b/>
          <w:u w:val="single"/>
        </w:rPr>
      </w:pPr>
      <w:r>
        <w:rPr>
          <w:b/>
        </w:rPr>
        <w:t xml:space="preserve">II. </w:t>
      </w:r>
      <w:r>
        <w:rPr>
          <w:b/>
          <w:u w:val="single"/>
        </w:rPr>
        <w:t>CONTENU</w:t>
      </w:r>
    </w:p>
    <w:p w14:paraId="5A41F879" w14:textId="77777777" w:rsidR="00676019" w:rsidRPr="00DC6D3D" w:rsidRDefault="00676019" w:rsidP="00F4239E">
      <w:pPr>
        <w:pStyle w:val="Heading3"/>
        <w:numPr>
          <w:ilvl w:val="0"/>
          <w:numId w:val="0"/>
        </w:numPr>
        <w:spacing w:before="480" w:after="240"/>
        <w:rPr>
          <w:color w:val="auto"/>
        </w:rPr>
      </w:pPr>
      <w:r>
        <w:rPr>
          <w:color w:val="auto"/>
          <w:u w:val="none"/>
        </w:rPr>
        <w:t xml:space="preserve">1. </w:t>
      </w:r>
      <w:r>
        <w:rPr>
          <w:color w:val="auto"/>
        </w:rPr>
        <w:t>Structure de la proposition</w:t>
      </w:r>
    </w:p>
    <w:p w14:paraId="2FE63092" w14:textId="77777777" w:rsidR="00676019" w:rsidRPr="00DC6D3D" w:rsidRDefault="00676019" w:rsidP="00F4239E">
      <w:pPr>
        <w:keepNext/>
      </w:pPr>
      <w:r>
        <w:t xml:space="preserve">La proposition </w:t>
      </w:r>
      <w:proofErr w:type="gramStart"/>
      <w:r>
        <w:t>comprend:</w:t>
      </w:r>
      <w:proofErr w:type="gramEnd"/>
    </w:p>
    <w:p w14:paraId="2CE2191F" w14:textId="77777777" w:rsidR="00676019" w:rsidRPr="00DC6D3D" w:rsidRDefault="004214CD" w:rsidP="00676019">
      <w:pPr>
        <w:numPr>
          <w:ilvl w:val="0"/>
          <w:numId w:val="6"/>
        </w:numPr>
        <w:rPr>
          <w:szCs w:val="22"/>
        </w:rPr>
      </w:pPr>
      <w:r>
        <w:t>9 articles.</w:t>
      </w:r>
    </w:p>
    <w:p w14:paraId="78EA8A0F" w14:textId="77777777" w:rsidR="00676019" w:rsidRPr="00DC6D3D" w:rsidRDefault="004214CD" w:rsidP="00676019">
      <w:pPr>
        <w:numPr>
          <w:ilvl w:val="0"/>
          <w:numId w:val="6"/>
        </w:numPr>
        <w:rPr>
          <w:szCs w:val="22"/>
        </w:rPr>
      </w:pPr>
      <w:r>
        <w:t>2 dispositions additionnelles.</w:t>
      </w:r>
    </w:p>
    <w:p w14:paraId="58BF4C72" w14:textId="77777777" w:rsidR="00E53EC8" w:rsidRPr="00DC6D3D" w:rsidRDefault="00E53EC8" w:rsidP="00676019">
      <w:pPr>
        <w:numPr>
          <w:ilvl w:val="0"/>
          <w:numId w:val="6"/>
        </w:numPr>
        <w:rPr>
          <w:szCs w:val="22"/>
        </w:rPr>
      </w:pPr>
      <w:r>
        <w:t>1 disposition transitoire (unique).</w:t>
      </w:r>
    </w:p>
    <w:p w14:paraId="3DE499F1" w14:textId="77777777" w:rsidR="00676019" w:rsidRPr="00DC6D3D" w:rsidRDefault="00676019" w:rsidP="00676019">
      <w:pPr>
        <w:numPr>
          <w:ilvl w:val="0"/>
          <w:numId w:val="6"/>
        </w:numPr>
        <w:rPr>
          <w:szCs w:val="22"/>
        </w:rPr>
      </w:pPr>
      <w:r>
        <w:t>1 disposition abrogatoire (unique).</w:t>
      </w:r>
    </w:p>
    <w:p w14:paraId="05F274F1" w14:textId="77777777" w:rsidR="00676019" w:rsidRPr="00DC6D3D" w:rsidRDefault="00EE3CBD" w:rsidP="00676019">
      <w:pPr>
        <w:numPr>
          <w:ilvl w:val="0"/>
          <w:numId w:val="6"/>
        </w:numPr>
        <w:rPr>
          <w:szCs w:val="22"/>
        </w:rPr>
      </w:pPr>
      <w:r>
        <w:t>3 dispositions finales.</w:t>
      </w:r>
    </w:p>
    <w:p w14:paraId="417CF27B" w14:textId="77777777" w:rsidR="00676019" w:rsidRPr="00DC6D3D" w:rsidRDefault="00AF3B93" w:rsidP="00676019">
      <w:pPr>
        <w:numPr>
          <w:ilvl w:val="0"/>
          <w:numId w:val="6"/>
        </w:numPr>
        <w:rPr>
          <w:szCs w:val="22"/>
        </w:rPr>
      </w:pPr>
      <w:r>
        <w:t>3 annexes.</w:t>
      </w:r>
    </w:p>
    <w:p w14:paraId="716F239C" w14:textId="77777777" w:rsidR="00676019" w:rsidRPr="00DC6D3D" w:rsidRDefault="00676019" w:rsidP="00ED34D0">
      <w:pPr>
        <w:pStyle w:val="Heading4"/>
        <w:numPr>
          <w:ilvl w:val="0"/>
          <w:numId w:val="0"/>
        </w:numPr>
        <w:spacing w:after="240"/>
        <w:ind w:left="864" w:hanging="864"/>
        <w:rPr>
          <w:b/>
        </w:rPr>
      </w:pPr>
      <w:r>
        <w:rPr>
          <w:b/>
          <w:u w:val="none"/>
        </w:rPr>
        <w:t xml:space="preserve">2. </w:t>
      </w:r>
      <w:r>
        <w:rPr>
          <w:b/>
        </w:rPr>
        <w:t>Résumé et mesures</w:t>
      </w:r>
    </w:p>
    <w:p w14:paraId="4FB60A16" w14:textId="4DCD2143" w:rsidR="00676019" w:rsidRPr="00DC6D3D" w:rsidRDefault="00676019" w:rsidP="00676019">
      <w:pPr>
        <w:pStyle w:val="ListParagraph"/>
        <w:keepNext/>
        <w:numPr>
          <w:ilvl w:val="0"/>
          <w:numId w:val="8"/>
        </w:numPr>
        <w:spacing w:before="240"/>
        <w:ind w:left="714" w:hanging="357"/>
        <w:contextualSpacing w:val="0"/>
      </w:pPr>
      <w:r>
        <w:t xml:space="preserve">Article premier. </w:t>
      </w:r>
      <w:r>
        <w:rPr>
          <w:i/>
        </w:rPr>
        <w:t>Objet</w:t>
      </w:r>
    </w:p>
    <w:p w14:paraId="15ADD5EC" w14:textId="39D3820C" w:rsidR="00676019" w:rsidRPr="00DC6D3D" w:rsidRDefault="00676019" w:rsidP="00676019">
      <w:pPr>
        <w:pStyle w:val="ListParagraph"/>
        <w:contextualSpacing w:val="0"/>
      </w:pPr>
      <w:r>
        <w:t>L’objet du présent décret royal est d</w:t>
      </w:r>
      <w:r w:rsidR="00DD2821">
        <w:t>’</w:t>
      </w:r>
      <w:r>
        <w:t>établir la norme de qualité applicable aux huiles d</w:t>
      </w:r>
      <w:r w:rsidR="00DD2821">
        <w:t>’</w:t>
      </w:r>
      <w:r>
        <w:t>olive et de grignons d</w:t>
      </w:r>
      <w:r w:rsidR="00DD2821">
        <w:t>’</w:t>
      </w:r>
      <w:r>
        <w:t>olive.</w:t>
      </w:r>
    </w:p>
    <w:p w14:paraId="48F46FBD" w14:textId="77777777" w:rsidR="00676019" w:rsidRPr="00DC6D3D" w:rsidRDefault="00676019" w:rsidP="00676019">
      <w:pPr>
        <w:pStyle w:val="ListParagraph"/>
        <w:keepNext/>
        <w:numPr>
          <w:ilvl w:val="0"/>
          <w:numId w:val="8"/>
        </w:numPr>
        <w:spacing w:before="240"/>
        <w:ind w:left="714" w:hanging="357"/>
        <w:contextualSpacing w:val="0"/>
      </w:pPr>
      <w:r>
        <w:lastRenderedPageBreak/>
        <w:t xml:space="preserve">Article 2. </w:t>
      </w:r>
      <w:r>
        <w:rPr>
          <w:i/>
        </w:rPr>
        <w:t>Champ d’application</w:t>
      </w:r>
    </w:p>
    <w:p w14:paraId="646F778E" w14:textId="5D885297" w:rsidR="00676019" w:rsidRPr="00DC6D3D" w:rsidRDefault="00676019" w:rsidP="00676019">
      <w:pPr>
        <w:pStyle w:val="ListParagraph"/>
        <w:keepNext/>
        <w:spacing w:before="240"/>
        <w:ind w:left="714"/>
        <w:contextualSpacing w:val="0"/>
      </w:pPr>
      <w:r>
        <w:t>Cette norme s</w:t>
      </w:r>
      <w:r w:rsidR="00DD2821">
        <w:t>’</w:t>
      </w:r>
      <w:r>
        <w:t>applique à toutes les huiles d</w:t>
      </w:r>
      <w:r w:rsidR="00DD2821">
        <w:t>’</w:t>
      </w:r>
      <w:r>
        <w:t>olive et de grignons d</w:t>
      </w:r>
      <w:r w:rsidR="00DD2821">
        <w:t>’</w:t>
      </w:r>
      <w:r>
        <w:t>olive produites et commercialisées en Espagne, et concerne tous les opérateurs du secteur.</w:t>
      </w:r>
    </w:p>
    <w:p w14:paraId="234A70E2" w14:textId="77777777" w:rsidR="00676019" w:rsidRPr="00DC6D3D" w:rsidRDefault="00676019" w:rsidP="00676019">
      <w:pPr>
        <w:pStyle w:val="ListParagraph"/>
        <w:keepNext/>
        <w:numPr>
          <w:ilvl w:val="0"/>
          <w:numId w:val="8"/>
        </w:numPr>
        <w:spacing w:before="240"/>
        <w:ind w:left="714" w:hanging="357"/>
        <w:contextualSpacing w:val="0"/>
      </w:pPr>
      <w:r>
        <w:t xml:space="preserve">Article 3. </w:t>
      </w:r>
      <w:r>
        <w:rPr>
          <w:i/>
        </w:rPr>
        <w:t>Dénominations et définitions des produits</w:t>
      </w:r>
    </w:p>
    <w:p w14:paraId="79D94FF6" w14:textId="3CCCFE47" w:rsidR="00676019" w:rsidRPr="00DC6D3D" w:rsidRDefault="00676019" w:rsidP="00676019">
      <w:pPr>
        <w:pStyle w:val="ListParagraph"/>
        <w:contextualSpacing w:val="0"/>
      </w:pPr>
      <w:r>
        <w:t>Cet article définit les différentes catégories d’huiles d</w:t>
      </w:r>
      <w:r w:rsidR="00DD2821">
        <w:t>’</w:t>
      </w:r>
      <w:r>
        <w:t>olive et de grignons d</w:t>
      </w:r>
      <w:r w:rsidR="00DD2821">
        <w:t>’</w:t>
      </w:r>
      <w:r>
        <w:t>olive, ainsi que l’ensemble des installations et des opérateurs impliqués dans le processus de fabrication et de commercialisation des huiles d</w:t>
      </w:r>
      <w:r w:rsidR="00DD2821">
        <w:t>’</w:t>
      </w:r>
      <w:r>
        <w:t>olive.</w:t>
      </w:r>
    </w:p>
    <w:p w14:paraId="20DD839C" w14:textId="4CD164F5" w:rsidR="00676019" w:rsidRPr="00DC6D3D" w:rsidRDefault="00676019" w:rsidP="00676019">
      <w:pPr>
        <w:pStyle w:val="ListParagraph"/>
        <w:keepNext/>
        <w:numPr>
          <w:ilvl w:val="0"/>
          <w:numId w:val="8"/>
        </w:numPr>
        <w:spacing w:before="240"/>
        <w:ind w:left="714" w:hanging="357"/>
        <w:contextualSpacing w:val="0"/>
      </w:pPr>
      <w:r>
        <w:t>Articles 4 à 8</w:t>
      </w:r>
    </w:p>
    <w:p w14:paraId="6D0EB93B" w14:textId="4D5BB850" w:rsidR="00676019" w:rsidRPr="00DC6D3D" w:rsidRDefault="00676019" w:rsidP="00676019">
      <w:pPr>
        <w:pStyle w:val="ListParagraph"/>
        <w:tabs>
          <w:tab w:val="left" w:pos="-720"/>
        </w:tabs>
        <w:contextualSpacing w:val="0"/>
        <w:rPr>
          <w:bCs/>
        </w:rPr>
      </w:pPr>
      <w:r>
        <w:t>Ces articles présentent les obligations en matière de traçabilité, d’installations et de conditionnement des huiles, qui s’appliquent à la production et à la commercialisation des huiles d</w:t>
      </w:r>
      <w:r w:rsidR="00DD2821">
        <w:t>’</w:t>
      </w:r>
      <w:r>
        <w:t>olive et de grignons d</w:t>
      </w:r>
      <w:r w:rsidR="00DD2821">
        <w:t>’</w:t>
      </w:r>
      <w:r>
        <w:t>olive, et concernent tous les opérateurs impliqués. Ils exposent également les procédés, les pratiques, les mentions et les établissements qui font l</w:t>
      </w:r>
      <w:r w:rsidR="00DD2821">
        <w:t>’</w:t>
      </w:r>
      <w:r>
        <w:t>objet d</w:t>
      </w:r>
      <w:r w:rsidR="00DD2821">
        <w:t>’</w:t>
      </w:r>
      <w:r>
        <w:t>une interdiction.</w:t>
      </w:r>
    </w:p>
    <w:p w14:paraId="68E50A29" w14:textId="7DBCBDFC" w:rsidR="00676019" w:rsidRPr="00DC6D3D" w:rsidRDefault="00676019" w:rsidP="00676019">
      <w:pPr>
        <w:pStyle w:val="ListParagraph"/>
        <w:keepNext/>
        <w:numPr>
          <w:ilvl w:val="0"/>
          <w:numId w:val="8"/>
        </w:numPr>
        <w:spacing w:before="240"/>
        <w:ind w:left="714" w:hanging="357"/>
        <w:contextualSpacing w:val="0"/>
      </w:pPr>
      <w:r>
        <w:t>Article 9</w:t>
      </w:r>
      <w:r w:rsidR="00DD2821">
        <w:t>.</w:t>
      </w:r>
      <w:r>
        <w:t xml:space="preserve"> </w:t>
      </w:r>
      <w:r>
        <w:rPr>
          <w:i/>
        </w:rPr>
        <w:t>Contrôle officiel, coordination et régime de sanctions</w:t>
      </w:r>
    </w:p>
    <w:p w14:paraId="35C3BF4E" w14:textId="5DC671BF" w:rsidR="00676019" w:rsidRPr="00DC6D3D" w:rsidRDefault="00676019" w:rsidP="00676019">
      <w:pPr>
        <w:pStyle w:val="ListParagraph"/>
        <w:contextualSpacing w:val="0"/>
      </w:pPr>
      <w:r>
        <w:t>Ce point régit certains aspects liés au contrôle officiel et au régime de sanctions, et met en place des mécanismes visant à renforcer la coordination entre les différentes administrations publiques dans le but d</w:t>
      </w:r>
      <w:r w:rsidR="00DD2821">
        <w:t>’</w:t>
      </w:r>
      <w:r>
        <w:t>améliorer le contrôle officiel.</w:t>
      </w:r>
    </w:p>
    <w:p w14:paraId="318EE934" w14:textId="77777777" w:rsidR="00676019" w:rsidRPr="00DC6D3D" w:rsidRDefault="00676019" w:rsidP="00676019">
      <w:pPr>
        <w:pStyle w:val="ListParagraph"/>
        <w:keepNext/>
        <w:numPr>
          <w:ilvl w:val="0"/>
          <w:numId w:val="8"/>
        </w:numPr>
        <w:spacing w:before="240"/>
        <w:ind w:left="714" w:hanging="357"/>
        <w:contextualSpacing w:val="0"/>
      </w:pPr>
      <w:r>
        <w:rPr>
          <w:rStyle w:val="Strong"/>
          <w:b w:val="0"/>
        </w:rPr>
        <w:t xml:space="preserve">Première disposition additionnelle. </w:t>
      </w:r>
      <w:r>
        <w:rPr>
          <w:i/>
          <w:iCs/>
        </w:rPr>
        <w:t>Clause de reconnaissance mutuelle</w:t>
      </w:r>
    </w:p>
    <w:p w14:paraId="52954FDF" w14:textId="12D6AB0E" w:rsidR="00676019" w:rsidRPr="00DC6D3D" w:rsidRDefault="00676019" w:rsidP="00676019">
      <w:pPr>
        <w:pStyle w:val="ListParagraph"/>
        <w:tabs>
          <w:tab w:val="left" w:pos="-720"/>
        </w:tabs>
        <w:contextualSpacing w:val="0"/>
      </w:pPr>
      <w:r>
        <w:t>Cette disposition reprend la clause de reconnaissance mutuelle dans les termes dictés par le ministère des affaires étrangères, de l</w:t>
      </w:r>
      <w:r w:rsidR="00DD2821">
        <w:t>’</w:t>
      </w:r>
      <w:r>
        <w:t>Union européenne et de la coopération.</w:t>
      </w:r>
    </w:p>
    <w:p w14:paraId="45261200" w14:textId="77777777" w:rsidR="00D56A97" w:rsidRPr="00DC6D3D" w:rsidRDefault="00D56A97" w:rsidP="00D56A97">
      <w:pPr>
        <w:pStyle w:val="ListParagraph"/>
        <w:keepNext/>
        <w:numPr>
          <w:ilvl w:val="0"/>
          <w:numId w:val="8"/>
        </w:numPr>
        <w:spacing w:before="240"/>
        <w:ind w:left="714" w:hanging="357"/>
        <w:contextualSpacing w:val="0"/>
      </w:pPr>
      <w:r>
        <w:rPr>
          <w:rStyle w:val="Strong"/>
          <w:b w:val="0"/>
        </w:rPr>
        <w:t xml:space="preserve">Deuxième disposition additionnelle. </w:t>
      </w:r>
      <w:r>
        <w:rPr>
          <w:rStyle w:val="Strong"/>
          <w:b w:val="0"/>
          <w:i/>
        </w:rPr>
        <w:t>Système informatisé</w:t>
      </w:r>
    </w:p>
    <w:p w14:paraId="608D6ABB" w14:textId="21F850A9" w:rsidR="00D56A97" w:rsidRPr="00DC6D3D" w:rsidRDefault="00D56A97" w:rsidP="00B07D3F">
      <w:pPr>
        <w:pStyle w:val="ListParagraph"/>
        <w:tabs>
          <w:tab w:val="left" w:pos="-720"/>
        </w:tabs>
        <w:contextualSpacing w:val="0"/>
      </w:pPr>
      <w:r>
        <w:t>Ce paragraphe décrit la mise en œuvre du système informatisé de notification obligatoire du transport des huiles d</w:t>
      </w:r>
      <w:r w:rsidR="00DD2821">
        <w:t>’</w:t>
      </w:r>
      <w:r>
        <w:t>olive et de grignons d</w:t>
      </w:r>
      <w:r w:rsidR="00DD2821">
        <w:t>’</w:t>
      </w:r>
      <w:r>
        <w:t>olive.</w:t>
      </w:r>
    </w:p>
    <w:p w14:paraId="2C4474E1" w14:textId="77777777" w:rsidR="00676019" w:rsidRPr="00DC6D3D" w:rsidRDefault="00676019" w:rsidP="00676019">
      <w:pPr>
        <w:pStyle w:val="ListParagraph"/>
        <w:keepNext/>
        <w:numPr>
          <w:ilvl w:val="0"/>
          <w:numId w:val="8"/>
        </w:numPr>
        <w:spacing w:before="240"/>
        <w:ind w:left="714" w:hanging="357"/>
        <w:contextualSpacing w:val="0"/>
        <w:rPr>
          <w:rStyle w:val="Strong"/>
          <w:b w:val="0"/>
          <w:bCs w:val="0"/>
        </w:rPr>
      </w:pPr>
      <w:r>
        <w:rPr>
          <w:rStyle w:val="Strong"/>
          <w:b w:val="0"/>
        </w:rPr>
        <w:t xml:space="preserve">Disposition transitoire unique. </w:t>
      </w:r>
      <w:r>
        <w:rPr>
          <w:rStyle w:val="Strong"/>
          <w:b w:val="0"/>
          <w:i/>
        </w:rPr>
        <w:t xml:space="preserve">Période transitoire </w:t>
      </w:r>
    </w:p>
    <w:p w14:paraId="5944B99F" w14:textId="77777777" w:rsidR="00676019" w:rsidRPr="00DC6D3D" w:rsidRDefault="00676019" w:rsidP="00676019">
      <w:pPr>
        <w:pStyle w:val="ListParagraph"/>
        <w:tabs>
          <w:tab w:val="left" w:pos="-720"/>
        </w:tabs>
        <w:contextualSpacing w:val="0"/>
      </w:pPr>
      <w:r>
        <w:t>Une période transitoire est définie pour la notification des mouvements via le système informatisé dédié, ainsi que pour l’application de l’interdiction de commercialisation au détail des huiles d’olive vierge extra dans des récipients en plastique.</w:t>
      </w:r>
    </w:p>
    <w:p w14:paraId="3C91F974" w14:textId="77777777" w:rsidR="00676019" w:rsidRPr="00DC6D3D" w:rsidRDefault="00676019" w:rsidP="00676019">
      <w:pPr>
        <w:pStyle w:val="ListParagraph"/>
        <w:keepNext/>
        <w:numPr>
          <w:ilvl w:val="0"/>
          <w:numId w:val="8"/>
        </w:numPr>
        <w:spacing w:before="240"/>
        <w:ind w:left="714" w:hanging="357"/>
        <w:contextualSpacing w:val="0"/>
      </w:pPr>
      <w:r>
        <w:t xml:space="preserve">Disposition abrogatoire unique. </w:t>
      </w:r>
      <w:r>
        <w:rPr>
          <w:i/>
          <w:iCs/>
        </w:rPr>
        <w:t>Abrogation réglementaire</w:t>
      </w:r>
    </w:p>
    <w:p w14:paraId="471BB82C" w14:textId="77777777" w:rsidR="00676019" w:rsidRPr="00DC6D3D" w:rsidRDefault="00676019" w:rsidP="00676019">
      <w:pPr>
        <w:tabs>
          <w:tab w:val="left" w:pos="-720"/>
        </w:tabs>
        <w:ind w:left="720"/>
        <w:rPr>
          <w:bCs/>
        </w:rPr>
      </w:pPr>
      <w:r>
        <w:t>Les différentes normes remplacées par le présent décret sont abrogées à des fins de sécurité juridiques.</w:t>
      </w:r>
    </w:p>
    <w:p w14:paraId="0D755272" w14:textId="77777777" w:rsidR="00676019" w:rsidRPr="00DC6D3D" w:rsidRDefault="00676019" w:rsidP="00676019">
      <w:pPr>
        <w:pStyle w:val="ListParagraph"/>
        <w:keepNext/>
        <w:numPr>
          <w:ilvl w:val="0"/>
          <w:numId w:val="8"/>
        </w:numPr>
        <w:spacing w:before="240"/>
        <w:ind w:left="714" w:hanging="357"/>
        <w:contextualSpacing w:val="0"/>
        <w:rPr>
          <w:rStyle w:val="CITE"/>
          <w:i w:val="0"/>
        </w:rPr>
      </w:pPr>
      <w:r>
        <w:rPr>
          <w:rStyle w:val="CITE"/>
          <w:i w:val="0"/>
        </w:rPr>
        <w:t xml:space="preserve">Première disposition finale. </w:t>
      </w:r>
      <w:r>
        <w:rPr>
          <w:rStyle w:val="CITE"/>
        </w:rPr>
        <w:t>Attribution de compétence</w:t>
      </w:r>
    </w:p>
    <w:p w14:paraId="68E88673" w14:textId="77B1228F" w:rsidR="00EE3CBD" w:rsidRPr="00DC6D3D" w:rsidRDefault="00676019" w:rsidP="00EE3CBD">
      <w:pPr>
        <w:tabs>
          <w:tab w:val="left" w:pos="-720"/>
        </w:tabs>
        <w:ind w:left="720"/>
        <w:contextualSpacing/>
        <w:rPr>
          <w:rStyle w:val="CITE"/>
          <w:rFonts w:cs="Arial"/>
          <w:i w:val="0"/>
          <w:szCs w:val="24"/>
        </w:rPr>
      </w:pPr>
      <w:r>
        <w:rPr>
          <w:rStyle w:val="CITE"/>
          <w:i w:val="0"/>
        </w:rPr>
        <w:t>La norme est établie en vertu de la compétence établie à l</w:t>
      </w:r>
      <w:r w:rsidR="00DD2821">
        <w:rPr>
          <w:rStyle w:val="CITE"/>
          <w:i w:val="0"/>
        </w:rPr>
        <w:t>’</w:t>
      </w:r>
      <w:r>
        <w:rPr>
          <w:rStyle w:val="CITE"/>
          <w:i w:val="0"/>
        </w:rPr>
        <w:t>article</w:t>
      </w:r>
      <w:r w:rsidR="00066C2B">
        <w:rPr>
          <w:rStyle w:val="CITE"/>
          <w:i w:val="0"/>
        </w:rPr>
        <w:t> </w:t>
      </w:r>
      <w:r>
        <w:rPr>
          <w:rStyle w:val="CITE"/>
          <w:i w:val="0"/>
        </w:rPr>
        <w:t>149, paragraphe</w:t>
      </w:r>
      <w:r w:rsidR="00066C2B">
        <w:rPr>
          <w:rStyle w:val="CITE"/>
          <w:i w:val="0"/>
        </w:rPr>
        <w:t> </w:t>
      </w:r>
      <w:r>
        <w:rPr>
          <w:rStyle w:val="CITE"/>
          <w:i w:val="0"/>
        </w:rPr>
        <w:t>1, point</w:t>
      </w:r>
      <w:r w:rsidR="00066C2B">
        <w:rPr>
          <w:rStyle w:val="CITE"/>
          <w:i w:val="0"/>
        </w:rPr>
        <w:t> </w:t>
      </w:r>
      <w:r>
        <w:rPr>
          <w:rStyle w:val="CITE"/>
          <w:i w:val="0"/>
        </w:rPr>
        <w:t>13, de la Constitution espagnole.</w:t>
      </w:r>
    </w:p>
    <w:p w14:paraId="3B7ADBF8" w14:textId="1C9B1A42" w:rsidR="00EE3CBD" w:rsidRPr="00DC6D3D" w:rsidRDefault="00EE3CBD" w:rsidP="00EE3CBD">
      <w:pPr>
        <w:pStyle w:val="ListParagraph"/>
        <w:keepNext/>
        <w:numPr>
          <w:ilvl w:val="0"/>
          <w:numId w:val="8"/>
        </w:numPr>
        <w:spacing w:before="240"/>
        <w:ind w:left="714" w:hanging="357"/>
        <w:contextualSpacing w:val="0"/>
        <w:rPr>
          <w:rStyle w:val="CITE"/>
          <w:i w:val="0"/>
        </w:rPr>
      </w:pPr>
      <w:r>
        <w:lastRenderedPageBreak/>
        <w:t>Deuxième disposition finale.</w:t>
      </w:r>
      <w:r>
        <w:rPr>
          <w:b/>
        </w:rPr>
        <w:t xml:space="preserve"> </w:t>
      </w:r>
      <w:r>
        <w:rPr>
          <w:i/>
          <w:iCs/>
        </w:rPr>
        <w:t>Modification du décret nº 2484/1967 du 21</w:t>
      </w:r>
      <w:r w:rsidR="00DD2821">
        <w:rPr>
          <w:i/>
          <w:iCs/>
        </w:rPr>
        <w:t> </w:t>
      </w:r>
      <w:r>
        <w:rPr>
          <w:i/>
          <w:iCs/>
        </w:rPr>
        <w:t>septembre</w:t>
      </w:r>
      <w:r w:rsidR="00DD2821">
        <w:rPr>
          <w:i/>
          <w:iCs/>
        </w:rPr>
        <w:t> </w:t>
      </w:r>
      <w:r>
        <w:rPr>
          <w:i/>
          <w:iCs/>
        </w:rPr>
        <w:t>1967 portant approbation du texte du code alimentaire espagno</w:t>
      </w:r>
      <w:r>
        <w:rPr>
          <w:i/>
        </w:rPr>
        <w:t>l</w:t>
      </w:r>
    </w:p>
    <w:p w14:paraId="73558C09" w14:textId="31472FA4" w:rsidR="00EE3CBD" w:rsidRPr="00DC6D3D" w:rsidRDefault="00EE3CBD" w:rsidP="00EE3CBD">
      <w:pPr>
        <w:tabs>
          <w:tab w:val="left" w:pos="-720"/>
        </w:tabs>
        <w:ind w:left="720"/>
        <w:contextualSpacing/>
        <w:rPr>
          <w:rStyle w:val="CITE"/>
          <w:rFonts w:cs="Arial"/>
          <w:iCs/>
          <w:szCs w:val="24"/>
        </w:rPr>
      </w:pPr>
      <w:r>
        <w:rPr>
          <w:rStyle w:val="CITE"/>
          <w:i w:val="0"/>
        </w:rPr>
        <w:t xml:space="preserve">Le </w:t>
      </w:r>
      <w:r>
        <w:t>décret n°</w:t>
      </w:r>
      <w:r w:rsidR="00066C2B">
        <w:t> </w:t>
      </w:r>
      <w:r>
        <w:t>2484/1967 est modifié comme établi dans la deuxième disposition finale.</w:t>
      </w:r>
    </w:p>
    <w:p w14:paraId="33EA3865" w14:textId="77777777" w:rsidR="00676019" w:rsidRPr="00DC6D3D" w:rsidRDefault="00676019" w:rsidP="00676019">
      <w:pPr>
        <w:pStyle w:val="ListParagraph"/>
        <w:keepNext/>
        <w:numPr>
          <w:ilvl w:val="0"/>
          <w:numId w:val="8"/>
        </w:numPr>
        <w:spacing w:before="240"/>
        <w:ind w:left="714" w:hanging="357"/>
        <w:contextualSpacing w:val="0"/>
        <w:rPr>
          <w:rStyle w:val="CITE"/>
          <w:i w:val="0"/>
        </w:rPr>
      </w:pPr>
      <w:r>
        <w:rPr>
          <w:rStyle w:val="CITE"/>
          <w:i w:val="0"/>
        </w:rPr>
        <w:t xml:space="preserve">Troisième disposition finale. </w:t>
      </w:r>
      <w:r>
        <w:rPr>
          <w:rStyle w:val="CITE"/>
        </w:rPr>
        <w:t>Entrée en vigueur</w:t>
      </w:r>
    </w:p>
    <w:p w14:paraId="3B824FBC" w14:textId="181AE0F3" w:rsidR="00676019" w:rsidRPr="00DC6D3D" w:rsidRDefault="00676019" w:rsidP="00676019">
      <w:pPr>
        <w:tabs>
          <w:tab w:val="left" w:pos="-720"/>
        </w:tabs>
        <w:ind w:left="720"/>
        <w:contextualSpacing/>
        <w:rPr>
          <w:rStyle w:val="CITE"/>
          <w:rFonts w:cs="Arial"/>
          <w:i w:val="0"/>
          <w:szCs w:val="24"/>
        </w:rPr>
      </w:pPr>
      <w:r>
        <w:rPr>
          <w:rStyle w:val="CITE"/>
          <w:i w:val="0"/>
        </w:rPr>
        <w:t>Cette disposition</w:t>
      </w:r>
      <w:r w:rsidR="00DD2821">
        <w:rPr>
          <w:rStyle w:val="CITE"/>
          <w:i w:val="0"/>
        </w:rPr>
        <w:t xml:space="preserve"> </w:t>
      </w:r>
      <w:r>
        <w:t>établit</w:t>
      </w:r>
      <w:r>
        <w:rPr>
          <w:rStyle w:val="CITE"/>
          <w:i w:val="0"/>
        </w:rPr>
        <w:t xml:space="preserve"> l’entrée en vigueur de la norme.</w:t>
      </w:r>
    </w:p>
    <w:p w14:paraId="1139BF5C" w14:textId="5A348ADD" w:rsidR="00676019" w:rsidRPr="00DC6D3D" w:rsidRDefault="00676019" w:rsidP="00676019">
      <w:pPr>
        <w:pStyle w:val="ListParagraph"/>
        <w:keepNext/>
        <w:numPr>
          <w:ilvl w:val="0"/>
          <w:numId w:val="8"/>
        </w:numPr>
        <w:spacing w:before="240"/>
        <w:ind w:left="714" w:hanging="357"/>
        <w:contextualSpacing w:val="0"/>
        <w:rPr>
          <w:rStyle w:val="CITE"/>
          <w:i w:val="0"/>
        </w:rPr>
      </w:pPr>
      <w:r>
        <w:t>Annexe I</w:t>
      </w:r>
    </w:p>
    <w:p w14:paraId="6F6EDAA6" w14:textId="77777777" w:rsidR="00676019" w:rsidRPr="00DC6D3D" w:rsidRDefault="00676019" w:rsidP="00676019">
      <w:pPr>
        <w:tabs>
          <w:tab w:val="left" w:pos="-720"/>
        </w:tabs>
        <w:ind w:left="720"/>
        <w:contextualSpacing/>
        <w:rPr>
          <w:rStyle w:val="CITE"/>
          <w:rFonts w:cs="Arial"/>
          <w:i w:val="0"/>
          <w:szCs w:val="24"/>
        </w:rPr>
      </w:pPr>
      <w:r>
        <w:rPr>
          <w:rStyle w:val="CITE"/>
          <w:i w:val="0"/>
        </w:rPr>
        <w:t xml:space="preserve">Cette annexe </w:t>
      </w:r>
      <w:r>
        <w:t>définit les conditions et exigences auxquelles doivent satisfaire les registres de traçabilité applicables aux produits réglementés dans la présente norme.</w:t>
      </w:r>
    </w:p>
    <w:p w14:paraId="0AC71548" w14:textId="5668EFCF" w:rsidR="00676019" w:rsidRPr="00DC6D3D" w:rsidRDefault="00676019" w:rsidP="00676019">
      <w:pPr>
        <w:pStyle w:val="ListParagraph"/>
        <w:keepNext/>
        <w:numPr>
          <w:ilvl w:val="0"/>
          <w:numId w:val="8"/>
        </w:numPr>
        <w:spacing w:before="240"/>
        <w:ind w:left="714" w:hanging="357"/>
        <w:contextualSpacing w:val="0"/>
        <w:rPr>
          <w:rStyle w:val="CITE"/>
          <w:i w:val="0"/>
        </w:rPr>
      </w:pPr>
      <w:r>
        <w:t>Annexe</w:t>
      </w:r>
      <w:r w:rsidR="00066C2B">
        <w:t> </w:t>
      </w:r>
      <w:r>
        <w:t>II</w:t>
      </w:r>
    </w:p>
    <w:p w14:paraId="1288321E" w14:textId="3A7CA1D9" w:rsidR="00676019" w:rsidRPr="00DC6D3D" w:rsidRDefault="00676019" w:rsidP="00676019">
      <w:pPr>
        <w:tabs>
          <w:tab w:val="left" w:pos="-720"/>
        </w:tabs>
        <w:ind w:left="720"/>
        <w:contextualSpacing/>
        <w:rPr>
          <w:rStyle w:val="CITE"/>
          <w:rFonts w:cs="Arial"/>
          <w:i w:val="0"/>
          <w:szCs w:val="24"/>
        </w:rPr>
      </w:pPr>
      <w:r>
        <w:rPr>
          <w:rStyle w:val="CITE"/>
          <w:i w:val="0"/>
        </w:rPr>
        <w:t xml:space="preserve">Cette annexe </w:t>
      </w:r>
      <w:r>
        <w:t>établit</w:t>
      </w:r>
      <w:r>
        <w:rPr>
          <w:rStyle w:val="CITE"/>
          <w:i w:val="0"/>
        </w:rPr>
        <w:t xml:space="preserve"> les informations devant figurer dans le document de transport des huiles d</w:t>
      </w:r>
      <w:r w:rsidR="00DD2821">
        <w:rPr>
          <w:rStyle w:val="CITE"/>
          <w:i w:val="0"/>
        </w:rPr>
        <w:t>’</w:t>
      </w:r>
      <w:r>
        <w:rPr>
          <w:rStyle w:val="CITE"/>
          <w:i w:val="0"/>
        </w:rPr>
        <w:t>olive et de grignons d</w:t>
      </w:r>
      <w:r w:rsidR="00DD2821">
        <w:rPr>
          <w:rStyle w:val="CITE"/>
          <w:i w:val="0"/>
        </w:rPr>
        <w:t>’</w:t>
      </w:r>
      <w:r>
        <w:rPr>
          <w:rStyle w:val="CITE"/>
          <w:i w:val="0"/>
        </w:rPr>
        <w:t>olive.</w:t>
      </w:r>
    </w:p>
    <w:p w14:paraId="0DF75CE7" w14:textId="1F595686" w:rsidR="00CE2E53" w:rsidRPr="00DC6D3D" w:rsidRDefault="00CE2E53" w:rsidP="00CE2E53">
      <w:pPr>
        <w:pStyle w:val="ListParagraph"/>
        <w:keepNext/>
        <w:numPr>
          <w:ilvl w:val="0"/>
          <w:numId w:val="8"/>
        </w:numPr>
        <w:spacing w:before="240"/>
        <w:ind w:left="714" w:hanging="357"/>
        <w:contextualSpacing w:val="0"/>
        <w:rPr>
          <w:rStyle w:val="CITE"/>
          <w:i w:val="0"/>
        </w:rPr>
      </w:pPr>
      <w:r>
        <w:t>Annexe</w:t>
      </w:r>
      <w:r w:rsidR="00066C2B">
        <w:t> </w:t>
      </w:r>
      <w:r>
        <w:t>III</w:t>
      </w:r>
    </w:p>
    <w:p w14:paraId="65B3BFA4" w14:textId="1730F899" w:rsidR="00CE2E53" w:rsidRPr="00DC6D3D" w:rsidRDefault="00CE2E53" w:rsidP="00676019">
      <w:pPr>
        <w:tabs>
          <w:tab w:val="left" w:pos="-720"/>
        </w:tabs>
        <w:ind w:left="720"/>
        <w:contextualSpacing/>
        <w:rPr>
          <w:rStyle w:val="CITE"/>
          <w:rFonts w:cs="Arial"/>
          <w:i w:val="0"/>
          <w:szCs w:val="24"/>
        </w:rPr>
      </w:pPr>
      <w:r>
        <w:rPr>
          <w:rStyle w:val="CITE"/>
          <w:i w:val="0"/>
        </w:rPr>
        <w:t xml:space="preserve">Cette annexe </w:t>
      </w:r>
      <w:r>
        <w:t>définit l</w:t>
      </w:r>
      <w:r w:rsidR="00DD2821">
        <w:t>’</w:t>
      </w:r>
      <w:r>
        <w:t>apparence et les caractéristiques exigibles aux différentes catégories d</w:t>
      </w:r>
      <w:r w:rsidR="00DD2821">
        <w:t>’</w:t>
      </w:r>
      <w:r>
        <w:t>huiles réglementées par ce décret royal</w:t>
      </w:r>
      <w:r>
        <w:rPr>
          <w:rStyle w:val="CITE"/>
          <w:i w:val="0"/>
        </w:rPr>
        <w:t>.</w:t>
      </w:r>
    </w:p>
    <w:p w14:paraId="3BCBD97C" w14:textId="77777777" w:rsidR="00676019" w:rsidRPr="00DC6D3D" w:rsidRDefault="00676019" w:rsidP="00ED34D0">
      <w:pPr>
        <w:pStyle w:val="Heading4"/>
        <w:numPr>
          <w:ilvl w:val="0"/>
          <w:numId w:val="0"/>
        </w:numPr>
        <w:spacing w:after="240"/>
        <w:ind w:left="864" w:hanging="864"/>
        <w:rPr>
          <w:b/>
        </w:rPr>
      </w:pPr>
      <w:r>
        <w:rPr>
          <w:b/>
          <w:u w:val="none"/>
        </w:rPr>
        <w:t xml:space="preserve">3. </w:t>
      </w:r>
      <w:r>
        <w:rPr>
          <w:b/>
        </w:rPr>
        <w:t>Éléments nouveaux</w:t>
      </w:r>
    </w:p>
    <w:p w14:paraId="16633AE6" w14:textId="77777777" w:rsidR="00676019" w:rsidRPr="00DC6D3D" w:rsidRDefault="00676019" w:rsidP="00676019">
      <w:pPr>
        <w:keepNext/>
      </w:pPr>
      <w:r>
        <w:t xml:space="preserve">Les principales nouveautés soulevées par la norme proposée sont les </w:t>
      </w:r>
      <w:proofErr w:type="gramStart"/>
      <w:r>
        <w:t>suivantes:</w:t>
      </w:r>
      <w:proofErr w:type="gramEnd"/>
    </w:p>
    <w:p w14:paraId="77D73CA7" w14:textId="27FAE8E5" w:rsidR="00135C66" w:rsidRPr="00DC6D3D" w:rsidRDefault="00676019" w:rsidP="00676019">
      <w:pPr>
        <w:numPr>
          <w:ilvl w:val="0"/>
          <w:numId w:val="22"/>
        </w:numPr>
        <w:rPr>
          <w:szCs w:val="22"/>
        </w:rPr>
      </w:pPr>
      <w:r>
        <w:t>Intégration d</w:t>
      </w:r>
      <w:r w:rsidR="00DD2821">
        <w:t>’</w:t>
      </w:r>
      <w:r>
        <w:t>un système de registre de traçabilité interne et d’un document de transport.</w:t>
      </w:r>
    </w:p>
    <w:p w14:paraId="173ECE3A" w14:textId="77777777" w:rsidR="00676019" w:rsidRPr="00DC6D3D" w:rsidRDefault="00135C66" w:rsidP="00676019">
      <w:pPr>
        <w:numPr>
          <w:ilvl w:val="0"/>
          <w:numId w:val="22"/>
        </w:numPr>
        <w:rPr>
          <w:szCs w:val="22"/>
        </w:rPr>
      </w:pPr>
      <w:r>
        <w:t>Obligation de notifier le ministère de l’agriculture, de la pêche et de l’alimentation via un système informatisé dédié.</w:t>
      </w:r>
    </w:p>
    <w:p w14:paraId="5F7A4EC6" w14:textId="3E605CBF" w:rsidR="00676019" w:rsidRPr="00DC6D3D" w:rsidRDefault="00676019" w:rsidP="00676019">
      <w:pPr>
        <w:numPr>
          <w:ilvl w:val="0"/>
          <w:numId w:val="22"/>
        </w:numPr>
        <w:rPr>
          <w:szCs w:val="22"/>
        </w:rPr>
      </w:pPr>
      <w:r>
        <w:t>Nouvelles obligations liées à la séparation et au conditionnement des installations de production d</w:t>
      </w:r>
      <w:r w:rsidR="00DD2821">
        <w:t>’</w:t>
      </w:r>
      <w:r>
        <w:t>huile d</w:t>
      </w:r>
      <w:r w:rsidR="00DD2821">
        <w:t>’</w:t>
      </w:r>
      <w:r>
        <w:t>olive.</w:t>
      </w:r>
    </w:p>
    <w:p w14:paraId="722CFB9C" w14:textId="77777777" w:rsidR="00676019" w:rsidRPr="00DC6D3D" w:rsidRDefault="00676019" w:rsidP="00676019">
      <w:pPr>
        <w:numPr>
          <w:ilvl w:val="0"/>
          <w:numId w:val="22"/>
        </w:numPr>
        <w:rPr>
          <w:szCs w:val="22"/>
        </w:rPr>
      </w:pPr>
      <w:r>
        <w:t>Protection spécifique des termes</w:t>
      </w:r>
      <w:proofErr w:type="gramStart"/>
      <w:r>
        <w:t xml:space="preserve"> «vierge</w:t>
      </w:r>
      <w:proofErr w:type="gramEnd"/>
      <w:r>
        <w:t>» et «vierge extra».</w:t>
      </w:r>
    </w:p>
    <w:p w14:paraId="42BD8F46" w14:textId="63F2A541" w:rsidR="00F3279D" w:rsidRPr="00DC6D3D" w:rsidRDefault="00F3279D" w:rsidP="00676019">
      <w:pPr>
        <w:numPr>
          <w:ilvl w:val="0"/>
          <w:numId w:val="22"/>
        </w:numPr>
        <w:rPr>
          <w:szCs w:val="22"/>
        </w:rPr>
      </w:pPr>
      <w:r>
        <w:t>Interdiction de commercialiser les huiles d</w:t>
      </w:r>
      <w:r w:rsidR="00DD2821">
        <w:t>’</w:t>
      </w:r>
      <w:r>
        <w:t>olive vierge extra conditionnées dans des récipients en plastique via un circuit de distribution au détail.</w:t>
      </w:r>
    </w:p>
    <w:p w14:paraId="7D2E5727" w14:textId="77777777" w:rsidR="00676019" w:rsidRPr="00DC6D3D" w:rsidRDefault="00676019" w:rsidP="00676019">
      <w:pPr>
        <w:numPr>
          <w:ilvl w:val="0"/>
          <w:numId w:val="22"/>
        </w:numPr>
        <w:rPr>
          <w:szCs w:val="22"/>
        </w:rPr>
      </w:pPr>
      <w:r>
        <w:t>Nouvelles pratiques interdites dans les installations.</w:t>
      </w:r>
    </w:p>
    <w:p w14:paraId="75D2747E" w14:textId="22D588A1" w:rsidR="00676019" w:rsidRPr="00DC6D3D" w:rsidRDefault="00676019" w:rsidP="00676019">
      <w:pPr>
        <w:numPr>
          <w:ilvl w:val="0"/>
          <w:numId w:val="22"/>
        </w:numPr>
        <w:rPr>
          <w:szCs w:val="22"/>
        </w:rPr>
      </w:pPr>
      <w:r>
        <w:t>Création d</w:t>
      </w:r>
      <w:r w:rsidR="00DD2821">
        <w:t>’</w:t>
      </w:r>
      <w:r>
        <w:t>un plan de contrôle spécifique pour vérifier la traçabilité de l’huile d</w:t>
      </w:r>
      <w:r w:rsidR="00DD2821">
        <w:t>’</w:t>
      </w:r>
      <w:r>
        <w:t>olive et de grignons d</w:t>
      </w:r>
      <w:r w:rsidR="00DD2821">
        <w:t>’</w:t>
      </w:r>
      <w:r>
        <w:t>olive, coordonné par le ministère de l’agriculture, de la pêche et de l’alimentation.</w:t>
      </w:r>
    </w:p>
    <w:p w14:paraId="25CBF365" w14:textId="34D65DD7" w:rsidR="00BF0D5D" w:rsidRPr="00DC6D3D" w:rsidRDefault="00BF0D5D" w:rsidP="00676019">
      <w:pPr>
        <w:numPr>
          <w:ilvl w:val="0"/>
          <w:numId w:val="22"/>
        </w:numPr>
        <w:rPr>
          <w:szCs w:val="22"/>
        </w:rPr>
      </w:pPr>
      <w:r>
        <w:t>Transparence accrue via la publication des résultats des contrôles de conformité de l</w:t>
      </w:r>
      <w:r w:rsidR="00DD2821">
        <w:t>’</w:t>
      </w:r>
      <w:r>
        <w:t>huile d</w:t>
      </w:r>
      <w:r w:rsidR="00DD2821">
        <w:t>’</w:t>
      </w:r>
      <w:r>
        <w:t xml:space="preserve">olive. </w:t>
      </w:r>
    </w:p>
    <w:p w14:paraId="1C4539A4" w14:textId="77777777" w:rsidR="00676019" w:rsidRPr="00DC6D3D" w:rsidRDefault="00676019" w:rsidP="00F4239E">
      <w:pPr>
        <w:pStyle w:val="Heading3"/>
        <w:numPr>
          <w:ilvl w:val="0"/>
          <w:numId w:val="0"/>
        </w:numPr>
        <w:spacing w:before="480"/>
        <w:rPr>
          <w:color w:val="auto"/>
          <w:szCs w:val="22"/>
        </w:rPr>
      </w:pPr>
      <w:r>
        <w:rPr>
          <w:color w:val="auto"/>
          <w:u w:val="none"/>
        </w:rPr>
        <w:lastRenderedPageBreak/>
        <w:t xml:space="preserve">III. </w:t>
      </w:r>
      <w:r>
        <w:rPr>
          <w:color w:val="auto"/>
        </w:rPr>
        <w:t>ANALYSE JURIDIQUE</w:t>
      </w:r>
    </w:p>
    <w:p w14:paraId="26C11B27" w14:textId="77777777" w:rsidR="00676019" w:rsidRPr="00DC6D3D" w:rsidRDefault="00676019" w:rsidP="00676019">
      <w:pPr>
        <w:pStyle w:val="Heading4"/>
        <w:numPr>
          <w:ilvl w:val="0"/>
          <w:numId w:val="0"/>
        </w:numPr>
        <w:ind w:left="864" w:hanging="864"/>
        <w:rPr>
          <w:b/>
          <w:szCs w:val="22"/>
        </w:rPr>
      </w:pPr>
      <w:r>
        <w:rPr>
          <w:b/>
          <w:u w:val="none"/>
        </w:rPr>
        <w:t xml:space="preserve">1. </w:t>
      </w:r>
      <w:r>
        <w:rPr>
          <w:b/>
        </w:rPr>
        <w:t>Cohérence avec le système juridique</w:t>
      </w:r>
    </w:p>
    <w:p w14:paraId="593B6116" w14:textId="77777777" w:rsidR="00676019" w:rsidRPr="00DC6D3D" w:rsidRDefault="00676019" w:rsidP="00F4239E">
      <w:pPr>
        <w:keepNext/>
      </w:pPr>
      <w:r>
        <w:t xml:space="preserve">La norme est pleinement conforme au système juridique, son impact se limitant exclusivement à la qualité des aliments. Les normes suivantes seront notamment </w:t>
      </w:r>
      <w:proofErr w:type="gramStart"/>
      <w:r>
        <w:t>respectées:</w:t>
      </w:r>
      <w:proofErr w:type="gramEnd"/>
    </w:p>
    <w:p w14:paraId="5608727D" w14:textId="2B7CCFE4" w:rsidR="00676019" w:rsidRPr="00DC6D3D" w:rsidRDefault="00DD2821" w:rsidP="00676019">
      <w:pPr>
        <w:numPr>
          <w:ilvl w:val="0"/>
          <w:numId w:val="6"/>
        </w:numPr>
      </w:pPr>
      <w:proofErr w:type="gramStart"/>
      <w:r>
        <w:t>l</w:t>
      </w:r>
      <w:r w:rsidR="00676019">
        <w:t>a</w:t>
      </w:r>
      <w:proofErr w:type="gramEnd"/>
      <w:r w:rsidR="00676019">
        <w:t xml:space="preserve"> loi n° 28/2015 du 30</w:t>
      </w:r>
      <w:r>
        <w:t> </w:t>
      </w:r>
      <w:r w:rsidR="00676019">
        <w:t>juillet</w:t>
      </w:r>
      <w:r>
        <w:t> </w:t>
      </w:r>
      <w:r w:rsidR="00676019">
        <w:t>2015 pour la défense de la qualité alimentaire;</w:t>
      </w:r>
    </w:p>
    <w:p w14:paraId="1D1D1C06" w14:textId="77777777" w:rsidR="00676019" w:rsidRPr="00DC6D3D" w:rsidRDefault="00676019" w:rsidP="00676019">
      <w:pPr>
        <w:numPr>
          <w:ilvl w:val="0"/>
          <w:numId w:val="6"/>
        </w:numPr>
      </w:pPr>
      <w:proofErr w:type="gramStart"/>
      <w:r>
        <w:t>le</w:t>
      </w:r>
      <w:proofErr w:type="gramEnd"/>
      <w:r>
        <w:t xml:space="preserve"> règlement (CE) nº 178/2002 du Parlement européen et du Conseil du 28 janvier 2002 établissant les principes généraux et les prescriptions générales de la législation alimentaire, instituant l’Autorité européenne de sécurité des aliments et fixant des procédures relatives à la sécurité des denrées alimentaires;</w:t>
      </w:r>
    </w:p>
    <w:p w14:paraId="00C8DA44" w14:textId="77777777" w:rsidR="00676019" w:rsidRPr="00DC6D3D" w:rsidRDefault="00676019" w:rsidP="00676019">
      <w:pPr>
        <w:numPr>
          <w:ilvl w:val="0"/>
          <w:numId w:val="6"/>
        </w:numPr>
      </w:pPr>
      <w:r>
        <w:t>le règlement (UE) 2017/625 du Parlement européen et du Conseil du 15 mars 2017 concernant les contrôles officiels et les autres activités officielles servant à assurer le respect de la législation alimentaire et de la législation relative aux aliments pour animaux ainsi que des normes relatives à la santé et au bien-être des animaux, à la santé des végétaux et aux produits phytopharmaceutiques, modifiant les règlements (CE) nº 999/2001, (CE) nº 396/2005, (CE) nº 1069/2009, (CE) nº 1107/2009, (UE) nº 1151/2012, (UE) nº 652/2014, (UE) nº 2016/429 et (UE) nº 2016/2031 du Parlement européen et du Conseil, les règlements (CE) nº 1/2005 et (CE) nº 1099/2009 du Conseil, et les directives 98/58/CE, 1999/74/CE, 2007/43/CE, 2008/119/CE et 2008/120/CE du Conseil, portant abrogation des règlements (CE) nº 854/2004 et (CE) nº 882/2004 du Parlement européen et du Conseil, les directives 89/608/CEE, 89/662/CEE, 90/425/CEE, 91/496/CEE, 96/23/CE, 96/93/CE et 97/78/CE du Conseil et la décision 92/438/CEE du Conseil;</w:t>
      </w:r>
    </w:p>
    <w:p w14:paraId="346A0C24" w14:textId="2E34A8DC" w:rsidR="00676019" w:rsidRPr="00DC6D3D" w:rsidRDefault="00676019" w:rsidP="00676019">
      <w:pPr>
        <w:numPr>
          <w:ilvl w:val="0"/>
          <w:numId w:val="6"/>
        </w:numPr>
        <w:rPr>
          <w:b/>
          <w:bCs/>
        </w:rPr>
      </w:pPr>
      <w:proofErr w:type="gramStart"/>
      <w:r>
        <w:t>le</w:t>
      </w:r>
      <w:proofErr w:type="gramEnd"/>
      <w:r>
        <w:t xml:space="preserve"> règlement (CE) n° 1881/2006 de la Commission du 19</w:t>
      </w:r>
      <w:r w:rsidR="00DD2821">
        <w:t> </w:t>
      </w:r>
      <w:r>
        <w:t>décembre</w:t>
      </w:r>
      <w:r w:rsidR="00DD2821">
        <w:t> </w:t>
      </w:r>
      <w:r>
        <w:t>2006 portant fixation de teneurs maximales pour certains contaminants dans les denrées alimentaires;</w:t>
      </w:r>
    </w:p>
    <w:p w14:paraId="636085B6" w14:textId="432FCDCF" w:rsidR="00676019" w:rsidRPr="00DC6D3D" w:rsidRDefault="00676019" w:rsidP="00676019">
      <w:pPr>
        <w:numPr>
          <w:ilvl w:val="0"/>
          <w:numId w:val="6"/>
        </w:numPr>
      </w:pPr>
      <w:r>
        <w:t xml:space="preserve">le règlement (CE) n° </w:t>
      </w:r>
      <w:hyperlink r:id="rId9" w:tgtFrame="_blank" w:tooltip="1331/2008" w:history="1">
        <w:r>
          <w:rPr>
            <w:rStyle w:val="Hyperlink"/>
            <w:bCs/>
            <w:color w:val="auto"/>
            <w:szCs w:val="24"/>
            <w:u w:val="none"/>
          </w:rPr>
          <w:t>1331/2008</w:t>
        </w:r>
      </w:hyperlink>
      <w:r>
        <w:t xml:space="preserve"> du Parlement européen et du Conseil du 16</w:t>
      </w:r>
      <w:r w:rsidR="00DD2821">
        <w:t> </w:t>
      </w:r>
      <w:r>
        <w:t>décembre</w:t>
      </w:r>
      <w:r w:rsidR="00DD2821">
        <w:t> </w:t>
      </w:r>
      <w:r>
        <w:t>2008 établissant une procédure d’autorisation uniforme pour les additifs, enzymes et arômes alimentaires;</w:t>
      </w:r>
    </w:p>
    <w:p w14:paraId="08F68B26" w14:textId="7D88ABD1" w:rsidR="00676019" w:rsidRPr="00DC6D3D" w:rsidRDefault="00676019" w:rsidP="00676019">
      <w:pPr>
        <w:numPr>
          <w:ilvl w:val="0"/>
          <w:numId w:val="6"/>
        </w:numPr>
      </w:pPr>
      <w:proofErr w:type="gramStart"/>
      <w:r>
        <w:t>le</w:t>
      </w:r>
      <w:proofErr w:type="gramEnd"/>
      <w:r>
        <w:t xml:space="preserve"> règlement (CE) n° 1333/2008 du Parlement européen et du Conseil du 16</w:t>
      </w:r>
      <w:r w:rsidR="00DD2821">
        <w:t> </w:t>
      </w:r>
      <w:r>
        <w:t>décembre</w:t>
      </w:r>
      <w:r w:rsidR="00DD2821">
        <w:t> </w:t>
      </w:r>
      <w:r>
        <w:t>2008 sur les additifs alimentaires;</w:t>
      </w:r>
    </w:p>
    <w:p w14:paraId="7544DB83" w14:textId="4C4510A3" w:rsidR="00676019" w:rsidRPr="00E52DAD" w:rsidRDefault="00676019" w:rsidP="00676019">
      <w:pPr>
        <w:numPr>
          <w:ilvl w:val="0"/>
          <w:numId w:val="6"/>
        </w:numPr>
        <w:rPr>
          <w:spacing w:val="-4"/>
        </w:rPr>
      </w:pPr>
      <w:r w:rsidRPr="00E52DAD">
        <w:rPr>
          <w:spacing w:val="-4"/>
        </w:rPr>
        <w:t>le règlement (UE) nº 1169/2011 du Parlement européen et du Conseil du 25 octobre 2011 concernant l</w:t>
      </w:r>
      <w:r w:rsidR="00DD2821" w:rsidRPr="00E52DAD">
        <w:rPr>
          <w:spacing w:val="-4"/>
        </w:rPr>
        <w:t>’</w:t>
      </w:r>
      <w:r w:rsidRPr="00E52DAD">
        <w:rPr>
          <w:spacing w:val="-4"/>
        </w:rPr>
        <w:t>information des consommateurs sur les denrées alimentaires, modifiant les règlements (CE) nº 1924/2006 et (CE) nº 1925/2006 du Parlement européen et du Conseil et abrogeant la directive 87/250/CEE de la Commission, la directive 90/496/CEE du Conseil, la directive 1999/10/CE de la Commission, la directive 2000/13/CE du Parlement européen et du Conseil et les directives 2002/67/CE et 2008/5/CE de la Commission ainsi que le règlement (CE) n° 608/2004 de la Commission;</w:t>
      </w:r>
    </w:p>
    <w:p w14:paraId="6DA61EF5" w14:textId="202B88A4" w:rsidR="00134997" w:rsidRPr="00DC6D3D" w:rsidRDefault="00134997" w:rsidP="00F4239E">
      <w:pPr>
        <w:keepNext/>
      </w:pPr>
      <w:r>
        <w:lastRenderedPageBreak/>
        <w:t>Cette norme est également conforme aux réglementations de l’UE et nationales applicables à l</w:t>
      </w:r>
      <w:r w:rsidR="00DD2821">
        <w:t>’</w:t>
      </w:r>
      <w:r>
        <w:t>huile d</w:t>
      </w:r>
      <w:r w:rsidR="00DD2821">
        <w:t>’</w:t>
      </w:r>
      <w:r>
        <w:t>olive et de grignons d</w:t>
      </w:r>
      <w:r w:rsidR="00DD2821">
        <w:t>’</w:t>
      </w:r>
      <w:r>
        <w:t xml:space="preserve">olive, et </w:t>
      </w:r>
      <w:proofErr w:type="gramStart"/>
      <w:r>
        <w:t>notamment:</w:t>
      </w:r>
      <w:proofErr w:type="gramEnd"/>
    </w:p>
    <w:p w14:paraId="18FE8C46" w14:textId="0F621D4D" w:rsidR="00134997" w:rsidRPr="00DC6D3D" w:rsidRDefault="00134997" w:rsidP="00134997">
      <w:pPr>
        <w:numPr>
          <w:ilvl w:val="0"/>
          <w:numId w:val="6"/>
        </w:numPr>
      </w:pPr>
      <w:proofErr w:type="gramStart"/>
      <w:r>
        <w:t>au</w:t>
      </w:r>
      <w:proofErr w:type="gramEnd"/>
      <w:r>
        <w:t xml:space="preserve"> règlement (CEE) n°</w:t>
      </w:r>
      <w:r w:rsidR="00066C2B">
        <w:t> </w:t>
      </w:r>
      <w:r>
        <w:t>2568/91 de la Commission, du 11</w:t>
      </w:r>
      <w:r w:rsidR="00DD2821">
        <w:t> </w:t>
      </w:r>
      <w:r>
        <w:t>juillet</w:t>
      </w:r>
      <w:r w:rsidR="00DD2821">
        <w:t> </w:t>
      </w:r>
      <w:r>
        <w:t>1991, relatif aux caractéristiques des huiles d</w:t>
      </w:r>
      <w:r w:rsidR="00DD2821">
        <w:t>’</w:t>
      </w:r>
      <w:r>
        <w:t>olive et des huiles de grignons d</w:t>
      </w:r>
      <w:r w:rsidR="00DD2821">
        <w:t>’</w:t>
      </w:r>
      <w:r>
        <w:t>olive ainsi qu</w:t>
      </w:r>
      <w:r w:rsidR="00DD2821">
        <w:t>’</w:t>
      </w:r>
      <w:r>
        <w:t>aux méthodes y afférentes;</w:t>
      </w:r>
    </w:p>
    <w:p w14:paraId="7858293A" w14:textId="3028AEB2" w:rsidR="00134997" w:rsidRPr="00DC6D3D" w:rsidRDefault="00134997" w:rsidP="00134997">
      <w:pPr>
        <w:numPr>
          <w:ilvl w:val="0"/>
          <w:numId w:val="6"/>
        </w:numPr>
      </w:pPr>
      <w:proofErr w:type="gramStart"/>
      <w:r>
        <w:t>au</w:t>
      </w:r>
      <w:proofErr w:type="gramEnd"/>
      <w:r>
        <w:t xml:space="preserve"> règlement d’exécution (UE) n° 29/2012 de la Commission du 13</w:t>
      </w:r>
      <w:r w:rsidR="00DD2821">
        <w:t> </w:t>
      </w:r>
      <w:r>
        <w:t>janvier</w:t>
      </w:r>
      <w:r w:rsidR="00DD2821">
        <w:t> </w:t>
      </w:r>
      <w:r>
        <w:t>2012 relatif aux normes de commercialisation de l’huile d’olive;</w:t>
      </w:r>
    </w:p>
    <w:p w14:paraId="69328111" w14:textId="7C48A643" w:rsidR="00460E61" w:rsidRPr="00DC6D3D" w:rsidRDefault="00460E61" w:rsidP="00460E61">
      <w:pPr>
        <w:numPr>
          <w:ilvl w:val="0"/>
          <w:numId w:val="6"/>
        </w:numPr>
      </w:pPr>
      <w:proofErr w:type="gramStart"/>
      <w:r>
        <w:t>au</w:t>
      </w:r>
      <w:proofErr w:type="gramEnd"/>
      <w:r>
        <w:t xml:space="preserve"> décret royal n° 640/2015 du 10</w:t>
      </w:r>
      <w:r w:rsidR="00DD2821">
        <w:t> </w:t>
      </w:r>
      <w:r>
        <w:t>juillet</w:t>
      </w:r>
      <w:r w:rsidR="00DD2821">
        <w:t> </w:t>
      </w:r>
      <w:r>
        <w:t>2015 portant approbation de la liste des auxiliaires technologiques autorisés pour l</w:t>
      </w:r>
      <w:r w:rsidR="00DD2821">
        <w:t>’</w:t>
      </w:r>
      <w:r>
        <w:t>élaboration des huiles végétales comestibles ainsi que leurs critères d</w:t>
      </w:r>
      <w:r w:rsidR="00DD2821">
        <w:t>’</w:t>
      </w:r>
      <w:r>
        <w:t>identité et de pureté, et modifiant le décret royal nº 308/1983 du 25 janvier 1983, portant approbation de la réglementation technico-sanitaire en matière d</w:t>
      </w:r>
      <w:r w:rsidR="00DD2821">
        <w:t>’</w:t>
      </w:r>
      <w:r>
        <w:t>huiles végétales comestibles.</w:t>
      </w:r>
    </w:p>
    <w:p w14:paraId="518E51B3" w14:textId="6F556116" w:rsidR="00676019" w:rsidRPr="00DC6D3D" w:rsidRDefault="00676019" w:rsidP="00676019">
      <w:r>
        <w:t>Enfin, elle est également conforme à l</w:t>
      </w:r>
      <w:r w:rsidR="00DD2821">
        <w:t>’</w:t>
      </w:r>
      <w:r>
        <w:t>abrogation établie par le décret royal n°</w:t>
      </w:r>
      <w:r w:rsidR="00DD2821">
        <w:t> </w:t>
      </w:r>
      <w:r>
        <w:t>176/2013 du 8</w:t>
      </w:r>
      <w:r w:rsidR="00DD2821">
        <w:t> </w:t>
      </w:r>
      <w:r>
        <w:t>mars</w:t>
      </w:r>
      <w:r w:rsidR="00DD2821">
        <w:t> </w:t>
      </w:r>
      <w:r>
        <w:t>2013, qui abroge totalement ou partiellement certaines réglementations technico-sanitaires et normes de qualité liées aux produits alimentaires, en ce qui concerne les aspects sanitaires des produits alimentaires, qui sont déjà encadrées par des réglementations horizontales à l’échelle de l</w:t>
      </w:r>
      <w:r w:rsidR="00DD2821">
        <w:t>’</w:t>
      </w:r>
      <w:r>
        <w:t>Union européenne.</w:t>
      </w:r>
    </w:p>
    <w:p w14:paraId="5BE128C7" w14:textId="77777777" w:rsidR="00676019" w:rsidRPr="00DC6D3D" w:rsidRDefault="00676019" w:rsidP="00676019">
      <w:pPr>
        <w:pStyle w:val="Heading4"/>
        <w:numPr>
          <w:ilvl w:val="0"/>
          <w:numId w:val="0"/>
        </w:numPr>
        <w:ind w:left="864" w:hanging="864"/>
        <w:rPr>
          <w:b/>
        </w:rPr>
      </w:pPr>
      <w:r>
        <w:rPr>
          <w:b/>
          <w:u w:val="none"/>
        </w:rPr>
        <w:t xml:space="preserve">2. </w:t>
      </w:r>
      <w:r>
        <w:rPr>
          <w:b/>
        </w:rPr>
        <w:t>Rang officiel</w:t>
      </w:r>
    </w:p>
    <w:p w14:paraId="67E63195" w14:textId="2A3F13BF" w:rsidR="00676019" w:rsidRPr="00DC6D3D" w:rsidRDefault="00676019" w:rsidP="00676019">
      <w:r>
        <w:t>L</w:t>
      </w:r>
      <w:r w:rsidR="00DD2821">
        <w:t>’</w:t>
      </w:r>
      <w:r>
        <w:t>adoption par décret royal de ce règlement normatif de base se fonde sur la quatrième disposition finale de la loi n° 28/2015 du 30</w:t>
      </w:r>
      <w:r w:rsidR="00DD2821">
        <w:t> </w:t>
      </w:r>
      <w:r>
        <w:t>juillet</w:t>
      </w:r>
      <w:r w:rsidR="00DD2821">
        <w:t> </w:t>
      </w:r>
      <w:r>
        <w:t>2015, ainsi que, conformément à la doctrine de la Cour constitutionnelle, sur le caractère nettement technique de l</w:t>
      </w:r>
      <w:r w:rsidR="00DD2821">
        <w:t>’</w:t>
      </w:r>
      <w:r>
        <w:t>objet de la réglementation et sur la nécessité de mettre en place un cadre réglementaire unitaire, applicable à l</w:t>
      </w:r>
      <w:r w:rsidR="00DD2821">
        <w:t>’</w:t>
      </w:r>
      <w:r>
        <w:t>ensemble du territoire national et garantissant un traitement uniforme à tous les opérateurs. Ce raisonnement est renforcé par le fait que, bien que la norme proposée ait vocation à être permanente, les éventuelles évolutions du secteur et du contexte économique pourraient justifier sa modification.</w:t>
      </w:r>
    </w:p>
    <w:p w14:paraId="0509126D" w14:textId="77777777" w:rsidR="00676019" w:rsidRPr="00DC6D3D" w:rsidRDefault="00676019" w:rsidP="00676019">
      <w:pPr>
        <w:rPr>
          <w:rFonts w:cs="Arial"/>
          <w:iCs/>
          <w:szCs w:val="24"/>
        </w:rPr>
      </w:pPr>
      <w:r>
        <w:t>Cette norme vise à atteindre les objectifs de politique sectorielle fixés par la Constitution.</w:t>
      </w:r>
    </w:p>
    <w:p w14:paraId="48148549" w14:textId="083CF980" w:rsidR="00676019" w:rsidRPr="00DC6D3D" w:rsidRDefault="00676019" w:rsidP="00676019">
      <w:r>
        <w:t>En ce qui concerne le rang, les circonstances se rejoignent pour justifier le fait que le rang du projet est celui d</w:t>
      </w:r>
      <w:r w:rsidR="00DD2821">
        <w:t>’</w:t>
      </w:r>
      <w:r>
        <w:t xml:space="preserve">un décret royal, conformément à la doctrine du tribunal constitutionnel. </w:t>
      </w:r>
    </w:p>
    <w:p w14:paraId="564A295E" w14:textId="72B7ECE2" w:rsidR="00676019" w:rsidRPr="00DC6D3D" w:rsidRDefault="00676019" w:rsidP="00493B24">
      <w:pPr>
        <w:pStyle w:val="Heading4"/>
        <w:numPr>
          <w:ilvl w:val="0"/>
          <w:numId w:val="0"/>
        </w:numPr>
        <w:rPr>
          <w:b/>
        </w:rPr>
      </w:pPr>
      <w:r>
        <w:rPr>
          <w:b/>
          <w:u w:val="none"/>
        </w:rPr>
        <w:t xml:space="preserve">3. </w:t>
      </w:r>
      <w:r>
        <w:rPr>
          <w:b/>
        </w:rPr>
        <w:t>Liste détaillée des normes qui seront partiellement remplacées à la suite de l</w:t>
      </w:r>
      <w:r w:rsidR="00DD2821">
        <w:rPr>
          <w:b/>
        </w:rPr>
        <w:t>’</w:t>
      </w:r>
      <w:r>
        <w:rPr>
          <w:b/>
        </w:rPr>
        <w:t>entrée en vigueur de la norme</w:t>
      </w:r>
    </w:p>
    <w:p w14:paraId="7621F1E8" w14:textId="77777777" w:rsidR="00676019" w:rsidRPr="00DC6D3D" w:rsidRDefault="00676019" w:rsidP="00F4239E">
      <w:pPr>
        <w:pStyle w:val="Default"/>
        <w:keepNext/>
        <w:spacing w:before="100" w:beforeAutospacing="1" w:after="100" w:afterAutospacing="1"/>
        <w:jc w:val="both"/>
        <w:rPr>
          <w:rFonts w:ascii="Arial" w:hAnsi="Arial" w:cs="Arial"/>
          <w:color w:val="auto"/>
        </w:rPr>
      </w:pPr>
      <w:r>
        <w:rPr>
          <w:rFonts w:ascii="Arial" w:hAnsi="Arial"/>
          <w:color w:val="auto"/>
        </w:rPr>
        <w:t xml:space="preserve">L’entrée en vigueur du présent décret royal entraînera l’abrogation des normes </w:t>
      </w:r>
      <w:proofErr w:type="gramStart"/>
      <w:r>
        <w:rPr>
          <w:rFonts w:ascii="Arial" w:hAnsi="Arial"/>
          <w:color w:val="auto"/>
        </w:rPr>
        <w:t>suivantes:</w:t>
      </w:r>
      <w:proofErr w:type="gramEnd"/>
    </w:p>
    <w:p w14:paraId="0F4A4DAA" w14:textId="33C7CBCD" w:rsidR="00676019" w:rsidRPr="00DC6D3D" w:rsidRDefault="00676019" w:rsidP="00676019">
      <w:pPr>
        <w:numPr>
          <w:ilvl w:val="0"/>
          <w:numId w:val="6"/>
        </w:numPr>
      </w:pPr>
      <w:proofErr w:type="gramStart"/>
      <w:r>
        <w:t>le</w:t>
      </w:r>
      <w:proofErr w:type="gramEnd"/>
      <w:r>
        <w:t xml:space="preserve"> décret royal n°</w:t>
      </w:r>
      <w:r w:rsidR="00066C2B">
        <w:t> </w:t>
      </w:r>
      <w:r>
        <w:t>3000/1979 du 7</w:t>
      </w:r>
      <w:r w:rsidR="00DD2821">
        <w:t> </w:t>
      </w:r>
      <w:r>
        <w:t>décembre</w:t>
      </w:r>
      <w:r w:rsidR="00DD2821">
        <w:t> </w:t>
      </w:r>
      <w:r>
        <w:t>1979 sur la réglementation des procédés industriels dans le secteur de l</w:t>
      </w:r>
      <w:r w:rsidR="00DD2821">
        <w:t>’</w:t>
      </w:r>
      <w:r>
        <w:t>huile d</w:t>
      </w:r>
      <w:r w:rsidR="00DD2821">
        <w:t>’</w:t>
      </w:r>
      <w:r>
        <w:t>olive;</w:t>
      </w:r>
    </w:p>
    <w:p w14:paraId="30923A51" w14:textId="6409136C" w:rsidR="00676019" w:rsidRPr="00DC6D3D" w:rsidRDefault="00676019" w:rsidP="00676019">
      <w:pPr>
        <w:numPr>
          <w:ilvl w:val="0"/>
          <w:numId w:val="6"/>
        </w:numPr>
      </w:pPr>
      <w:proofErr w:type="gramStart"/>
      <w:r>
        <w:t>le</w:t>
      </w:r>
      <w:proofErr w:type="gramEnd"/>
      <w:r>
        <w:t xml:space="preserve"> décret royal nº 308/1983 du 25 janvier 1983 portant approbation de la réglementation technico-sanitaire en matière d</w:t>
      </w:r>
      <w:r w:rsidR="00DD2821">
        <w:t>’</w:t>
      </w:r>
      <w:r>
        <w:t>huiles végétales comestibles, dans la partie relative aux huiles d</w:t>
      </w:r>
      <w:r w:rsidR="00DD2821">
        <w:t>’</w:t>
      </w:r>
      <w:r>
        <w:t>olive et de grignons d</w:t>
      </w:r>
      <w:r w:rsidR="00DD2821">
        <w:t>’</w:t>
      </w:r>
      <w:r>
        <w:t xml:space="preserve">olive; </w:t>
      </w:r>
    </w:p>
    <w:p w14:paraId="74D3FACE" w14:textId="6B1139A7" w:rsidR="00676019" w:rsidRPr="00E52DAD" w:rsidRDefault="00676019" w:rsidP="00676019">
      <w:pPr>
        <w:numPr>
          <w:ilvl w:val="0"/>
          <w:numId w:val="6"/>
        </w:numPr>
        <w:rPr>
          <w:spacing w:val="-4"/>
        </w:rPr>
      </w:pPr>
      <w:proofErr w:type="gramStart"/>
      <w:r w:rsidRPr="00E52DAD">
        <w:rPr>
          <w:spacing w:val="-4"/>
        </w:rPr>
        <w:lastRenderedPageBreak/>
        <w:t>le</w:t>
      </w:r>
      <w:proofErr w:type="gramEnd"/>
      <w:r w:rsidRPr="00E52DAD">
        <w:rPr>
          <w:spacing w:val="-4"/>
        </w:rPr>
        <w:t xml:space="preserve"> décret royal n° 259/1985 du 20</w:t>
      </w:r>
      <w:r w:rsidR="00DD2821" w:rsidRPr="00E52DAD">
        <w:rPr>
          <w:spacing w:val="-4"/>
        </w:rPr>
        <w:t> </w:t>
      </w:r>
      <w:r w:rsidRPr="00E52DAD">
        <w:rPr>
          <w:spacing w:val="-4"/>
        </w:rPr>
        <w:t>février</w:t>
      </w:r>
      <w:r w:rsidR="00DD2821" w:rsidRPr="00E52DAD">
        <w:rPr>
          <w:spacing w:val="-4"/>
        </w:rPr>
        <w:t> </w:t>
      </w:r>
      <w:r w:rsidRPr="00E52DAD">
        <w:rPr>
          <w:spacing w:val="-4"/>
        </w:rPr>
        <w:t>1985 qui complète la r</w:t>
      </w:r>
      <w:r w:rsidR="00DD2821" w:rsidRPr="00E52DAD">
        <w:rPr>
          <w:spacing w:val="-4"/>
        </w:rPr>
        <w:t>é</w:t>
      </w:r>
      <w:r w:rsidRPr="00E52DAD">
        <w:rPr>
          <w:spacing w:val="-4"/>
        </w:rPr>
        <w:t>glementation technico-sanitaire en matière d’huiles végétales comestibles, avec l</w:t>
      </w:r>
      <w:r w:rsidR="00DD2821" w:rsidRPr="00E52DAD">
        <w:rPr>
          <w:spacing w:val="-4"/>
        </w:rPr>
        <w:t>’</w:t>
      </w:r>
      <w:r w:rsidRPr="00E52DAD">
        <w:rPr>
          <w:spacing w:val="-4"/>
        </w:rPr>
        <w:t>application du dosage de l</w:t>
      </w:r>
      <w:r w:rsidR="00DD2821" w:rsidRPr="00E52DAD">
        <w:rPr>
          <w:spacing w:val="-4"/>
        </w:rPr>
        <w:t>’</w:t>
      </w:r>
      <w:proofErr w:type="spellStart"/>
      <w:r w:rsidRPr="00E52DAD">
        <w:rPr>
          <w:spacing w:val="-4"/>
        </w:rPr>
        <w:t>érythrodiol</w:t>
      </w:r>
      <w:proofErr w:type="spellEnd"/>
      <w:r w:rsidRPr="00E52DAD">
        <w:rPr>
          <w:spacing w:val="-4"/>
        </w:rPr>
        <w:t xml:space="preserve"> dans les huiles d</w:t>
      </w:r>
      <w:r w:rsidR="00DD2821" w:rsidRPr="00E52DAD">
        <w:rPr>
          <w:spacing w:val="-4"/>
        </w:rPr>
        <w:t>’</w:t>
      </w:r>
      <w:r w:rsidRPr="00E52DAD">
        <w:rPr>
          <w:spacing w:val="-4"/>
        </w:rPr>
        <w:t>olive;</w:t>
      </w:r>
    </w:p>
    <w:p w14:paraId="0349B8AF" w14:textId="0F47DC62" w:rsidR="00676019" w:rsidRPr="00DC6D3D" w:rsidRDefault="00676019" w:rsidP="00676019">
      <w:pPr>
        <w:numPr>
          <w:ilvl w:val="0"/>
          <w:numId w:val="6"/>
        </w:numPr>
      </w:pPr>
      <w:proofErr w:type="gramStart"/>
      <w:r>
        <w:t>le</w:t>
      </w:r>
      <w:proofErr w:type="gramEnd"/>
      <w:r>
        <w:t xml:space="preserve"> décret royal n°</w:t>
      </w:r>
      <w:r w:rsidR="00066C2B">
        <w:t> </w:t>
      </w:r>
      <w:r>
        <w:t>2551/1986 du 21</w:t>
      </w:r>
      <w:r w:rsidR="00DD2821">
        <w:t> </w:t>
      </w:r>
      <w:r>
        <w:t>novembre</w:t>
      </w:r>
      <w:r w:rsidR="00DD2821">
        <w:t> </w:t>
      </w:r>
      <w:r>
        <w:t>1986 qui réglemente la production et la commercialisation d’huile de grignons raffinés et d</w:t>
      </w:r>
      <w:r w:rsidR="00DD2821">
        <w:t>’</w:t>
      </w:r>
      <w:r>
        <w:t>huile d</w:t>
      </w:r>
      <w:r w:rsidR="00DD2821">
        <w:t>’</w:t>
      </w:r>
      <w:r>
        <w:t>olive;</w:t>
      </w:r>
    </w:p>
    <w:p w14:paraId="3E3ED130" w14:textId="4F67F03F" w:rsidR="00676019" w:rsidRPr="00DC6D3D" w:rsidRDefault="00676019" w:rsidP="00676019">
      <w:pPr>
        <w:numPr>
          <w:ilvl w:val="0"/>
          <w:numId w:val="6"/>
        </w:numPr>
      </w:pPr>
      <w:proofErr w:type="gramStart"/>
      <w:r>
        <w:t>le</w:t>
      </w:r>
      <w:proofErr w:type="gramEnd"/>
      <w:r>
        <w:t xml:space="preserve"> décret royal n° 538/1993 du 12</w:t>
      </w:r>
      <w:r w:rsidR="00DD2821">
        <w:t> </w:t>
      </w:r>
      <w:r>
        <w:t>avril</w:t>
      </w:r>
      <w:r w:rsidR="00DD2821">
        <w:t> </w:t>
      </w:r>
      <w:r>
        <w:t>1993 portant modification de certaines dispositions relatives aux exigences industrielles pour la production, la circulation et le commerce des huiles végétales comestibles;</w:t>
      </w:r>
    </w:p>
    <w:p w14:paraId="0AEC0073" w14:textId="68FA215B" w:rsidR="009525FA" w:rsidRPr="00DC6D3D" w:rsidRDefault="009525FA" w:rsidP="009525FA">
      <w:pPr>
        <w:numPr>
          <w:ilvl w:val="0"/>
          <w:numId w:val="6"/>
        </w:numPr>
      </w:pPr>
      <w:proofErr w:type="gramStart"/>
      <w:r>
        <w:t>le</w:t>
      </w:r>
      <w:proofErr w:type="gramEnd"/>
      <w:r>
        <w:t xml:space="preserve"> décret royal n° 1431/2003 du 21</w:t>
      </w:r>
      <w:r w:rsidR="00DD2821">
        <w:t> </w:t>
      </w:r>
      <w:r>
        <w:t>novembre</w:t>
      </w:r>
      <w:r w:rsidR="00DD2821">
        <w:t> </w:t>
      </w:r>
      <w:r>
        <w:t>2003 qui établit certaines mesures de commercialisation applicables au secteur de l</w:t>
      </w:r>
      <w:r w:rsidR="00DD2821">
        <w:t>’</w:t>
      </w:r>
      <w:r>
        <w:t>huile d</w:t>
      </w:r>
      <w:r w:rsidR="00DD2821">
        <w:t>’</w:t>
      </w:r>
      <w:r>
        <w:t>olive et de l</w:t>
      </w:r>
      <w:r w:rsidR="00DD2821">
        <w:t>’</w:t>
      </w:r>
      <w:r>
        <w:t>huile de grignons d</w:t>
      </w:r>
      <w:r w:rsidR="00DD2821">
        <w:t>’</w:t>
      </w:r>
      <w:r>
        <w:t>olive;</w:t>
      </w:r>
    </w:p>
    <w:p w14:paraId="1AD9F660" w14:textId="1CD1065C" w:rsidR="00676019" w:rsidRPr="00DC6D3D" w:rsidRDefault="00676019" w:rsidP="00676019">
      <w:pPr>
        <w:numPr>
          <w:ilvl w:val="0"/>
          <w:numId w:val="6"/>
        </w:numPr>
      </w:pPr>
      <w:proofErr w:type="gramStart"/>
      <w:r>
        <w:t>l’arrêté</w:t>
      </w:r>
      <w:proofErr w:type="gramEnd"/>
      <w:r>
        <w:t xml:space="preserve"> du 12</w:t>
      </w:r>
      <w:r w:rsidR="00DD2821">
        <w:t> </w:t>
      </w:r>
      <w:r>
        <w:t>décembre</w:t>
      </w:r>
      <w:r w:rsidR="00DD2821">
        <w:t> </w:t>
      </w:r>
      <w:r>
        <w:t>1984 relatif à la livraison d</w:t>
      </w:r>
      <w:r w:rsidR="00DD2821">
        <w:t>’</w:t>
      </w:r>
      <w:r>
        <w:t>huile d</w:t>
      </w:r>
      <w:r w:rsidR="00DD2821">
        <w:t>’</w:t>
      </w:r>
      <w:r>
        <w:t>olive vierge par les moulins à huile à leurs producteurs à des fins de consommation finale;</w:t>
      </w:r>
    </w:p>
    <w:p w14:paraId="36CD7600" w14:textId="511AA4B0" w:rsidR="00676019" w:rsidRPr="00DC6D3D" w:rsidRDefault="00676019" w:rsidP="00676019">
      <w:pPr>
        <w:numPr>
          <w:ilvl w:val="0"/>
          <w:numId w:val="6"/>
        </w:numPr>
      </w:pPr>
      <w:proofErr w:type="gramStart"/>
      <w:r>
        <w:t>l’arrêté</w:t>
      </w:r>
      <w:proofErr w:type="gramEnd"/>
      <w:r>
        <w:t xml:space="preserve"> APA/1343/2004 du 7</w:t>
      </w:r>
      <w:r w:rsidR="00DD2821">
        <w:t> </w:t>
      </w:r>
      <w:r>
        <w:t>mai</w:t>
      </w:r>
      <w:r w:rsidR="00DD2821">
        <w:t> </w:t>
      </w:r>
      <w:r>
        <w:t>2004 qui réglemente le registre général des installations autorisées à commercialiser de l</w:t>
      </w:r>
      <w:r w:rsidR="00DD2821">
        <w:t>’</w:t>
      </w:r>
      <w:r>
        <w:t>huile d</w:t>
      </w:r>
      <w:r w:rsidR="00DD2821">
        <w:t>’</w:t>
      </w:r>
      <w:r>
        <w:t>olive.</w:t>
      </w:r>
    </w:p>
    <w:p w14:paraId="0334AF87" w14:textId="77777777" w:rsidR="00676019" w:rsidRPr="00DC6D3D" w:rsidRDefault="00676019" w:rsidP="00676019">
      <w:pPr>
        <w:pStyle w:val="Heading3"/>
        <w:numPr>
          <w:ilvl w:val="0"/>
          <w:numId w:val="0"/>
        </w:numPr>
        <w:spacing w:before="480"/>
        <w:rPr>
          <w:color w:val="auto"/>
        </w:rPr>
      </w:pPr>
      <w:r>
        <w:rPr>
          <w:color w:val="auto"/>
        </w:rPr>
        <w:t>IV. ADÉQUATION DE LA RÉGLEMENTATION À LA RÉPARTITION CONSTITUTIONNELLE DES COMPÉTENCES.</w:t>
      </w:r>
    </w:p>
    <w:p w14:paraId="173E7323" w14:textId="42CB3A5E" w:rsidR="00676019" w:rsidRPr="00DC6D3D" w:rsidRDefault="00676019" w:rsidP="00676019">
      <w:pPr>
        <w:autoSpaceDE w:val="0"/>
        <w:autoSpaceDN w:val="0"/>
        <w:adjustRightInd w:val="0"/>
        <w:spacing w:before="100" w:beforeAutospacing="1" w:after="100" w:afterAutospacing="1"/>
      </w:pPr>
      <w:r>
        <w:t>Le décret royal nº 308/1983 du 25 janvier 1983 portant approbation de la réglementation technico-sanitaire en matière d</w:t>
      </w:r>
      <w:r w:rsidR="00DD2821">
        <w:t>’</w:t>
      </w:r>
      <w:r>
        <w:t>huiles végétales comestibles établit les normes de production, de transformation et de commercialisation, ainsi que les caractéristiques des huiles végétales comestibles.</w:t>
      </w:r>
    </w:p>
    <w:p w14:paraId="51D3B5D2" w14:textId="184A5626" w:rsidR="00676019" w:rsidRPr="00DC6D3D" w:rsidRDefault="00676019" w:rsidP="00CF523F">
      <w:pPr>
        <w:rPr>
          <w:rFonts w:cs="Arial"/>
          <w:szCs w:val="24"/>
        </w:rPr>
      </w:pPr>
      <w:r>
        <w:t>De même, la loi nº 28/2015 du 30 juillet 2015 pour la défense de la qualité alimentaire établit la base juridique en matière de défense de la qualité des denrées alimentaires en fixant la réglementation de base, et autorise le gouvernement à approuver des normes de qualité des denrées alimentaires, avec l</w:t>
      </w:r>
      <w:r w:rsidR="00DD2821">
        <w:t>’</w:t>
      </w:r>
      <w:r>
        <w:t>objectif, entre autres, d</w:t>
      </w:r>
      <w:r w:rsidR="00DD2821">
        <w:t>’</w:t>
      </w:r>
      <w:r>
        <w:t>adapter à la réglementation de l</w:t>
      </w:r>
      <w:r w:rsidR="00DD2821">
        <w:t>’</w:t>
      </w:r>
      <w:r>
        <w:t>Union européenne, de simplifier, de moderniser et valoriser les réglementations existantes, ainsi que d</w:t>
      </w:r>
      <w:r w:rsidR="00DD2821">
        <w:t>’</w:t>
      </w:r>
      <w:r>
        <w:t>améliorer la compétitivité du secteur, en incluant les avancées réalisées grâce à l</w:t>
      </w:r>
      <w:r w:rsidR="00DD2821">
        <w:t>’</w:t>
      </w:r>
      <w:r>
        <w:t>innovation technologique.</w:t>
      </w:r>
    </w:p>
    <w:p w14:paraId="41F31B4C" w14:textId="4E45745B" w:rsidR="00676019" w:rsidRPr="00DC6D3D" w:rsidRDefault="00676019" w:rsidP="00676019">
      <w:pPr>
        <w:pStyle w:val="Pa6"/>
        <w:spacing w:before="100" w:beforeAutospacing="1" w:after="100" w:afterAutospacing="1" w:line="240" w:lineRule="auto"/>
        <w:ind w:firstLine="0"/>
        <w:rPr>
          <w:szCs w:val="20"/>
        </w:rPr>
      </w:pPr>
      <w:r>
        <w:t>Le présent décret royal est promulgué en vertu des dispositions de l</w:t>
      </w:r>
      <w:r w:rsidR="00DD2821">
        <w:t>’</w:t>
      </w:r>
      <w:r>
        <w:t>article 149, paragraphe 1, point 13, de la Constitution, qui attribue à l</w:t>
      </w:r>
      <w:r w:rsidR="00DD2821">
        <w:t>’</w:t>
      </w:r>
      <w:r>
        <w:t>État la compétence en matière de bases et de coordination de la planification générale de l</w:t>
      </w:r>
      <w:r w:rsidR="00DD2821">
        <w:t>’</w:t>
      </w:r>
      <w:r>
        <w:t>activité économique.</w:t>
      </w:r>
    </w:p>
    <w:p w14:paraId="266AFC91" w14:textId="36F8AD89" w:rsidR="00F23426" w:rsidRPr="00DC6D3D" w:rsidRDefault="00F23426" w:rsidP="00F71254">
      <w:r>
        <w:t>Il convient de noter que le projet de décret royal établit, dans son article</w:t>
      </w:r>
      <w:r w:rsidR="00066C2B">
        <w:t> </w:t>
      </w:r>
      <w:r>
        <w:t>9, paragraphes</w:t>
      </w:r>
      <w:r w:rsidR="00066C2B">
        <w:t> </w:t>
      </w:r>
      <w:r>
        <w:t>4 et 7, qu</w:t>
      </w:r>
      <w:r w:rsidR="00DD2821">
        <w:t>’</w:t>
      </w:r>
      <w:r>
        <w:t>un plan de contrôle spécifique de vérification de la traçabilité de la filière de l’huile d</w:t>
      </w:r>
      <w:r w:rsidR="00DD2821">
        <w:t>’</w:t>
      </w:r>
      <w:r>
        <w:t>olive et de grignons d</w:t>
      </w:r>
      <w:r w:rsidR="00DD2821">
        <w:t>’</w:t>
      </w:r>
      <w:r>
        <w:t>olive sera présenté à des fins de discussion et de révision à l’assemblée en charge de la coordination de la qualité alimentaire. Le rôle du ministère de l</w:t>
      </w:r>
      <w:r w:rsidR="00DD2821">
        <w:t>’</w:t>
      </w:r>
      <w:r>
        <w:t>agriculture, de la pêche et de l</w:t>
      </w:r>
      <w:r w:rsidR="00DD2821">
        <w:t>’</w:t>
      </w:r>
      <w:r>
        <w:t>alimentation se limite ainsi à la coordination du plan précité, en adéquation avec l</w:t>
      </w:r>
      <w:r w:rsidR="00DD2821">
        <w:t>’</w:t>
      </w:r>
      <w:r>
        <w:t>ordre constitutionnel de répartition des compétences.</w:t>
      </w:r>
    </w:p>
    <w:p w14:paraId="716804DD" w14:textId="77777777" w:rsidR="00676019" w:rsidRPr="00DC6D3D" w:rsidRDefault="00676019" w:rsidP="00676019">
      <w:pPr>
        <w:pStyle w:val="Heading3"/>
        <w:numPr>
          <w:ilvl w:val="0"/>
          <w:numId w:val="0"/>
        </w:numPr>
        <w:spacing w:before="480"/>
        <w:rPr>
          <w:color w:val="auto"/>
        </w:rPr>
      </w:pPr>
      <w:r>
        <w:rPr>
          <w:color w:val="auto"/>
        </w:rPr>
        <w:lastRenderedPageBreak/>
        <w:t>V. DESCRIPTION DE LA PROCÉDURE</w:t>
      </w:r>
    </w:p>
    <w:p w14:paraId="3E8F8959" w14:textId="77777777" w:rsidR="00676019" w:rsidRPr="00DC6D3D" w:rsidRDefault="00676019" w:rsidP="00676019">
      <w:pPr>
        <w:pStyle w:val="Heading4"/>
        <w:numPr>
          <w:ilvl w:val="0"/>
          <w:numId w:val="0"/>
        </w:numPr>
        <w:ind w:left="864" w:hanging="864"/>
      </w:pPr>
      <w:r>
        <w:rPr>
          <w:b/>
        </w:rPr>
        <w:t>1. Procédures préliminaires</w:t>
      </w:r>
    </w:p>
    <w:p w14:paraId="2394E6F0" w14:textId="5E0F6A3B" w:rsidR="00676019" w:rsidRPr="00DC6D3D" w:rsidRDefault="00676019" w:rsidP="00676019">
      <w:r>
        <w:t>Dans un premier temps, une consultation publique préalable a été menée conformément aux dispositions de l</w:t>
      </w:r>
      <w:r w:rsidR="00DD2821">
        <w:t>’</w:t>
      </w:r>
      <w:r>
        <w:t>article</w:t>
      </w:r>
      <w:r w:rsidR="00066C2B">
        <w:t> </w:t>
      </w:r>
      <w:r>
        <w:t>26, paragraphe</w:t>
      </w:r>
      <w:r w:rsidR="00066C2B">
        <w:t> </w:t>
      </w:r>
      <w:r>
        <w:t>2, de la loi n° 50/1997 du 27</w:t>
      </w:r>
      <w:r w:rsidR="00DD2821">
        <w:t> </w:t>
      </w:r>
      <w:r>
        <w:t>novembre</w:t>
      </w:r>
      <w:r w:rsidR="00DD2821">
        <w:t> </w:t>
      </w:r>
      <w:r>
        <w:t>1997 sur le gouvernement, recueillant les observations des personnes potentiellement concernées par la norme et des entités représentatives du secteur.</w:t>
      </w:r>
    </w:p>
    <w:p w14:paraId="226C433B" w14:textId="69B1F840" w:rsidR="007D35C9" w:rsidRPr="00E52DAD" w:rsidRDefault="007D35C9" w:rsidP="007D35C9">
      <w:pPr>
        <w:rPr>
          <w:spacing w:val="-4"/>
        </w:rPr>
      </w:pPr>
      <w:r w:rsidRPr="00E52DAD">
        <w:rPr>
          <w:spacing w:val="-4"/>
        </w:rPr>
        <w:t>La consultation publique préalable susmentionnée a été ouverte aux commentaires sur le site internet du ministère de l</w:t>
      </w:r>
      <w:r w:rsidR="00DD2821" w:rsidRPr="00E52DAD">
        <w:rPr>
          <w:spacing w:val="-4"/>
        </w:rPr>
        <w:t>’</w:t>
      </w:r>
      <w:r w:rsidRPr="00E52DAD">
        <w:rPr>
          <w:spacing w:val="-4"/>
        </w:rPr>
        <w:t>agriculture, de la pêche, de l</w:t>
      </w:r>
      <w:r w:rsidR="00DD2821" w:rsidRPr="00E52DAD">
        <w:rPr>
          <w:spacing w:val="-4"/>
        </w:rPr>
        <w:t>’</w:t>
      </w:r>
      <w:r w:rsidRPr="00E52DAD">
        <w:rPr>
          <w:spacing w:val="-4"/>
        </w:rPr>
        <w:t>alimentation et de l</w:t>
      </w:r>
      <w:r w:rsidR="00DD2821" w:rsidRPr="00E52DAD">
        <w:rPr>
          <w:spacing w:val="-4"/>
        </w:rPr>
        <w:t>’</w:t>
      </w:r>
      <w:r w:rsidRPr="00E52DAD">
        <w:rPr>
          <w:spacing w:val="-4"/>
        </w:rPr>
        <w:t>environnement du 15</w:t>
      </w:r>
      <w:r w:rsidR="00DD2821" w:rsidRPr="00E52DAD">
        <w:rPr>
          <w:spacing w:val="-4"/>
        </w:rPr>
        <w:t> </w:t>
      </w:r>
      <w:r w:rsidRPr="00E52DAD">
        <w:rPr>
          <w:spacing w:val="-4"/>
        </w:rPr>
        <w:t>décembre</w:t>
      </w:r>
      <w:r w:rsidR="00DD2821" w:rsidRPr="00E52DAD">
        <w:rPr>
          <w:spacing w:val="-4"/>
        </w:rPr>
        <w:t> </w:t>
      </w:r>
      <w:r w:rsidRPr="00E52DAD">
        <w:rPr>
          <w:spacing w:val="-4"/>
        </w:rPr>
        <w:t>2017 au 10</w:t>
      </w:r>
      <w:r w:rsidR="00DD2821" w:rsidRPr="00E52DAD">
        <w:rPr>
          <w:spacing w:val="-4"/>
        </w:rPr>
        <w:t> </w:t>
      </w:r>
      <w:r w:rsidRPr="00E52DAD">
        <w:rPr>
          <w:spacing w:val="-4"/>
        </w:rPr>
        <w:t>janvier</w:t>
      </w:r>
      <w:r w:rsidR="00DD2821" w:rsidRPr="00E52DAD">
        <w:rPr>
          <w:spacing w:val="-4"/>
        </w:rPr>
        <w:t> </w:t>
      </w:r>
      <w:r w:rsidRPr="00E52DAD">
        <w:rPr>
          <w:spacing w:val="-4"/>
        </w:rPr>
        <w:t>2018 inclus.</w:t>
      </w:r>
    </w:p>
    <w:p w14:paraId="2E5BF132" w14:textId="77777777" w:rsidR="007D35C9" w:rsidRPr="00DC6D3D" w:rsidRDefault="00191DAA" w:rsidP="00F4239E">
      <w:pPr>
        <w:keepNext/>
      </w:pPr>
      <w:r>
        <w:t>Les observations reçues lors de la consultation publique préalable sont énumérées ci-</w:t>
      </w:r>
      <w:proofErr w:type="gramStart"/>
      <w:r>
        <w:t>dessous:</w:t>
      </w:r>
      <w:proofErr w:type="gramEnd"/>
    </w:p>
    <w:p w14:paraId="1840DEF0" w14:textId="77777777" w:rsidR="00191DAA" w:rsidRPr="00DC6D3D" w:rsidRDefault="00191DAA" w:rsidP="00CF523F">
      <w:pPr>
        <w:pStyle w:val="ListParagraph"/>
        <w:numPr>
          <w:ilvl w:val="0"/>
          <w:numId w:val="26"/>
        </w:numPr>
      </w:pPr>
      <w:r>
        <w:t xml:space="preserve">Centre Mas de </w:t>
      </w:r>
      <w:proofErr w:type="spellStart"/>
      <w:r>
        <w:t>Bover</w:t>
      </w:r>
      <w:proofErr w:type="spellEnd"/>
      <w:r>
        <w:t xml:space="preserve"> </w:t>
      </w:r>
      <w:proofErr w:type="spellStart"/>
      <w:r>
        <w:t>Olivicultura</w:t>
      </w:r>
      <w:proofErr w:type="spellEnd"/>
      <w:r>
        <w:t xml:space="preserve">, </w:t>
      </w:r>
      <w:proofErr w:type="spellStart"/>
      <w:r>
        <w:t>Elaiotècnica</w:t>
      </w:r>
      <w:proofErr w:type="spellEnd"/>
      <w:r>
        <w:t xml:space="preserve"> y Fruita </w:t>
      </w:r>
      <w:proofErr w:type="spellStart"/>
      <w:r>
        <w:t>Seca</w:t>
      </w:r>
      <w:proofErr w:type="spellEnd"/>
      <w:r>
        <w:t xml:space="preserve"> (IRTA).</w:t>
      </w:r>
    </w:p>
    <w:p w14:paraId="0BB55384" w14:textId="77777777" w:rsidR="00191DAA" w:rsidRPr="00DC6D3D" w:rsidRDefault="00191DAA" w:rsidP="00CF523F">
      <w:pPr>
        <w:pStyle w:val="ListParagraph"/>
        <w:numPr>
          <w:ilvl w:val="0"/>
          <w:numId w:val="26"/>
        </w:numPr>
      </w:pPr>
      <w:r>
        <w:t>Association nationale des professionnels du conditionnement et de raffinage des huiles comestibles (ANIERAC).</w:t>
      </w:r>
    </w:p>
    <w:p w14:paraId="46519684" w14:textId="77777777" w:rsidR="00191DAA" w:rsidRPr="00DC6D3D" w:rsidRDefault="00191DAA" w:rsidP="00CF523F">
      <w:pPr>
        <w:pStyle w:val="ListParagraph"/>
        <w:numPr>
          <w:ilvl w:val="0"/>
          <w:numId w:val="26"/>
        </w:numPr>
      </w:pPr>
      <w:r>
        <w:t>Union des petits agriculteurs et éleveurs (UPA)</w:t>
      </w:r>
    </w:p>
    <w:p w14:paraId="43081C32" w14:textId="77777777" w:rsidR="002C11BE" w:rsidRPr="00DC6D3D" w:rsidRDefault="00191DAA" w:rsidP="00191DAA">
      <w:pPr>
        <w:pStyle w:val="ListParagraph"/>
        <w:numPr>
          <w:ilvl w:val="0"/>
          <w:numId w:val="26"/>
        </w:numPr>
      </w:pPr>
      <w:proofErr w:type="spellStart"/>
      <w:r>
        <w:t>Federació</w:t>
      </w:r>
      <w:proofErr w:type="spellEnd"/>
      <w:r>
        <w:t xml:space="preserve"> de </w:t>
      </w:r>
      <w:proofErr w:type="spellStart"/>
      <w:r>
        <w:t>Cooperatives</w:t>
      </w:r>
      <w:proofErr w:type="spellEnd"/>
      <w:r>
        <w:t xml:space="preserve"> </w:t>
      </w:r>
      <w:proofErr w:type="spellStart"/>
      <w:r>
        <w:t>Agràries</w:t>
      </w:r>
      <w:proofErr w:type="spellEnd"/>
      <w:r>
        <w:t xml:space="preserve"> de </w:t>
      </w:r>
      <w:proofErr w:type="spellStart"/>
      <w:r>
        <w:t>Catalunya</w:t>
      </w:r>
      <w:proofErr w:type="spellEnd"/>
      <w:r>
        <w:t>.</w:t>
      </w:r>
    </w:p>
    <w:p w14:paraId="292E86A1" w14:textId="77777777" w:rsidR="002C11BE" w:rsidRPr="00DC6D3D" w:rsidRDefault="002C11BE" w:rsidP="00F71254">
      <w:r>
        <w:t xml:space="preserve">Les observations reçues lors de la consultation publique préalable sont rassemblées en détail dans l’annexe jointe au présent rapport. </w:t>
      </w:r>
    </w:p>
    <w:p w14:paraId="78EF8781" w14:textId="77777777" w:rsidR="00676019" w:rsidRPr="00DC6D3D" w:rsidRDefault="00676019" w:rsidP="00676019">
      <w:pPr>
        <w:pStyle w:val="Heading4"/>
        <w:numPr>
          <w:ilvl w:val="0"/>
          <w:numId w:val="0"/>
        </w:numPr>
        <w:ind w:left="864" w:hanging="864"/>
        <w:rPr>
          <w:b/>
          <w:bCs w:val="0"/>
        </w:rPr>
      </w:pPr>
      <w:r>
        <w:rPr>
          <w:b/>
        </w:rPr>
        <w:t>2. Rapports demandés</w:t>
      </w:r>
    </w:p>
    <w:p w14:paraId="182E68D6" w14:textId="77777777" w:rsidR="004C1AB2" w:rsidRPr="00DC6D3D" w:rsidRDefault="004C1AB2" w:rsidP="00F4239E">
      <w:pPr>
        <w:keepNext/>
      </w:pPr>
      <w:r>
        <w:t xml:space="preserve">Les rapports suivants ont été demandés dans le cadre du processus de traitement de la </w:t>
      </w:r>
      <w:proofErr w:type="gramStart"/>
      <w:r>
        <w:t>norme:</w:t>
      </w:r>
      <w:proofErr w:type="gramEnd"/>
    </w:p>
    <w:p w14:paraId="47788EB7" w14:textId="5CD12AE8" w:rsidR="004C1AB2" w:rsidRPr="00DC6D3D" w:rsidRDefault="004C1AB2" w:rsidP="004C1AB2">
      <w:pPr>
        <w:pStyle w:val="ListParagraph"/>
        <w:numPr>
          <w:ilvl w:val="0"/>
          <w:numId w:val="25"/>
        </w:numPr>
      </w:pPr>
      <w:proofErr w:type="gramStart"/>
      <w:r>
        <w:t>rapport</w:t>
      </w:r>
      <w:proofErr w:type="gramEnd"/>
      <w:r>
        <w:t xml:space="preserve"> du ministère de la politique territoriale et de la fonction publique (conformément aux dispositions de l</w:t>
      </w:r>
      <w:r w:rsidR="00DD2821">
        <w:t>’</w:t>
      </w:r>
      <w:r>
        <w:t>article</w:t>
      </w:r>
      <w:r w:rsidR="00066C2B">
        <w:t> </w:t>
      </w:r>
      <w:r>
        <w:t>26, paragraphe</w:t>
      </w:r>
      <w:r w:rsidR="00066C2B">
        <w:t> </w:t>
      </w:r>
      <w:r>
        <w:t>5, sixième alinéa, de la loi n° 50/1997 du 27</w:t>
      </w:r>
      <w:r w:rsidR="00DD2821">
        <w:t> </w:t>
      </w:r>
      <w:r>
        <w:t>novembre</w:t>
      </w:r>
      <w:r w:rsidR="00DD2821">
        <w:t> </w:t>
      </w:r>
      <w:r>
        <w:t>1997 sur le gouvernement, en ce qui concerne l</w:t>
      </w:r>
      <w:r w:rsidR="00DD2821">
        <w:t>’</w:t>
      </w:r>
      <w:r>
        <w:t>impact éventuel sur la répartition des compétences entre l</w:t>
      </w:r>
      <w:r w:rsidR="00DD2821">
        <w:t>’</w:t>
      </w:r>
      <w:r>
        <w:t>État et les communautés autonomes, et conformément aux dispositions de l’article</w:t>
      </w:r>
      <w:r w:rsidR="00066C2B">
        <w:t> </w:t>
      </w:r>
      <w:r>
        <w:t>26, paragraphe</w:t>
      </w:r>
      <w:r w:rsidR="00066C2B">
        <w:t> </w:t>
      </w:r>
      <w:r>
        <w:t>9, en ce qui concerne la qualité de l</w:t>
      </w:r>
      <w:r w:rsidR="00DD2821">
        <w:t>’</w:t>
      </w:r>
      <w:r>
        <w:t>activité normative, de la loi n° 50/1997 En attente);</w:t>
      </w:r>
    </w:p>
    <w:p w14:paraId="7707EC6D" w14:textId="77777777" w:rsidR="00535BA7" w:rsidRPr="00DC6D3D" w:rsidRDefault="00535BA7" w:rsidP="00CF523F">
      <w:pPr>
        <w:pStyle w:val="ListParagraph"/>
        <w:rPr>
          <w:lang w:val="es-ES"/>
        </w:rPr>
      </w:pPr>
    </w:p>
    <w:p w14:paraId="06060BA9" w14:textId="300DCE8C" w:rsidR="004C1AB2" w:rsidRPr="00DC6D3D" w:rsidRDefault="004C1AB2" w:rsidP="004C1AB2">
      <w:pPr>
        <w:pStyle w:val="ListParagraph"/>
        <w:numPr>
          <w:ilvl w:val="0"/>
          <w:numId w:val="25"/>
        </w:numPr>
      </w:pPr>
      <w:proofErr w:type="gramStart"/>
      <w:r>
        <w:t>rapport</w:t>
      </w:r>
      <w:proofErr w:type="gramEnd"/>
      <w:r>
        <w:t xml:space="preserve"> du ministère de la consommation (conformément aux dispositions de l</w:t>
      </w:r>
      <w:r w:rsidR="00DD2821">
        <w:t>’</w:t>
      </w:r>
      <w:r>
        <w:t>article</w:t>
      </w:r>
      <w:r w:rsidR="00066C2B">
        <w:t> </w:t>
      </w:r>
      <w:r>
        <w:t>26, paragraphe</w:t>
      </w:r>
      <w:r w:rsidR="00066C2B">
        <w:t> </w:t>
      </w:r>
      <w:r>
        <w:t>5, quatrième alinéa, de la loi n° 50/1997 du 27</w:t>
      </w:r>
      <w:r w:rsidR="00DD2821">
        <w:t> </w:t>
      </w:r>
      <w:r>
        <w:t>novembre</w:t>
      </w:r>
      <w:r w:rsidR="00DD2821">
        <w:t> </w:t>
      </w:r>
      <w:r>
        <w:t>1997 sur le gouvernement);</w:t>
      </w:r>
    </w:p>
    <w:p w14:paraId="30FA01D3" w14:textId="77777777" w:rsidR="00535BA7" w:rsidRPr="00DC6D3D" w:rsidRDefault="00535BA7" w:rsidP="00CF523F">
      <w:pPr>
        <w:pStyle w:val="ListParagraph"/>
        <w:rPr>
          <w:lang w:val="es-ES"/>
        </w:rPr>
      </w:pPr>
    </w:p>
    <w:p w14:paraId="0224D4AC" w14:textId="363E9407" w:rsidR="00535BA7" w:rsidRPr="00DC6D3D" w:rsidRDefault="00535BA7" w:rsidP="004C1AB2">
      <w:pPr>
        <w:pStyle w:val="ListParagraph"/>
        <w:numPr>
          <w:ilvl w:val="0"/>
          <w:numId w:val="25"/>
        </w:numPr>
      </w:pPr>
      <w:proofErr w:type="gramStart"/>
      <w:r>
        <w:t>rapport</w:t>
      </w:r>
      <w:proofErr w:type="gramEnd"/>
      <w:r>
        <w:t xml:space="preserve"> du ministère de la santé (conformément aux dispositions de l</w:t>
      </w:r>
      <w:r w:rsidR="00DD2821">
        <w:t>’</w:t>
      </w:r>
      <w:r>
        <w:t>article</w:t>
      </w:r>
      <w:r w:rsidR="00066C2B">
        <w:t> </w:t>
      </w:r>
      <w:r>
        <w:t>26, paragraphe</w:t>
      </w:r>
      <w:r w:rsidR="00066C2B">
        <w:t> </w:t>
      </w:r>
      <w:r>
        <w:t>5, premier alinéa, de la loi n° 50/1997 du 27</w:t>
      </w:r>
      <w:r w:rsidR="00DD2821">
        <w:t> </w:t>
      </w:r>
      <w:r>
        <w:t>novembre</w:t>
      </w:r>
      <w:r w:rsidR="00DD2821">
        <w:t> </w:t>
      </w:r>
      <w:r>
        <w:t>1997 sur le gouvernement);</w:t>
      </w:r>
    </w:p>
    <w:p w14:paraId="59FF75DE" w14:textId="77777777" w:rsidR="00AE5667" w:rsidRPr="00DC6D3D" w:rsidRDefault="00AE5667" w:rsidP="00CF523F">
      <w:pPr>
        <w:pStyle w:val="ListParagraph"/>
        <w:rPr>
          <w:lang w:val="es-ES"/>
        </w:rPr>
      </w:pPr>
    </w:p>
    <w:p w14:paraId="3859A602" w14:textId="30D08803" w:rsidR="00AE5667" w:rsidRPr="00DC6D3D" w:rsidRDefault="00AE5667" w:rsidP="00AE5667">
      <w:pPr>
        <w:pStyle w:val="ListParagraph"/>
        <w:numPr>
          <w:ilvl w:val="0"/>
          <w:numId w:val="25"/>
        </w:numPr>
      </w:pPr>
      <w:proofErr w:type="gramStart"/>
      <w:r>
        <w:t>rapport</w:t>
      </w:r>
      <w:proofErr w:type="gramEnd"/>
      <w:r>
        <w:t xml:space="preserve"> du ministère de l’industrie, du commerce et du tourisme (conformément aux dispositions de l</w:t>
      </w:r>
      <w:r w:rsidR="00DD2821">
        <w:t>’</w:t>
      </w:r>
      <w:r>
        <w:t>article</w:t>
      </w:r>
      <w:r w:rsidR="00066C2B">
        <w:t> </w:t>
      </w:r>
      <w:r>
        <w:t>26, paragraphe</w:t>
      </w:r>
      <w:r w:rsidR="00066C2B">
        <w:t> </w:t>
      </w:r>
      <w:r>
        <w:t>5, premier alinéa, de la loi n° 50/1997 du 27</w:t>
      </w:r>
      <w:r w:rsidR="00DD2821">
        <w:t> </w:t>
      </w:r>
      <w:r>
        <w:t>novembre</w:t>
      </w:r>
      <w:r w:rsidR="00DD2821">
        <w:t> </w:t>
      </w:r>
      <w:r>
        <w:t xml:space="preserve">1997 sur le gouvernement); </w:t>
      </w:r>
    </w:p>
    <w:p w14:paraId="62427BD5" w14:textId="77777777" w:rsidR="00AE5667" w:rsidRPr="00DC6D3D" w:rsidRDefault="00AE5667" w:rsidP="00CF523F">
      <w:pPr>
        <w:pStyle w:val="ListParagraph"/>
        <w:rPr>
          <w:lang w:val="es-ES"/>
        </w:rPr>
      </w:pPr>
    </w:p>
    <w:p w14:paraId="2B9583CE" w14:textId="4423674A" w:rsidR="00AE5667" w:rsidRPr="00DC6D3D" w:rsidRDefault="00AE5667" w:rsidP="006D1287">
      <w:pPr>
        <w:pStyle w:val="ListParagraph"/>
        <w:numPr>
          <w:ilvl w:val="0"/>
          <w:numId w:val="25"/>
        </w:numPr>
      </w:pPr>
      <w:proofErr w:type="gramStart"/>
      <w:r>
        <w:t>rapport</w:t>
      </w:r>
      <w:proofErr w:type="gramEnd"/>
      <w:r>
        <w:t xml:space="preserve"> du ministère de l’agriculture, de la pêche et de l’alimentation (conformément aux dispositions de l</w:t>
      </w:r>
      <w:r w:rsidR="00DD2821">
        <w:t>’</w:t>
      </w:r>
      <w:r>
        <w:t>article</w:t>
      </w:r>
      <w:r w:rsidR="00066C2B">
        <w:t> </w:t>
      </w:r>
      <w:r>
        <w:t>26, paragraphe</w:t>
      </w:r>
      <w:r w:rsidR="00066C2B">
        <w:t> </w:t>
      </w:r>
      <w:r>
        <w:t>5, quatrième alinéa, de la loi n° 50/1997 du 27</w:t>
      </w:r>
      <w:r w:rsidR="00DD2821">
        <w:t> </w:t>
      </w:r>
      <w:r>
        <w:t>novembre</w:t>
      </w:r>
      <w:r w:rsidR="00DD2821">
        <w:t> </w:t>
      </w:r>
      <w:r>
        <w:t xml:space="preserve">1997 sur le gouvernement). </w:t>
      </w:r>
    </w:p>
    <w:p w14:paraId="21EE3F1E" w14:textId="77777777" w:rsidR="003E2698" w:rsidRPr="00DC6D3D" w:rsidRDefault="003E2698" w:rsidP="0029552B">
      <w:pPr>
        <w:pStyle w:val="ListParagraph"/>
        <w:rPr>
          <w:lang w:val="es-ES"/>
        </w:rPr>
      </w:pPr>
    </w:p>
    <w:p w14:paraId="4BF82E1A" w14:textId="7DCA28EF" w:rsidR="003E2698" w:rsidRPr="00DC6D3D" w:rsidRDefault="003E2698" w:rsidP="00B83362">
      <w:pPr>
        <w:pStyle w:val="ListParagraph"/>
        <w:ind w:left="0"/>
      </w:pPr>
      <w:r>
        <w:t xml:space="preserve">Le </w:t>
      </w:r>
      <w:r w:rsidR="001005DA" w:rsidRPr="00DC6D3D">
        <w:fldChar w:fldCharType="begin"/>
      </w:r>
      <w:r w:rsidR="001005DA" w:rsidRPr="00DC6D3D">
        <w:instrText xml:space="preserve"> REF _Ref39569974 \h  \* MERGEFORMAT </w:instrText>
      </w:r>
      <w:r w:rsidR="001005DA" w:rsidRPr="00DC6D3D">
        <w:fldChar w:fldCharType="separate"/>
      </w:r>
      <w:r w:rsidR="00DD2821" w:rsidRPr="00DD2821">
        <w:t>Tableau</w:t>
      </w:r>
      <w:r w:rsidR="00066C2B">
        <w:t> </w:t>
      </w:r>
      <w:r w:rsidR="00DD2821" w:rsidRPr="00DD2821">
        <w:t>1</w:t>
      </w:r>
      <w:r w:rsidR="001005DA" w:rsidRPr="00DC6D3D">
        <w:fldChar w:fldCharType="end"/>
      </w:r>
      <w:r>
        <w:t xml:space="preserve"> résume les réponses et les observations reçues de la part des secrétariats techniques généraux des ministères concernés.</w:t>
      </w:r>
    </w:p>
    <w:p w14:paraId="0B0D6ADF" w14:textId="77777777" w:rsidR="001005DA" w:rsidRPr="00DC6D3D" w:rsidRDefault="001005DA" w:rsidP="00CF523F">
      <w:pPr>
        <w:pStyle w:val="ListParagraph"/>
        <w:ind w:left="0"/>
        <w:rPr>
          <w:lang w:val="es-ES"/>
        </w:rPr>
      </w:pPr>
    </w:p>
    <w:p w14:paraId="1CC9B52C" w14:textId="159598C7" w:rsidR="0029552B" w:rsidRPr="00DC6D3D" w:rsidRDefault="003E2698" w:rsidP="00F4239E">
      <w:pPr>
        <w:pStyle w:val="Caption"/>
        <w:keepNext/>
        <w:spacing w:after="0"/>
        <w:jc w:val="center"/>
        <w:rPr>
          <w:b/>
          <w:bCs/>
          <w:color w:val="auto"/>
        </w:rPr>
      </w:pPr>
      <w:bookmarkStart w:id="0" w:name="_Ref39569974"/>
      <w:r>
        <w:rPr>
          <w:b/>
          <w:i w:val="0"/>
          <w:color w:val="auto"/>
        </w:rPr>
        <w:t>Tableau</w:t>
      </w:r>
      <w:r w:rsidR="00066C2B">
        <w:rPr>
          <w:b/>
          <w:i w:val="0"/>
          <w:color w:val="auto"/>
        </w:rPr>
        <w:t> </w:t>
      </w:r>
      <w:r w:rsidRPr="00DC6D3D">
        <w:rPr>
          <w:b/>
          <w:i w:val="0"/>
          <w:color w:val="auto"/>
        </w:rPr>
        <w:fldChar w:fldCharType="begin"/>
      </w:r>
      <w:r w:rsidRPr="00DC6D3D">
        <w:rPr>
          <w:b/>
          <w:i w:val="0"/>
          <w:color w:val="auto"/>
        </w:rPr>
        <w:instrText xml:space="preserve"> SEQ Tabla \* ARABIC </w:instrText>
      </w:r>
      <w:r w:rsidRPr="00DC6D3D">
        <w:rPr>
          <w:b/>
          <w:i w:val="0"/>
          <w:color w:val="auto"/>
        </w:rPr>
        <w:fldChar w:fldCharType="separate"/>
      </w:r>
      <w:r w:rsidR="00DD2821">
        <w:rPr>
          <w:b/>
          <w:i w:val="0"/>
          <w:noProof/>
          <w:color w:val="auto"/>
        </w:rPr>
        <w:t>1</w:t>
      </w:r>
      <w:r w:rsidRPr="00DC6D3D">
        <w:rPr>
          <w:b/>
          <w:i w:val="0"/>
          <w:color w:val="auto"/>
        </w:rPr>
        <w:fldChar w:fldCharType="end"/>
      </w:r>
      <w:bookmarkEnd w:id="0"/>
      <w:r>
        <w:rPr>
          <w:b/>
          <w:i w:val="0"/>
          <w:color w:val="auto"/>
        </w:rPr>
        <w:t>: Tableau récapitulatif des observations émises par les STG des ministères concernés</w:t>
      </w:r>
    </w:p>
    <w:tbl>
      <w:tblPr>
        <w:tblW w:w="88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3432"/>
        <w:gridCol w:w="2410"/>
        <w:gridCol w:w="2976"/>
      </w:tblGrid>
      <w:tr w:rsidR="00567E99" w:rsidRPr="00E52DAD" w14:paraId="6C0ADD0E" w14:textId="77777777" w:rsidTr="00DC6D3D">
        <w:tc>
          <w:tcPr>
            <w:tcW w:w="3432" w:type="dxa"/>
            <w:vAlign w:val="center"/>
          </w:tcPr>
          <w:p w14:paraId="01380964" w14:textId="77777777" w:rsidR="0029552B" w:rsidRPr="00E52DAD" w:rsidRDefault="0029552B" w:rsidP="00F4239E">
            <w:pPr>
              <w:keepNext/>
              <w:spacing w:before="0"/>
              <w:jc w:val="center"/>
              <w:rPr>
                <w:rFonts w:cs="Arial"/>
                <w:b/>
                <w:spacing w:val="-4"/>
                <w:sz w:val="22"/>
                <w:szCs w:val="22"/>
              </w:rPr>
            </w:pPr>
            <w:r w:rsidRPr="00E52DAD">
              <w:rPr>
                <w:b/>
                <w:spacing w:val="-4"/>
                <w:sz w:val="22"/>
              </w:rPr>
              <w:t>Organisme</w:t>
            </w:r>
          </w:p>
        </w:tc>
        <w:tc>
          <w:tcPr>
            <w:tcW w:w="2410" w:type="dxa"/>
            <w:vAlign w:val="center"/>
          </w:tcPr>
          <w:p w14:paraId="5DCD01D7" w14:textId="77777777" w:rsidR="0029552B" w:rsidRPr="00E52DAD" w:rsidRDefault="0029552B" w:rsidP="00F4239E">
            <w:pPr>
              <w:keepNext/>
              <w:spacing w:before="0"/>
              <w:jc w:val="center"/>
              <w:rPr>
                <w:rFonts w:cs="Arial"/>
                <w:b/>
                <w:spacing w:val="-4"/>
                <w:sz w:val="22"/>
                <w:szCs w:val="22"/>
              </w:rPr>
            </w:pPr>
            <w:r w:rsidRPr="00E52DAD">
              <w:rPr>
                <w:b/>
                <w:spacing w:val="-4"/>
                <w:sz w:val="22"/>
              </w:rPr>
              <w:t>Aucune observation (A/O)</w:t>
            </w:r>
          </w:p>
        </w:tc>
        <w:tc>
          <w:tcPr>
            <w:tcW w:w="2976" w:type="dxa"/>
            <w:vAlign w:val="center"/>
          </w:tcPr>
          <w:p w14:paraId="1CCC7E02" w14:textId="77777777" w:rsidR="0029552B" w:rsidRPr="00E52DAD" w:rsidRDefault="0029552B" w:rsidP="00F4239E">
            <w:pPr>
              <w:keepNext/>
              <w:spacing w:before="0"/>
              <w:jc w:val="center"/>
              <w:rPr>
                <w:rFonts w:cs="Arial"/>
                <w:b/>
                <w:spacing w:val="-4"/>
                <w:sz w:val="22"/>
                <w:szCs w:val="22"/>
              </w:rPr>
            </w:pPr>
            <w:r w:rsidRPr="00E52DAD">
              <w:rPr>
                <w:b/>
                <w:spacing w:val="-4"/>
                <w:sz w:val="22"/>
              </w:rPr>
              <w:t>Observations publiées</w:t>
            </w:r>
          </w:p>
        </w:tc>
      </w:tr>
      <w:tr w:rsidR="00567E99" w:rsidRPr="00E52DAD" w14:paraId="3F48EC75" w14:textId="77777777" w:rsidTr="00DC6D3D">
        <w:tc>
          <w:tcPr>
            <w:tcW w:w="3432" w:type="dxa"/>
            <w:tcMar>
              <w:top w:w="57" w:type="dxa"/>
              <w:bottom w:w="57" w:type="dxa"/>
            </w:tcMar>
            <w:vAlign w:val="center"/>
          </w:tcPr>
          <w:p w14:paraId="77CF431D" w14:textId="77777777" w:rsidR="0029552B" w:rsidRPr="00E52DAD" w:rsidRDefault="0029552B" w:rsidP="00CF523F">
            <w:pPr>
              <w:spacing w:before="0"/>
              <w:rPr>
                <w:rFonts w:cs="Arial"/>
                <w:b/>
                <w:spacing w:val="-4"/>
                <w:sz w:val="22"/>
                <w:szCs w:val="22"/>
              </w:rPr>
            </w:pPr>
            <w:r w:rsidRPr="00E52DAD">
              <w:rPr>
                <w:spacing w:val="-4"/>
                <w:sz w:val="22"/>
              </w:rPr>
              <w:t>Ministère de la politique territoriale et de la fonction publique</w:t>
            </w:r>
          </w:p>
        </w:tc>
        <w:tc>
          <w:tcPr>
            <w:tcW w:w="2410" w:type="dxa"/>
            <w:vAlign w:val="center"/>
          </w:tcPr>
          <w:p w14:paraId="654EB86D" w14:textId="77777777" w:rsidR="0029552B" w:rsidRPr="00E52DAD" w:rsidRDefault="0029552B" w:rsidP="00CF523F">
            <w:pPr>
              <w:spacing w:before="0"/>
              <w:jc w:val="center"/>
              <w:rPr>
                <w:rFonts w:cs="Arial"/>
                <w:b/>
                <w:strike/>
                <w:spacing w:val="-4"/>
                <w:sz w:val="22"/>
                <w:szCs w:val="22"/>
                <w:highlight w:val="cyan"/>
              </w:rPr>
            </w:pPr>
          </w:p>
        </w:tc>
        <w:tc>
          <w:tcPr>
            <w:tcW w:w="2976" w:type="dxa"/>
            <w:vAlign w:val="center"/>
          </w:tcPr>
          <w:p w14:paraId="18062868" w14:textId="77777777" w:rsidR="0029552B" w:rsidRPr="00E52DAD" w:rsidRDefault="0029552B" w:rsidP="00CF523F">
            <w:pPr>
              <w:spacing w:before="0"/>
              <w:jc w:val="center"/>
              <w:rPr>
                <w:rFonts w:cs="Arial"/>
                <w:spacing w:val="-4"/>
                <w:sz w:val="22"/>
                <w:szCs w:val="22"/>
                <w:highlight w:val="cyan"/>
              </w:rPr>
            </w:pPr>
            <w:r w:rsidRPr="00E52DAD">
              <w:rPr>
                <w:spacing w:val="-4"/>
                <w:sz w:val="22"/>
              </w:rPr>
              <w:t>X</w:t>
            </w:r>
          </w:p>
        </w:tc>
      </w:tr>
      <w:tr w:rsidR="00567E99" w:rsidRPr="00E52DAD" w14:paraId="764A1686" w14:textId="77777777" w:rsidTr="00DC6D3D">
        <w:tc>
          <w:tcPr>
            <w:tcW w:w="3432" w:type="dxa"/>
            <w:tcMar>
              <w:top w:w="57" w:type="dxa"/>
              <w:bottom w:w="57" w:type="dxa"/>
            </w:tcMar>
            <w:vAlign w:val="center"/>
          </w:tcPr>
          <w:p w14:paraId="6BA413B3" w14:textId="77777777" w:rsidR="0029552B" w:rsidRPr="00E52DAD" w:rsidRDefault="0029552B" w:rsidP="00CF523F">
            <w:pPr>
              <w:spacing w:before="0"/>
              <w:rPr>
                <w:rFonts w:cs="Arial"/>
                <w:spacing w:val="-4"/>
                <w:sz w:val="22"/>
                <w:szCs w:val="22"/>
              </w:rPr>
            </w:pPr>
            <w:r w:rsidRPr="00E52DAD">
              <w:rPr>
                <w:spacing w:val="-4"/>
                <w:sz w:val="22"/>
              </w:rPr>
              <w:t>Ministère de la consommation</w:t>
            </w:r>
          </w:p>
        </w:tc>
        <w:tc>
          <w:tcPr>
            <w:tcW w:w="2410" w:type="dxa"/>
            <w:vAlign w:val="center"/>
          </w:tcPr>
          <w:p w14:paraId="1094BA02" w14:textId="77777777" w:rsidR="0029552B" w:rsidRPr="00E52DAD" w:rsidRDefault="0029552B" w:rsidP="00CF523F">
            <w:pPr>
              <w:spacing w:before="0"/>
              <w:jc w:val="center"/>
              <w:rPr>
                <w:rFonts w:cs="Arial"/>
                <w:strike/>
                <w:spacing w:val="-4"/>
                <w:highlight w:val="cyan"/>
              </w:rPr>
            </w:pPr>
          </w:p>
        </w:tc>
        <w:tc>
          <w:tcPr>
            <w:tcW w:w="2976" w:type="dxa"/>
            <w:vAlign w:val="center"/>
          </w:tcPr>
          <w:p w14:paraId="34B09B7F" w14:textId="77777777" w:rsidR="0029552B" w:rsidRPr="00E52DAD" w:rsidRDefault="0029552B" w:rsidP="00CF523F">
            <w:pPr>
              <w:spacing w:before="0"/>
              <w:jc w:val="center"/>
              <w:rPr>
                <w:rFonts w:cs="Arial"/>
                <w:spacing w:val="-4"/>
                <w:sz w:val="22"/>
                <w:szCs w:val="22"/>
              </w:rPr>
            </w:pPr>
            <w:r w:rsidRPr="00E52DAD">
              <w:rPr>
                <w:spacing w:val="-4"/>
                <w:sz w:val="22"/>
              </w:rPr>
              <w:t>X</w:t>
            </w:r>
          </w:p>
        </w:tc>
      </w:tr>
      <w:tr w:rsidR="00567E99" w:rsidRPr="00E52DAD" w14:paraId="6358516F" w14:textId="77777777" w:rsidTr="00DC6D3D">
        <w:tc>
          <w:tcPr>
            <w:tcW w:w="3432" w:type="dxa"/>
            <w:tcMar>
              <w:top w:w="57" w:type="dxa"/>
              <w:bottom w:w="57" w:type="dxa"/>
            </w:tcMar>
            <w:vAlign w:val="center"/>
          </w:tcPr>
          <w:p w14:paraId="134F0626" w14:textId="77777777" w:rsidR="0029552B" w:rsidRPr="00E52DAD" w:rsidRDefault="0029552B" w:rsidP="00CF523F">
            <w:pPr>
              <w:spacing w:before="0"/>
              <w:rPr>
                <w:rFonts w:cs="Arial"/>
                <w:strike/>
                <w:spacing w:val="-4"/>
                <w:sz w:val="22"/>
                <w:szCs w:val="22"/>
              </w:rPr>
            </w:pPr>
            <w:r w:rsidRPr="00E52DAD">
              <w:rPr>
                <w:spacing w:val="-4"/>
                <w:sz w:val="22"/>
              </w:rPr>
              <w:t>Ministère de la santé</w:t>
            </w:r>
          </w:p>
        </w:tc>
        <w:tc>
          <w:tcPr>
            <w:tcW w:w="2410" w:type="dxa"/>
            <w:vAlign w:val="center"/>
          </w:tcPr>
          <w:p w14:paraId="59AB8FD5" w14:textId="77777777" w:rsidR="0029552B" w:rsidRPr="00E52DAD" w:rsidRDefault="003E2698" w:rsidP="00CF523F">
            <w:pPr>
              <w:spacing w:before="0"/>
              <w:jc w:val="center"/>
              <w:rPr>
                <w:rFonts w:cs="Arial"/>
                <w:spacing w:val="-4"/>
                <w:highlight w:val="cyan"/>
              </w:rPr>
            </w:pPr>
            <w:r w:rsidRPr="00E52DAD">
              <w:rPr>
                <w:spacing w:val="-4"/>
              </w:rPr>
              <w:t>A/O.</w:t>
            </w:r>
          </w:p>
        </w:tc>
        <w:tc>
          <w:tcPr>
            <w:tcW w:w="2976" w:type="dxa"/>
            <w:vAlign w:val="center"/>
          </w:tcPr>
          <w:p w14:paraId="25B9C8C7" w14:textId="77777777" w:rsidR="0029552B" w:rsidRPr="00E52DAD" w:rsidRDefault="0029552B" w:rsidP="00CF523F">
            <w:pPr>
              <w:spacing w:before="0"/>
              <w:jc w:val="center"/>
              <w:rPr>
                <w:rFonts w:cs="Arial"/>
                <w:spacing w:val="-4"/>
                <w:sz w:val="22"/>
                <w:szCs w:val="22"/>
              </w:rPr>
            </w:pPr>
          </w:p>
        </w:tc>
      </w:tr>
      <w:tr w:rsidR="00567E99" w:rsidRPr="00E52DAD" w14:paraId="1BEC632D" w14:textId="77777777" w:rsidTr="00DC6D3D">
        <w:tc>
          <w:tcPr>
            <w:tcW w:w="3432" w:type="dxa"/>
            <w:tcMar>
              <w:top w:w="57" w:type="dxa"/>
              <w:bottom w:w="57" w:type="dxa"/>
            </w:tcMar>
            <w:vAlign w:val="center"/>
          </w:tcPr>
          <w:p w14:paraId="4E38F2AE" w14:textId="77777777" w:rsidR="00AE5667" w:rsidRPr="00E52DAD" w:rsidRDefault="00AE5667">
            <w:pPr>
              <w:spacing w:before="0"/>
              <w:rPr>
                <w:rFonts w:cs="Arial"/>
                <w:spacing w:val="-4"/>
                <w:sz w:val="22"/>
                <w:szCs w:val="22"/>
              </w:rPr>
            </w:pPr>
            <w:r w:rsidRPr="00E52DAD">
              <w:rPr>
                <w:spacing w:val="-4"/>
                <w:sz w:val="22"/>
              </w:rPr>
              <w:t>Ministère de l’industrie, du commerce et du tourisme</w:t>
            </w:r>
          </w:p>
        </w:tc>
        <w:tc>
          <w:tcPr>
            <w:tcW w:w="2410" w:type="dxa"/>
            <w:vAlign w:val="center"/>
          </w:tcPr>
          <w:p w14:paraId="79C2D181" w14:textId="77777777" w:rsidR="00AE5667" w:rsidRPr="00E52DAD" w:rsidRDefault="00AE5667">
            <w:pPr>
              <w:spacing w:before="0"/>
              <w:jc w:val="center"/>
              <w:rPr>
                <w:rFonts w:cs="Arial"/>
                <w:spacing w:val="-4"/>
              </w:rPr>
            </w:pPr>
          </w:p>
        </w:tc>
        <w:tc>
          <w:tcPr>
            <w:tcW w:w="2976" w:type="dxa"/>
            <w:vAlign w:val="center"/>
          </w:tcPr>
          <w:p w14:paraId="41EC28F7" w14:textId="77777777" w:rsidR="00AE5667" w:rsidRPr="00E52DAD" w:rsidRDefault="007C166B">
            <w:pPr>
              <w:spacing w:before="0"/>
              <w:jc w:val="center"/>
              <w:rPr>
                <w:rFonts w:cs="Arial"/>
                <w:spacing w:val="-4"/>
                <w:sz w:val="22"/>
                <w:szCs w:val="22"/>
              </w:rPr>
            </w:pPr>
            <w:r w:rsidRPr="00E52DAD">
              <w:rPr>
                <w:spacing w:val="-4"/>
                <w:sz w:val="22"/>
              </w:rPr>
              <w:t>X</w:t>
            </w:r>
          </w:p>
        </w:tc>
      </w:tr>
      <w:tr w:rsidR="00567E99" w:rsidRPr="00E52DAD" w14:paraId="60560D15" w14:textId="77777777" w:rsidTr="00DC6D3D">
        <w:tc>
          <w:tcPr>
            <w:tcW w:w="3432" w:type="dxa"/>
            <w:tcMar>
              <w:top w:w="57" w:type="dxa"/>
              <w:bottom w:w="57" w:type="dxa"/>
            </w:tcMar>
            <w:vAlign w:val="center"/>
          </w:tcPr>
          <w:p w14:paraId="56A567D9" w14:textId="77777777" w:rsidR="00AE5667" w:rsidRPr="00E52DAD" w:rsidRDefault="00AE5667">
            <w:pPr>
              <w:spacing w:before="0"/>
              <w:rPr>
                <w:rFonts w:cs="Arial"/>
                <w:spacing w:val="-4"/>
                <w:sz w:val="22"/>
                <w:szCs w:val="22"/>
              </w:rPr>
            </w:pPr>
            <w:r w:rsidRPr="00E52DAD">
              <w:rPr>
                <w:spacing w:val="-4"/>
                <w:sz w:val="22"/>
              </w:rPr>
              <w:t>Ministère de l’agriculture, de la pêche et de l’alimentation</w:t>
            </w:r>
          </w:p>
        </w:tc>
        <w:tc>
          <w:tcPr>
            <w:tcW w:w="2410" w:type="dxa"/>
            <w:vAlign w:val="center"/>
          </w:tcPr>
          <w:p w14:paraId="228DDA02" w14:textId="77777777" w:rsidR="00AE5667" w:rsidRPr="00E52DAD" w:rsidRDefault="006D1287">
            <w:pPr>
              <w:spacing w:before="0"/>
              <w:jc w:val="center"/>
              <w:rPr>
                <w:rFonts w:cs="Arial"/>
                <w:spacing w:val="-4"/>
              </w:rPr>
            </w:pPr>
            <w:r w:rsidRPr="00E52DAD">
              <w:rPr>
                <w:spacing w:val="-4"/>
              </w:rPr>
              <w:t>A/O.</w:t>
            </w:r>
          </w:p>
        </w:tc>
        <w:tc>
          <w:tcPr>
            <w:tcW w:w="2976" w:type="dxa"/>
            <w:vAlign w:val="center"/>
          </w:tcPr>
          <w:p w14:paraId="36F140F7" w14:textId="77777777" w:rsidR="00AE5667" w:rsidRPr="00E52DAD" w:rsidRDefault="00AE5667">
            <w:pPr>
              <w:spacing w:before="0"/>
              <w:jc w:val="center"/>
              <w:rPr>
                <w:rFonts w:cs="Arial"/>
                <w:spacing w:val="-4"/>
                <w:sz w:val="22"/>
                <w:szCs w:val="22"/>
              </w:rPr>
            </w:pPr>
          </w:p>
        </w:tc>
      </w:tr>
    </w:tbl>
    <w:p w14:paraId="6040D829" w14:textId="77777777" w:rsidR="007C166B" w:rsidRPr="00DC6D3D" w:rsidRDefault="007C166B" w:rsidP="007C166B">
      <w:pPr>
        <w:pStyle w:val="Heading4"/>
        <w:numPr>
          <w:ilvl w:val="0"/>
          <w:numId w:val="0"/>
        </w:numPr>
        <w:rPr>
          <w:b/>
          <w:bCs w:val="0"/>
        </w:rPr>
      </w:pPr>
      <w:r>
        <w:rPr>
          <w:b/>
        </w:rPr>
        <w:t>3. Démarche d’audience et d’information publiques</w:t>
      </w:r>
    </w:p>
    <w:p w14:paraId="32B18E90" w14:textId="64E14782" w:rsidR="007C166B" w:rsidRPr="00E52DAD" w:rsidRDefault="00C543BB" w:rsidP="00CF523F">
      <w:pPr>
        <w:rPr>
          <w:spacing w:val="-4"/>
        </w:rPr>
      </w:pPr>
      <w:r w:rsidRPr="00E52DAD">
        <w:rPr>
          <w:spacing w:val="-4"/>
        </w:rPr>
        <w:t>La procédure de traitement de la norme nous a amenés à recueillir, par le biais de la démarche d’audience et d’information publiques visée à l</w:t>
      </w:r>
      <w:r w:rsidR="00DD2821" w:rsidRPr="00E52DAD">
        <w:rPr>
          <w:spacing w:val="-4"/>
        </w:rPr>
        <w:t>’</w:t>
      </w:r>
      <w:r w:rsidRPr="00E52DAD">
        <w:rPr>
          <w:spacing w:val="-4"/>
        </w:rPr>
        <w:t>article</w:t>
      </w:r>
      <w:r w:rsidR="00066C2B" w:rsidRPr="00E52DAD">
        <w:rPr>
          <w:spacing w:val="-4"/>
        </w:rPr>
        <w:t> </w:t>
      </w:r>
      <w:r w:rsidRPr="00E52DAD">
        <w:rPr>
          <w:spacing w:val="-4"/>
        </w:rPr>
        <w:t>26, paragraphe</w:t>
      </w:r>
      <w:r w:rsidR="00066C2B" w:rsidRPr="00E52DAD">
        <w:rPr>
          <w:spacing w:val="-4"/>
        </w:rPr>
        <w:t> </w:t>
      </w:r>
      <w:r w:rsidRPr="00E52DAD">
        <w:rPr>
          <w:spacing w:val="-4"/>
        </w:rPr>
        <w:t>6, de la loi n° 50/1997 du 27</w:t>
      </w:r>
      <w:r w:rsidR="00DD2821" w:rsidRPr="00E52DAD">
        <w:rPr>
          <w:spacing w:val="-4"/>
        </w:rPr>
        <w:t> </w:t>
      </w:r>
      <w:r w:rsidRPr="00E52DAD">
        <w:rPr>
          <w:spacing w:val="-4"/>
        </w:rPr>
        <w:t>novembre</w:t>
      </w:r>
      <w:r w:rsidR="00DD2821" w:rsidRPr="00E52DAD">
        <w:rPr>
          <w:spacing w:val="-4"/>
        </w:rPr>
        <w:t> </w:t>
      </w:r>
      <w:r w:rsidRPr="00E52DAD">
        <w:rPr>
          <w:spacing w:val="-4"/>
        </w:rPr>
        <w:t>1997 sur le gouvernement, les observations émises par les citoyens concernés et par les personnes dont les droits et intérêts légitimes sont susceptibles d’être affectés par la norme, ainsi qu’à étudier toute contribution supplémentaire apportée par d</w:t>
      </w:r>
      <w:r w:rsidR="00DD2821" w:rsidRPr="00E52DAD">
        <w:rPr>
          <w:spacing w:val="-4"/>
        </w:rPr>
        <w:t>’</w:t>
      </w:r>
      <w:r w:rsidRPr="00E52DAD">
        <w:rPr>
          <w:spacing w:val="-4"/>
        </w:rPr>
        <w:t>autres personnes et entités.</w:t>
      </w:r>
    </w:p>
    <w:p w14:paraId="60B6F2D7" w14:textId="26653368" w:rsidR="00C543BB" w:rsidRPr="00DC6D3D" w:rsidRDefault="00C543BB" w:rsidP="00C543BB">
      <w:r>
        <w:t>La procédure de consultation publique préalable susmentionnée a été ouverte aux commentaires sur le site internet du ministère de l</w:t>
      </w:r>
      <w:r w:rsidR="00DD2821">
        <w:t>’</w:t>
      </w:r>
      <w:r>
        <w:t>agriculture, de la pêche, de l</w:t>
      </w:r>
      <w:r w:rsidR="00DD2821">
        <w:t>’</w:t>
      </w:r>
      <w:r>
        <w:t>alimentation et de l</w:t>
      </w:r>
      <w:r w:rsidR="00DD2821">
        <w:t>’</w:t>
      </w:r>
      <w:r>
        <w:t>environnement du 13</w:t>
      </w:r>
      <w:r w:rsidR="00DD2821">
        <w:t> </w:t>
      </w:r>
      <w:r>
        <w:t>février</w:t>
      </w:r>
      <w:r w:rsidR="00DD2821">
        <w:t> </w:t>
      </w:r>
      <w:r>
        <w:t>2020 au 5</w:t>
      </w:r>
      <w:r w:rsidR="00DD2821">
        <w:t> </w:t>
      </w:r>
      <w:r>
        <w:t>mars</w:t>
      </w:r>
      <w:r w:rsidR="00DD2821">
        <w:t> </w:t>
      </w:r>
      <w:r>
        <w:t>2020 inclus.</w:t>
      </w:r>
    </w:p>
    <w:p w14:paraId="658F1BB6" w14:textId="4FD75290" w:rsidR="00AA2DCC" w:rsidRPr="00DC6D3D" w:rsidRDefault="00AA2DCC" w:rsidP="00F4239E">
      <w:pPr>
        <w:keepNext/>
      </w:pPr>
      <w:r>
        <w:t>Les personnes et entités ayant émis des observations dans le cadre de cette démarche d’audience et d’information publiques via le site internet du ministère de l</w:t>
      </w:r>
      <w:r w:rsidR="00DD2821">
        <w:t>’</w:t>
      </w:r>
      <w:r>
        <w:t>agriculture, de la pêche et de l’alimentation sont énumérées ci-</w:t>
      </w:r>
      <w:proofErr w:type="gramStart"/>
      <w:r>
        <w:t>dessous:</w:t>
      </w:r>
      <w:proofErr w:type="gramEnd"/>
    </w:p>
    <w:p w14:paraId="3E270DC1" w14:textId="77777777" w:rsidR="00AA2DCC" w:rsidRPr="00DD2821" w:rsidRDefault="00AA2DCC" w:rsidP="00AA2DCC">
      <w:pPr>
        <w:pStyle w:val="ListParagraph"/>
        <w:numPr>
          <w:ilvl w:val="0"/>
          <w:numId w:val="26"/>
        </w:numPr>
        <w:rPr>
          <w:lang w:val="en-US"/>
        </w:rPr>
      </w:pPr>
      <w:r w:rsidRPr="00DD2821">
        <w:rPr>
          <w:lang w:val="en-US"/>
        </w:rPr>
        <w:t xml:space="preserve">KEL Grupo </w:t>
      </w:r>
      <w:proofErr w:type="spellStart"/>
      <w:r w:rsidRPr="00DD2821">
        <w:rPr>
          <w:lang w:val="en-US"/>
        </w:rPr>
        <w:t>Alimentario</w:t>
      </w:r>
      <w:proofErr w:type="spellEnd"/>
      <w:r w:rsidRPr="00DD2821">
        <w:rPr>
          <w:lang w:val="en-US"/>
        </w:rPr>
        <w:t xml:space="preserve"> S.L.</w:t>
      </w:r>
    </w:p>
    <w:p w14:paraId="7B476985" w14:textId="77777777" w:rsidR="00AA2DCC" w:rsidRPr="00DC6D3D" w:rsidRDefault="00AA2DCC" w:rsidP="00AA2DCC">
      <w:pPr>
        <w:pStyle w:val="ListParagraph"/>
        <w:numPr>
          <w:ilvl w:val="0"/>
          <w:numId w:val="26"/>
        </w:numPr>
      </w:pPr>
      <w:r>
        <w:t xml:space="preserve">Association </w:t>
      </w:r>
      <w:proofErr w:type="spellStart"/>
      <w:proofErr w:type="gramStart"/>
      <w:r>
        <w:t>QvExtra</w:t>
      </w:r>
      <w:proofErr w:type="spellEnd"/>
      <w:r>
        <w:t>!</w:t>
      </w:r>
      <w:proofErr w:type="gramEnd"/>
    </w:p>
    <w:p w14:paraId="7DA80D4C" w14:textId="77777777" w:rsidR="00AA2DCC" w:rsidRPr="00DC6D3D" w:rsidRDefault="00AA2DCC" w:rsidP="00AA2DCC">
      <w:pPr>
        <w:pStyle w:val="ListParagraph"/>
        <w:numPr>
          <w:ilvl w:val="0"/>
          <w:numId w:val="26"/>
        </w:numPr>
      </w:pPr>
      <w:r>
        <w:t>ES ANDALUCÍA (regroupement de coopératives) et COAG ANDALUCÍA.</w:t>
      </w:r>
    </w:p>
    <w:p w14:paraId="331311B9" w14:textId="77777777" w:rsidR="00AA2DCC" w:rsidRPr="00DC6D3D" w:rsidRDefault="00AA2DCC" w:rsidP="00AA2DCC">
      <w:pPr>
        <w:pStyle w:val="ListParagraph"/>
        <w:numPr>
          <w:ilvl w:val="0"/>
          <w:numId w:val="26"/>
        </w:numPr>
      </w:pPr>
      <w:proofErr w:type="spellStart"/>
      <w:r>
        <w:t>Aceites</w:t>
      </w:r>
      <w:proofErr w:type="spellEnd"/>
      <w:r>
        <w:t xml:space="preserve"> San-Lau S.L. et </w:t>
      </w:r>
      <w:proofErr w:type="spellStart"/>
      <w:r>
        <w:t>Aceites</w:t>
      </w:r>
      <w:proofErr w:type="spellEnd"/>
      <w:r>
        <w:t xml:space="preserve"> </w:t>
      </w:r>
      <w:proofErr w:type="spellStart"/>
      <w:r>
        <w:t>Triana</w:t>
      </w:r>
      <w:proofErr w:type="spellEnd"/>
      <w:r>
        <w:t xml:space="preserve"> S.L.</w:t>
      </w:r>
    </w:p>
    <w:p w14:paraId="7D9BBC72" w14:textId="77777777" w:rsidR="00AA2DCC" w:rsidRPr="00DC6D3D" w:rsidRDefault="00AA2DCC" w:rsidP="00AA2DCC">
      <w:pPr>
        <w:pStyle w:val="ListParagraph"/>
        <w:numPr>
          <w:ilvl w:val="0"/>
          <w:numId w:val="26"/>
        </w:numPr>
      </w:pPr>
      <w:r>
        <w:t>FECOAM.</w:t>
      </w:r>
    </w:p>
    <w:p w14:paraId="5A99643D" w14:textId="77777777" w:rsidR="00AA2DCC" w:rsidRPr="00DC6D3D" w:rsidRDefault="00AA2DCC" w:rsidP="00AA2DCC">
      <w:pPr>
        <w:pStyle w:val="ListParagraph"/>
        <w:numPr>
          <w:ilvl w:val="0"/>
          <w:numId w:val="26"/>
        </w:numPr>
      </w:pPr>
      <w:r>
        <w:t xml:space="preserve">Instituto de la </w:t>
      </w:r>
      <w:proofErr w:type="spellStart"/>
      <w:r>
        <w:t>Grasa</w:t>
      </w:r>
      <w:proofErr w:type="spellEnd"/>
      <w:r>
        <w:t xml:space="preserve"> (CSIC).</w:t>
      </w:r>
    </w:p>
    <w:p w14:paraId="49A757B2" w14:textId="77777777" w:rsidR="00AA2DCC" w:rsidRPr="00DC6D3D" w:rsidRDefault="00AA2DCC" w:rsidP="000D6E76">
      <w:pPr>
        <w:pStyle w:val="ListParagraph"/>
        <w:numPr>
          <w:ilvl w:val="0"/>
          <w:numId w:val="26"/>
        </w:numPr>
      </w:pPr>
      <w:r>
        <w:t xml:space="preserve">Laboratoire </w:t>
      </w:r>
      <w:proofErr w:type="spellStart"/>
      <w:r>
        <w:t>Marcé</w:t>
      </w:r>
      <w:proofErr w:type="spellEnd"/>
      <w:r>
        <w:t>.</w:t>
      </w:r>
    </w:p>
    <w:p w14:paraId="33DC11D8" w14:textId="77777777" w:rsidR="00676019" w:rsidRPr="00DC6D3D" w:rsidRDefault="00AA2DCC" w:rsidP="00493B24">
      <w:pPr>
        <w:pStyle w:val="Heading4"/>
        <w:numPr>
          <w:ilvl w:val="0"/>
          <w:numId w:val="0"/>
        </w:numPr>
        <w:rPr>
          <w:b/>
          <w:bCs w:val="0"/>
        </w:rPr>
      </w:pPr>
      <w:r>
        <w:rPr>
          <w:b/>
          <w:u w:val="none"/>
        </w:rPr>
        <w:t xml:space="preserve">4. </w:t>
      </w:r>
      <w:r>
        <w:rPr>
          <w:b/>
        </w:rPr>
        <w:t>Démarche d’audience des organisations représentatives des secteurs concernés</w:t>
      </w:r>
    </w:p>
    <w:p w14:paraId="1CA55E91" w14:textId="76949CA6" w:rsidR="00B83362" w:rsidRPr="00E52DAD" w:rsidRDefault="00477E0F" w:rsidP="00B83362">
      <w:pPr>
        <w:rPr>
          <w:spacing w:val="-4"/>
        </w:rPr>
      </w:pPr>
      <w:r w:rsidRPr="00E52DAD">
        <w:rPr>
          <w:spacing w:val="-4"/>
        </w:rPr>
        <w:t>La procédure de traitement de la norme nous a amenés à recueillir, par le biais de la démarche d’audience et d’information publiques visée à l</w:t>
      </w:r>
      <w:r w:rsidR="00DD2821" w:rsidRPr="00E52DAD">
        <w:rPr>
          <w:spacing w:val="-4"/>
        </w:rPr>
        <w:t>’</w:t>
      </w:r>
      <w:r w:rsidRPr="00E52DAD">
        <w:rPr>
          <w:spacing w:val="-4"/>
        </w:rPr>
        <w:t>article</w:t>
      </w:r>
      <w:r w:rsidR="00066C2B" w:rsidRPr="00E52DAD">
        <w:rPr>
          <w:spacing w:val="-4"/>
        </w:rPr>
        <w:t> </w:t>
      </w:r>
      <w:r w:rsidRPr="00E52DAD">
        <w:rPr>
          <w:spacing w:val="-4"/>
        </w:rPr>
        <w:t>26, paragraphe</w:t>
      </w:r>
      <w:r w:rsidR="00066C2B" w:rsidRPr="00E52DAD">
        <w:rPr>
          <w:spacing w:val="-4"/>
        </w:rPr>
        <w:t> </w:t>
      </w:r>
      <w:r w:rsidRPr="00E52DAD">
        <w:rPr>
          <w:spacing w:val="-4"/>
        </w:rPr>
        <w:t>6, de la loi n° 50/1997 du 27</w:t>
      </w:r>
      <w:r w:rsidR="00DD2821" w:rsidRPr="00E52DAD">
        <w:rPr>
          <w:spacing w:val="-4"/>
        </w:rPr>
        <w:t> </w:t>
      </w:r>
      <w:r w:rsidRPr="00E52DAD">
        <w:rPr>
          <w:spacing w:val="-4"/>
        </w:rPr>
        <w:t>novembre</w:t>
      </w:r>
      <w:r w:rsidR="00DD2821" w:rsidRPr="00E52DAD">
        <w:rPr>
          <w:spacing w:val="-4"/>
        </w:rPr>
        <w:t> </w:t>
      </w:r>
      <w:r w:rsidRPr="00E52DAD">
        <w:rPr>
          <w:spacing w:val="-4"/>
        </w:rPr>
        <w:t>1997 sur le gouvernement, les observations émises par les organisations représentatives des secteurs concernés.</w:t>
      </w:r>
    </w:p>
    <w:p w14:paraId="0F29A504" w14:textId="2B5B1F21" w:rsidR="00AA2DCC" w:rsidRPr="00DC6D3D" w:rsidRDefault="00AA2DCC" w:rsidP="00E52DAD">
      <w:pPr>
        <w:keepNext/>
        <w:keepLines/>
      </w:pPr>
      <w:r>
        <w:lastRenderedPageBreak/>
        <w:t>Nous avons étudié directement les contributions des organisations ou des associations officielles regroupant ou représentant les personnes dont les droits ou les intérêts légitimes sont susceptibles d’être affectés par la norme, et dont les activités sont directement liées à l</w:t>
      </w:r>
      <w:r w:rsidR="00DD2821">
        <w:t>’</w:t>
      </w:r>
      <w:r>
        <w:t>objet du règlement.</w:t>
      </w:r>
    </w:p>
    <w:p w14:paraId="4BAC30BE" w14:textId="77777777" w:rsidR="00C163C4" w:rsidRPr="00DC6D3D" w:rsidRDefault="00C163C4" w:rsidP="00F4239E">
      <w:pPr>
        <w:keepNext/>
      </w:pPr>
      <w:r>
        <w:t>Les organisations du secteur ayant émis des observations en réponse à cette consultation sont énumérées ci-</w:t>
      </w:r>
      <w:proofErr w:type="gramStart"/>
      <w:r>
        <w:t>dessous:</w:t>
      </w:r>
      <w:proofErr w:type="gramEnd"/>
    </w:p>
    <w:p w14:paraId="27D6BBE5" w14:textId="77777777" w:rsidR="00EE2FE4" w:rsidRPr="00DC6D3D" w:rsidRDefault="00EE2FE4" w:rsidP="00C163C4">
      <w:pPr>
        <w:pStyle w:val="ListParagraph"/>
        <w:numPr>
          <w:ilvl w:val="0"/>
          <w:numId w:val="26"/>
        </w:numPr>
      </w:pPr>
      <w:r>
        <w:t xml:space="preserve">COAG </w:t>
      </w:r>
      <w:proofErr w:type="spellStart"/>
      <w:r>
        <w:t>Servicios</w:t>
      </w:r>
      <w:proofErr w:type="spellEnd"/>
      <w:r>
        <w:t xml:space="preserve"> Centrales.</w:t>
      </w:r>
    </w:p>
    <w:p w14:paraId="73F315FB" w14:textId="056D559D" w:rsidR="00EE2FE4" w:rsidRPr="00DC6D3D" w:rsidRDefault="00EE2FE4" w:rsidP="00C163C4">
      <w:pPr>
        <w:pStyle w:val="ListParagraph"/>
        <w:numPr>
          <w:ilvl w:val="0"/>
          <w:numId w:val="26"/>
        </w:numPr>
      </w:pPr>
      <w:r>
        <w:t>Coopératives agroalimentaires d</w:t>
      </w:r>
      <w:r w:rsidR="00DD2821">
        <w:t>’</w:t>
      </w:r>
      <w:r>
        <w:t>Espagne.</w:t>
      </w:r>
    </w:p>
    <w:p w14:paraId="4F9F3D90" w14:textId="77777777" w:rsidR="00AB52F8" w:rsidRPr="00DC6D3D" w:rsidRDefault="00AB52F8" w:rsidP="004C46D6">
      <w:pPr>
        <w:pStyle w:val="ListParagraph"/>
        <w:numPr>
          <w:ilvl w:val="0"/>
          <w:numId w:val="26"/>
        </w:numPr>
      </w:pPr>
      <w:r>
        <w:t>ANEO-INFAOLIVA-ANIERAC-ASOLIVA.</w:t>
      </w:r>
    </w:p>
    <w:p w14:paraId="2B098F10" w14:textId="77777777" w:rsidR="00F71415" w:rsidRPr="00DC6D3D" w:rsidRDefault="001C60C7" w:rsidP="00C163C4">
      <w:pPr>
        <w:pStyle w:val="ListParagraph"/>
        <w:numPr>
          <w:ilvl w:val="0"/>
          <w:numId w:val="26"/>
        </w:numPr>
      </w:pPr>
      <w:proofErr w:type="spellStart"/>
      <w:r>
        <w:t>Almazaras</w:t>
      </w:r>
      <w:proofErr w:type="spellEnd"/>
      <w:r>
        <w:t xml:space="preserve"> </w:t>
      </w:r>
      <w:proofErr w:type="spellStart"/>
      <w:r>
        <w:t>Federadas</w:t>
      </w:r>
      <w:proofErr w:type="spellEnd"/>
      <w:r>
        <w:t xml:space="preserve"> de España.</w:t>
      </w:r>
    </w:p>
    <w:p w14:paraId="28C212CF" w14:textId="77777777" w:rsidR="001C60C7" w:rsidRPr="00DC6D3D" w:rsidRDefault="001C60C7" w:rsidP="00C163C4">
      <w:pPr>
        <w:pStyle w:val="ListParagraph"/>
        <w:numPr>
          <w:ilvl w:val="0"/>
          <w:numId w:val="26"/>
        </w:numPr>
      </w:pPr>
      <w:r>
        <w:t>UPA.</w:t>
      </w:r>
    </w:p>
    <w:p w14:paraId="3858594E" w14:textId="208C14FA" w:rsidR="00C163C4" w:rsidRPr="00DC6D3D" w:rsidRDefault="001C60C7">
      <w:pPr>
        <w:pStyle w:val="ListParagraph"/>
        <w:numPr>
          <w:ilvl w:val="0"/>
          <w:numId w:val="26"/>
        </w:numPr>
      </w:pPr>
      <w:r>
        <w:t>Association sectorielle de l</w:t>
      </w:r>
      <w:r w:rsidR="00DD2821">
        <w:t>’</w:t>
      </w:r>
      <w:r>
        <w:t>huile d</w:t>
      </w:r>
      <w:r w:rsidR="00DD2821">
        <w:t>’</w:t>
      </w:r>
      <w:r>
        <w:t>olive vierge avec appellation d</w:t>
      </w:r>
      <w:r w:rsidR="00DD2821">
        <w:t>’</w:t>
      </w:r>
      <w:r>
        <w:t>origine.</w:t>
      </w:r>
    </w:p>
    <w:p w14:paraId="3066D177" w14:textId="77777777" w:rsidR="00676019" w:rsidRPr="00DC6D3D" w:rsidRDefault="00F71147" w:rsidP="00676019">
      <w:pPr>
        <w:pStyle w:val="Heading4"/>
        <w:numPr>
          <w:ilvl w:val="0"/>
          <w:numId w:val="0"/>
        </w:numPr>
        <w:spacing w:before="480"/>
        <w:ind w:left="864" w:hanging="864"/>
        <w:rPr>
          <w:b/>
          <w:bCs w:val="0"/>
        </w:rPr>
      </w:pPr>
      <w:r>
        <w:rPr>
          <w:b/>
          <w:u w:val="none"/>
        </w:rPr>
        <w:t xml:space="preserve">5. </w:t>
      </w:r>
      <w:r>
        <w:rPr>
          <w:b/>
        </w:rPr>
        <w:t>Démarche d’information auprès des communautés autonomes</w:t>
      </w:r>
    </w:p>
    <w:p w14:paraId="737E8AAF" w14:textId="4EDD1C28" w:rsidR="00873C4F" w:rsidRPr="00DC6D3D" w:rsidRDefault="00873C4F" w:rsidP="00873C4F">
      <w:r>
        <w:t>La procédure de traitement de la norme nous a également amenés à consulter les communautés autonomes afin d</w:t>
      </w:r>
      <w:r w:rsidR="00DD2821">
        <w:t>’</w:t>
      </w:r>
      <w:r>
        <w:t>obtenir leur avis sur le texte du projet de décret royal, conformément à l</w:t>
      </w:r>
      <w:r w:rsidR="00DD2821">
        <w:t>’</w:t>
      </w:r>
      <w:r>
        <w:t>article</w:t>
      </w:r>
      <w:r w:rsidR="00066C2B">
        <w:t> </w:t>
      </w:r>
      <w:r>
        <w:t>3, paragraphe</w:t>
      </w:r>
      <w:r w:rsidR="00066C2B">
        <w:t> </w:t>
      </w:r>
      <w:r>
        <w:t>1, point k), de la loi n° 40/2015 du 1</w:t>
      </w:r>
      <w:r>
        <w:rPr>
          <w:vertAlign w:val="superscript"/>
        </w:rPr>
        <w:t>er</w:t>
      </w:r>
      <w:r w:rsidR="00DD2821">
        <w:t> </w:t>
      </w:r>
      <w:r>
        <w:t>octobre</w:t>
      </w:r>
      <w:r w:rsidR="00DD2821">
        <w:t> </w:t>
      </w:r>
      <w:r>
        <w:t xml:space="preserve">2015 sur le régime juridique </w:t>
      </w:r>
      <w:r w:rsidR="00DD2821">
        <w:t>du</w:t>
      </w:r>
      <w:r>
        <w:t xml:space="preserve"> secteur public et à l</w:t>
      </w:r>
      <w:r w:rsidR="00DD2821">
        <w:t>’</w:t>
      </w:r>
      <w:r>
        <w:t>article</w:t>
      </w:r>
      <w:r w:rsidR="00066C2B">
        <w:t> </w:t>
      </w:r>
      <w:r>
        <w:t>26 de la loi n° 50/1997 du 27</w:t>
      </w:r>
      <w:r w:rsidR="00DD2821">
        <w:t> </w:t>
      </w:r>
      <w:r>
        <w:t>novembre</w:t>
      </w:r>
      <w:r w:rsidR="00DD2821">
        <w:t> </w:t>
      </w:r>
      <w:r>
        <w:t>1997 sur le gouvernement.</w:t>
      </w:r>
    </w:p>
    <w:p w14:paraId="589B4E37" w14:textId="4BB791C2" w:rsidR="00691B32" w:rsidRPr="00DC6D3D" w:rsidRDefault="00691B32" w:rsidP="00691B32">
      <w:pPr>
        <w:pStyle w:val="ListParagraph"/>
        <w:ind w:left="0"/>
      </w:pPr>
      <w:r>
        <w:t xml:space="preserve">Le </w:t>
      </w:r>
      <w:r w:rsidR="00916B80" w:rsidRPr="00DC6D3D">
        <w:fldChar w:fldCharType="begin"/>
      </w:r>
      <w:r w:rsidR="00916B80" w:rsidRPr="00DC6D3D">
        <w:instrText xml:space="preserve"> REF _Ref39575335 \h  \* MERGEFORMAT </w:instrText>
      </w:r>
      <w:r w:rsidR="00916B80" w:rsidRPr="00DC6D3D">
        <w:fldChar w:fldCharType="separate"/>
      </w:r>
      <w:r w:rsidR="00DD2821" w:rsidRPr="00DD2821">
        <w:t>Tableau</w:t>
      </w:r>
      <w:r w:rsidR="00066C2B">
        <w:t> </w:t>
      </w:r>
      <w:r w:rsidR="00DD2821" w:rsidRPr="00DD2821">
        <w:t>2</w:t>
      </w:r>
      <w:r w:rsidR="00916B80" w:rsidRPr="00DC6D3D">
        <w:fldChar w:fldCharType="end"/>
      </w:r>
      <w:r>
        <w:t xml:space="preserve"> résume les observations reçues de la part des communautés autonomes.</w:t>
      </w:r>
    </w:p>
    <w:p w14:paraId="59146A85" w14:textId="77777777" w:rsidR="00691B32" w:rsidRPr="00DC6D3D" w:rsidRDefault="00691B32" w:rsidP="00691B32">
      <w:pPr>
        <w:pStyle w:val="ListParagraph"/>
        <w:ind w:left="0"/>
        <w:rPr>
          <w:lang w:val="es-ES"/>
        </w:rPr>
      </w:pPr>
    </w:p>
    <w:p w14:paraId="7F4768A6" w14:textId="5C865335" w:rsidR="00691B32" w:rsidRPr="00DC6D3D" w:rsidRDefault="007E3730" w:rsidP="00F4239E">
      <w:pPr>
        <w:pStyle w:val="Caption"/>
        <w:keepNext/>
        <w:spacing w:after="0"/>
        <w:jc w:val="center"/>
        <w:rPr>
          <w:b/>
          <w:bCs/>
          <w:color w:val="auto"/>
        </w:rPr>
      </w:pPr>
      <w:bookmarkStart w:id="1" w:name="_Ref39575335"/>
      <w:r>
        <w:rPr>
          <w:b/>
          <w:i w:val="0"/>
          <w:color w:val="auto"/>
        </w:rPr>
        <w:t>Tableau</w:t>
      </w:r>
      <w:r w:rsidR="00066C2B">
        <w:rPr>
          <w:b/>
          <w:i w:val="0"/>
          <w:color w:val="auto"/>
        </w:rPr>
        <w:t> </w:t>
      </w:r>
      <w:r w:rsidRPr="00DC6D3D">
        <w:rPr>
          <w:b/>
          <w:i w:val="0"/>
          <w:color w:val="auto"/>
        </w:rPr>
        <w:fldChar w:fldCharType="begin"/>
      </w:r>
      <w:r w:rsidRPr="00DC6D3D">
        <w:rPr>
          <w:b/>
          <w:i w:val="0"/>
          <w:color w:val="auto"/>
        </w:rPr>
        <w:instrText xml:space="preserve"> SEQ Tabla \* ARABIC </w:instrText>
      </w:r>
      <w:r w:rsidRPr="00DC6D3D">
        <w:rPr>
          <w:b/>
          <w:i w:val="0"/>
          <w:color w:val="auto"/>
        </w:rPr>
        <w:fldChar w:fldCharType="separate"/>
      </w:r>
      <w:r w:rsidR="00DD2821">
        <w:rPr>
          <w:b/>
          <w:i w:val="0"/>
          <w:noProof/>
          <w:color w:val="auto"/>
        </w:rPr>
        <w:t>2</w:t>
      </w:r>
      <w:r w:rsidRPr="00DC6D3D">
        <w:rPr>
          <w:b/>
          <w:i w:val="0"/>
          <w:color w:val="auto"/>
        </w:rPr>
        <w:fldChar w:fldCharType="end"/>
      </w:r>
      <w:bookmarkEnd w:id="1"/>
      <w:r>
        <w:rPr>
          <w:b/>
          <w:i w:val="0"/>
          <w:color w:val="auto"/>
        </w:rPr>
        <w:t>: Tableau récapitulatif des observations émises par les communautés autonomes</w:t>
      </w:r>
    </w:p>
    <w:tbl>
      <w:tblPr>
        <w:tblW w:w="88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3432"/>
        <w:gridCol w:w="2410"/>
        <w:gridCol w:w="2976"/>
      </w:tblGrid>
      <w:tr w:rsidR="00567E99" w:rsidRPr="00E52DAD" w14:paraId="495DA24C" w14:textId="77777777" w:rsidTr="00DC6D3D">
        <w:tc>
          <w:tcPr>
            <w:tcW w:w="3432" w:type="dxa"/>
            <w:vAlign w:val="center"/>
          </w:tcPr>
          <w:p w14:paraId="71869D91" w14:textId="77777777" w:rsidR="00691B32" w:rsidRPr="00E52DAD" w:rsidRDefault="007E3730" w:rsidP="00F4239E">
            <w:pPr>
              <w:keepNext/>
              <w:spacing w:before="0"/>
              <w:jc w:val="center"/>
              <w:rPr>
                <w:rFonts w:cs="Arial"/>
                <w:b/>
                <w:spacing w:val="-4"/>
                <w:sz w:val="22"/>
                <w:szCs w:val="22"/>
              </w:rPr>
            </w:pPr>
            <w:r w:rsidRPr="00E52DAD">
              <w:rPr>
                <w:b/>
                <w:spacing w:val="-4"/>
                <w:sz w:val="22"/>
              </w:rPr>
              <w:t>Communauté autonome</w:t>
            </w:r>
          </w:p>
        </w:tc>
        <w:tc>
          <w:tcPr>
            <w:tcW w:w="2410" w:type="dxa"/>
            <w:vAlign w:val="center"/>
          </w:tcPr>
          <w:p w14:paraId="5457A7DB" w14:textId="77777777" w:rsidR="00691B32" w:rsidRPr="00E52DAD" w:rsidRDefault="00691B32" w:rsidP="00F4239E">
            <w:pPr>
              <w:keepNext/>
              <w:spacing w:before="0"/>
              <w:jc w:val="center"/>
              <w:rPr>
                <w:rFonts w:cs="Arial"/>
                <w:b/>
                <w:spacing w:val="-4"/>
                <w:sz w:val="22"/>
                <w:szCs w:val="22"/>
              </w:rPr>
            </w:pPr>
            <w:r w:rsidRPr="00E52DAD">
              <w:rPr>
                <w:b/>
                <w:spacing w:val="-4"/>
                <w:sz w:val="22"/>
              </w:rPr>
              <w:t>Aucune observation (A/O)</w:t>
            </w:r>
          </w:p>
        </w:tc>
        <w:tc>
          <w:tcPr>
            <w:tcW w:w="2976" w:type="dxa"/>
            <w:vAlign w:val="center"/>
          </w:tcPr>
          <w:p w14:paraId="41CF50DA" w14:textId="77777777" w:rsidR="00691B32" w:rsidRPr="00E52DAD" w:rsidRDefault="00691B32" w:rsidP="00F4239E">
            <w:pPr>
              <w:keepNext/>
              <w:spacing w:before="0"/>
              <w:jc w:val="center"/>
              <w:rPr>
                <w:rFonts w:cs="Arial"/>
                <w:b/>
                <w:spacing w:val="-4"/>
                <w:sz w:val="22"/>
                <w:szCs w:val="22"/>
              </w:rPr>
            </w:pPr>
            <w:r w:rsidRPr="00E52DAD">
              <w:rPr>
                <w:b/>
                <w:spacing w:val="-4"/>
                <w:sz w:val="22"/>
              </w:rPr>
              <w:t>Observations publiées</w:t>
            </w:r>
          </w:p>
        </w:tc>
      </w:tr>
      <w:tr w:rsidR="00567E99" w:rsidRPr="00E52DAD" w14:paraId="3F86825C" w14:textId="77777777" w:rsidTr="00DC6D3D">
        <w:tc>
          <w:tcPr>
            <w:tcW w:w="3432" w:type="dxa"/>
            <w:tcMar>
              <w:top w:w="57" w:type="dxa"/>
              <w:bottom w:w="57" w:type="dxa"/>
            </w:tcMar>
            <w:vAlign w:val="center"/>
          </w:tcPr>
          <w:p w14:paraId="2828150D" w14:textId="77777777" w:rsidR="00691B32" w:rsidRPr="00E52DAD" w:rsidRDefault="00916B80" w:rsidP="000951E1">
            <w:pPr>
              <w:spacing w:before="0"/>
              <w:rPr>
                <w:rFonts w:cs="Arial"/>
                <w:bCs/>
                <w:spacing w:val="-4"/>
                <w:sz w:val="22"/>
                <w:szCs w:val="22"/>
              </w:rPr>
            </w:pPr>
            <w:r w:rsidRPr="00E52DAD">
              <w:rPr>
                <w:spacing w:val="-4"/>
                <w:sz w:val="22"/>
              </w:rPr>
              <w:t>Communauté autonome de Madrid</w:t>
            </w:r>
          </w:p>
        </w:tc>
        <w:tc>
          <w:tcPr>
            <w:tcW w:w="2410" w:type="dxa"/>
            <w:vAlign w:val="center"/>
          </w:tcPr>
          <w:p w14:paraId="24BC6C97" w14:textId="77777777" w:rsidR="00691B32" w:rsidRPr="00E52DAD" w:rsidRDefault="00691B32" w:rsidP="000951E1">
            <w:pPr>
              <w:spacing w:before="0"/>
              <w:jc w:val="center"/>
              <w:rPr>
                <w:rFonts w:cs="Arial"/>
                <w:bCs/>
                <w:strike/>
                <w:spacing w:val="-4"/>
                <w:sz w:val="22"/>
                <w:szCs w:val="22"/>
                <w:highlight w:val="cyan"/>
              </w:rPr>
            </w:pPr>
          </w:p>
        </w:tc>
        <w:tc>
          <w:tcPr>
            <w:tcW w:w="2976" w:type="dxa"/>
            <w:vAlign w:val="center"/>
          </w:tcPr>
          <w:p w14:paraId="6B9EA0AA" w14:textId="77777777" w:rsidR="00691B32" w:rsidRPr="00E52DAD" w:rsidRDefault="00691B32" w:rsidP="000951E1">
            <w:pPr>
              <w:spacing w:before="0"/>
              <w:jc w:val="center"/>
              <w:rPr>
                <w:rFonts w:cs="Arial"/>
                <w:bCs/>
                <w:spacing w:val="-4"/>
                <w:sz w:val="22"/>
                <w:szCs w:val="22"/>
                <w:highlight w:val="cyan"/>
              </w:rPr>
            </w:pPr>
            <w:r w:rsidRPr="00E52DAD">
              <w:rPr>
                <w:spacing w:val="-4"/>
                <w:sz w:val="22"/>
              </w:rPr>
              <w:t>X</w:t>
            </w:r>
          </w:p>
        </w:tc>
      </w:tr>
      <w:tr w:rsidR="00567E99" w:rsidRPr="00E52DAD" w14:paraId="4700F94D" w14:textId="77777777" w:rsidTr="00DC6D3D">
        <w:tc>
          <w:tcPr>
            <w:tcW w:w="3432" w:type="dxa"/>
            <w:tcMar>
              <w:top w:w="57" w:type="dxa"/>
              <w:bottom w:w="57" w:type="dxa"/>
            </w:tcMar>
            <w:vAlign w:val="center"/>
          </w:tcPr>
          <w:p w14:paraId="2643CCC7" w14:textId="77777777" w:rsidR="00691B32" w:rsidRPr="00E52DAD" w:rsidRDefault="00916B80" w:rsidP="000951E1">
            <w:pPr>
              <w:spacing w:before="0"/>
              <w:rPr>
                <w:rFonts w:cs="Arial"/>
                <w:spacing w:val="-4"/>
                <w:sz w:val="22"/>
                <w:szCs w:val="22"/>
              </w:rPr>
            </w:pPr>
            <w:r w:rsidRPr="00E52DAD">
              <w:rPr>
                <w:spacing w:val="-4"/>
                <w:sz w:val="22"/>
              </w:rPr>
              <w:t>Communauté autonome de Catalogne</w:t>
            </w:r>
          </w:p>
        </w:tc>
        <w:tc>
          <w:tcPr>
            <w:tcW w:w="2410" w:type="dxa"/>
            <w:vAlign w:val="center"/>
          </w:tcPr>
          <w:p w14:paraId="1213C177" w14:textId="77777777" w:rsidR="00691B32" w:rsidRPr="00E52DAD" w:rsidRDefault="00916B80" w:rsidP="000951E1">
            <w:pPr>
              <w:spacing w:before="0"/>
              <w:jc w:val="center"/>
              <w:rPr>
                <w:rFonts w:cs="Arial"/>
                <w:spacing w:val="-4"/>
                <w:highlight w:val="cyan"/>
              </w:rPr>
            </w:pPr>
            <w:r w:rsidRPr="00E52DAD">
              <w:rPr>
                <w:spacing w:val="-4"/>
              </w:rPr>
              <w:t>A/O.</w:t>
            </w:r>
          </w:p>
        </w:tc>
        <w:tc>
          <w:tcPr>
            <w:tcW w:w="2976" w:type="dxa"/>
            <w:vAlign w:val="center"/>
          </w:tcPr>
          <w:p w14:paraId="1AF1BD89" w14:textId="77777777" w:rsidR="00691B32" w:rsidRPr="00E52DAD" w:rsidRDefault="00691B32" w:rsidP="000951E1">
            <w:pPr>
              <w:spacing w:before="0"/>
              <w:jc w:val="center"/>
              <w:rPr>
                <w:rFonts w:cs="Arial"/>
                <w:spacing w:val="-4"/>
                <w:sz w:val="22"/>
                <w:szCs w:val="22"/>
              </w:rPr>
            </w:pPr>
          </w:p>
        </w:tc>
      </w:tr>
      <w:tr w:rsidR="00567E99" w:rsidRPr="00E52DAD" w14:paraId="49D065D2" w14:textId="77777777" w:rsidTr="00DC6D3D">
        <w:tc>
          <w:tcPr>
            <w:tcW w:w="3432" w:type="dxa"/>
            <w:tcMar>
              <w:top w:w="57" w:type="dxa"/>
              <w:bottom w:w="57" w:type="dxa"/>
            </w:tcMar>
            <w:vAlign w:val="center"/>
          </w:tcPr>
          <w:p w14:paraId="0B68D239" w14:textId="540BD026" w:rsidR="00691B32" w:rsidRPr="00E52DAD" w:rsidRDefault="00916B80" w:rsidP="000951E1">
            <w:pPr>
              <w:spacing w:before="0"/>
              <w:rPr>
                <w:rFonts w:cs="Arial"/>
                <w:strike/>
                <w:spacing w:val="-4"/>
                <w:sz w:val="22"/>
                <w:szCs w:val="22"/>
              </w:rPr>
            </w:pPr>
            <w:r w:rsidRPr="00E52DAD">
              <w:rPr>
                <w:spacing w:val="-4"/>
                <w:sz w:val="22"/>
              </w:rPr>
              <w:t>Communauté autonome d</w:t>
            </w:r>
            <w:r w:rsidR="00DD2821" w:rsidRPr="00E52DAD">
              <w:rPr>
                <w:spacing w:val="-4"/>
                <w:sz w:val="22"/>
              </w:rPr>
              <w:t>’</w:t>
            </w:r>
            <w:r w:rsidRPr="00E52DAD">
              <w:rPr>
                <w:spacing w:val="-4"/>
                <w:sz w:val="22"/>
              </w:rPr>
              <w:t>Aragon</w:t>
            </w:r>
          </w:p>
        </w:tc>
        <w:tc>
          <w:tcPr>
            <w:tcW w:w="2410" w:type="dxa"/>
            <w:vAlign w:val="center"/>
          </w:tcPr>
          <w:p w14:paraId="4F55809D" w14:textId="77777777" w:rsidR="00691B32" w:rsidRPr="00E52DAD" w:rsidRDefault="00691B32" w:rsidP="000951E1">
            <w:pPr>
              <w:spacing w:before="0"/>
              <w:jc w:val="center"/>
              <w:rPr>
                <w:rFonts w:cs="Arial"/>
                <w:spacing w:val="-4"/>
                <w:highlight w:val="cyan"/>
              </w:rPr>
            </w:pPr>
            <w:r w:rsidRPr="00E52DAD">
              <w:rPr>
                <w:spacing w:val="-4"/>
              </w:rPr>
              <w:t>A/O.</w:t>
            </w:r>
          </w:p>
        </w:tc>
        <w:tc>
          <w:tcPr>
            <w:tcW w:w="2976" w:type="dxa"/>
            <w:vAlign w:val="center"/>
          </w:tcPr>
          <w:p w14:paraId="1E33F1CF" w14:textId="77777777" w:rsidR="00691B32" w:rsidRPr="00E52DAD" w:rsidRDefault="00691B32" w:rsidP="000951E1">
            <w:pPr>
              <w:spacing w:before="0"/>
              <w:jc w:val="center"/>
              <w:rPr>
                <w:rFonts w:cs="Arial"/>
                <w:spacing w:val="-4"/>
                <w:sz w:val="22"/>
                <w:szCs w:val="22"/>
              </w:rPr>
            </w:pPr>
          </w:p>
        </w:tc>
      </w:tr>
      <w:tr w:rsidR="00567E99" w:rsidRPr="00E52DAD" w14:paraId="0F0EB53D" w14:textId="77777777" w:rsidTr="00DC6D3D">
        <w:tc>
          <w:tcPr>
            <w:tcW w:w="3432" w:type="dxa"/>
            <w:tcMar>
              <w:top w:w="57" w:type="dxa"/>
              <w:bottom w:w="57" w:type="dxa"/>
            </w:tcMar>
            <w:vAlign w:val="center"/>
          </w:tcPr>
          <w:p w14:paraId="5ADEF80A" w14:textId="15D64C13" w:rsidR="00916B80" w:rsidRPr="00E52DAD" w:rsidRDefault="00916B80" w:rsidP="000951E1">
            <w:pPr>
              <w:spacing w:before="0"/>
              <w:rPr>
                <w:rFonts w:cs="Arial"/>
                <w:bCs/>
                <w:spacing w:val="-4"/>
                <w:sz w:val="22"/>
                <w:szCs w:val="22"/>
              </w:rPr>
            </w:pPr>
            <w:r w:rsidRPr="00E52DAD">
              <w:rPr>
                <w:spacing w:val="-4"/>
                <w:sz w:val="22"/>
              </w:rPr>
              <w:t>Communauté autonome d</w:t>
            </w:r>
            <w:r w:rsidR="00DD2821" w:rsidRPr="00E52DAD">
              <w:rPr>
                <w:spacing w:val="-4"/>
                <w:sz w:val="22"/>
              </w:rPr>
              <w:t>’</w:t>
            </w:r>
            <w:r w:rsidRPr="00E52DAD">
              <w:rPr>
                <w:spacing w:val="-4"/>
                <w:sz w:val="22"/>
              </w:rPr>
              <w:t>Estrémadure</w:t>
            </w:r>
          </w:p>
        </w:tc>
        <w:tc>
          <w:tcPr>
            <w:tcW w:w="2410" w:type="dxa"/>
            <w:vAlign w:val="center"/>
          </w:tcPr>
          <w:p w14:paraId="36DE6DCD" w14:textId="77777777" w:rsidR="00916B80" w:rsidRPr="00E52DAD" w:rsidRDefault="00916B80" w:rsidP="000951E1">
            <w:pPr>
              <w:spacing w:before="0"/>
              <w:jc w:val="center"/>
              <w:rPr>
                <w:rFonts w:cs="Arial"/>
                <w:spacing w:val="-4"/>
              </w:rPr>
            </w:pPr>
          </w:p>
        </w:tc>
        <w:tc>
          <w:tcPr>
            <w:tcW w:w="2976" w:type="dxa"/>
            <w:vAlign w:val="center"/>
          </w:tcPr>
          <w:p w14:paraId="0E2726F8" w14:textId="77777777" w:rsidR="00916B80" w:rsidRPr="00E52DAD" w:rsidRDefault="00916B80" w:rsidP="000951E1">
            <w:pPr>
              <w:spacing w:before="0"/>
              <w:jc w:val="center"/>
              <w:rPr>
                <w:rFonts w:cs="Arial"/>
                <w:spacing w:val="-4"/>
                <w:sz w:val="22"/>
                <w:szCs w:val="22"/>
              </w:rPr>
            </w:pPr>
            <w:r w:rsidRPr="00E52DAD">
              <w:rPr>
                <w:spacing w:val="-4"/>
                <w:sz w:val="22"/>
              </w:rPr>
              <w:t>X</w:t>
            </w:r>
          </w:p>
        </w:tc>
      </w:tr>
      <w:tr w:rsidR="00567E99" w:rsidRPr="00E52DAD" w14:paraId="14A2A57F" w14:textId="77777777" w:rsidTr="00DC6D3D">
        <w:tc>
          <w:tcPr>
            <w:tcW w:w="3432" w:type="dxa"/>
            <w:tcMar>
              <w:top w:w="57" w:type="dxa"/>
              <w:bottom w:w="57" w:type="dxa"/>
            </w:tcMar>
            <w:vAlign w:val="center"/>
          </w:tcPr>
          <w:p w14:paraId="424BA107" w14:textId="77777777" w:rsidR="00916B80" w:rsidRPr="00E52DAD" w:rsidRDefault="00916B80" w:rsidP="000951E1">
            <w:pPr>
              <w:spacing w:before="0"/>
              <w:rPr>
                <w:rFonts w:cs="Arial"/>
                <w:bCs/>
                <w:spacing w:val="-4"/>
                <w:sz w:val="22"/>
                <w:szCs w:val="22"/>
              </w:rPr>
            </w:pPr>
            <w:r w:rsidRPr="00E52DAD">
              <w:rPr>
                <w:spacing w:val="-4"/>
                <w:sz w:val="22"/>
              </w:rPr>
              <w:t>Communauté de Valence</w:t>
            </w:r>
          </w:p>
        </w:tc>
        <w:tc>
          <w:tcPr>
            <w:tcW w:w="2410" w:type="dxa"/>
            <w:vAlign w:val="center"/>
          </w:tcPr>
          <w:p w14:paraId="6A6D6866" w14:textId="77777777" w:rsidR="00916B80" w:rsidRPr="00E52DAD" w:rsidRDefault="00916B80" w:rsidP="000951E1">
            <w:pPr>
              <w:spacing w:before="0"/>
              <w:jc w:val="center"/>
              <w:rPr>
                <w:rFonts w:cs="Arial"/>
                <w:spacing w:val="-4"/>
              </w:rPr>
            </w:pPr>
          </w:p>
        </w:tc>
        <w:tc>
          <w:tcPr>
            <w:tcW w:w="2976" w:type="dxa"/>
            <w:vAlign w:val="center"/>
          </w:tcPr>
          <w:p w14:paraId="024B0F9D" w14:textId="77777777" w:rsidR="00916B80" w:rsidRPr="00E52DAD" w:rsidRDefault="00916B80" w:rsidP="000951E1">
            <w:pPr>
              <w:spacing w:before="0"/>
              <w:jc w:val="center"/>
              <w:rPr>
                <w:rFonts w:cs="Arial"/>
                <w:spacing w:val="-4"/>
                <w:sz w:val="22"/>
                <w:szCs w:val="22"/>
              </w:rPr>
            </w:pPr>
            <w:r w:rsidRPr="00E52DAD">
              <w:rPr>
                <w:spacing w:val="-4"/>
                <w:sz w:val="22"/>
              </w:rPr>
              <w:t>X</w:t>
            </w:r>
          </w:p>
        </w:tc>
      </w:tr>
      <w:tr w:rsidR="00567E99" w:rsidRPr="00E52DAD" w14:paraId="200AA39A" w14:textId="77777777" w:rsidTr="00DC6D3D">
        <w:tc>
          <w:tcPr>
            <w:tcW w:w="3432" w:type="dxa"/>
            <w:tcMar>
              <w:top w:w="57" w:type="dxa"/>
              <w:bottom w:w="57" w:type="dxa"/>
            </w:tcMar>
            <w:vAlign w:val="center"/>
          </w:tcPr>
          <w:p w14:paraId="3EB3BA1A" w14:textId="77777777" w:rsidR="00916B80" w:rsidRPr="00E52DAD" w:rsidRDefault="00916B80" w:rsidP="000951E1">
            <w:pPr>
              <w:spacing w:before="0"/>
              <w:rPr>
                <w:rFonts w:cs="Arial"/>
                <w:bCs/>
                <w:spacing w:val="-4"/>
                <w:sz w:val="22"/>
                <w:szCs w:val="22"/>
              </w:rPr>
            </w:pPr>
            <w:r w:rsidRPr="00E52DAD">
              <w:rPr>
                <w:spacing w:val="-4"/>
                <w:sz w:val="22"/>
              </w:rPr>
              <w:t>Communauté autonome de Galice</w:t>
            </w:r>
          </w:p>
        </w:tc>
        <w:tc>
          <w:tcPr>
            <w:tcW w:w="2410" w:type="dxa"/>
            <w:vAlign w:val="center"/>
          </w:tcPr>
          <w:p w14:paraId="0FF7546F" w14:textId="77777777" w:rsidR="00916B80" w:rsidRPr="00E52DAD" w:rsidRDefault="00916B80" w:rsidP="000951E1">
            <w:pPr>
              <w:spacing w:before="0"/>
              <w:jc w:val="center"/>
              <w:rPr>
                <w:rFonts w:cs="Arial"/>
                <w:spacing w:val="-4"/>
              </w:rPr>
            </w:pPr>
          </w:p>
        </w:tc>
        <w:tc>
          <w:tcPr>
            <w:tcW w:w="2976" w:type="dxa"/>
            <w:vAlign w:val="center"/>
          </w:tcPr>
          <w:p w14:paraId="1E6EE9C3" w14:textId="77777777" w:rsidR="00916B80" w:rsidRPr="00E52DAD" w:rsidRDefault="00916B80" w:rsidP="000951E1">
            <w:pPr>
              <w:spacing w:before="0"/>
              <w:jc w:val="center"/>
              <w:rPr>
                <w:rFonts w:cs="Arial"/>
                <w:spacing w:val="-4"/>
                <w:sz w:val="22"/>
                <w:szCs w:val="22"/>
              </w:rPr>
            </w:pPr>
            <w:r w:rsidRPr="00E52DAD">
              <w:rPr>
                <w:spacing w:val="-4"/>
                <w:sz w:val="22"/>
              </w:rPr>
              <w:t>X</w:t>
            </w:r>
          </w:p>
        </w:tc>
      </w:tr>
      <w:tr w:rsidR="00567E99" w:rsidRPr="00E52DAD" w14:paraId="4559CEDD" w14:textId="77777777" w:rsidTr="00DC6D3D">
        <w:tc>
          <w:tcPr>
            <w:tcW w:w="3432" w:type="dxa"/>
            <w:tcMar>
              <w:top w:w="57" w:type="dxa"/>
              <w:bottom w:w="57" w:type="dxa"/>
            </w:tcMar>
            <w:vAlign w:val="center"/>
          </w:tcPr>
          <w:p w14:paraId="5333028B" w14:textId="77777777" w:rsidR="00916B80" w:rsidRPr="00E52DAD" w:rsidRDefault="00916B80" w:rsidP="000951E1">
            <w:pPr>
              <w:spacing w:before="0"/>
              <w:rPr>
                <w:rFonts w:cs="Arial"/>
                <w:bCs/>
                <w:spacing w:val="-4"/>
                <w:sz w:val="22"/>
                <w:szCs w:val="22"/>
              </w:rPr>
            </w:pPr>
            <w:r w:rsidRPr="00E52DAD">
              <w:rPr>
                <w:spacing w:val="-4"/>
                <w:sz w:val="22"/>
              </w:rPr>
              <w:t>Communauté autonome de Castille-La Manche</w:t>
            </w:r>
          </w:p>
        </w:tc>
        <w:tc>
          <w:tcPr>
            <w:tcW w:w="2410" w:type="dxa"/>
            <w:vAlign w:val="center"/>
          </w:tcPr>
          <w:p w14:paraId="66F55FCB" w14:textId="77777777" w:rsidR="00916B80" w:rsidRPr="00E52DAD" w:rsidRDefault="00916B80" w:rsidP="000951E1">
            <w:pPr>
              <w:spacing w:before="0"/>
              <w:jc w:val="center"/>
              <w:rPr>
                <w:rFonts w:cs="Arial"/>
                <w:spacing w:val="-4"/>
              </w:rPr>
            </w:pPr>
          </w:p>
        </w:tc>
        <w:tc>
          <w:tcPr>
            <w:tcW w:w="2976" w:type="dxa"/>
            <w:vAlign w:val="center"/>
          </w:tcPr>
          <w:p w14:paraId="6E68CBA8" w14:textId="77777777" w:rsidR="00916B80" w:rsidRPr="00E52DAD" w:rsidRDefault="00916B80" w:rsidP="000951E1">
            <w:pPr>
              <w:spacing w:before="0"/>
              <w:jc w:val="center"/>
              <w:rPr>
                <w:rFonts w:cs="Arial"/>
                <w:spacing w:val="-4"/>
                <w:sz w:val="22"/>
                <w:szCs w:val="22"/>
              </w:rPr>
            </w:pPr>
            <w:r w:rsidRPr="00E52DAD">
              <w:rPr>
                <w:spacing w:val="-4"/>
                <w:sz w:val="22"/>
              </w:rPr>
              <w:t>X</w:t>
            </w:r>
          </w:p>
        </w:tc>
      </w:tr>
      <w:tr w:rsidR="00567E99" w:rsidRPr="00E52DAD" w14:paraId="0F4CD73E" w14:textId="77777777" w:rsidTr="00DC6D3D">
        <w:tc>
          <w:tcPr>
            <w:tcW w:w="3432" w:type="dxa"/>
            <w:tcMar>
              <w:top w:w="57" w:type="dxa"/>
              <w:bottom w:w="57" w:type="dxa"/>
            </w:tcMar>
            <w:vAlign w:val="center"/>
          </w:tcPr>
          <w:p w14:paraId="2161BE3E" w14:textId="50B86273" w:rsidR="00916B80" w:rsidRPr="00E52DAD" w:rsidRDefault="00B26862" w:rsidP="000951E1">
            <w:pPr>
              <w:spacing w:before="0"/>
              <w:rPr>
                <w:rFonts w:cs="Arial"/>
                <w:bCs/>
                <w:spacing w:val="-4"/>
                <w:sz w:val="22"/>
                <w:szCs w:val="22"/>
              </w:rPr>
            </w:pPr>
            <w:r w:rsidRPr="00E52DAD">
              <w:rPr>
                <w:spacing w:val="-4"/>
                <w:sz w:val="22"/>
              </w:rPr>
              <w:t>Communauté autonome d</w:t>
            </w:r>
            <w:r w:rsidR="00DD2821" w:rsidRPr="00E52DAD">
              <w:rPr>
                <w:spacing w:val="-4"/>
                <w:sz w:val="22"/>
              </w:rPr>
              <w:t>’</w:t>
            </w:r>
            <w:r w:rsidRPr="00E52DAD">
              <w:rPr>
                <w:spacing w:val="-4"/>
                <w:sz w:val="22"/>
              </w:rPr>
              <w:t>Andalousie</w:t>
            </w:r>
          </w:p>
        </w:tc>
        <w:tc>
          <w:tcPr>
            <w:tcW w:w="2410" w:type="dxa"/>
            <w:vAlign w:val="center"/>
          </w:tcPr>
          <w:p w14:paraId="3DCC0EB7" w14:textId="77777777" w:rsidR="00916B80" w:rsidRPr="00E52DAD" w:rsidRDefault="00916B80" w:rsidP="000951E1">
            <w:pPr>
              <w:spacing w:before="0"/>
              <w:jc w:val="center"/>
              <w:rPr>
                <w:rFonts w:cs="Arial"/>
                <w:spacing w:val="-4"/>
              </w:rPr>
            </w:pPr>
          </w:p>
        </w:tc>
        <w:tc>
          <w:tcPr>
            <w:tcW w:w="2976" w:type="dxa"/>
            <w:vAlign w:val="center"/>
          </w:tcPr>
          <w:p w14:paraId="585D532D" w14:textId="77777777" w:rsidR="00916B80" w:rsidRPr="00E52DAD" w:rsidRDefault="00B26862" w:rsidP="000951E1">
            <w:pPr>
              <w:spacing w:before="0"/>
              <w:jc w:val="center"/>
              <w:rPr>
                <w:rFonts w:cs="Arial"/>
                <w:spacing w:val="-4"/>
                <w:sz w:val="22"/>
                <w:szCs w:val="22"/>
              </w:rPr>
            </w:pPr>
            <w:r w:rsidRPr="00E52DAD">
              <w:rPr>
                <w:spacing w:val="-4"/>
                <w:sz w:val="22"/>
              </w:rPr>
              <w:t>X</w:t>
            </w:r>
          </w:p>
        </w:tc>
      </w:tr>
      <w:tr w:rsidR="00567E99" w:rsidRPr="00E52DAD" w14:paraId="4C96C255" w14:textId="77777777" w:rsidTr="00DC6D3D">
        <w:tc>
          <w:tcPr>
            <w:tcW w:w="3432" w:type="dxa"/>
            <w:tcMar>
              <w:top w:w="57" w:type="dxa"/>
              <w:bottom w:w="57" w:type="dxa"/>
            </w:tcMar>
            <w:vAlign w:val="center"/>
          </w:tcPr>
          <w:p w14:paraId="11EA1C99" w14:textId="52E2D04F" w:rsidR="006108D2" w:rsidRPr="00E52DAD" w:rsidRDefault="006108D2" w:rsidP="000951E1">
            <w:pPr>
              <w:spacing w:before="0"/>
              <w:rPr>
                <w:rFonts w:cs="Arial"/>
                <w:bCs/>
                <w:spacing w:val="-4"/>
                <w:sz w:val="22"/>
                <w:szCs w:val="22"/>
              </w:rPr>
            </w:pPr>
            <w:r w:rsidRPr="00E52DAD">
              <w:rPr>
                <w:spacing w:val="-4"/>
                <w:sz w:val="22"/>
              </w:rPr>
              <w:t xml:space="preserve">Communauté autonome des </w:t>
            </w:r>
            <w:r w:rsidR="00DD2821" w:rsidRPr="00E52DAD">
              <w:rPr>
                <w:spacing w:val="-4"/>
                <w:sz w:val="22"/>
              </w:rPr>
              <w:t>î</w:t>
            </w:r>
            <w:r w:rsidRPr="00E52DAD">
              <w:rPr>
                <w:spacing w:val="-4"/>
                <w:sz w:val="22"/>
              </w:rPr>
              <w:t>les Baléares</w:t>
            </w:r>
          </w:p>
        </w:tc>
        <w:tc>
          <w:tcPr>
            <w:tcW w:w="2410" w:type="dxa"/>
            <w:vAlign w:val="center"/>
          </w:tcPr>
          <w:p w14:paraId="5D57E076" w14:textId="77777777" w:rsidR="006108D2" w:rsidRPr="00E52DAD" w:rsidRDefault="006108D2" w:rsidP="000951E1">
            <w:pPr>
              <w:spacing w:before="0"/>
              <w:jc w:val="center"/>
              <w:rPr>
                <w:rFonts w:cs="Arial"/>
                <w:spacing w:val="-4"/>
              </w:rPr>
            </w:pPr>
          </w:p>
        </w:tc>
        <w:tc>
          <w:tcPr>
            <w:tcW w:w="2976" w:type="dxa"/>
            <w:vAlign w:val="center"/>
          </w:tcPr>
          <w:p w14:paraId="0F4B08A1" w14:textId="77777777" w:rsidR="006108D2" w:rsidRPr="00E52DAD" w:rsidRDefault="006108D2" w:rsidP="000951E1">
            <w:pPr>
              <w:spacing w:before="0"/>
              <w:jc w:val="center"/>
              <w:rPr>
                <w:rFonts w:cs="Arial"/>
                <w:spacing w:val="-4"/>
                <w:sz w:val="22"/>
                <w:szCs w:val="22"/>
              </w:rPr>
            </w:pPr>
            <w:r w:rsidRPr="00E52DAD">
              <w:rPr>
                <w:spacing w:val="-4"/>
                <w:sz w:val="22"/>
              </w:rPr>
              <w:t>X</w:t>
            </w:r>
          </w:p>
        </w:tc>
      </w:tr>
    </w:tbl>
    <w:p w14:paraId="4EAA1969" w14:textId="77777777" w:rsidR="00570F16" w:rsidRPr="00DC6D3D" w:rsidRDefault="00570F16" w:rsidP="00F4239E">
      <w:pPr>
        <w:pStyle w:val="Heading4"/>
        <w:numPr>
          <w:ilvl w:val="0"/>
          <w:numId w:val="0"/>
        </w:numPr>
        <w:spacing w:before="480"/>
        <w:ind w:left="864" w:hanging="864"/>
        <w:rPr>
          <w:b/>
          <w:bCs w:val="0"/>
        </w:rPr>
      </w:pPr>
      <w:r>
        <w:rPr>
          <w:b/>
          <w:u w:val="none"/>
        </w:rPr>
        <w:lastRenderedPageBreak/>
        <w:t xml:space="preserve">6. </w:t>
      </w:r>
      <w:r>
        <w:rPr>
          <w:b/>
        </w:rPr>
        <w:t>Autres consultations</w:t>
      </w:r>
    </w:p>
    <w:p w14:paraId="6E9DA583" w14:textId="18B72C53" w:rsidR="00570F16" w:rsidRPr="00DC6D3D" w:rsidRDefault="00570F16" w:rsidP="00873C4F">
      <w:r>
        <w:t>Dans le cadre de la démarche de traitement du règlement, l</w:t>
      </w:r>
      <w:r w:rsidR="00DD2821">
        <w:t>’</w:t>
      </w:r>
      <w:r>
        <w:t>organisation des consommateurs et des utilisateurs (OCU) a également été consultée, afin d</w:t>
      </w:r>
      <w:r w:rsidR="00DD2821">
        <w:t>’</w:t>
      </w:r>
      <w:r>
        <w:t>obtenir son avis au regard de la défense des utilisateurs.</w:t>
      </w:r>
    </w:p>
    <w:p w14:paraId="30E380A9" w14:textId="31851F5E" w:rsidR="00777753" w:rsidRPr="00DC6D3D" w:rsidRDefault="00B63ED9" w:rsidP="00F4239E">
      <w:pPr>
        <w:keepNext/>
        <w:rPr>
          <w:b/>
          <w:bCs/>
          <w:u w:val="single"/>
        </w:rPr>
      </w:pPr>
      <w:r>
        <w:rPr>
          <w:b/>
        </w:rPr>
        <w:t xml:space="preserve">7. </w:t>
      </w:r>
      <w:r>
        <w:rPr>
          <w:b/>
          <w:u w:val="single"/>
        </w:rPr>
        <w:t>Pas de suspension des délais pendant l</w:t>
      </w:r>
      <w:r w:rsidR="00DD2821">
        <w:rPr>
          <w:b/>
          <w:u w:val="single"/>
        </w:rPr>
        <w:t>’</w:t>
      </w:r>
      <w:r>
        <w:rPr>
          <w:b/>
          <w:u w:val="single"/>
        </w:rPr>
        <w:t>état d</w:t>
      </w:r>
      <w:r w:rsidR="00DD2821">
        <w:rPr>
          <w:b/>
          <w:u w:val="single"/>
        </w:rPr>
        <w:t>’</w:t>
      </w:r>
      <w:r>
        <w:rPr>
          <w:b/>
          <w:u w:val="single"/>
        </w:rPr>
        <w:t>alerte</w:t>
      </w:r>
    </w:p>
    <w:p w14:paraId="22CBA6CB" w14:textId="2B27C6FB" w:rsidR="00777753" w:rsidRPr="00E52DAD" w:rsidRDefault="00777753" w:rsidP="00777753">
      <w:pPr>
        <w:rPr>
          <w:rFonts w:cs="Arial"/>
          <w:spacing w:val="-4"/>
          <w:szCs w:val="24"/>
        </w:rPr>
      </w:pPr>
      <w:r w:rsidRPr="00E52DAD">
        <w:rPr>
          <w:spacing w:val="-4"/>
        </w:rPr>
        <w:t>La troisième disposition additionnelle du décret royal n° 463/2020 du 14</w:t>
      </w:r>
      <w:r w:rsidR="00DD2821" w:rsidRPr="00E52DAD">
        <w:rPr>
          <w:spacing w:val="-4"/>
        </w:rPr>
        <w:t> </w:t>
      </w:r>
      <w:r w:rsidRPr="00E52DAD">
        <w:rPr>
          <w:spacing w:val="-4"/>
        </w:rPr>
        <w:t>mars</w:t>
      </w:r>
      <w:r w:rsidR="00DD2821" w:rsidRPr="00E52DAD">
        <w:rPr>
          <w:spacing w:val="-4"/>
        </w:rPr>
        <w:t> </w:t>
      </w:r>
      <w:r w:rsidRPr="00E52DAD">
        <w:rPr>
          <w:spacing w:val="-4"/>
        </w:rPr>
        <w:t>2020 déclarant l’état d’alerte pour la gestion de la situation de crise sanitaire provoquée par la COVID-19 prévoit la suspension des délais administratifs de traitement pour les entités du secteur public. Elle établit que ces derniers seront suspendus et reprendront leur cours une fois l’état d’urgence achevé.</w:t>
      </w:r>
    </w:p>
    <w:p w14:paraId="79CA7396" w14:textId="64FFCC2C" w:rsidR="00777753" w:rsidRPr="00DC6D3D" w:rsidRDefault="00777753" w:rsidP="00777753">
      <w:pPr>
        <w:rPr>
          <w:rFonts w:cs="Arial"/>
          <w:szCs w:val="24"/>
        </w:rPr>
      </w:pPr>
      <w:r>
        <w:t xml:space="preserve">Cependant, cette suspension ne s’applique pas au projet normatif actuel, </w:t>
      </w:r>
      <w:proofErr w:type="gramStart"/>
      <w:r>
        <w:t>de par</w:t>
      </w:r>
      <w:proofErr w:type="gramEnd"/>
      <w:r>
        <w:t xml:space="preserve"> sa vocation d</w:t>
      </w:r>
      <w:r w:rsidR="00DD2821">
        <w:t>’</w:t>
      </w:r>
      <w:r>
        <w:t>intérêt général. En effet, l</w:t>
      </w:r>
      <w:r w:rsidR="00DD2821">
        <w:t>’</w:t>
      </w:r>
      <w:r>
        <w:t>Espagne est le premier producteur et exportateur mondial d</w:t>
      </w:r>
      <w:r w:rsidR="00DD2821">
        <w:t>’</w:t>
      </w:r>
      <w:r>
        <w:t>huile d</w:t>
      </w:r>
      <w:r w:rsidR="00DD2821">
        <w:t>’</w:t>
      </w:r>
      <w:r>
        <w:t>olive, et la mise à jour proposée, qui vise à élaborer une norme spécifique à ce produit ainsi qu’à prévenir d</w:t>
      </w:r>
      <w:r w:rsidR="00DD2821">
        <w:t>’</w:t>
      </w:r>
      <w:r>
        <w:t>éventuelles pratiques frauduleuses, tout en assurant la conservation et la valorisation des huiles d</w:t>
      </w:r>
      <w:r w:rsidR="00DD2821">
        <w:t>’</w:t>
      </w:r>
      <w:r>
        <w:t>olive et de grignons d</w:t>
      </w:r>
      <w:r w:rsidR="00DD2821">
        <w:t>’</w:t>
      </w:r>
      <w:r>
        <w:t>olive, s’avère nécessaire. Le projet est essentiel pour promouvoir la qualité des aliments, pour améliorer la confiance des consommateurs, pour différencier les produits d</w:t>
      </w:r>
      <w:r w:rsidR="00DD2821">
        <w:t>’</w:t>
      </w:r>
      <w:r>
        <w:t>autres produits similaires et pour récupérer et renforcer le marché. La protection de la qualité et de l</w:t>
      </w:r>
      <w:r w:rsidR="00DD2821">
        <w:t>’</w:t>
      </w:r>
      <w:r>
        <w:t>authenticité des huiles d</w:t>
      </w:r>
      <w:r w:rsidR="00DD2821">
        <w:t>’</w:t>
      </w:r>
      <w:r>
        <w:t>olive est, de fait, l</w:t>
      </w:r>
      <w:r w:rsidR="00DD2821">
        <w:t>’</w:t>
      </w:r>
      <w:r>
        <w:t>un des outils essentiels disponibles pour faire face à la crise tarifaire dans laquelle ce secteur est actuellement plongé.</w:t>
      </w:r>
    </w:p>
    <w:p w14:paraId="66C14A62" w14:textId="4558F612" w:rsidR="00777753" w:rsidRPr="00DC6D3D" w:rsidRDefault="00777753" w:rsidP="00777753">
      <w:pPr>
        <w:spacing w:after="240"/>
        <w:rPr>
          <w:rFonts w:cs="Arial"/>
          <w:szCs w:val="24"/>
        </w:rPr>
      </w:pPr>
      <w:r>
        <w:t>Compte tenu des éléments exposés, et en vertu de l</w:t>
      </w:r>
      <w:r w:rsidR="00DD2821">
        <w:t>’</w:t>
      </w:r>
      <w:r>
        <w:t>article</w:t>
      </w:r>
      <w:r w:rsidR="00066C2B">
        <w:t> </w:t>
      </w:r>
      <w:r>
        <w:t>4 de la troisième disposition additionnelle du décret royal n° 463/2020 du 14</w:t>
      </w:r>
      <w:r w:rsidR="00DD2821">
        <w:t> </w:t>
      </w:r>
      <w:r>
        <w:t>mars</w:t>
      </w:r>
      <w:r w:rsidR="00DD2821">
        <w:t> </w:t>
      </w:r>
      <w:r>
        <w:t>2020, le secrétariat général à l’agriculture et à l</w:t>
      </w:r>
      <w:r w:rsidR="00DD2821">
        <w:t>’</w:t>
      </w:r>
      <w:r>
        <w:t>alimentation a accepté, par résolution du 27</w:t>
      </w:r>
      <w:r w:rsidR="00DD2821">
        <w:t> </w:t>
      </w:r>
      <w:r>
        <w:t>avril</w:t>
      </w:r>
      <w:r w:rsidR="00DD2821">
        <w:t> </w:t>
      </w:r>
      <w:r>
        <w:t>2020, la non-suspension des délais prévus pour le traitement du présent projet de décret royal.</w:t>
      </w:r>
    </w:p>
    <w:p w14:paraId="204F8C69" w14:textId="77777777" w:rsidR="00EF6DD4" w:rsidRPr="00DC6D3D" w:rsidRDefault="00B63ED9" w:rsidP="00F4239E">
      <w:pPr>
        <w:keepNext/>
        <w:spacing w:after="240"/>
        <w:rPr>
          <w:b/>
          <w:u w:val="single"/>
        </w:rPr>
      </w:pPr>
      <w:r>
        <w:rPr>
          <w:b/>
          <w:u w:val="single"/>
        </w:rPr>
        <w:t>8. Deuxième démarche d’audience et d’information publiques</w:t>
      </w:r>
    </w:p>
    <w:p w14:paraId="26CA66D2" w14:textId="756E5AFA" w:rsidR="00EF6DD4" w:rsidRPr="00DC6D3D" w:rsidRDefault="00EF6DD4" w:rsidP="00EF6DD4">
      <w:pPr>
        <w:spacing w:after="240"/>
        <w:rPr>
          <w:rFonts w:cs="Arial"/>
          <w:szCs w:val="24"/>
        </w:rPr>
      </w:pPr>
      <w:r>
        <w:t>À la suite des observations reçues lors de la démarche d’audience et d</w:t>
      </w:r>
      <w:r w:rsidR="00DD2821">
        <w:t>’</w:t>
      </w:r>
      <w:r>
        <w:t>information publiques, et afin d</w:t>
      </w:r>
      <w:r w:rsidR="00DD2821">
        <w:t>’</w:t>
      </w:r>
      <w:r>
        <w:t>intégrer des solutions permettant de faire face à la grave crise tarifaire que traverse le secteur, des modifications ont été apportées au projet de décret royal. L’importance de ces modifications a justifié la tenue d</w:t>
      </w:r>
      <w:r w:rsidR="00DD2821">
        <w:t>’</w:t>
      </w:r>
      <w:r>
        <w:t>une deuxième démarche d</w:t>
      </w:r>
      <w:r w:rsidR="00DD2821">
        <w:t>’</w:t>
      </w:r>
      <w:r>
        <w:t>audience et d</w:t>
      </w:r>
      <w:r w:rsidR="00DD2821">
        <w:t>’</w:t>
      </w:r>
      <w:r>
        <w:t>information publiques, afin de recueillir, conformément à l</w:t>
      </w:r>
      <w:r w:rsidR="00DD2821">
        <w:t>’</w:t>
      </w:r>
      <w:r>
        <w:t>article</w:t>
      </w:r>
      <w:r w:rsidR="00066C2B">
        <w:t> </w:t>
      </w:r>
      <w:r>
        <w:t>26, paragraphe</w:t>
      </w:r>
      <w:r w:rsidR="00066C2B">
        <w:t> </w:t>
      </w:r>
      <w:r>
        <w:t>6, de la loi n° 50/1997 du 27</w:t>
      </w:r>
      <w:r w:rsidR="00DD2821">
        <w:t> </w:t>
      </w:r>
      <w:r>
        <w:t>novembre</w:t>
      </w:r>
      <w:r w:rsidR="00DD2821">
        <w:t> </w:t>
      </w:r>
      <w:r>
        <w:t>1997 sur le gouvernement, les observations des citoyens concernés et des personnes dont les droits et intérêts légitimes sont susceptibles d’être affectés par lesdites modifications, ainsi que d</w:t>
      </w:r>
      <w:r w:rsidR="00DD2821">
        <w:t>’</w:t>
      </w:r>
      <w:r>
        <w:t>obtenir des contributions supplémentaires de la part d</w:t>
      </w:r>
      <w:r w:rsidR="00DD2821">
        <w:t>’</w:t>
      </w:r>
      <w:r>
        <w:t>autres personnes et entités. Conformément aux dispositions de l</w:t>
      </w:r>
      <w:r w:rsidR="00DD2821">
        <w:t>’</w:t>
      </w:r>
      <w:r>
        <w:t>article précité, le délai pour émettre des observations a été fixé à 7 jours ouvrés, en raison de la nécessité de respecter les délais de traitement préalablement déterminés, et compte tenu du fait que les nouvelles mesures qui motivent cette deuxième démarche d’audience et d’information publiques concernent uniquement deux articles, à savoir l</w:t>
      </w:r>
      <w:r w:rsidR="00DD2821">
        <w:t>’</w:t>
      </w:r>
      <w:r>
        <w:t>obligation de notifier les mouvements d</w:t>
      </w:r>
      <w:r w:rsidR="00DD2821">
        <w:t>’</w:t>
      </w:r>
      <w:r>
        <w:t>huile d</w:t>
      </w:r>
      <w:r w:rsidR="00DD2821">
        <w:t>’</w:t>
      </w:r>
      <w:r>
        <w:t>olive via un système informatisé mis en place à cet effet par le ministère de l</w:t>
      </w:r>
      <w:r w:rsidR="00DD2821">
        <w:t>’</w:t>
      </w:r>
      <w:r>
        <w:t>agriculture, de la pêche et de l</w:t>
      </w:r>
      <w:r w:rsidR="00DD2821">
        <w:t>’</w:t>
      </w:r>
      <w:r>
        <w:t>alimentation, et l</w:t>
      </w:r>
      <w:r w:rsidR="00DD2821">
        <w:t>’</w:t>
      </w:r>
      <w:r>
        <w:t>interdiction de l</w:t>
      </w:r>
      <w:r w:rsidR="00DD2821">
        <w:t>’</w:t>
      </w:r>
      <w:r>
        <w:t>utilisation de plastique comme matériau d</w:t>
      </w:r>
      <w:r w:rsidR="00DD2821">
        <w:t>’</w:t>
      </w:r>
      <w:r>
        <w:t>emballage pour l</w:t>
      </w:r>
      <w:r w:rsidR="00DD2821">
        <w:t>’</w:t>
      </w:r>
      <w:r>
        <w:t>huile d</w:t>
      </w:r>
      <w:r w:rsidR="00DD2821">
        <w:t>’</w:t>
      </w:r>
      <w:r>
        <w:t>olive vierge extra destinée aux consommateurs finaux.</w:t>
      </w:r>
    </w:p>
    <w:p w14:paraId="3DD7557D" w14:textId="641F2EE1" w:rsidR="00EF6DD4" w:rsidRPr="00DC6D3D" w:rsidRDefault="00EF6DD4" w:rsidP="00EF6DD4">
      <w:r>
        <w:lastRenderedPageBreak/>
        <w:t>Cette deuxième démarche d’audience et d’information publiques a été ouverte aux commentaires sur le site internet du ministère de l</w:t>
      </w:r>
      <w:r w:rsidR="00DD2821">
        <w:t>’</w:t>
      </w:r>
      <w:r>
        <w:t>agriculture, de la pêche, de l</w:t>
      </w:r>
      <w:r w:rsidR="00DD2821">
        <w:t>’</w:t>
      </w:r>
      <w:r>
        <w:t>alimentation et de l</w:t>
      </w:r>
      <w:r w:rsidR="00DD2821">
        <w:t>’</w:t>
      </w:r>
      <w:r>
        <w:t>environnement du 19</w:t>
      </w:r>
      <w:r w:rsidR="00DD2821">
        <w:t> </w:t>
      </w:r>
      <w:r>
        <w:t>juin</w:t>
      </w:r>
      <w:r w:rsidR="00DD2821">
        <w:t> </w:t>
      </w:r>
      <w:r>
        <w:t>2020 au 30</w:t>
      </w:r>
      <w:r w:rsidR="00DD2821">
        <w:t> </w:t>
      </w:r>
      <w:r>
        <w:t>juin</w:t>
      </w:r>
      <w:r w:rsidR="00DD2821">
        <w:t> </w:t>
      </w:r>
      <w:r>
        <w:t>2020 inclus.</w:t>
      </w:r>
    </w:p>
    <w:p w14:paraId="08F77607" w14:textId="0132268F" w:rsidR="00C37323" w:rsidRPr="00DC6D3D" w:rsidRDefault="00C37323" w:rsidP="00F4239E">
      <w:pPr>
        <w:keepNext/>
      </w:pPr>
      <w:r>
        <w:t>Les personnes et entités ayant émis des observations dans le cadre de cette démarche d’audience et d’information publiques via le site internet du ministère de l</w:t>
      </w:r>
      <w:r w:rsidR="00DD2821">
        <w:t>’</w:t>
      </w:r>
      <w:r>
        <w:t>agriculture, de la pêche et de l’alimentation sont énumérées ci-</w:t>
      </w:r>
      <w:proofErr w:type="gramStart"/>
      <w:r>
        <w:t>dessous:</w:t>
      </w:r>
      <w:proofErr w:type="gramEnd"/>
    </w:p>
    <w:p w14:paraId="1877A750" w14:textId="77777777" w:rsidR="00C37323" w:rsidRPr="00DC6D3D" w:rsidRDefault="00C37323" w:rsidP="00C37323">
      <w:pPr>
        <w:pStyle w:val="ListParagraph"/>
        <w:numPr>
          <w:ilvl w:val="0"/>
          <w:numId w:val="26"/>
        </w:numPr>
      </w:pPr>
      <w:r>
        <w:t>FECOAM.</w:t>
      </w:r>
    </w:p>
    <w:p w14:paraId="415A6774" w14:textId="77777777" w:rsidR="00C37323" w:rsidRPr="00DC6D3D" w:rsidRDefault="00C37323" w:rsidP="00C37323">
      <w:pPr>
        <w:pStyle w:val="ListParagraph"/>
        <w:numPr>
          <w:ilvl w:val="0"/>
          <w:numId w:val="26"/>
        </w:numPr>
      </w:pPr>
      <w:r>
        <w:t>AEVIN.</w:t>
      </w:r>
    </w:p>
    <w:p w14:paraId="443F9A3E" w14:textId="77777777" w:rsidR="00C37323" w:rsidRPr="00DC6D3D" w:rsidRDefault="00C37323" w:rsidP="00C37323">
      <w:pPr>
        <w:pStyle w:val="ListParagraph"/>
        <w:numPr>
          <w:ilvl w:val="0"/>
          <w:numId w:val="26"/>
        </w:numPr>
      </w:pPr>
      <w:r>
        <w:t>ASEMESA.</w:t>
      </w:r>
    </w:p>
    <w:p w14:paraId="570D12D7" w14:textId="77777777" w:rsidR="00C37323" w:rsidRPr="00DC6D3D" w:rsidRDefault="00C37323" w:rsidP="00C37323">
      <w:pPr>
        <w:pStyle w:val="ListParagraph"/>
        <w:numPr>
          <w:ilvl w:val="0"/>
          <w:numId w:val="26"/>
        </w:numPr>
      </w:pPr>
      <w:proofErr w:type="spellStart"/>
      <w:r>
        <w:t>Landaluz</w:t>
      </w:r>
      <w:proofErr w:type="spellEnd"/>
      <w:r>
        <w:t>.</w:t>
      </w:r>
    </w:p>
    <w:p w14:paraId="2B98A589" w14:textId="77777777" w:rsidR="00C37323" w:rsidRPr="00DC6D3D" w:rsidRDefault="00C37323" w:rsidP="00C37323">
      <w:pPr>
        <w:pStyle w:val="ListParagraph"/>
        <w:numPr>
          <w:ilvl w:val="0"/>
          <w:numId w:val="26"/>
        </w:numPr>
      </w:pPr>
      <w:r>
        <w:t>DO Oli de Mallorca.</w:t>
      </w:r>
    </w:p>
    <w:p w14:paraId="1A135409" w14:textId="77777777" w:rsidR="00C37323" w:rsidRPr="00DC6D3D" w:rsidRDefault="00C37323" w:rsidP="00C37323">
      <w:pPr>
        <w:pStyle w:val="ListParagraph"/>
        <w:numPr>
          <w:ilvl w:val="0"/>
          <w:numId w:val="26"/>
        </w:numPr>
      </w:pPr>
      <w:proofErr w:type="spellStart"/>
      <w:r>
        <w:t>Aceites</w:t>
      </w:r>
      <w:proofErr w:type="spellEnd"/>
      <w:r>
        <w:t xml:space="preserve"> San-Lau S.L. et </w:t>
      </w:r>
      <w:proofErr w:type="spellStart"/>
      <w:r>
        <w:t>Aceites</w:t>
      </w:r>
      <w:proofErr w:type="spellEnd"/>
      <w:r>
        <w:t xml:space="preserve"> </w:t>
      </w:r>
      <w:proofErr w:type="spellStart"/>
      <w:r>
        <w:t>Triana</w:t>
      </w:r>
      <w:proofErr w:type="spellEnd"/>
      <w:r>
        <w:t xml:space="preserve"> S.L.</w:t>
      </w:r>
    </w:p>
    <w:p w14:paraId="728B99E2" w14:textId="77777777" w:rsidR="00C37323" w:rsidRPr="00DC6D3D" w:rsidRDefault="00C37323" w:rsidP="00C37323">
      <w:pPr>
        <w:pStyle w:val="ListParagraph"/>
        <w:numPr>
          <w:ilvl w:val="0"/>
          <w:numId w:val="26"/>
        </w:numPr>
      </w:pPr>
      <w:r>
        <w:t xml:space="preserve">Association </w:t>
      </w:r>
      <w:proofErr w:type="spellStart"/>
      <w:proofErr w:type="gramStart"/>
      <w:r>
        <w:t>QvExtra</w:t>
      </w:r>
      <w:proofErr w:type="spellEnd"/>
      <w:r>
        <w:t>!</w:t>
      </w:r>
      <w:proofErr w:type="gramEnd"/>
    </w:p>
    <w:p w14:paraId="709B7147" w14:textId="2C6A5767" w:rsidR="008E6FB5" w:rsidRPr="00E52DAD" w:rsidRDefault="008E6FB5" w:rsidP="00C37323">
      <w:pPr>
        <w:pStyle w:val="ListParagraph"/>
        <w:numPr>
          <w:ilvl w:val="0"/>
          <w:numId w:val="26"/>
        </w:numPr>
        <w:rPr>
          <w:spacing w:val="-6"/>
        </w:rPr>
      </w:pPr>
      <w:r w:rsidRPr="00E52DAD">
        <w:rPr>
          <w:spacing w:val="-6"/>
        </w:rPr>
        <w:t>379 observations émises par des consommateurs et des fabricants contre l</w:t>
      </w:r>
      <w:r w:rsidR="00DD2821" w:rsidRPr="00E52DAD">
        <w:rPr>
          <w:spacing w:val="-6"/>
        </w:rPr>
        <w:t>’</w:t>
      </w:r>
      <w:r w:rsidRPr="00E52DAD">
        <w:rPr>
          <w:spacing w:val="-6"/>
        </w:rPr>
        <w:t>interdiction du plastique pour le conditionnement de l</w:t>
      </w:r>
      <w:r w:rsidR="00DD2821" w:rsidRPr="00E52DAD">
        <w:rPr>
          <w:spacing w:val="-6"/>
        </w:rPr>
        <w:t>’</w:t>
      </w:r>
      <w:r w:rsidRPr="00E52DAD">
        <w:rPr>
          <w:spacing w:val="-6"/>
        </w:rPr>
        <w:t>huile d</w:t>
      </w:r>
      <w:r w:rsidR="00DD2821" w:rsidRPr="00E52DAD">
        <w:rPr>
          <w:spacing w:val="-6"/>
        </w:rPr>
        <w:t>’</w:t>
      </w:r>
      <w:r w:rsidRPr="00E52DAD">
        <w:rPr>
          <w:spacing w:val="-6"/>
        </w:rPr>
        <w:t>olive vierge extra.</w:t>
      </w:r>
    </w:p>
    <w:p w14:paraId="1655AC81" w14:textId="712352B3" w:rsidR="008662EE" w:rsidRPr="00DC6D3D" w:rsidRDefault="008662EE" w:rsidP="008662EE">
      <w:r>
        <w:t>Dans le cadre de cette deuxième démarche d’audience et d’information publiques, nous avons étudié directement les contributions des organisations ou des associations officielles regroupant ou représentant les personnes dont les droits ou les intérêts légitimes sont susceptibles d’être affectés par la norme, et dont les activités sont directement liées à l</w:t>
      </w:r>
      <w:r w:rsidR="00DD2821">
        <w:t>’</w:t>
      </w:r>
      <w:r>
        <w:t>objet du règlement.</w:t>
      </w:r>
    </w:p>
    <w:p w14:paraId="6FC78024" w14:textId="77777777" w:rsidR="008662EE" w:rsidRPr="00DC6D3D" w:rsidRDefault="008662EE" w:rsidP="00F4239E">
      <w:pPr>
        <w:keepNext/>
      </w:pPr>
      <w:r>
        <w:t>Les organisations du secteur ayant émis des observations en réponse à cette consultation sont énumérées ci-</w:t>
      </w:r>
      <w:proofErr w:type="gramStart"/>
      <w:r>
        <w:t>dessous:</w:t>
      </w:r>
      <w:proofErr w:type="gramEnd"/>
    </w:p>
    <w:p w14:paraId="538BD685" w14:textId="77777777" w:rsidR="00124D4E" w:rsidRPr="00DC6D3D" w:rsidRDefault="00124D4E" w:rsidP="00124D4E">
      <w:pPr>
        <w:pStyle w:val="ListParagraph"/>
        <w:numPr>
          <w:ilvl w:val="0"/>
          <w:numId w:val="26"/>
        </w:numPr>
      </w:pPr>
      <w:r>
        <w:t>ANEO-INFAOLIVA-ANIERAC-ASOLIVA.</w:t>
      </w:r>
    </w:p>
    <w:p w14:paraId="36B18675" w14:textId="77777777" w:rsidR="00124D4E" w:rsidRPr="00DC6D3D" w:rsidRDefault="00124D4E" w:rsidP="008662EE">
      <w:pPr>
        <w:pStyle w:val="ListParagraph"/>
        <w:numPr>
          <w:ilvl w:val="0"/>
          <w:numId w:val="26"/>
        </w:numPr>
      </w:pPr>
      <w:r>
        <w:t>FIAB.</w:t>
      </w:r>
    </w:p>
    <w:p w14:paraId="537FFDAF" w14:textId="755052C4" w:rsidR="00124D4E" w:rsidRPr="00DC6D3D" w:rsidRDefault="00124D4E" w:rsidP="00124D4E">
      <w:pPr>
        <w:pStyle w:val="ListParagraph"/>
        <w:numPr>
          <w:ilvl w:val="0"/>
          <w:numId w:val="26"/>
        </w:numPr>
      </w:pPr>
      <w:r>
        <w:t>Coopératives agroalimentaires d</w:t>
      </w:r>
      <w:r w:rsidR="00DD2821">
        <w:t>’</w:t>
      </w:r>
      <w:r>
        <w:t>Espagne.</w:t>
      </w:r>
    </w:p>
    <w:p w14:paraId="703411D7" w14:textId="77777777" w:rsidR="00124D4E" w:rsidRPr="00DC6D3D" w:rsidRDefault="00124D4E" w:rsidP="00124D4E">
      <w:pPr>
        <w:pStyle w:val="ListParagraph"/>
        <w:numPr>
          <w:ilvl w:val="0"/>
          <w:numId w:val="26"/>
        </w:numPr>
      </w:pPr>
      <w:proofErr w:type="spellStart"/>
      <w:r>
        <w:t>Almazaras</w:t>
      </w:r>
      <w:proofErr w:type="spellEnd"/>
      <w:r>
        <w:t xml:space="preserve"> </w:t>
      </w:r>
      <w:proofErr w:type="spellStart"/>
      <w:r>
        <w:t>Federadas</w:t>
      </w:r>
      <w:proofErr w:type="spellEnd"/>
      <w:r>
        <w:t xml:space="preserve"> de España.</w:t>
      </w:r>
    </w:p>
    <w:p w14:paraId="189D5B32" w14:textId="4BF7EA0E" w:rsidR="00124D4E" w:rsidRPr="00DC6D3D" w:rsidRDefault="00124D4E" w:rsidP="00124D4E">
      <w:pPr>
        <w:pStyle w:val="ListParagraph"/>
        <w:numPr>
          <w:ilvl w:val="0"/>
          <w:numId w:val="26"/>
        </w:numPr>
      </w:pPr>
      <w:r>
        <w:t>Association sectorielle de l</w:t>
      </w:r>
      <w:r w:rsidR="00DD2821">
        <w:t>’</w:t>
      </w:r>
      <w:r>
        <w:t>huile d</w:t>
      </w:r>
      <w:r w:rsidR="00DD2821">
        <w:t>’</w:t>
      </w:r>
      <w:r>
        <w:t>olive vierge avec appellation d</w:t>
      </w:r>
      <w:r w:rsidR="00DD2821">
        <w:t>’</w:t>
      </w:r>
      <w:r>
        <w:t>origine.</w:t>
      </w:r>
    </w:p>
    <w:p w14:paraId="67C04AD4" w14:textId="77777777" w:rsidR="00124D4E" w:rsidRPr="00DC6D3D" w:rsidRDefault="00124D4E" w:rsidP="008662EE">
      <w:pPr>
        <w:pStyle w:val="ListParagraph"/>
        <w:numPr>
          <w:ilvl w:val="0"/>
          <w:numId w:val="26"/>
        </w:numPr>
      </w:pPr>
      <w:r>
        <w:t xml:space="preserve">Union des syndicats et La </w:t>
      </w:r>
      <w:proofErr w:type="spellStart"/>
      <w:r>
        <w:t>Unió</w:t>
      </w:r>
      <w:proofErr w:type="spellEnd"/>
      <w:r>
        <w:t xml:space="preserve"> de </w:t>
      </w:r>
      <w:proofErr w:type="spellStart"/>
      <w:r>
        <w:t>Llauradors</w:t>
      </w:r>
      <w:proofErr w:type="spellEnd"/>
      <w:r>
        <w:t>.</w:t>
      </w:r>
    </w:p>
    <w:p w14:paraId="570393A9" w14:textId="77777777" w:rsidR="00124D4E" w:rsidRPr="00DC6D3D" w:rsidRDefault="00124D4E" w:rsidP="00124D4E">
      <w:pPr>
        <w:pStyle w:val="ListParagraph"/>
        <w:numPr>
          <w:ilvl w:val="0"/>
          <w:numId w:val="26"/>
        </w:numPr>
      </w:pPr>
      <w:r>
        <w:t>UPA.</w:t>
      </w:r>
    </w:p>
    <w:p w14:paraId="3F44A2C5" w14:textId="77777777" w:rsidR="00124D4E" w:rsidRPr="00DC6D3D" w:rsidRDefault="00124D4E" w:rsidP="00124D4E">
      <w:pPr>
        <w:pStyle w:val="ListParagraph"/>
        <w:numPr>
          <w:ilvl w:val="0"/>
          <w:numId w:val="26"/>
        </w:numPr>
      </w:pPr>
      <w:r>
        <w:t>COAG.</w:t>
      </w:r>
    </w:p>
    <w:p w14:paraId="47253A61" w14:textId="77777777" w:rsidR="00124D4E" w:rsidRPr="00DC6D3D" w:rsidRDefault="00124D4E" w:rsidP="008662EE">
      <w:pPr>
        <w:pStyle w:val="ListParagraph"/>
        <w:numPr>
          <w:ilvl w:val="0"/>
          <w:numId w:val="26"/>
        </w:numPr>
      </w:pPr>
      <w:r>
        <w:t>ASEDAS.</w:t>
      </w:r>
    </w:p>
    <w:p w14:paraId="7A3D7AC5" w14:textId="77777777" w:rsidR="00124D4E" w:rsidRPr="00DC6D3D" w:rsidRDefault="00124D4E" w:rsidP="008662EE">
      <w:pPr>
        <w:pStyle w:val="ListParagraph"/>
        <w:numPr>
          <w:ilvl w:val="0"/>
          <w:numId w:val="26"/>
        </w:numPr>
      </w:pPr>
      <w:r>
        <w:t>ASAJA.</w:t>
      </w:r>
    </w:p>
    <w:p w14:paraId="239BC81C" w14:textId="2CDAFE39" w:rsidR="00EE5284" w:rsidRPr="00DC6D3D" w:rsidRDefault="00DB2824" w:rsidP="00EE5284">
      <w:r>
        <w:t>La deuxième démarche d’audience et d’information publique nous a également amenés à consulter les communautés autonomes afin d</w:t>
      </w:r>
      <w:r w:rsidR="00DD2821">
        <w:t>’</w:t>
      </w:r>
      <w:r>
        <w:t>obtenir leur avis sur le texte du projet de décret royal, conformément à l</w:t>
      </w:r>
      <w:r w:rsidR="00DD2821">
        <w:t>’</w:t>
      </w:r>
      <w:r>
        <w:t>article</w:t>
      </w:r>
      <w:r w:rsidR="00066C2B">
        <w:t> </w:t>
      </w:r>
      <w:r>
        <w:t>3, paragraphe</w:t>
      </w:r>
      <w:r w:rsidR="00066C2B">
        <w:t> </w:t>
      </w:r>
      <w:r>
        <w:t>1, point k), de la loi° 40/2015 du 1</w:t>
      </w:r>
      <w:r>
        <w:rPr>
          <w:vertAlign w:val="superscript"/>
        </w:rPr>
        <w:t>er</w:t>
      </w:r>
      <w:r w:rsidR="00DD2821">
        <w:t> </w:t>
      </w:r>
      <w:r>
        <w:t>octobre</w:t>
      </w:r>
      <w:r w:rsidR="00DD2821">
        <w:t> </w:t>
      </w:r>
      <w:r>
        <w:t xml:space="preserve">2015 sur le régime juridique </w:t>
      </w:r>
      <w:r w:rsidR="00DD2821">
        <w:t>du</w:t>
      </w:r>
      <w:r>
        <w:t xml:space="preserve"> secteur public et à l</w:t>
      </w:r>
      <w:r w:rsidR="00DD2821">
        <w:t>’</w:t>
      </w:r>
      <w:r>
        <w:t>article</w:t>
      </w:r>
      <w:r w:rsidR="00066C2B">
        <w:t> </w:t>
      </w:r>
      <w:r>
        <w:t>26 de la loi n° 50/1997 du 27</w:t>
      </w:r>
      <w:r w:rsidR="00DD2821">
        <w:t> </w:t>
      </w:r>
      <w:r>
        <w:t>novembre</w:t>
      </w:r>
      <w:r w:rsidR="00DD2821">
        <w:t> </w:t>
      </w:r>
      <w:r>
        <w:t>1997 sur le gouvernement.</w:t>
      </w:r>
    </w:p>
    <w:p w14:paraId="2A58AD6B" w14:textId="014E670D" w:rsidR="00EE5284" w:rsidRPr="00DC6D3D" w:rsidRDefault="00EE5284" w:rsidP="00E52DAD">
      <w:pPr>
        <w:pStyle w:val="ListParagraph"/>
        <w:keepNext/>
        <w:keepLines/>
        <w:ind w:left="0"/>
      </w:pPr>
      <w:r>
        <w:lastRenderedPageBreak/>
        <w:t xml:space="preserve">Le </w:t>
      </w:r>
      <w:r w:rsidRPr="00DC6D3D">
        <w:fldChar w:fldCharType="begin"/>
      </w:r>
      <w:r w:rsidRPr="00DC6D3D">
        <w:instrText xml:space="preserve"> REF _Ref45197667 \h </w:instrText>
      </w:r>
      <w:r w:rsidR="00BE308A" w:rsidRPr="00DC6D3D">
        <w:instrText xml:space="preserve"> \* MERGEFORMAT </w:instrText>
      </w:r>
      <w:r w:rsidRPr="00DC6D3D">
        <w:fldChar w:fldCharType="separate"/>
      </w:r>
      <w:r w:rsidR="00DD2821" w:rsidRPr="00DD2821">
        <w:t>Tableau</w:t>
      </w:r>
      <w:r w:rsidR="00066C2B">
        <w:t> </w:t>
      </w:r>
      <w:r w:rsidR="00DD2821" w:rsidRPr="00DD2821">
        <w:t>3</w:t>
      </w:r>
      <w:r w:rsidRPr="00DC6D3D">
        <w:fldChar w:fldCharType="end"/>
      </w:r>
      <w:r>
        <w:t xml:space="preserve"> résume les observations reçues de la part des communautés autonomes.</w:t>
      </w:r>
    </w:p>
    <w:p w14:paraId="2701B425" w14:textId="77777777" w:rsidR="00DB2824" w:rsidRPr="00DC6D3D" w:rsidRDefault="00DB2824" w:rsidP="00E52DAD">
      <w:pPr>
        <w:keepNext/>
        <w:keepLines/>
        <w:rPr>
          <w:lang w:val="es-ES"/>
        </w:rPr>
      </w:pPr>
    </w:p>
    <w:p w14:paraId="0768B3DB" w14:textId="5D4007BA" w:rsidR="00EE5284" w:rsidRPr="00DC6D3D" w:rsidRDefault="00EE5284" w:rsidP="00F4239E">
      <w:pPr>
        <w:pStyle w:val="Caption"/>
        <w:keepNext/>
        <w:spacing w:after="0"/>
        <w:jc w:val="center"/>
        <w:rPr>
          <w:b/>
          <w:color w:val="auto"/>
        </w:rPr>
      </w:pPr>
      <w:bookmarkStart w:id="2" w:name="_Ref45197667"/>
      <w:r>
        <w:rPr>
          <w:b/>
          <w:i w:val="0"/>
          <w:color w:val="auto"/>
        </w:rPr>
        <w:t>Tableau</w:t>
      </w:r>
      <w:r w:rsidR="00066C2B">
        <w:rPr>
          <w:b/>
          <w:i w:val="0"/>
          <w:color w:val="auto"/>
        </w:rPr>
        <w:t> </w:t>
      </w:r>
      <w:r w:rsidRPr="00DC6D3D">
        <w:rPr>
          <w:b/>
          <w:i w:val="0"/>
          <w:color w:val="auto"/>
        </w:rPr>
        <w:fldChar w:fldCharType="begin"/>
      </w:r>
      <w:r w:rsidRPr="00DC6D3D">
        <w:rPr>
          <w:b/>
          <w:i w:val="0"/>
          <w:color w:val="auto"/>
        </w:rPr>
        <w:instrText xml:space="preserve"> SEQ Tabla \* ARABIC </w:instrText>
      </w:r>
      <w:r w:rsidRPr="00DC6D3D">
        <w:rPr>
          <w:b/>
          <w:i w:val="0"/>
          <w:color w:val="auto"/>
        </w:rPr>
        <w:fldChar w:fldCharType="separate"/>
      </w:r>
      <w:r w:rsidR="00DD2821">
        <w:rPr>
          <w:b/>
          <w:i w:val="0"/>
          <w:noProof/>
          <w:color w:val="auto"/>
        </w:rPr>
        <w:t>3</w:t>
      </w:r>
      <w:r w:rsidRPr="00DC6D3D">
        <w:rPr>
          <w:b/>
          <w:i w:val="0"/>
          <w:color w:val="auto"/>
        </w:rPr>
        <w:fldChar w:fldCharType="end"/>
      </w:r>
      <w:bookmarkEnd w:id="2"/>
      <w:r>
        <w:rPr>
          <w:b/>
          <w:i w:val="0"/>
          <w:color w:val="auto"/>
        </w:rPr>
        <w:t>: Tableau récapitulatif des observations émises par les communautés autonomes</w:t>
      </w:r>
    </w:p>
    <w:tbl>
      <w:tblPr>
        <w:tblW w:w="88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3432"/>
        <w:gridCol w:w="2410"/>
        <w:gridCol w:w="2976"/>
      </w:tblGrid>
      <w:tr w:rsidR="00567E99" w:rsidRPr="00DC6D3D" w14:paraId="7B2BFEF1" w14:textId="77777777" w:rsidTr="00DC6D3D">
        <w:tc>
          <w:tcPr>
            <w:tcW w:w="3432" w:type="dxa"/>
            <w:vAlign w:val="center"/>
          </w:tcPr>
          <w:p w14:paraId="56C885D0" w14:textId="77777777" w:rsidR="00EE5284" w:rsidRPr="00DC6D3D" w:rsidRDefault="00EE5284" w:rsidP="00E52DAD">
            <w:pPr>
              <w:keepNext/>
              <w:keepLines/>
              <w:spacing w:before="0"/>
              <w:jc w:val="center"/>
              <w:rPr>
                <w:rFonts w:cs="Arial"/>
                <w:b/>
                <w:sz w:val="22"/>
                <w:szCs w:val="22"/>
              </w:rPr>
            </w:pPr>
            <w:r>
              <w:rPr>
                <w:b/>
                <w:sz w:val="22"/>
              </w:rPr>
              <w:t>Communauté autonome</w:t>
            </w:r>
          </w:p>
        </w:tc>
        <w:tc>
          <w:tcPr>
            <w:tcW w:w="2410" w:type="dxa"/>
            <w:vAlign w:val="center"/>
          </w:tcPr>
          <w:p w14:paraId="65C271AC" w14:textId="77777777" w:rsidR="00EE5284" w:rsidRPr="00DC6D3D" w:rsidRDefault="00EE5284" w:rsidP="00E52DAD">
            <w:pPr>
              <w:keepNext/>
              <w:keepLines/>
              <w:spacing w:before="0"/>
              <w:jc w:val="center"/>
              <w:rPr>
                <w:rFonts w:cs="Arial"/>
                <w:b/>
                <w:sz w:val="22"/>
                <w:szCs w:val="22"/>
              </w:rPr>
            </w:pPr>
            <w:r>
              <w:rPr>
                <w:b/>
                <w:sz w:val="22"/>
              </w:rPr>
              <w:t>Aucune observation (A/O)</w:t>
            </w:r>
          </w:p>
        </w:tc>
        <w:tc>
          <w:tcPr>
            <w:tcW w:w="2976" w:type="dxa"/>
            <w:vAlign w:val="center"/>
          </w:tcPr>
          <w:p w14:paraId="6F8FD003" w14:textId="77777777" w:rsidR="00EE5284" w:rsidRPr="00DC6D3D" w:rsidRDefault="00EE5284" w:rsidP="00E52DAD">
            <w:pPr>
              <w:keepNext/>
              <w:keepLines/>
              <w:spacing w:before="0"/>
              <w:jc w:val="center"/>
              <w:rPr>
                <w:rFonts w:cs="Arial"/>
                <w:b/>
                <w:sz w:val="22"/>
                <w:szCs w:val="22"/>
              </w:rPr>
            </w:pPr>
            <w:r>
              <w:rPr>
                <w:b/>
                <w:sz w:val="22"/>
              </w:rPr>
              <w:t>Observations publiées</w:t>
            </w:r>
          </w:p>
        </w:tc>
      </w:tr>
      <w:tr w:rsidR="00567E99" w:rsidRPr="00DC6D3D" w14:paraId="6C981A9E" w14:textId="77777777" w:rsidTr="00DC6D3D">
        <w:tc>
          <w:tcPr>
            <w:tcW w:w="3432" w:type="dxa"/>
            <w:tcMar>
              <w:top w:w="57" w:type="dxa"/>
              <w:bottom w:w="57" w:type="dxa"/>
            </w:tcMar>
            <w:vAlign w:val="center"/>
          </w:tcPr>
          <w:p w14:paraId="61E06D7E" w14:textId="71042FF5" w:rsidR="00EE5284" w:rsidRPr="00DC6D3D" w:rsidRDefault="003614B8" w:rsidP="00E52DAD">
            <w:pPr>
              <w:keepNext/>
              <w:keepLines/>
              <w:spacing w:before="0"/>
              <w:rPr>
                <w:rFonts w:cs="Arial"/>
                <w:bCs/>
                <w:sz w:val="22"/>
                <w:szCs w:val="22"/>
              </w:rPr>
            </w:pPr>
            <w:r>
              <w:rPr>
                <w:sz w:val="22"/>
              </w:rPr>
              <w:t>Communauté autonome d</w:t>
            </w:r>
            <w:r w:rsidR="00DD2821">
              <w:rPr>
                <w:sz w:val="22"/>
              </w:rPr>
              <w:t>’</w:t>
            </w:r>
            <w:r>
              <w:rPr>
                <w:sz w:val="22"/>
              </w:rPr>
              <w:t>Andalousie</w:t>
            </w:r>
          </w:p>
        </w:tc>
        <w:tc>
          <w:tcPr>
            <w:tcW w:w="2410" w:type="dxa"/>
            <w:vAlign w:val="center"/>
          </w:tcPr>
          <w:p w14:paraId="79D5640B" w14:textId="77777777" w:rsidR="00EE5284" w:rsidRPr="00DC6D3D" w:rsidRDefault="00EE5284" w:rsidP="00E52DAD">
            <w:pPr>
              <w:keepNext/>
              <w:keepLines/>
              <w:spacing w:before="0"/>
              <w:jc w:val="center"/>
              <w:rPr>
                <w:rFonts w:cs="Arial"/>
                <w:bCs/>
                <w:strike/>
                <w:sz w:val="22"/>
                <w:szCs w:val="22"/>
                <w:highlight w:val="cyan"/>
              </w:rPr>
            </w:pPr>
          </w:p>
        </w:tc>
        <w:tc>
          <w:tcPr>
            <w:tcW w:w="2976" w:type="dxa"/>
            <w:vAlign w:val="center"/>
          </w:tcPr>
          <w:p w14:paraId="0A6C0212" w14:textId="77777777" w:rsidR="00EE5284" w:rsidRPr="00DC6D3D" w:rsidRDefault="00EE5284" w:rsidP="00E52DAD">
            <w:pPr>
              <w:keepNext/>
              <w:keepLines/>
              <w:spacing w:before="0"/>
              <w:jc w:val="center"/>
              <w:rPr>
                <w:rFonts w:cs="Arial"/>
                <w:bCs/>
                <w:sz w:val="22"/>
                <w:szCs w:val="22"/>
                <w:highlight w:val="cyan"/>
              </w:rPr>
            </w:pPr>
            <w:r>
              <w:rPr>
                <w:sz w:val="22"/>
              </w:rPr>
              <w:t>X</w:t>
            </w:r>
          </w:p>
        </w:tc>
      </w:tr>
      <w:tr w:rsidR="00567E99" w:rsidRPr="00DC6D3D" w14:paraId="5F384F2D" w14:textId="77777777" w:rsidTr="00DC6D3D">
        <w:tc>
          <w:tcPr>
            <w:tcW w:w="3432" w:type="dxa"/>
            <w:tcMar>
              <w:top w:w="57" w:type="dxa"/>
              <w:bottom w:w="57" w:type="dxa"/>
            </w:tcMar>
            <w:vAlign w:val="center"/>
          </w:tcPr>
          <w:p w14:paraId="22421470" w14:textId="3F0E1EA9" w:rsidR="00EE5284" w:rsidRPr="00DC6D3D" w:rsidRDefault="003614B8" w:rsidP="00C91CC3">
            <w:pPr>
              <w:spacing w:before="0"/>
              <w:rPr>
                <w:rFonts w:cs="Arial"/>
                <w:sz w:val="22"/>
                <w:szCs w:val="22"/>
              </w:rPr>
            </w:pPr>
            <w:r>
              <w:rPr>
                <w:sz w:val="22"/>
              </w:rPr>
              <w:t>Communauté autonome d</w:t>
            </w:r>
            <w:r w:rsidR="00DD2821">
              <w:rPr>
                <w:sz w:val="22"/>
              </w:rPr>
              <w:t>’</w:t>
            </w:r>
            <w:r>
              <w:rPr>
                <w:sz w:val="22"/>
              </w:rPr>
              <w:t>Aragon</w:t>
            </w:r>
          </w:p>
        </w:tc>
        <w:tc>
          <w:tcPr>
            <w:tcW w:w="2410" w:type="dxa"/>
            <w:vAlign w:val="center"/>
          </w:tcPr>
          <w:p w14:paraId="5C16DC09" w14:textId="77777777" w:rsidR="00EE5284" w:rsidRPr="00DC6D3D" w:rsidRDefault="00EE5284" w:rsidP="00C91CC3">
            <w:pPr>
              <w:spacing w:before="0"/>
              <w:jc w:val="center"/>
              <w:rPr>
                <w:rFonts w:cs="Arial"/>
                <w:highlight w:val="cyan"/>
              </w:rPr>
            </w:pPr>
            <w:r>
              <w:t>A/O.</w:t>
            </w:r>
          </w:p>
        </w:tc>
        <w:tc>
          <w:tcPr>
            <w:tcW w:w="2976" w:type="dxa"/>
            <w:vAlign w:val="center"/>
          </w:tcPr>
          <w:p w14:paraId="74042CD1" w14:textId="77777777" w:rsidR="00EE5284" w:rsidRPr="00DC6D3D" w:rsidRDefault="00EE5284" w:rsidP="00C91CC3">
            <w:pPr>
              <w:spacing w:before="0"/>
              <w:jc w:val="center"/>
              <w:rPr>
                <w:rFonts w:cs="Arial"/>
                <w:sz w:val="22"/>
                <w:szCs w:val="22"/>
              </w:rPr>
            </w:pPr>
          </w:p>
        </w:tc>
      </w:tr>
      <w:tr w:rsidR="00567E99" w:rsidRPr="00DC6D3D" w14:paraId="51737602" w14:textId="77777777" w:rsidTr="00DC6D3D">
        <w:tc>
          <w:tcPr>
            <w:tcW w:w="3432" w:type="dxa"/>
            <w:tcMar>
              <w:top w:w="57" w:type="dxa"/>
              <w:bottom w:w="57" w:type="dxa"/>
            </w:tcMar>
            <w:vAlign w:val="center"/>
          </w:tcPr>
          <w:p w14:paraId="0E4257EE" w14:textId="565A2EBC" w:rsidR="00EE5284" w:rsidRPr="00DC6D3D" w:rsidRDefault="003614B8" w:rsidP="00C91CC3">
            <w:pPr>
              <w:spacing w:before="0"/>
              <w:rPr>
                <w:rFonts w:cs="Arial"/>
                <w:strike/>
                <w:sz w:val="22"/>
                <w:szCs w:val="22"/>
              </w:rPr>
            </w:pPr>
            <w:r>
              <w:rPr>
                <w:sz w:val="22"/>
              </w:rPr>
              <w:t xml:space="preserve">Communauté autonome des </w:t>
            </w:r>
            <w:r w:rsidR="00DD2821">
              <w:rPr>
                <w:sz w:val="22"/>
              </w:rPr>
              <w:t>î</w:t>
            </w:r>
            <w:r>
              <w:rPr>
                <w:sz w:val="22"/>
              </w:rPr>
              <w:t>les Baléares</w:t>
            </w:r>
          </w:p>
        </w:tc>
        <w:tc>
          <w:tcPr>
            <w:tcW w:w="2410" w:type="dxa"/>
            <w:vAlign w:val="center"/>
          </w:tcPr>
          <w:p w14:paraId="2233EC20" w14:textId="77777777" w:rsidR="00EE5284" w:rsidRPr="00DC6D3D" w:rsidRDefault="00EE5284" w:rsidP="00C91CC3">
            <w:pPr>
              <w:spacing w:before="0"/>
              <w:jc w:val="center"/>
              <w:rPr>
                <w:rFonts w:cs="Arial"/>
                <w:highlight w:val="cyan"/>
              </w:rPr>
            </w:pPr>
          </w:p>
        </w:tc>
        <w:tc>
          <w:tcPr>
            <w:tcW w:w="2976" w:type="dxa"/>
            <w:vAlign w:val="center"/>
          </w:tcPr>
          <w:p w14:paraId="3CF656F9" w14:textId="77777777" w:rsidR="00EE5284" w:rsidRPr="00DC6D3D" w:rsidRDefault="003614B8" w:rsidP="00C91CC3">
            <w:pPr>
              <w:spacing w:before="0"/>
              <w:jc w:val="center"/>
              <w:rPr>
                <w:rFonts w:cs="Arial"/>
                <w:sz w:val="22"/>
                <w:szCs w:val="22"/>
              </w:rPr>
            </w:pPr>
            <w:r>
              <w:rPr>
                <w:sz w:val="22"/>
              </w:rPr>
              <w:t>X</w:t>
            </w:r>
          </w:p>
        </w:tc>
      </w:tr>
      <w:tr w:rsidR="00567E99" w:rsidRPr="00DC6D3D" w14:paraId="1AFCFD46" w14:textId="77777777" w:rsidTr="00DC6D3D">
        <w:tc>
          <w:tcPr>
            <w:tcW w:w="3432" w:type="dxa"/>
            <w:tcMar>
              <w:top w:w="57" w:type="dxa"/>
              <w:bottom w:w="57" w:type="dxa"/>
            </w:tcMar>
            <w:vAlign w:val="center"/>
          </w:tcPr>
          <w:p w14:paraId="5583059D" w14:textId="77777777" w:rsidR="003614B8" w:rsidRPr="00DC6D3D" w:rsidRDefault="003614B8" w:rsidP="003614B8">
            <w:pPr>
              <w:spacing w:before="0"/>
              <w:rPr>
                <w:rFonts w:cs="Arial"/>
                <w:bCs/>
                <w:sz w:val="22"/>
                <w:szCs w:val="22"/>
              </w:rPr>
            </w:pPr>
            <w:r>
              <w:rPr>
                <w:sz w:val="22"/>
              </w:rPr>
              <w:t>Communauté autonome de Cantabrie</w:t>
            </w:r>
          </w:p>
        </w:tc>
        <w:tc>
          <w:tcPr>
            <w:tcW w:w="2410" w:type="dxa"/>
            <w:vAlign w:val="center"/>
          </w:tcPr>
          <w:p w14:paraId="1E7B3E8A" w14:textId="77777777" w:rsidR="003614B8" w:rsidRPr="00DC6D3D" w:rsidRDefault="003614B8" w:rsidP="003614B8">
            <w:pPr>
              <w:spacing w:before="0"/>
              <w:jc w:val="center"/>
              <w:rPr>
                <w:rFonts w:cs="Arial"/>
              </w:rPr>
            </w:pPr>
            <w:r>
              <w:t>A/O.</w:t>
            </w:r>
          </w:p>
        </w:tc>
        <w:tc>
          <w:tcPr>
            <w:tcW w:w="2976" w:type="dxa"/>
            <w:vAlign w:val="center"/>
          </w:tcPr>
          <w:p w14:paraId="791AFA30" w14:textId="77777777" w:rsidR="003614B8" w:rsidRPr="00DC6D3D" w:rsidRDefault="003614B8" w:rsidP="003614B8">
            <w:pPr>
              <w:spacing w:before="0"/>
              <w:jc w:val="center"/>
              <w:rPr>
                <w:rFonts w:cs="Arial"/>
                <w:sz w:val="22"/>
                <w:szCs w:val="22"/>
              </w:rPr>
            </w:pPr>
          </w:p>
        </w:tc>
      </w:tr>
      <w:tr w:rsidR="00567E99" w:rsidRPr="00DC6D3D" w14:paraId="6F12215E" w14:textId="77777777" w:rsidTr="00DC6D3D">
        <w:tc>
          <w:tcPr>
            <w:tcW w:w="3432" w:type="dxa"/>
            <w:tcMar>
              <w:top w:w="57" w:type="dxa"/>
              <w:bottom w:w="57" w:type="dxa"/>
            </w:tcMar>
            <w:vAlign w:val="center"/>
          </w:tcPr>
          <w:p w14:paraId="768D2764" w14:textId="77777777" w:rsidR="003614B8" w:rsidRPr="00DC6D3D" w:rsidRDefault="003614B8" w:rsidP="003614B8">
            <w:pPr>
              <w:spacing w:before="0"/>
              <w:rPr>
                <w:rFonts w:cs="Arial"/>
                <w:bCs/>
                <w:sz w:val="22"/>
                <w:szCs w:val="22"/>
              </w:rPr>
            </w:pPr>
            <w:r>
              <w:rPr>
                <w:sz w:val="22"/>
              </w:rPr>
              <w:t>Communauté autonome de Castille-La Manche</w:t>
            </w:r>
          </w:p>
        </w:tc>
        <w:tc>
          <w:tcPr>
            <w:tcW w:w="2410" w:type="dxa"/>
            <w:vAlign w:val="center"/>
          </w:tcPr>
          <w:p w14:paraId="202D13AD" w14:textId="77777777" w:rsidR="003614B8" w:rsidRPr="00DC6D3D" w:rsidRDefault="003614B8" w:rsidP="003614B8">
            <w:pPr>
              <w:spacing w:before="0"/>
              <w:jc w:val="center"/>
              <w:rPr>
                <w:rFonts w:cs="Arial"/>
              </w:rPr>
            </w:pPr>
          </w:p>
        </w:tc>
        <w:tc>
          <w:tcPr>
            <w:tcW w:w="2976" w:type="dxa"/>
            <w:vAlign w:val="center"/>
          </w:tcPr>
          <w:p w14:paraId="7C58A07F" w14:textId="77777777" w:rsidR="003614B8" w:rsidRPr="00DC6D3D" w:rsidRDefault="003614B8" w:rsidP="003614B8">
            <w:pPr>
              <w:spacing w:before="0"/>
              <w:jc w:val="center"/>
              <w:rPr>
                <w:rFonts w:cs="Arial"/>
                <w:sz w:val="22"/>
                <w:szCs w:val="22"/>
              </w:rPr>
            </w:pPr>
            <w:r>
              <w:rPr>
                <w:sz w:val="22"/>
              </w:rPr>
              <w:t>X</w:t>
            </w:r>
          </w:p>
        </w:tc>
      </w:tr>
      <w:tr w:rsidR="00567E99" w:rsidRPr="00DC6D3D" w14:paraId="07330BB5" w14:textId="77777777" w:rsidTr="00DC6D3D">
        <w:tc>
          <w:tcPr>
            <w:tcW w:w="3432" w:type="dxa"/>
            <w:tcMar>
              <w:top w:w="57" w:type="dxa"/>
              <w:bottom w:w="57" w:type="dxa"/>
            </w:tcMar>
            <w:vAlign w:val="center"/>
          </w:tcPr>
          <w:p w14:paraId="25970F75" w14:textId="77777777" w:rsidR="003614B8" w:rsidRPr="00DC6D3D" w:rsidRDefault="003614B8" w:rsidP="003614B8">
            <w:pPr>
              <w:spacing w:before="0"/>
              <w:rPr>
                <w:rFonts w:cs="Arial"/>
                <w:bCs/>
                <w:sz w:val="22"/>
                <w:szCs w:val="22"/>
              </w:rPr>
            </w:pPr>
            <w:r>
              <w:rPr>
                <w:sz w:val="22"/>
              </w:rPr>
              <w:t>Communauté autonome de Galice</w:t>
            </w:r>
          </w:p>
        </w:tc>
        <w:tc>
          <w:tcPr>
            <w:tcW w:w="2410" w:type="dxa"/>
            <w:vAlign w:val="center"/>
          </w:tcPr>
          <w:p w14:paraId="2F38BC2B" w14:textId="77777777" w:rsidR="003614B8" w:rsidRPr="00DC6D3D" w:rsidRDefault="003614B8" w:rsidP="003614B8">
            <w:pPr>
              <w:spacing w:before="0"/>
              <w:jc w:val="center"/>
              <w:rPr>
                <w:rFonts w:cs="Arial"/>
              </w:rPr>
            </w:pPr>
          </w:p>
        </w:tc>
        <w:tc>
          <w:tcPr>
            <w:tcW w:w="2976" w:type="dxa"/>
            <w:vAlign w:val="center"/>
          </w:tcPr>
          <w:p w14:paraId="2E978E18" w14:textId="77777777" w:rsidR="003614B8" w:rsidRPr="00DC6D3D" w:rsidRDefault="003614B8" w:rsidP="003614B8">
            <w:pPr>
              <w:spacing w:before="0"/>
              <w:jc w:val="center"/>
              <w:rPr>
                <w:rFonts w:cs="Arial"/>
                <w:sz w:val="22"/>
                <w:szCs w:val="22"/>
              </w:rPr>
            </w:pPr>
            <w:r>
              <w:rPr>
                <w:sz w:val="22"/>
              </w:rPr>
              <w:t>X</w:t>
            </w:r>
          </w:p>
        </w:tc>
      </w:tr>
      <w:tr w:rsidR="00567E99" w:rsidRPr="00DC6D3D" w14:paraId="61332A17" w14:textId="77777777" w:rsidTr="00DC6D3D">
        <w:tc>
          <w:tcPr>
            <w:tcW w:w="3432" w:type="dxa"/>
            <w:tcMar>
              <w:top w:w="57" w:type="dxa"/>
              <w:bottom w:w="57" w:type="dxa"/>
            </w:tcMar>
            <w:vAlign w:val="center"/>
          </w:tcPr>
          <w:p w14:paraId="4C54E230" w14:textId="77777777" w:rsidR="003614B8" w:rsidRPr="00DC6D3D" w:rsidRDefault="003614B8" w:rsidP="003614B8">
            <w:pPr>
              <w:spacing w:before="0"/>
              <w:rPr>
                <w:rFonts w:cs="Arial"/>
                <w:bCs/>
                <w:sz w:val="22"/>
                <w:szCs w:val="22"/>
              </w:rPr>
            </w:pPr>
            <w:r>
              <w:rPr>
                <w:sz w:val="22"/>
              </w:rPr>
              <w:t>Communauté autonome de Catalogne</w:t>
            </w:r>
          </w:p>
        </w:tc>
        <w:tc>
          <w:tcPr>
            <w:tcW w:w="2410" w:type="dxa"/>
            <w:vAlign w:val="center"/>
          </w:tcPr>
          <w:p w14:paraId="6F76378E" w14:textId="77777777" w:rsidR="003614B8" w:rsidRPr="00DC6D3D" w:rsidRDefault="003614B8" w:rsidP="003614B8">
            <w:pPr>
              <w:spacing w:before="0"/>
              <w:jc w:val="center"/>
              <w:rPr>
                <w:rFonts w:cs="Arial"/>
              </w:rPr>
            </w:pPr>
          </w:p>
        </w:tc>
        <w:tc>
          <w:tcPr>
            <w:tcW w:w="2976" w:type="dxa"/>
            <w:vAlign w:val="center"/>
          </w:tcPr>
          <w:p w14:paraId="253E46E9" w14:textId="77777777" w:rsidR="003614B8" w:rsidRPr="00DC6D3D" w:rsidRDefault="003614B8" w:rsidP="003614B8">
            <w:pPr>
              <w:spacing w:before="0"/>
              <w:jc w:val="center"/>
              <w:rPr>
                <w:rFonts w:cs="Arial"/>
                <w:sz w:val="22"/>
                <w:szCs w:val="22"/>
              </w:rPr>
            </w:pPr>
            <w:r>
              <w:rPr>
                <w:sz w:val="22"/>
              </w:rPr>
              <w:t>X</w:t>
            </w:r>
          </w:p>
        </w:tc>
      </w:tr>
      <w:tr w:rsidR="00567E99" w:rsidRPr="00DC6D3D" w14:paraId="5B92479B" w14:textId="77777777" w:rsidTr="00DC6D3D">
        <w:tc>
          <w:tcPr>
            <w:tcW w:w="3432" w:type="dxa"/>
            <w:tcMar>
              <w:top w:w="57" w:type="dxa"/>
              <w:bottom w:w="57" w:type="dxa"/>
            </w:tcMar>
            <w:vAlign w:val="center"/>
          </w:tcPr>
          <w:p w14:paraId="02E29F35" w14:textId="77777777" w:rsidR="00840049" w:rsidRPr="00DC6D3D" w:rsidRDefault="00840049" w:rsidP="00840049">
            <w:pPr>
              <w:spacing w:before="0"/>
              <w:rPr>
                <w:rFonts w:cs="Arial"/>
                <w:bCs/>
                <w:sz w:val="22"/>
                <w:szCs w:val="22"/>
              </w:rPr>
            </w:pPr>
            <w:r>
              <w:rPr>
                <w:sz w:val="22"/>
              </w:rPr>
              <w:t>Communauté autonome de la région de Murcie</w:t>
            </w:r>
          </w:p>
        </w:tc>
        <w:tc>
          <w:tcPr>
            <w:tcW w:w="2410" w:type="dxa"/>
            <w:vAlign w:val="center"/>
          </w:tcPr>
          <w:p w14:paraId="4B02687B" w14:textId="77777777" w:rsidR="00840049" w:rsidRPr="00DC6D3D" w:rsidRDefault="00840049" w:rsidP="00840049">
            <w:pPr>
              <w:spacing w:before="0"/>
              <w:jc w:val="center"/>
              <w:rPr>
                <w:rFonts w:cs="Arial"/>
              </w:rPr>
            </w:pPr>
          </w:p>
        </w:tc>
        <w:tc>
          <w:tcPr>
            <w:tcW w:w="2976" w:type="dxa"/>
            <w:vAlign w:val="center"/>
          </w:tcPr>
          <w:p w14:paraId="366F0151" w14:textId="77777777" w:rsidR="00840049" w:rsidRPr="00DC6D3D" w:rsidRDefault="00840049" w:rsidP="00840049">
            <w:pPr>
              <w:spacing w:before="0"/>
              <w:jc w:val="center"/>
              <w:rPr>
                <w:rFonts w:cs="Arial"/>
                <w:sz w:val="22"/>
                <w:szCs w:val="22"/>
              </w:rPr>
            </w:pPr>
            <w:r>
              <w:rPr>
                <w:sz w:val="22"/>
              </w:rPr>
              <w:t>X</w:t>
            </w:r>
          </w:p>
        </w:tc>
      </w:tr>
    </w:tbl>
    <w:p w14:paraId="15D1F494" w14:textId="77777777" w:rsidR="00B63ED9" w:rsidRPr="00DC6D3D" w:rsidRDefault="00B63ED9" w:rsidP="00F4239E">
      <w:pPr>
        <w:keepNext/>
        <w:rPr>
          <w:b/>
          <w:bCs/>
          <w:u w:val="single"/>
        </w:rPr>
      </w:pPr>
      <w:r>
        <w:rPr>
          <w:b/>
        </w:rPr>
        <w:t xml:space="preserve">9. </w:t>
      </w:r>
      <w:r>
        <w:rPr>
          <w:b/>
          <w:u w:val="single"/>
        </w:rPr>
        <w:t>Impact des observations</w:t>
      </w:r>
    </w:p>
    <w:p w14:paraId="32A0A17E" w14:textId="77777777" w:rsidR="00B63ED9" w:rsidRPr="00DC6D3D" w:rsidRDefault="00B63ED9" w:rsidP="00B63ED9">
      <w:r>
        <w:t xml:space="preserve">À la suite de la démarche d’audience et d’information publiques, les observations recueillies lors des consultations avec les communautés autonomes et les organisations représentatives du secteur, ainsi que les rapports émis par les secrétaires techniques généraux des différents ministères concernés, des modifications ont été apportées. </w:t>
      </w:r>
    </w:p>
    <w:p w14:paraId="57601C70" w14:textId="74F73E48" w:rsidR="00B63ED9" w:rsidRPr="00DC6D3D" w:rsidRDefault="00B63ED9" w:rsidP="00F4239E">
      <w:pPr>
        <w:keepNext/>
      </w:pPr>
      <w:r>
        <w:t>Les principales modifications apportées au texte du décret royal faisant l</w:t>
      </w:r>
      <w:r w:rsidR="00DD2821">
        <w:t>’</w:t>
      </w:r>
      <w:r>
        <w:t>objet de la consultation sont détaillées ci-</w:t>
      </w:r>
      <w:proofErr w:type="gramStart"/>
      <w:r>
        <w:t>dessous:</w:t>
      </w:r>
      <w:proofErr w:type="gramEnd"/>
    </w:p>
    <w:p w14:paraId="1D2FE156" w14:textId="62C8E1AB" w:rsidR="00B63ED9" w:rsidRPr="00DC6D3D" w:rsidRDefault="00B63ED9" w:rsidP="00B63ED9">
      <w:r>
        <w:t>Il convient tout d’abord de mentionner le désaccord avec l</w:t>
      </w:r>
      <w:r w:rsidR="00DD2821">
        <w:t>’</w:t>
      </w:r>
      <w:r>
        <w:t>emploi des termes</w:t>
      </w:r>
      <w:proofErr w:type="gramStart"/>
      <w:r>
        <w:t xml:space="preserve"> «doux</w:t>
      </w:r>
      <w:proofErr w:type="gramEnd"/>
      <w:r>
        <w:t>» et «intense» sur les étiquettes des huiles d</w:t>
      </w:r>
      <w:r w:rsidR="00DD2821">
        <w:t>’</w:t>
      </w:r>
      <w:r>
        <w:t>olive - elles doivent mentionner exclusivement les huiles d</w:t>
      </w:r>
      <w:r w:rsidR="00DD2821">
        <w:t>’</w:t>
      </w:r>
      <w:r>
        <w:t>olive raffinées et les huiles d</w:t>
      </w:r>
      <w:r w:rsidR="00DD2821">
        <w:t>’</w:t>
      </w:r>
      <w:r>
        <w:t>olive vierges. Les principaux arguments en ce sens évoquent la potentielle confusion que ces mentions peuvent induire chez les consommateurs et le manque de méthodes d</w:t>
      </w:r>
      <w:r w:rsidR="00DD2821">
        <w:t>’</w:t>
      </w:r>
      <w:r>
        <w:t>analyse dans le cadre du contrôle officiel. Les dispositions encadrant légalement ces mentions d</w:t>
      </w:r>
      <w:r w:rsidR="00DD2821">
        <w:t>’</w:t>
      </w:r>
      <w:r>
        <w:t xml:space="preserve">étiquetage ont donc été supprimées du texte. </w:t>
      </w:r>
    </w:p>
    <w:p w14:paraId="50E46241" w14:textId="617034FD" w:rsidR="00B63ED9" w:rsidRPr="00DC6D3D" w:rsidRDefault="00B63ED9" w:rsidP="00E52DAD">
      <w:pPr>
        <w:keepNext/>
        <w:keepLines/>
      </w:pPr>
      <w:r>
        <w:lastRenderedPageBreak/>
        <w:t>D’autre part, les entités du secteur ont fait valoir l</w:t>
      </w:r>
      <w:r w:rsidR="00DD2821">
        <w:t>’</w:t>
      </w:r>
      <w:r>
        <w:t>importance de contrôler les mouvements d</w:t>
      </w:r>
      <w:r w:rsidR="00DD2821">
        <w:t>’</w:t>
      </w:r>
      <w:r>
        <w:t>hydrocarbures, et de la notification préalable de ces derniers aux autorités. Cette obligation de notification via un système de traçabilité informatique ou télématique contrôlé directement par l</w:t>
      </w:r>
      <w:r w:rsidR="00DD2821">
        <w:t>’</w:t>
      </w:r>
      <w:r>
        <w:t>administration a été intégrée. Pour répondre à cette demande, le ministère de l</w:t>
      </w:r>
      <w:r w:rsidR="00DD2821">
        <w:t>’</w:t>
      </w:r>
      <w:r>
        <w:t>agriculture, de la pêche et de l</w:t>
      </w:r>
      <w:r w:rsidR="00DD2821">
        <w:t>’</w:t>
      </w:r>
      <w:r>
        <w:t>alimentation développera un outil permettant aux opérateurs de se conformer facilement à cette obligation, et aux autorités compétentes de la contrôler. Cette obligation contribuera à réduire la fraude lors du transport des huiles d</w:t>
      </w:r>
      <w:r w:rsidR="00DD2821">
        <w:t>’</w:t>
      </w:r>
      <w:r>
        <w:t>olive et de grignons d</w:t>
      </w:r>
      <w:r w:rsidR="00DD2821">
        <w:t>’</w:t>
      </w:r>
      <w:r>
        <w:t>olive. De même, certaines formulations ont été clarifiées en ce qui concerne les obligations liées à la tenue des registres de traçabilité et les opérateurs concernés.</w:t>
      </w:r>
    </w:p>
    <w:p w14:paraId="649A326D" w14:textId="66930449" w:rsidR="006067D0" w:rsidRPr="00DC6D3D" w:rsidRDefault="000678EE" w:rsidP="00EF6DD4">
      <w:pPr>
        <w:rPr>
          <w:rFonts w:cs="Arial"/>
        </w:rPr>
      </w:pPr>
      <w:r>
        <w:t>En ce qui concerne les obligations spécifiques aux installations, nous avons entendu les commentaires des acteurs du secteur concernant le coût élevé qu</w:t>
      </w:r>
      <w:r w:rsidR="00DD2821">
        <w:t>’</w:t>
      </w:r>
      <w:r>
        <w:t>impliquerait la conformité à l’exigence de séparation des installations pour les installations existantes. C’est pourquoi elle sera applicable uniquement aux nouvelles installations, inaugurées après l</w:t>
      </w:r>
      <w:r w:rsidR="00DD2821">
        <w:t>’</w:t>
      </w:r>
      <w:r>
        <w:t>entrée en vigueur de la norme. Cependant, afin de prévenir les risques de pratiques frauduleuses découlant de la non-séparation des installations, elles seront soumises à davantage d’obligations de déclaration. Ainsi, elles devront notamment notifier tous les mouvements d</w:t>
      </w:r>
      <w:r w:rsidR="00DD2821">
        <w:t>’</w:t>
      </w:r>
      <w:r>
        <w:t>huile d</w:t>
      </w:r>
      <w:r w:rsidR="00DD2821">
        <w:t>’</w:t>
      </w:r>
      <w:r>
        <w:t>olive et de grignons d</w:t>
      </w:r>
      <w:r w:rsidR="00DD2821">
        <w:t>’</w:t>
      </w:r>
      <w:r>
        <w:t>olive entre les moulins, les raffineries et les extracteurs situés dans une même installation. Elles devront également soumettre un rapport annuel aux autorités de contrôle compétentes, indiquant clairement les soldes des masses pour chaque catégorie d</w:t>
      </w:r>
      <w:r w:rsidR="00DD2821">
        <w:t>’</w:t>
      </w:r>
      <w:r>
        <w:t>huile qu</w:t>
      </w:r>
      <w:r w:rsidR="00DD2821">
        <w:t>’</w:t>
      </w:r>
      <w:r>
        <w:t>ils produisent, stockent ou commercialisent.</w:t>
      </w:r>
    </w:p>
    <w:p w14:paraId="0A8D5F23" w14:textId="6CD9E851" w:rsidR="000678EE" w:rsidRPr="00E52DAD" w:rsidRDefault="000678EE" w:rsidP="000678EE">
      <w:pPr>
        <w:rPr>
          <w:spacing w:val="-4"/>
        </w:rPr>
      </w:pPr>
      <w:r w:rsidRPr="00E52DAD">
        <w:rPr>
          <w:spacing w:val="-4"/>
        </w:rPr>
        <w:t>Par ailleurs, une interdiction de commercialisation dans le circuit de vente au détail d’huiles d’olive vierge extra dans des récipients en plastique a été introduite dans le texte. Cette mesure est très utile pour valoriser la qualité exceptionnelle de ces huiles de catégorie supérieure, et contribuera à améliorer considérablement l’image, et donc la valeur, des huiles d</w:t>
      </w:r>
      <w:r w:rsidR="00DD2821" w:rsidRPr="00E52DAD">
        <w:rPr>
          <w:spacing w:val="-4"/>
        </w:rPr>
        <w:t>’</w:t>
      </w:r>
      <w:r w:rsidRPr="00E52DAD">
        <w:rPr>
          <w:spacing w:val="-4"/>
        </w:rPr>
        <w:t>olive vierge extra, dans un souci de surmonter la grave crise tarifaire que traverse actuellement le secteur. Elle a également un impact environnemental très positif, puisqu’elle permet de réduire l</w:t>
      </w:r>
      <w:r w:rsidR="00DD2821" w:rsidRPr="00E52DAD">
        <w:rPr>
          <w:spacing w:val="-4"/>
        </w:rPr>
        <w:t>’</w:t>
      </w:r>
      <w:r w:rsidRPr="00E52DAD">
        <w:rPr>
          <w:spacing w:val="-4"/>
        </w:rPr>
        <w:t>utilisation des matières plastiques en les remplaçant par un matériau inerte dont l’empreinte est beaucoup plus faible. Cela constitue un progrès vers la réalisation des objectifs de développement durable et symbolise un nouveau cap vers une économie environnementale et durable. Cette interdiction entrera en vigueur en 2024 pour les récipients inférieurs à un litre et le 1</w:t>
      </w:r>
      <w:r w:rsidRPr="00E52DAD">
        <w:rPr>
          <w:spacing w:val="-4"/>
          <w:vertAlign w:val="superscript"/>
        </w:rPr>
        <w:t>er</w:t>
      </w:r>
      <w:r w:rsidR="00DD2821" w:rsidRPr="00E52DAD">
        <w:rPr>
          <w:spacing w:val="-4"/>
        </w:rPr>
        <w:t> </w:t>
      </w:r>
      <w:r w:rsidRPr="00E52DAD">
        <w:rPr>
          <w:spacing w:val="-4"/>
        </w:rPr>
        <w:t>janvier</w:t>
      </w:r>
      <w:r w:rsidR="00DD2821" w:rsidRPr="00E52DAD">
        <w:rPr>
          <w:spacing w:val="-4"/>
        </w:rPr>
        <w:t> </w:t>
      </w:r>
      <w:r w:rsidRPr="00E52DAD">
        <w:rPr>
          <w:spacing w:val="-4"/>
        </w:rPr>
        <w:t>2025 pour les autres récipients.</w:t>
      </w:r>
    </w:p>
    <w:p w14:paraId="6C876587" w14:textId="276385EF" w:rsidR="00B3784C" w:rsidRPr="00DC6D3D" w:rsidRDefault="00C91CC3" w:rsidP="00EF6DD4">
      <w:pPr>
        <w:rPr>
          <w:rFonts w:cs="Arial"/>
        </w:rPr>
      </w:pPr>
      <w:r>
        <w:t>D</w:t>
      </w:r>
      <w:r w:rsidR="00DD2821">
        <w:t>’</w:t>
      </w:r>
      <w:r>
        <w:t>autre part, les normes relatives aux tolérance</w:t>
      </w:r>
      <w:r w:rsidR="00DD2821">
        <w:t>s</w:t>
      </w:r>
      <w:r>
        <w:t xml:space="preserve"> admises dans les indications facultatives de l’étiquette ont été supprimées compte tenu des risques concurrentiels qu’elles impliquaient, et afin d</w:t>
      </w:r>
      <w:r w:rsidR="00DD2821">
        <w:t>’</w:t>
      </w:r>
      <w:r>
        <w:t>assurer la cohérence avec la législation de l’Union européenne.</w:t>
      </w:r>
    </w:p>
    <w:p w14:paraId="214EE581" w14:textId="1E450C53" w:rsidR="00CB2DFD" w:rsidRPr="00E52DAD" w:rsidRDefault="00CB2DFD" w:rsidP="00E52DAD">
      <w:pPr>
        <w:keepNext/>
        <w:keepLines/>
        <w:rPr>
          <w:rFonts w:cs="Arial"/>
          <w:spacing w:val="-4"/>
        </w:rPr>
      </w:pPr>
      <w:r w:rsidRPr="00E52DAD">
        <w:rPr>
          <w:spacing w:val="-4"/>
        </w:rPr>
        <w:lastRenderedPageBreak/>
        <w:t>En outre, en raison des implications fiscales qui pourraient découler de la définition précédente, la définition de</w:t>
      </w:r>
      <w:proofErr w:type="gramStart"/>
      <w:r w:rsidRPr="00E52DAD">
        <w:rPr>
          <w:spacing w:val="-4"/>
        </w:rPr>
        <w:t xml:space="preserve"> «producteur</w:t>
      </w:r>
      <w:proofErr w:type="gramEnd"/>
      <w:r w:rsidRPr="00E52DAD">
        <w:rPr>
          <w:spacing w:val="-4"/>
        </w:rPr>
        <w:t>» a été corrigée, afin de préciser que ce terme concerne les agriculteurs, et donc les propriétaires de l</w:t>
      </w:r>
      <w:r w:rsidR="00DD2821" w:rsidRPr="00E52DAD">
        <w:rPr>
          <w:spacing w:val="-4"/>
        </w:rPr>
        <w:t>’</w:t>
      </w:r>
      <w:r w:rsidRPr="00E52DAD">
        <w:rPr>
          <w:spacing w:val="-4"/>
        </w:rPr>
        <w:t>exploitation oléicole qui produit des olives, pour lesquels le moulin à huile fournit uniquement des services de broyage. Le producteur reste bien propriétaire de l</w:t>
      </w:r>
      <w:r w:rsidR="00DD2821" w:rsidRPr="00E52DAD">
        <w:rPr>
          <w:spacing w:val="-4"/>
        </w:rPr>
        <w:t>’</w:t>
      </w:r>
      <w:r w:rsidRPr="00E52DAD">
        <w:rPr>
          <w:spacing w:val="-4"/>
        </w:rPr>
        <w:t>huile d</w:t>
      </w:r>
      <w:r w:rsidR="00DD2821" w:rsidRPr="00E52DAD">
        <w:rPr>
          <w:spacing w:val="-4"/>
        </w:rPr>
        <w:t>’</w:t>
      </w:r>
      <w:r w:rsidRPr="00E52DAD">
        <w:rPr>
          <w:spacing w:val="-4"/>
        </w:rPr>
        <w:t>olive vierge extraite. Actuellement, l’arrêté du 12</w:t>
      </w:r>
      <w:r w:rsidR="00DD2821" w:rsidRPr="00E52DAD">
        <w:rPr>
          <w:spacing w:val="-4"/>
        </w:rPr>
        <w:t> </w:t>
      </w:r>
      <w:r w:rsidRPr="00E52DAD">
        <w:rPr>
          <w:spacing w:val="-4"/>
        </w:rPr>
        <w:t>décembre</w:t>
      </w:r>
      <w:r w:rsidR="00DD2821" w:rsidRPr="00E52DAD">
        <w:rPr>
          <w:spacing w:val="-4"/>
        </w:rPr>
        <w:t> </w:t>
      </w:r>
      <w:r w:rsidRPr="00E52DAD">
        <w:rPr>
          <w:spacing w:val="-4"/>
        </w:rPr>
        <w:t>1984 régit la livraison d</w:t>
      </w:r>
      <w:r w:rsidR="00DD2821" w:rsidRPr="00E52DAD">
        <w:rPr>
          <w:spacing w:val="-4"/>
        </w:rPr>
        <w:t>’</w:t>
      </w:r>
      <w:r w:rsidRPr="00E52DAD">
        <w:rPr>
          <w:spacing w:val="-4"/>
        </w:rPr>
        <w:t>huile d</w:t>
      </w:r>
      <w:r w:rsidR="00DD2821" w:rsidRPr="00E52DAD">
        <w:rPr>
          <w:spacing w:val="-4"/>
        </w:rPr>
        <w:t>’</w:t>
      </w:r>
      <w:r w:rsidRPr="00E52DAD">
        <w:rPr>
          <w:spacing w:val="-4"/>
        </w:rPr>
        <w:t>olive vierge par les moulins à huile à leurs producteurs à des fins de consommation finale. Il arrive que les moulins fournissent l</w:t>
      </w:r>
      <w:r w:rsidR="00DD2821" w:rsidRPr="00E52DAD">
        <w:rPr>
          <w:spacing w:val="-4"/>
        </w:rPr>
        <w:t>’</w:t>
      </w:r>
      <w:r w:rsidRPr="00E52DAD">
        <w:rPr>
          <w:spacing w:val="-4"/>
        </w:rPr>
        <w:t>huile d</w:t>
      </w:r>
      <w:r w:rsidR="00DD2821" w:rsidRPr="00E52DAD">
        <w:rPr>
          <w:spacing w:val="-4"/>
        </w:rPr>
        <w:t>’</w:t>
      </w:r>
      <w:r w:rsidRPr="00E52DAD">
        <w:rPr>
          <w:spacing w:val="-4"/>
        </w:rPr>
        <w:t>olive vierge directement à des producteurs leur ayant auparavant fourni des olives à broyer. Ces transactions sont considérées comme de simples livraisons d’huile à leur propriétaire, puisqu’elles n’impliquent aucune vente d’olives au préalable. Dans ces cas, le producteur, en fonction de l</w:t>
      </w:r>
      <w:r w:rsidR="00DD2821" w:rsidRPr="00E52DAD">
        <w:rPr>
          <w:spacing w:val="-4"/>
        </w:rPr>
        <w:t>’</w:t>
      </w:r>
      <w:r w:rsidRPr="00E52DAD">
        <w:rPr>
          <w:spacing w:val="-4"/>
        </w:rPr>
        <w:t>usage qu</w:t>
      </w:r>
      <w:r w:rsidR="00DD2821" w:rsidRPr="00E52DAD">
        <w:rPr>
          <w:spacing w:val="-4"/>
        </w:rPr>
        <w:t>’</w:t>
      </w:r>
      <w:r w:rsidRPr="00E52DAD">
        <w:rPr>
          <w:spacing w:val="-4"/>
        </w:rPr>
        <w:t>il fait de l</w:t>
      </w:r>
      <w:r w:rsidR="00DD2821" w:rsidRPr="00E52DAD">
        <w:rPr>
          <w:spacing w:val="-4"/>
        </w:rPr>
        <w:t>’</w:t>
      </w:r>
      <w:r w:rsidRPr="00E52DAD">
        <w:rPr>
          <w:spacing w:val="-4"/>
        </w:rPr>
        <w:t>huile livrée, sera considéré soit comme un consommateur final, auquel il convient de livrer son huile avec toutes les garanties, si l</w:t>
      </w:r>
      <w:r w:rsidR="00DD2821" w:rsidRPr="00E52DAD">
        <w:rPr>
          <w:spacing w:val="-4"/>
        </w:rPr>
        <w:t>’</w:t>
      </w:r>
      <w:r w:rsidRPr="00E52DAD">
        <w:rPr>
          <w:spacing w:val="-4"/>
        </w:rPr>
        <w:t>huile est destinée à leur propre consommation, soit comme un opérateur, si ladite huile est destinée à être commercialisée. La définition du terme</w:t>
      </w:r>
      <w:proofErr w:type="gramStart"/>
      <w:r w:rsidRPr="00E52DAD">
        <w:rPr>
          <w:spacing w:val="-4"/>
        </w:rPr>
        <w:t xml:space="preserve"> «producteur</w:t>
      </w:r>
      <w:proofErr w:type="gramEnd"/>
      <w:r w:rsidRPr="00E52DAD">
        <w:rPr>
          <w:spacing w:val="-4"/>
        </w:rPr>
        <w:t xml:space="preserve">» et les dispositions qui lui sont applicables visent à garantir le respect des obligations par tous les producteurs, </w:t>
      </w:r>
      <w:r w:rsidR="00DD2821" w:rsidRPr="00E52DAD">
        <w:rPr>
          <w:spacing w:val="-4"/>
        </w:rPr>
        <w:t>quel que</w:t>
      </w:r>
      <w:r w:rsidRPr="00E52DAD">
        <w:rPr>
          <w:spacing w:val="-4"/>
        </w:rPr>
        <w:t xml:space="preserve"> soit le cas de figure évoqué ci-dessus.</w:t>
      </w:r>
    </w:p>
    <w:p w14:paraId="6AC74A45" w14:textId="77777777" w:rsidR="00B03E26" w:rsidRPr="00E52DAD" w:rsidRDefault="00996078" w:rsidP="00F71254">
      <w:pPr>
        <w:spacing w:after="240"/>
        <w:rPr>
          <w:rFonts w:cs="Arial"/>
          <w:spacing w:val="-6"/>
        </w:rPr>
      </w:pPr>
      <w:r w:rsidRPr="00E52DAD">
        <w:rPr>
          <w:spacing w:val="-6"/>
        </w:rPr>
        <w:t>De même, et afin de lever tout doute quant à la définition du terme</w:t>
      </w:r>
      <w:proofErr w:type="gramStart"/>
      <w:r w:rsidRPr="00E52DAD">
        <w:rPr>
          <w:spacing w:val="-6"/>
        </w:rPr>
        <w:t xml:space="preserve"> «opérateur</w:t>
      </w:r>
      <w:proofErr w:type="gramEnd"/>
      <w:r w:rsidRPr="00E52DAD">
        <w:rPr>
          <w:spacing w:val="-6"/>
        </w:rPr>
        <w:t>», un paragraphe a été ajouté au préambule précisant que ce terme désigne toutes les personnes physiques ou morales participant à l’une des étapes de la production et de la commercialisation des huiles d’olive et de grignons d’olive, y compris notamment les établissements d’achat d’olives, les coopératives et les moulins mobiles.</w:t>
      </w:r>
    </w:p>
    <w:p w14:paraId="7A79330C" w14:textId="77777777" w:rsidR="000678EE" w:rsidRPr="00DC6D3D" w:rsidRDefault="000678EE" w:rsidP="000678EE">
      <w:r>
        <w:t>Enfin, il convient également de noter que de nombreuses observations ont impliqué des changements mineurs visant à améliorer le contenu et la compréhension du texte juridique.</w:t>
      </w:r>
    </w:p>
    <w:p w14:paraId="16A8487A" w14:textId="77777777" w:rsidR="000678EE" w:rsidRPr="00DC6D3D" w:rsidRDefault="000678EE" w:rsidP="000678EE">
      <w:r>
        <w:t xml:space="preserve">Les observations reçues lors de la procédure d’audience sont rassemblées en détail dans l’annexe jointe au présent rapport, qui présente également l’évaluation et l’analyse de chacune d’entre elles. </w:t>
      </w:r>
    </w:p>
    <w:p w14:paraId="50F12033" w14:textId="77777777" w:rsidR="009E41E2" w:rsidRPr="00DC6D3D" w:rsidRDefault="000B1CC6" w:rsidP="00F4239E">
      <w:pPr>
        <w:keepNext/>
        <w:rPr>
          <w:b/>
        </w:rPr>
      </w:pPr>
      <w:r>
        <w:rPr>
          <w:b/>
        </w:rPr>
        <w:t>10.</w:t>
      </w:r>
      <w:r>
        <w:t xml:space="preserve"> </w:t>
      </w:r>
      <w:r>
        <w:rPr>
          <w:b/>
          <w:u w:val="single"/>
        </w:rPr>
        <w:t>Rapport de la commission interministérielle chargée de la réglementation en matière alimentaire</w:t>
      </w:r>
      <w:r>
        <w:rPr>
          <w:b/>
        </w:rPr>
        <w:t xml:space="preserve"> </w:t>
      </w:r>
    </w:p>
    <w:p w14:paraId="4D6D20FD" w14:textId="3A133EB7" w:rsidR="00451A30" w:rsidRPr="00DC6D3D" w:rsidRDefault="00451A30" w:rsidP="00F71254">
      <w:pPr>
        <w:spacing w:after="240"/>
        <w:rPr>
          <w:bCs/>
        </w:rPr>
      </w:pPr>
      <w:r>
        <w:t>Le projet de décret royal portant approbation de la norme de qualité applicable aux huiles d’olive et de grignons d</w:t>
      </w:r>
      <w:r w:rsidR="00DD2821">
        <w:t>’</w:t>
      </w:r>
      <w:r>
        <w:t>olive a été soumis pour avis des participants à la session plénière de la commission interministérielle chargée de la réglementation en matière alimentaire, tenue le 14</w:t>
      </w:r>
      <w:r w:rsidR="00DD2821">
        <w:t> </w:t>
      </w:r>
      <w:r>
        <w:t>juillet</w:t>
      </w:r>
      <w:r w:rsidR="00DD2821">
        <w:t> </w:t>
      </w:r>
      <w:r>
        <w:t>2020, au point</w:t>
      </w:r>
      <w:r w:rsidR="00066C2B">
        <w:t> </w:t>
      </w:r>
      <w:r>
        <w:t>2.1 de son ordre du jour. Un avis favorable a été rendu le 15</w:t>
      </w:r>
      <w:r w:rsidR="00DD2821">
        <w:t> </w:t>
      </w:r>
      <w:r>
        <w:t>juillet</w:t>
      </w:r>
      <w:r w:rsidR="00DD2821">
        <w:t> </w:t>
      </w:r>
      <w:r>
        <w:t>2020.</w:t>
      </w:r>
    </w:p>
    <w:p w14:paraId="6E97694B" w14:textId="7392BB09" w:rsidR="00341FD5" w:rsidRPr="00DC6D3D" w:rsidRDefault="00341FD5" w:rsidP="00F71254">
      <w:pPr>
        <w:spacing w:after="240"/>
        <w:rPr>
          <w:bCs/>
        </w:rPr>
      </w:pPr>
      <w:r>
        <w:t>Après examen des observations des acteurs du secteur, une modification du texte a été introduite après la réunion susmentionnée, afin d’allonger la période de transition vers l</w:t>
      </w:r>
      <w:r w:rsidR="00DD2821">
        <w:t>’</w:t>
      </w:r>
      <w:r>
        <w:t xml:space="preserve">interdiction de conditionnement dans des récipients en plastique. </w:t>
      </w:r>
    </w:p>
    <w:p w14:paraId="41AF44DA" w14:textId="246822D1" w:rsidR="00F4239E" w:rsidRDefault="0061109A" w:rsidP="00F4239E">
      <w:pPr>
        <w:keepNext/>
        <w:rPr>
          <w:b/>
        </w:rPr>
      </w:pPr>
      <w:r>
        <w:rPr>
          <w:b/>
        </w:rPr>
        <w:lastRenderedPageBreak/>
        <w:t xml:space="preserve">11. </w:t>
      </w:r>
      <w:r>
        <w:rPr>
          <w:b/>
          <w:u w:val="single"/>
        </w:rPr>
        <w:t>Respect des procédures obligatoires en droit de l</w:t>
      </w:r>
      <w:r w:rsidR="00DD2821">
        <w:rPr>
          <w:b/>
          <w:u w:val="single"/>
        </w:rPr>
        <w:t>’</w:t>
      </w:r>
      <w:r>
        <w:rPr>
          <w:b/>
          <w:u w:val="single"/>
        </w:rPr>
        <w:t>Union européenne</w:t>
      </w:r>
      <w:r>
        <w:rPr>
          <w:b/>
        </w:rPr>
        <w:t xml:space="preserve"> </w:t>
      </w:r>
    </w:p>
    <w:p w14:paraId="7BF13A88" w14:textId="77777777" w:rsidR="00676019" w:rsidRPr="00DC6D3D" w:rsidRDefault="00676019" w:rsidP="00F4239E">
      <w:pPr>
        <w:keepNext/>
      </w:pPr>
      <w:r>
        <w:t>EN ATTENTE</w:t>
      </w:r>
    </w:p>
    <w:p w14:paraId="705F5D5A" w14:textId="626A85EF" w:rsidR="007B7A2A" w:rsidRPr="00DC6D3D" w:rsidRDefault="007B7A2A" w:rsidP="00E52DAD">
      <w:pPr>
        <w:pStyle w:val="ListParagraph"/>
        <w:keepNext/>
        <w:keepLines/>
        <w:numPr>
          <w:ilvl w:val="0"/>
          <w:numId w:val="27"/>
        </w:numPr>
        <w:spacing w:before="0"/>
        <w:ind w:left="426" w:hanging="284"/>
        <w:contextualSpacing w:val="0"/>
        <w:rPr>
          <w:rFonts w:cs="Arial"/>
          <w:iCs/>
          <w:szCs w:val="24"/>
        </w:rPr>
      </w:pPr>
      <w:r>
        <w:t>Notification à la Commission européenne en vertu de la directive (UE) 1535/1535 du Parlement européen et du Conseil du 9 septembre 2015 prévoyant une procédure d’information dans le domaine des réglementations techniques et des normes relatives aux services de la société de l’information</w:t>
      </w:r>
      <w:r w:rsidR="00DD2821">
        <w:t>.</w:t>
      </w:r>
      <w:r>
        <w:t xml:space="preserve"> </w:t>
      </w:r>
    </w:p>
    <w:p w14:paraId="158D3FE8" w14:textId="4F185EC1" w:rsidR="007B7A2A" w:rsidRPr="00E52DAD" w:rsidRDefault="007B7A2A" w:rsidP="007B7A2A">
      <w:pPr>
        <w:pStyle w:val="ListParagraph"/>
        <w:numPr>
          <w:ilvl w:val="0"/>
          <w:numId w:val="27"/>
        </w:numPr>
        <w:spacing w:before="0"/>
        <w:ind w:left="426" w:hanging="284"/>
        <w:contextualSpacing w:val="0"/>
        <w:rPr>
          <w:rFonts w:cs="Arial"/>
          <w:iCs/>
          <w:spacing w:val="-4"/>
          <w:szCs w:val="24"/>
        </w:rPr>
      </w:pPr>
      <w:r w:rsidRPr="00E52DAD">
        <w:rPr>
          <w:spacing w:val="-4"/>
        </w:rPr>
        <w:t>La norme a également été notifiée conformément à l</w:t>
      </w:r>
      <w:r w:rsidR="00DD2821" w:rsidRPr="00E52DAD">
        <w:rPr>
          <w:spacing w:val="-4"/>
        </w:rPr>
        <w:t>’</w:t>
      </w:r>
      <w:r w:rsidRPr="00E52DAD">
        <w:rPr>
          <w:spacing w:val="-4"/>
        </w:rPr>
        <w:t>article 45 du règlement (UE) 1169/2011 du Parlement européen et du Conseil du 25</w:t>
      </w:r>
      <w:r w:rsidR="00DD2821" w:rsidRPr="00E52DAD">
        <w:rPr>
          <w:spacing w:val="-4"/>
        </w:rPr>
        <w:t> </w:t>
      </w:r>
      <w:r w:rsidRPr="00E52DAD">
        <w:rPr>
          <w:spacing w:val="-4"/>
        </w:rPr>
        <w:t>octobre</w:t>
      </w:r>
      <w:r w:rsidR="00DD2821" w:rsidRPr="00E52DAD">
        <w:rPr>
          <w:spacing w:val="-4"/>
        </w:rPr>
        <w:t> </w:t>
      </w:r>
      <w:r w:rsidRPr="00E52DAD">
        <w:rPr>
          <w:spacing w:val="-4"/>
        </w:rPr>
        <w:t>2011 concernant l’information des consommateurs sur les denrées alimentaires, aux motifs qu’elle contient des dispositions obligatoires sur les informations alimentaires.</w:t>
      </w:r>
    </w:p>
    <w:p w14:paraId="66D964A5" w14:textId="2BA0FC7D" w:rsidR="00DC6D3D" w:rsidRDefault="00DC6D3D" w:rsidP="000D6E76">
      <w:pPr>
        <w:spacing w:before="0"/>
        <w:rPr>
          <w:b/>
          <w:lang w:val="es-ES"/>
        </w:rPr>
      </w:pPr>
    </w:p>
    <w:p w14:paraId="5A031901" w14:textId="43E33426" w:rsidR="00DD2821" w:rsidRDefault="00DD2821" w:rsidP="000D6E76">
      <w:pPr>
        <w:spacing w:before="0"/>
        <w:rPr>
          <w:b/>
          <w:lang w:val="es-ES"/>
        </w:rPr>
      </w:pPr>
    </w:p>
    <w:p w14:paraId="7E546826" w14:textId="072C6B8D" w:rsidR="00DD2821" w:rsidRDefault="00DD2821" w:rsidP="000D6E76">
      <w:pPr>
        <w:spacing w:before="0"/>
        <w:rPr>
          <w:b/>
          <w:lang w:val="es-ES"/>
        </w:rPr>
      </w:pPr>
    </w:p>
    <w:p w14:paraId="4E26A982" w14:textId="77777777" w:rsidR="00DD2821" w:rsidRPr="00DC6D3D" w:rsidRDefault="00DD2821" w:rsidP="000D6E76">
      <w:pPr>
        <w:spacing w:before="0"/>
        <w:rPr>
          <w:b/>
          <w:lang w:val="es-ES"/>
        </w:rPr>
      </w:pPr>
    </w:p>
    <w:p w14:paraId="3CF70514" w14:textId="73D2B85F" w:rsidR="008D0FCF" w:rsidRPr="00DC6D3D" w:rsidRDefault="005504F1" w:rsidP="000D6E76">
      <w:pPr>
        <w:spacing w:before="0"/>
        <w:rPr>
          <w:rFonts w:cs="Arial"/>
          <w:iCs/>
          <w:szCs w:val="24"/>
        </w:rPr>
      </w:pPr>
      <w:r>
        <w:rPr>
          <w:b/>
        </w:rPr>
        <w:t xml:space="preserve">12. </w:t>
      </w:r>
      <w:r>
        <w:rPr>
          <w:b/>
          <w:u w:val="single"/>
        </w:rPr>
        <w:t>Respect des procédures de notification obligatoires à l</w:t>
      </w:r>
      <w:r w:rsidR="00DD2821">
        <w:rPr>
          <w:b/>
          <w:u w:val="single"/>
        </w:rPr>
        <w:t>’</w:t>
      </w:r>
      <w:r>
        <w:rPr>
          <w:b/>
          <w:u w:val="single"/>
        </w:rPr>
        <w:t>Organisation mondiale du commerce</w:t>
      </w:r>
      <w:r>
        <w:rPr>
          <w:b/>
        </w:rPr>
        <w:t xml:space="preserve"> </w:t>
      </w:r>
      <w:r>
        <w:t>EN ATTENTE</w:t>
      </w:r>
    </w:p>
    <w:p w14:paraId="6B8AA2C2" w14:textId="45BBCAC8" w:rsidR="00162058" w:rsidRPr="00DC6D3D" w:rsidRDefault="005504F1" w:rsidP="00162058">
      <w:pPr>
        <w:pStyle w:val="Heading4"/>
        <w:numPr>
          <w:ilvl w:val="0"/>
          <w:numId w:val="0"/>
        </w:numPr>
        <w:spacing w:before="480"/>
      </w:pPr>
      <w:r>
        <w:rPr>
          <w:b/>
          <w:u w:val="none"/>
        </w:rPr>
        <w:t xml:space="preserve">13. </w:t>
      </w:r>
      <w:r>
        <w:rPr>
          <w:b/>
        </w:rPr>
        <w:t xml:space="preserve">Avis obligatoire du </w:t>
      </w:r>
      <w:r w:rsidR="00DD2821">
        <w:rPr>
          <w:b/>
        </w:rPr>
        <w:t>C</w:t>
      </w:r>
      <w:r>
        <w:rPr>
          <w:b/>
        </w:rPr>
        <w:t>onseil d</w:t>
      </w:r>
      <w:r w:rsidR="00DD2821">
        <w:rPr>
          <w:b/>
        </w:rPr>
        <w:t>’</w:t>
      </w:r>
      <w:r>
        <w:rPr>
          <w:b/>
        </w:rPr>
        <w:t>État</w:t>
      </w:r>
      <w:r>
        <w:t xml:space="preserve"> </w:t>
      </w:r>
      <w:r>
        <w:rPr>
          <w:u w:val="none"/>
        </w:rPr>
        <w:t>EN ATTENTE</w:t>
      </w:r>
    </w:p>
    <w:p w14:paraId="4092EC28" w14:textId="77777777" w:rsidR="00676019" w:rsidRPr="00DC6D3D" w:rsidRDefault="00676019" w:rsidP="00676019">
      <w:pPr>
        <w:autoSpaceDE w:val="0"/>
        <w:autoSpaceDN w:val="0"/>
        <w:adjustRightInd w:val="0"/>
        <w:spacing w:before="0"/>
        <w:jc w:val="left"/>
        <w:rPr>
          <w:rFonts w:cs="Arial"/>
          <w:szCs w:val="24"/>
          <w:lang w:val="es-ES"/>
        </w:rPr>
      </w:pPr>
    </w:p>
    <w:p w14:paraId="5F7A81C9" w14:textId="77777777" w:rsidR="00676019" w:rsidRPr="00DC6D3D" w:rsidRDefault="00676019" w:rsidP="00F4239E">
      <w:pPr>
        <w:pStyle w:val="Heading2"/>
        <w:numPr>
          <w:ilvl w:val="0"/>
          <w:numId w:val="0"/>
        </w:numPr>
        <w:spacing w:before="0"/>
        <w:ind w:left="578" w:hanging="578"/>
      </w:pPr>
      <w:r>
        <w:rPr>
          <w:u w:val="none"/>
        </w:rPr>
        <w:t xml:space="preserve">VI. </w:t>
      </w:r>
      <w:r>
        <w:t>ANALYSE D’IMPACT</w:t>
      </w:r>
    </w:p>
    <w:p w14:paraId="79D1F241" w14:textId="77777777" w:rsidR="00676019" w:rsidRPr="00DC6D3D" w:rsidRDefault="00676019" w:rsidP="00F4239E">
      <w:pPr>
        <w:keepNext/>
        <w:rPr>
          <w:lang w:val="es-ES"/>
        </w:rPr>
      </w:pPr>
    </w:p>
    <w:p w14:paraId="06479995" w14:textId="77777777" w:rsidR="00676019" w:rsidRPr="00DC6D3D" w:rsidRDefault="00676019" w:rsidP="00F4239E">
      <w:pPr>
        <w:keepNext/>
        <w:rPr>
          <w:b/>
          <w:u w:val="single"/>
        </w:rPr>
      </w:pPr>
      <w:r>
        <w:t xml:space="preserve">1. </w:t>
      </w:r>
      <w:r>
        <w:rPr>
          <w:b/>
          <w:u w:val="single"/>
        </w:rPr>
        <w:t>Impact économique et budgétaire</w:t>
      </w:r>
    </w:p>
    <w:p w14:paraId="03DBA740" w14:textId="77777777" w:rsidR="00676019" w:rsidRPr="00DC6D3D" w:rsidRDefault="00676019" w:rsidP="00F4239E">
      <w:pPr>
        <w:keepNext/>
      </w:pPr>
      <w:r>
        <w:t xml:space="preserve">1.1 </w:t>
      </w:r>
      <w:r>
        <w:rPr>
          <w:u w:val="single"/>
        </w:rPr>
        <w:t>Impact économique général</w:t>
      </w:r>
    </w:p>
    <w:p w14:paraId="1CABE59E" w14:textId="5A25B7B9" w:rsidR="00676019" w:rsidRPr="00DC6D3D" w:rsidRDefault="00676019" w:rsidP="00676019">
      <w:pPr>
        <w:spacing w:after="240"/>
      </w:pPr>
      <w:r>
        <w:t>Ce projet de norme vise à améliorer la qualité des huiles et à prévenir les pratiques frauduleuses. Il est donc entendu que son impact général sur l</w:t>
      </w:r>
      <w:r w:rsidR="00DD2821">
        <w:t>’</w:t>
      </w:r>
      <w:r>
        <w:t>économie sera positif, sans compter l</w:t>
      </w:r>
      <w:r w:rsidR="00DD2821">
        <w:t>’</w:t>
      </w:r>
      <w:r>
        <w:t>effet bénéfique sur projet en termes de concurrence loyale.</w:t>
      </w:r>
    </w:p>
    <w:p w14:paraId="0994AE0D" w14:textId="77777777" w:rsidR="00461E63" w:rsidRPr="00E52DAD" w:rsidRDefault="00676019" w:rsidP="00676019">
      <w:pPr>
        <w:rPr>
          <w:spacing w:val="-6"/>
        </w:rPr>
      </w:pPr>
      <w:r w:rsidRPr="00E52DAD">
        <w:rPr>
          <w:spacing w:val="-6"/>
        </w:rPr>
        <w:t>Le coût principal engendré par l’approbation du projet pour les acteurs du secteur découle de l’interdiction de commercialiser au détail des huiles d’olive vierge extra dans des récipients en plastique. En effet, cette nouvelle exigence implique de modifier les lignes de conditionnement pour les adapter aux nouveaux matériaux ou formats utilisés, ainsi que l’engagement de frais divers liés à la nouvelle forme de présentation.</w:t>
      </w:r>
    </w:p>
    <w:p w14:paraId="27E5DF6C" w14:textId="77777777" w:rsidR="00676019" w:rsidRPr="00DC6D3D" w:rsidRDefault="00676019" w:rsidP="00676019">
      <w:pPr>
        <w:pStyle w:val="Heading4"/>
        <w:numPr>
          <w:ilvl w:val="0"/>
          <w:numId w:val="0"/>
        </w:numPr>
        <w:ind w:left="864" w:hanging="864"/>
      </w:pPr>
      <w:r>
        <w:rPr>
          <w:u w:val="none"/>
        </w:rPr>
        <w:t xml:space="preserve">1.2 </w:t>
      </w:r>
      <w:r>
        <w:t>Effets sur la concurrence du marché</w:t>
      </w:r>
    </w:p>
    <w:p w14:paraId="38B8FCA4" w14:textId="26DA1998" w:rsidR="00676019" w:rsidRPr="00DC6D3D" w:rsidRDefault="00676019" w:rsidP="00676019">
      <w:r>
        <w:t>Le projet de décret ne limite pas le nombre ou la variété des opérateurs du marché, la capacité des opérateurs à entrer en concurrence ni ne réduit les incitations des opérateurs à entrer en concurrence. Nous estimons donc qu’il n’engendre aucun impact négatif sur la concurrence du marché. Mieux, son effet sera positif, puisqu</w:t>
      </w:r>
      <w:r w:rsidR="00DD2821">
        <w:t>’</w:t>
      </w:r>
      <w:r>
        <w:t>il permettra de garantir une concurrence loyale entre les installations, à l’échelle du marché unique, en offrant les mêmes conditions à tous les producteurs et en améliorant la compétitivité du secteur.</w:t>
      </w:r>
    </w:p>
    <w:p w14:paraId="2BC0E138" w14:textId="64943349" w:rsidR="005F0DF5" w:rsidRPr="00DC6D3D" w:rsidRDefault="005F0DF5" w:rsidP="00E52DAD">
      <w:pPr>
        <w:keepNext/>
        <w:keepLines/>
      </w:pPr>
      <w:r>
        <w:lastRenderedPageBreak/>
        <w:t>Par ailleurs, en ce qui concerne la loi n° 20/2013 du 9</w:t>
      </w:r>
      <w:r w:rsidR="00DD2821">
        <w:t> </w:t>
      </w:r>
      <w:r>
        <w:t>décembre</w:t>
      </w:r>
      <w:r w:rsidR="00DD2821">
        <w:t> </w:t>
      </w:r>
      <w:r>
        <w:t>2013 sur la garantie de l</w:t>
      </w:r>
      <w:r w:rsidR="00DD2821">
        <w:t>’</w:t>
      </w:r>
      <w:r>
        <w:t>unité du marché, la norme est neutre et l’ensemble de ses dispositions y sont pleinement compatibles. Le contenu du projet, dans lequel les principes de nécessité et de proportionnalité prévus dans ladite loi ont été respectés, parvient même à renforcer l</w:t>
      </w:r>
      <w:r w:rsidR="00DD2821">
        <w:t>’</w:t>
      </w:r>
      <w:r>
        <w:t>unité du marché, en clarifiant les normes applicables à tous les opérateurs de la filière huile d</w:t>
      </w:r>
      <w:r w:rsidR="00DD2821">
        <w:t>’</w:t>
      </w:r>
      <w:r>
        <w:t>olive et grignons d</w:t>
      </w:r>
      <w:r w:rsidR="00DD2821">
        <w:t>’</w:t>
      </w:r>
      <w:r>
        <w:t>olive sur l</w:t>
      </w:r>
      <w:r w:rsidR="00DD2821">
        <w:t>’</w:t>
      </w:r>
      <w:r>
        <w:t>ensemble du territoire national.</w:t>
      </w:r>
    </w:p>
    <w:p w14:paraId="218CD951" w14:textId="77777777" w:rsidR="00676019" w:rsidRPr="00DC6D3D" w:rsidRDefault="00676019" w:rsidP="00676019">
      <w:pPr>
        <w:pStyle w:val="Heading4"/>
        <w:numPr>
          <w:ilvl w:val="0"/>
          <w:numId w:val="0"/>
        </w:numPr>
      </w:pPr>
      <w:r>
        <w:rPr>
          <w:u w:val="none"/>
        </w:rPr>
        <w:t xml:space="preserve">1.3 </w:t>
      </w:r>
      <w:r>
        <w:t xml:space="preserve">Analyse des charges administratives </w:t>
      </w:r>
    </w:p>
    <w:p w14:paraId="3379C634" w14:textId="77777777" w:rsidR="00676019" w:rsidRPr="00DC6D3D" w:rsidRDefault="00676019" w:rsidP="00F4239E">
      <w:pPr>
        <w:pStyle w:val="Heading4"/>
        <w:keepNext w:val="0"/>
        <w:numPr>
          <w:ilvl w:val="0"/>
          <w:numId w:val="0"/>
        </w:numPr>
        <w:rPr>
          <w:rFonts w:cs="Arial"/>
          <w:iCs/>
          <w:szCs w:val="24"/>
          <w:u w:val="none"/>
        </w:rPr>
      </w:pPr>
      <w:r>
        <w:rPr>
          <w:u w:val="none"/>
        </w:rPr>
        <w:t xml:space="preserve">Sont considérées comme charges administratives toutes les tâches d’ordre administratif que doivent mener à bien les entreprises et les citoyennes et citoyens afin de répondre aux obligations découlant de la réglementation. </w:t>
      </w:r>
    </w:p>
    <w:p w14:paraId="61B58132" w14:textId="77777777" w:rsidR="00676019" w:rsidRPr="00DC6D3D" w:rsidRDefault="00676019" w:rsidP="00F4239E">
      <w:pPr>
        <w:pStyle w:val="Heading4"/>
        <w:keepNext w:val="0"/>
        <w:numPr>
          <w:ilvl w:val="0"/>
          <w:numId w:val="0"/>
        </w:numPr>
        <w:rPr>
          <w:rFonts w:cs="Arial"/>
          <w:iCs/>
          <w:szCs w:val="24"/>
          <w:u w:val="none"/>
        </w:rPr>
      </w:pPr>
      <w:r>
        <w:rPr>
          <w:u w:val="none"/>
        </w:rPr>
        <w:t>Du point de vue des charges administratives éventuelles entraînées par le projet, l’article 2, paragraphe 1, point e), du décret royal nº 931/2017 du 27 octobre 2017 portant réglementation du rapport d’analyse d’impact réglementaire, impose qu’en son cadre soient effectuées une</w:t>
      </w:r>
      <w:proofErr w:type="gramStart"/>
      <w:r>
        <w:rPr>
          <w:u w:val="none"/>
        </w:rPr>
        <w:t xml:space="preserve"> «identification</w:t>
      </w:r>
      <w:proofErr w:type="gramEnd"/>
      <w:r>
        <w:rPr>
          <w:u w:val="none"/>
        </w:rPr>
        <w:t xml:space="preserve"> et une mesure desdites charges administratives». </w:t>
      </w:r>
    </w:p>
    <w:p w14:paraId="0B2A3FDF" w14:textId="2CB64C73" w:rsidR="001B01CF" w:rsidRPr="00E52DAD" w:rsidRDefault="00676019" w:rsidP="001B01CF">
      <w:pPr>
        <w:pStyle w:val="ListParagraph"/>
        <w:ind w:left="0"/>
        <w:rPr>
          <w:spacing w:val="-4"/>
        </w:rPr>
      </w:pPr>
      <w:r w:rsidRPr="00E52DAD">
        <w:rPr>
          <w:spacing w:val="-4"/>
        </w:rPr>
        <w:t>Ainsi, une analyse préliminaire de l</w:t>
      </w:r>
      <w:r w:rsidR="00DD2821" w:rsidRPr="00E52DAD">
        <w:rPr>
          <w:spacing w:val="-4"/>
        </w:rPr>
        <w:t>’</w:t>
      </w:r>
      <w:r w:rsidRPr="00E52DAD">
        <w:rPr>
          <w:spacing w:val="-4"/>
        </w:rPr>
        <w:t>impact du projet a identifié que la principale augmentation des charges administratives pour les opérateurs du secteur découlera de l</w:t>
      </w:r>
      <w:r w:rsidR="00DD2821" w:rsidRPr="00E52DAD">
        <w:rPr>
          <w:spacing w:val="-4"/>
        </w:rPr>
        <w:t>’</w:t>
      </w:r>
      <w:r w:rsidRPr="00E52DAD">
        <w:rPr>
          <w:spacing w:val="-4"/>
        </w:rPr>
        <w:t>obligation de notifier les mouvements des huiles d</w:t>
      </w:r>
      <w:r w:rsidR="00DD2821" w:rsidRPr="00E52DAD">
        <w:rPr>
          <w:spacing w:val="-4"/>
        </w:rPr>
        <w:t>’</w:t>
      </w:r>
      <w:r w:rsidRPr="00E52DAD">
        <w:rPr>
          <w:spacing w:val="-4"/>
        </w:rPr>
        <w:t>olive et de grignons d</w:t>
      </w:r>
      <w:r w:rsidR="00DD2821" w:rsidRPr="00E52DAD">
        <w:rPr>
          <w:spacing w:val="-4"/>
        </w:rPr>
        <w:t>’</w:t>
      </w:r>
      <w:r w:rsidRPr="00E52DAD">
        <w:rPr>
          <w:spacing w:val="-4"/>
        </w:rPr>
        <w:t>olive, prévue dans l</w:t>
      </w:r>
      <w:r w:rsidR="00DD2821" w:rsidRPr="00E52DAD">
        <w:rPr>
          <w:spacing w:val="-4"/>
        </w:rPr>
        <w:t>’</w:t>
      </w:r>
      <w:r w:rsidRPr="00E52DAD">
        <w:rPr>
          <w:spacing w:val="-4"/>
        </w:rPr>
        <w:t>article</w:t>
      </w:r>
      <w:r w:rsidR="00066C2B" w:rsidRPr="00E52DAD">
        <w:rPr>
          <w:spacing w:val="-4"/>
        </w:rPr>
        <w:t> </w:t>
      </w:r>
      <w:r w:rsidRPr="00E52DAD">
        <w:rPr>
          <w:spacing w:val="-4"/>
        </w:rPr>
        <w:t>4, paragraphe</w:t>
      </w:r>
      <w:r w:rsidR="00066C2B" w:rsidRPr="00E52DAD">
        <w:rPr>
          <w:spacing w:val="-4"/>
        </w:rPr>
        <w:t> </w:t>
      </w:r>
      <w:r w:rsidRPr="00E52DAD">
        <w:rPr>
          <w:spacing w:val="-4"/>
        </w:rPr>
        <w:t>3, via le système informatisé dédié. Selon des sources officielles (agence en charge de l</w:t>
      </w:r>
      <w:r w:rsidR="00DD2821" w:rsidRPr="00E52DAD">
        <w:rPr>
          <w:spacing w:val="-4"/>
        </w:rPr>
        <w:t>’</w:t>
      </w:r>
      <w:r w:rsidRPr="00E52DAD">
        <w:rPr>
          <w:spacing w:val="-4"/>
        </w:rPr>
        <w:t>information et du contrôle des denrées alimentaires), la quantité d</w:t>
      </w:r>
      <w:r w:rsidR="00DD2821" w:rsidRPr="00E52DAD">
        <w:rPr>
          <w:spacing w:val="-4"/>
        </w:rPr>
        <w:t>’</w:t>
      </w:r>
      <w:r w:rsidRPr="00E52DAD">
        <w:rPr>
          <w:spacing w:val="-4"/>
        </w:rPr>
        <w:t>huile d</w:t>
      </w:r>
      <w:r w:rsidR="00DD2821" w:rsidRPr="00E52DAD">
        <w:rPr>
          <w:spacing w:val="-4"/>
        </w:rPr>
        <w:t>’</w:t>
      </w:r>
      <w:r w:rsidRPr="00E52DAD">
        <w:rPr>
          <w:spacing w:val="-4"/>
        </w:rPr>
        <w:t>olive et de grignons d</w:t>
      </w:r>
      <w:r w:rsidR="00DD2821" w:rsidRPr="00E52DAD">
        <w:rPr>
          <w:spacing w:val="-4"/>
        </w:rPr>
        <w:t>’</w:t>
      </w:r>
      <w:r w:rsidRPr="00E52DAD">
        <w:rPr>
          <w:spacing w:val="-4"/>
        </w:rPr>
        <w:t>olive déclarée via le système d</w:t>
      </w:r>
      <w:r w:rsidR="00DD2821" w:rsidRPr="00E52DAD">
        <w:rPr>
          <w:spacing w:val="-4"/>
        </w:rPr>
        <w:t>’</w:t>
      </w:r>
      <w:r w:rsidRPr="00E52DAD">
        <w:rPr>
          <w:spacing w:val="-4"/>
        </w:rPr>
        <w:t>information sur le marché de l</w:t>
      </w:r>
      <w:r w:rsidR="00DD2821" w:rsidRPr="00E52DAD">
        <w:rPr>
          <w:spacing w:val="-4"/>
        </w:rPr>
        <w:t>’</w:t>
      </w:r>
      <w:r w:rsidRPr="00E52DAD">
        <w:rPr>
          <w:spacing w:val="-4"/>
        </w:rPr>
        <w:t>olive (SIMO) s’élève à 4</w:t>
      </w:r>
      <w:r w:rsidR="00066C2B" w:rsidRPr="00E52DAD">
        <w:rPr>
          <w:spacing w:val="-4"/>
        </w:rPr>
        <w:t> </w:t>
      </w:r>
      <w:r w:rsidRPr="00E52DAD">
        <w:rPr>
          <w:spacing w:val="-4"/>
        </w:rPr>
        <w:t>millions de tonnes. Compte tenu du fait que la capacité de la citerne d’un camion de transport est de 20</w:t>
      </w:r>
      <w:r w:rsidR="00066C2B" w:rsidRPr="00E52DAD">
        <w:rPr>
          <w:spacing w:val="-4"/>
        </w:rPr>
        <w:t> </w:t>
      </w:r>
      <w:r w:rsidRPr="00E52DAD">
        <w:rPr>
          <w:spacing w:val="-4"/>
        </w:rPr>
        <w:t>tonnes, on estime que 200 000</w:t>
      </w:r>
      <w:r w:rsidR="00066C2B" w:rsidRPr="00E52DAD">
        <w:rPr>
          <w:spacing w:val="-4"/>
        </w:rPr>
        <w:t> </w:t>
      </w:r>
      <w:r w:rsidRPr="00E52DAD">
        <w:rPr>
          <w:spacing w:val="-4"/>
        </w:rPr>
        <w:t>mouvements devront être notifiés au système tous les ans. Le coût du dépôt électronique étant estimé à 2</w:t>
      </w:r>
      <w:r w:rsidR="00DD2821" w:rsidRPr="00E52DAD">
        <w:rPr>
          <w:spacing w:val="-4"/>
        </w:rPr>
        <w:t> </w:t>
      </w:r>
      <w:r w:rsidRPr="00E52DAD">
        <w:rPr>
          <w:spacing w:val="-4"/>
        </w:rPr>
        <w:t>euros, les charges administratives découlant de cette mesure sont chiffrées à 400 000</w:t>
      </w:r>
      <w:r w:rsidR="00DD2821" w:rsidRPr="00E52DAD">
        <w:rPr>
          <w:spacing w:val="-4"/>
        </w:rPr>
        <w:t> </w:t>
      </w:r>
      <w:r w:rsidRPr="00E52DAD">
        <w:rPr>
          <w:spacing w:val="-4"/>
        </w:rPr>
        <w:t>euros par an.</w:t>
      </w:r>
    </w:p>
    <w:p w14:paraId="6EE10648" w14:textId="77777777" w:rsidR="001B01CF" w:rsidRPr="00DC6D3D" w:rsidRDefault="001B01CF" w:rsidP="001B01CF">
      <w:pPr>
        <w:pStyle w:val="ListParagraph"/>
        <w:ind w:left="0"/>
        <w:rPr>
          <w:lang w:val="es-ES"/>
        </w:rPr>
      </w:pPr>
    </w:p>
    <w:p w14:paraId="49BAE1CE" w14:textId="30E9C0C6" w:rsidR="00965209" w:rsidRPr="00DC6D3D" w:rsidRDefault="001B01CF" w:rsidP="00965209">
      <w:pPr>
        <w:pStyle w:val="ListParagraph"/>
        <w:ind w:left="0"/>
      </w:pPr>
      <w:r>
        <w:t>Cette norme entraîne également des charges administratives supplémentaires pour les entreprises abritant un moulin à huile, une raffinerie ou un extracteur d</w:t>
      </w:r>
      <w:r w:rsidR="00DD2821">
        <w:t>’</w:t>
      </w:r>
      <w:r>
        <w:t>huile de grignons qui ne sont pas séparés avant l</w:t>
      </w:r>
      <w:r w:rsidR="00DD2821">
        <w:t>’</w:t>
      </w:r>
      <w:r>
        <w:t>entrée en vigueur de la norme. Pour ces dernières, il conviendra en effet de présenter à l</w:t>
      </w:r>
      <w:r w:rsidR="00DD2821">
        <w:t>’</w:t>
      </w:r>
      <w:r>
        <w:t>autorité de contrôle compétente un rapport annuel des registres de traçabilité indiquant clairement les soldes des masses pour chaque catégorie d</w:t>
      </w:r>
      <w:r w:rsidR="00DD2821">
        <w:t>’</w:t>
      </w:r>
      <w:r>
        <w:t>huile produite, stockée ou commercialisée, comme prévu à l</w:t>
      </w:r>
      <w:r w:rsidR="00DD2821">
        <w:t>’</w:t>
      </w:r>
      <w:r>
        <w:t>article</w:t>
      </w:r>
      <w:r w:rsidR="00066C2B">
        <w:t> </w:t>
      </w:r>
      <w:r>
        <w:t>4, paragraphe</w:t>
      </w:r>
      <w:r w:rsidR="00066C2B">
        <w:t> </w:t>
      </w:r>
      <w:r>
        <w:t>4. Selon des sources officielles (agence en charge de l</w:t>
      </w:r>
      <w:r w:rsidR="00DD2821">
        <w:t>’</w:t>
      </w:r>
      <w:r>
        <w:t>information et du contrôle des denrées alimentaires), 23</w:t>
      </w:r>
      <w:r w:rsidR="00066C2B">
        <w:t> </w:t>
      </w:r>
      <w:r>
        <w:t>entreprises en Espagne ne répondent pas aux exigences de la norme en matière d</w:t>
      </w:r>
      <w:r w:rsidR="00DD2821">
        <w:t>’</w:t>
      </w:r>
      <w:r>
        <w:t>installations et devront donc soumettre un rapport annuel des registres de traçabilité interne à l’autorité compétente. Le coût unitaire estimé de la remise d</w:t>
      </w:r>
      <w:r w:rsidR="00DD2821">
        <w:t>’</w:t>
      </w:r>
      <w:r>
        <w:t>un tel rapport est estimé à 500</w:t>
      </w:r>
      <w:r w:rsidR="00DD2821">
        <w:t> </w:t>
      </w:r>
      <w:r>
        <w:t>euros selon les lignes directrices de calcul. Par conséquent, les charges administratives dérivées de cette mesure sont chiffrées à 11 500</w:t>
      </w:r>
      <w:r w:rsidR="00DD2821">
        <w:t> </w:t>
      </w:r>
      <w:r>
        <w:t xml:space="preserve">euros par an pour l’ensemble du secteur. </w:t>
      </w:r>
    </w:p>
    <w:p w14:paraId="21757A2C" w14:textId="77777777" w:rsidR="00A54AFA" w:rsidRPr="00DC6D3D" w:rsidRDefault="00A54AFA" w:rsidP="00965209">
      <w:pPr>
        <w:pStyle w:val="ListParagraph"/>
        <w:ind w:left="0"/>
        <w:rPr>
          <w:lang w:val="es-ES"/>
        </w:rPr>
      </w:pPr>
    </w:p>
    <w:p w14:paraId="32DCB7C3" w14:textId="03352D28" w:rsidR="00A54AFA" w:rsidRPr="00E52DAD" w:rsidRDefault="00A54AFA" w:rsidP="00E52DAD">
      <w:pPr>
        <w:pStyle w:val="ListParagraph"/>
        <w:keepNext/>
        <w:keepLines/>
        <w:ind w:left="0"/>
        <w:rPr>
          <w:spacing w:val="-2"/>
        </w:rPr>
      </w:pPr>
      <w:r w:rsidRPr="00E52DAD">
        <w:rPr>
          <w:spacing w:val="-2"/>
        </w:rPr>
        <w:lastRenderedPageBreak/>
        <w:t>L</w:t>
      </w:r>
      <w:r w:rsidR="00DD2821" w:rsidRPr="00E52DAD">
        <w:rPr>
          <w:spacing w:val="-2"/>
        </w:rPr>
        <w:t>’</w:t>
      </w:r>
      <w:r w:rsidRPr="00E52DAD">
        <w:rPr>
          <w:spacing w:val="-2"/>
        </w:rPr>
        <w:t>obligation de tenir un registre de traçabilité interne ne se traduit pas par une augmentation des charges administratives. En effet, bien qu</w:t>
      </w:r>
      <w:r w:rsidR="00DD2821" w:rsidRPr="00E52DAD">
        <w:rPr>
          <w:spacing w:val="-2"/>
        </w:rPr>
        <w:t>’</w:t>
      </w:r>
      <w:r w:rsidRPr="00E52DAD">
        <w:rPr>
          <w:spacing w:val="-2"/>
        </w:rPr>
        <w:t>il s</w:t>
      </w:r>
      <w:r w:rsidR="00DD2821" w:rsidRPr="00E52DAD">
        <w:rPr>
          <w:spacing w:val="-2"/>
        </w:rPr>
        <w:t>’</w:t>
      </w:r>
      <w:r w:rsidRPr="00E52DAD">
        <w:rPr>
          <w:spacing w:val="-2"/>
        </w:rPr>
        <w:t>agisse d</w:t>
      </w:r>
      <w:r w:rsidR="00DD2821" w:rsidRPr="00E52DAD">
        <w:rPr>
          <w:spacing w:val="-2"/>
        </w:rPr>
        <w:t>’</w:t>
      </w:r>
      <w:r w:rsidRPr="00E52DAD">
        <w:rPr>
          <w:spacing w:val="-2"/>
        </w:rPr>
        <w:t>une nouvelle obligation, la tenue de tels registres a été rendue obligatoire par les dispositions du règlement (CE) n° 178/2002 du Parlement européen et du Conseil du 28</w:t>
      </w:r>
      <w:r w:rsidR="00DD2821" w:rsidRPr="00E52DAD">
        <w:rPr>
          <w:spacing w:val="-2"/>
        </w:rPr>
        <w:t> </w:t>
      </w:r>
      <w:r w:rsidRPr="00E52DAD">
        <w:rPr>
          <w:spacing w:val="-2"/>
        </w:rPr>
        <w:t>janvier</w:t>
      </w:r>
      <w:r w:rsidR="00DD2821" w:rsidRPr="00E52DAD">
        <w:rPr>
          <w:spacing w:val="-2"/>
        </w:rPr>
        <w:t> </w:t>
      </w:r>
      <w:r w:rsidRPr="00E52DAD">
        <w:rPr>
          <w:spacing w:val="-2"/>
        </w:rPr>
        <w:t>2002. L’introduction de cette exigence n</w:t>
      </w:r>
      <w:r w:rsidR="00DD2821" w:rsidRPr="00E52DAD">
        <w:rPr>
          <w:spacing w:val="-2"/>
        </w:rPr>
        <w:t>’</w:t>
      </w:r>
      <w:r w:rsidRPr="00E52DAD">
        <w:rPr>
          <w:spacing w:val="-2"/>
        </w:rPr>
        <w:t>est donc pas considérée comme une charge administrative supplémentaire pour les entreprises et les citoyens. Par ailleurs, le décret royal n° 861/2018 du 13</w:t>
      </w:r>
      <w:r w:rsidR="00DD2821" w:rsidRPr="00E52DAD">
        <w:rPr>
          <w:spacing w:val="-2"/>
        </w:rPr>
        <w:t> </w:t>
      </w:r>
      <w:r w:rsidRPr="00E52DAD">
        <w:rPr>
          <w:spacing w:val="-2"/>
        </w:rPr>
        <w:t>juillet</w:t>
      </w:r>
      <w:r w:rsidR="00DD2821" w:rsidRPr="00E52DAD">
        <w:rPr>
          <w:spacing w:val="-2"/>
        </w:rPr>
        <w:t> </w:t>
      </w:r>
      <w:r w:rsidRPr="00E52DAD">
        <w:rPr>
          <w:spacing w:val="-2"/>
        </w:rPr>
        <w:t>2018 fixant les règles de base en matière de déclarations obligatoires pour les secteurs de l</w:t>
      </w:r>
      <w:r w:rsidR="00DD2821" w:rsidRPr="00E52DAD">
        <w:rPr>
          <w:spacing w:val="-2"/>
        </w:rPr>
        <w:t>’</w:t>
      </w:r>
      <w:r w:rsidRPr="00E52DAD">
        <w:rPr>
          <w:spacing w:val="-2"/>
        </w:rPr>
        <w:t>huile d</w:t>
      </w:r>
      <w:r w:rsidR="00DD2821" w:rsidRPr="00E52DAD">
        <w:rPr>
          <w:spacing w:val="-2"/>
        </w:rPr>
        <w:t>’</w:t>
      </w:r>
      <w:r w:rsidRPr="00E52DAD">
        <w:rPr>
          <w:spacing w:val="-2"/>
        </w:rPr>
        <w:t>olive et des olives de table, et modifiant le décret royal n° 772/2017 du 28</w:t>
      </w:r>
      <w:r w:rsidR="00DD2821" w:rsidRPr="00E52DAD">
        <w:rPr>
          <w:spacing w:val="-2"/>
        </w:rPr>
        <w:t> </w:t>
      </w:r>
      <w:r w:rsidRPr="00E52DAD">
        <w:rPr>
          <w:spacing w:val="-2"/>
        </w:rPr>
        <w:t>juillet</w:t>
      </w:r>
      <w:r w:rsidR="00DD2821" w:rsidRPr="00E52DAD">
        <w:rPr>
          <w:spacing w:val="-2"/>
        </w:rPr>
        <w:t> </w:t>
      </w:r>
      <w:r w:rsidRPr="00E52DAD">
        <w:rPr>
          <w:spacing w:val="-2"/>
        </w:rPr>
        <w:t>2017 régissant le potentiel de production viticole, établit les informations qui doivent être notifiées au système d</w:t>
      </w:r>
      <w:r w:rsidR="00DD2821" w:rsidRPr="00E52DAD">
        <w:rPr>
          <w:spacing w:val="-2"/>
        </w:rPr>
        <w:t>’</w:t>
      </w:r>
      <w:r w:rsidRPr="00E52DAD">
        <w:rPr>
          <w:spacing w:val="-2"/>
        </w:rPr>
        <w:t>information sur le marché de l</w:t>
      </w:r>
      <w:r w:rsidR="00DD2821" w:rsidRPr="00E52DAD">
        <w:rPr>
          <w:spacing w:val="-2"/>
        </w:rPr>
        <w:t>’</w:t>
      </w:r>
      <w:r w:rsidRPr="00E52DAD">
        <w:rPr>
          <w:spacing w:val="-2"/>
        </w:rPr>
        <w:t>olive (SIMO). Bien que ces informations soient communiquées sur une base mensuelle, l</w:t>
      </w:r>
      <w:r w:rsidR="00DD2821" w:rsidRPr="00E52DAD">
        <w:rPr>
          <w:spacing w:val="-2"/>
        </w:rPr>
        <w:t>’</w:t>
      </w:r>
      <w:r w:rsidRPr="00E52DAD">
        <w:rPr>
          <w:spacing w:val="-2"/>
        </w:rPr>
        <w:t>article</w:t>
      </w:r>
      <w:r w:rsidR="00066C2B" w:rsidRPr="00E52DAD">
        <w:rPr>
          <w:spacing w:val="-2"/>
        </w:rPr>
        <w:t> </w:t>
      </w:r>
      <w:r w:rsidRPr="00E52DAD">
        <w:rPr>
          <w:spacing w:val="-2"/>
        </w:rPr>
        <w:t>11 établit l</w:t>
      </w:r>
      <w:r w:rsidR="00DD2821" w:rsidRPr="00E52DAD">
        <w:rPr>
          <w:spacing w:val="-2"/>
        </w:rPr>
        <w:t>’</w:t>
      </w:r>
      <w:r w:rsidRPr="00E52DAD">
        <w:rPr>
          <w:spacing w:val="-2"/>
        </w:rPr>
        <w:t>obligation de disposer du support documentaire présenté à l’annexe XI dudit décret. Cette annexe XI exige la comptabilisation quotidienne des entrées d</w:t>
      </w:r>
      <w:r w:rsidR="00DD2821" w:rsidRPr="00E52DAD">
        <w:rPr>
          <w:spacing w:val="-2"/>
        </w:rPr>
        <w:t>’</w:t>
      </w:r>
      <w:r w:rsidRPr="00E52DAD">
        <w:rPr>
          <w:spacing w:val="-2"/>
        </w:rPr>
        <w:t>olive, des entrées et des sorties d</w:t>
      </w:r>
      <w:r w:rsidR="00DD2821" w:rsidRPr="00E52DAD">
        <w:rPr>
          <w:spacing w:val="-2"/>
        </w:rPr>
        <w:t>’</w:t>
      </w:r>
      <w:r w:rsidRPr="00E52DAD">
        <w:rPr>
          <w:spacing w:val="-2"/>
        </w:rPr>
        <w:t>huile, et des sorties de grignons). Pour toutes ces raisons, la tenue dudit registre de traçabilité n’entraîne pas de charges supplémentaires pour les entreprises.</w:t>
      </w:r>
    </w:p>
    <w:p w14:paraId="58827C25" w14:textId="77777777" w:rsidR="00676019" w:rsidRPr="00DC6D3D" w:rsidRDefault="00676019" w:rsidP="00676019">
      <w:pPr>
        <w:pStyle w:val="Heading4"/>
        <w:numPr>
          <w:ilvl w:val="0"/>
          <w:numId w:val="0"/>
        </w:numPr>
      </w:pPr>
      <w:r>
        <w:rPr>
          <w:u w:val="none"/>
        </w:rPr>
        <w:t xml:space="preserve">1.4 </w:t>
      </w:r>
      <w:r>
        <w:t>Impact budgétaire</w:t>
      </w:r>
    </w:p>
    <w:p w14:paraId="20E17C26" w14:textId="28F9AADA" w:rsidR="00676019" w:rsidRPr="00DC6D3D" w:rsidRDefault="00052E33" w:rsidP="00676019">
      <w:pPr>
        <w:spacing w:before="100" w:beforeAutospacing="1" w:after="100" w:afterAutospacing="1"/>
        <w:rPr>
          <w:rFonts w:cs="Arial"/>
          <w:szCs w:val="24"/>
        </w:rPr>
      </w:pPr>
      <w:r>
        <w:t>Ce projet réglementaire est une mise à jour du décret royal n° 308/1983 afin de l’adapter aux progrès technologiques. Il n’implique pas d</w:t>
      </w:r>
      <w:r w:rsidR="00DD2821">
        <w:t>’</w:t>
      </w:r>
      <w:r>
        <w:t>augmentation des indemnités, des salaires, ni d’autres dépenses de personnel.</w:t>
      </w:r>
    </w:p>
    <w:p w14:paraId="05647614" w14:textId="47ABB675" w:rsidR="00052E33" w:rsidRPr="00DC6D3D" w:rsidRDefault="00052E33" w:rsidP="00676019">
      <w:pPr>
        <w:spacing w:before="100" w:beforeAutospacing="1" w:after="100" w:afterAutospacing="1"/>
      </w:pPr>
      <w:r>
        <w:t>L</w:t>
      </w:r>
      <w:r w:rsidR="00DD2821">
        <w:t>’</w:t>
      </w:r>
      <w:r>
        <w:t>application du présent décret royal implique toutefois le développement par le ministère de l</w:t>
      </w:r>
      <w:r w:rsidR="00DD2821">
        <w:t>’</w:t>
      </w:r>
      <w:r>
        <w:t>agriculture, de la pêche et de l</w:t>
      </w:r>
      <w:r w:rsidR="00DD2821">
        <w:t>’</w:t>
      </w:r>
      <w:r>
        <w:t>alimentation du système informatisé de notification des transports des huiles d</w:t>
      </w:r>
      <w:r w:rsidR="00DD2821">
        <w:t>’</w:t>
      </w:r>
      <w:r>
        <w:t>olive et de grignons d</w:t>
      </w:r>
      <w:r w:rsidR="00DD2821">
        <w:t>’</w:t>
      </w:r>
      <w:r>
        <w:t>olive. Sa mise en œuvre et sa gestion seront réalisées avec les ressources financières et humaines du ministère de l</w:t>
      </w:r>
      <w:r w:rsidR="00DD2821">
        <w:t>’</w:t>
      </w:r>
      <w:r>
        <w:t>agriculture, de la pêche et de l</w:t>
      </w:r>
      <w:r w:rsidR="00DD2821">
        <w:t>’</w:t>
      </w:r>
      <w:r>
        <w:t>alimentation.</w:t>
      </w:r>
    </w:p>
    <w:p w14:paraId="7A12A08C" w14:textId="77777777" w:rsidR="00676019" w:rsidRPr="00DC6D3D" w:rsidRDefault="00676019" w:rsidP="00676019">
      <w:pPr>
        <w:pStyle w:val="Heading3"/>
        <w:numPr>
          <w:ilvl w:val="0"/>
          <w:numId w:val="0"/>
        </w:numPr>
        <w:spacing w:before="480"/>
        <w:rPr>
          <w:color w:val="auto"/>
        </w:rPr>
      </w:pPr>
      <w:r>
        <w:rPr>
          <w:color w:val="auto"/>
          <w:u w:val="none"/>
        </w:rPr>
        <w:t xml:space="preserve">2. </w:t>
      </w:r>
      <w:r>
        <w:rPr>
          <w:color w:val="auto"/>
        </w:rPr>
        <w:t>Impact selon le genre</w:t>
      </w:r>
    </w:p>
    <w:p w14:paraId="37A61F69" w14:textId="11A498C0" w:rsidR="00676019" w:rsidRPr="00DC6D3D" w:rsidRDefault="000951E1" w:rsidP="00676019">
      <w:pPr>
        <w:rPr>
          <w:rFonts w:cs="Arial"/>
          <w:szCs w:val="24"/>
        </w:rPr>
      </w:pPr>
      <w:r>
        <w:t>En vertu des dispositions de la loi n° 30/2003 du 13</w:t>
      </w:r>
      <w:r w:rsidR="00DD2821">
        <w:t> </w:t>
      </w:r>
      <w:r>
        <w:t>octobre</w:t>
      </w:r>
      <w:r w:rsidR="00DD2821">
        <w:t> </w:t>
      </w:r>
      <w:r>
        <w:t>2003 relative aux mesures visant à intégrer l</w:t>
      </w:r>
      <w:r w:rsidR="00DD2821">
        <w:t>’</w:t>
      </w:r>
      <w:r>
        <w:t>évaluation de l</w:t>
      </w:r>
      <w:r w:rsidR="00DD2821">
        <w:t>’</w:t>
      </w:r>
      <w:r>
        <w:t>impact selon le genre dans les dispositions réglementaires élaborées par le gouvernement, et de l</w:t>
      </w:r>
      <w:r w:rsidR="00DD2821">
        <w:t>’</w:t>
      </w:r>
      <w:r>
        <w:t>article</w:t>
      </w:r>
      <w:r w:rsidR="00066C2B">
        <w:t> </w:t>
      </w:r>
      <w:r>
        <w:t>19 de la loi organique n° 3/2007 du 22</w:t>
      </w:r>
      <w:r w:rsidR="00DD2821">
        <w:t> </w:t>
      </w:r>
      <w:r>
        <w:t>mars</w:t>
      </w:r>
      <w:r w:rsidR="00DD2821">
        <w:t> </w:t>
      </w:r>
      <w:r>
        <w:t>2007 pour une égalité effective entre les femmes et les hommes, nous constatons que ce projet de décret royal a un impact nul sur le genre, et ne contient aucune mesure discriminatoire fondée sur le sexe, susceptible de manquer, de quelque manière que ce soit, au principe d</w:t>
      </w:r>
      <w:r w:rsidR="00DD2821">
        <w:t>’</w:t>
      </w:r>
      <w:r>
        <w:t>égalité des chances entre les hommes et les femmes.</w:t>
      </w:r>
    </w:p>
    <w:p w14:paraId="7B0FBF0E" w14:textId="77777777" w:rsidR="000337D8" w:rsidRPr="00DC6D3D" w:rsidRDefault="000337D8" w:rsidP="00676019">
      <w:pPr>
        <w:rPr>
          <w:rFonts w:cs="Arial"/>
          <w:b/>
          <w:i/>
          <w:iCs/>
          <w:szCs w:val="24"/>
        </w:rPr>
      </w:pPr>
    </w:p>
    <w:p w14:paraId="262179F8" w14:textId="1E3DF70B" w:rsidR="00676019" w:rsidRPr="00DC6D3D" w:rsidRDefault="00676019" w:rsidP="00F4239E">
      <w:pPr>
        <w:keepNext/>
        <w:rPr>
          <w:b/>
          <w:szCs w:val="24"/>
          <w:u w:val="single"/>
        </w:rPr>
      </w:pPr>
      <w:r>
        <w:rPr>
          <w:b/>
        </w:rPr>
        <w:t xml:space="preserve">3. </w:t>
      </w:r>
      <w:r>
        <w:rPr>
          <w:b/>
          <w:u w:val="single"/>
        </w:rPr>
        <w:t>Impact en termes d</w:t>
      </w:r>
      <w:r w:rsidR="00DD2821">
        <w:rPr>
          <w:b/>
          <w:u w:val="single"/>
        </w:rPr>
        <w:t>’</w:t>
      </w:r>
      <w:r>
        <w:rPr>
          <w:b/>
          <w:u w:val="single"/>
        </w:rPr>
        <w:t>égalité des chances, de non-discrimination et d</w:t>
      </w:r>
      <w:r w:rsidR="00DD2821">
        <w:rPr>
          <w:b/>
          <w:u w:val="single"/>
        </w:rPr>
        <w:t>’</w:t>
      </w:r>
      <w:r>
        <w:rPr>
          <w:b/>
          <w:u w:val="single"/>
        </w:rPr>
        <w:t>accessibilité universelle des personnes handicapées</w:t>
      </w:r>
    </w:p>
    <w:p w14:paraId="6D50D890" w14:textId="77777777" w:rsidR="00676019" w:rsidRPr="00DC6D3D" w:rsidRDefault="00676019" w:rsidP="00676019">
      <w:pPr>
        <w:pStyle w:val="FootnoteText"/>
        <w:tabs>
          <w:tab w:val="left" w:pos="-2552"/>
        </w:tabs>
        <w:rPr>
          <w:rFonts w:cs="Arial"/>
          <w:szCs w:val="24"/>
        </w:rPr>
      </w:pPr>
      <w:r>
        <w:t>Le projet de décret royal n’a aucun impact en ce qui concerne l’environnement, l’égalité des chances, la discrimination et l’accessibilité universelle des personnes handicapées.</w:t>
      </w:r>
    </w:p>
    <w:p w14:paraId="5190F25D" w14:textId="77777777" w:rsidR="00676019" w:rsidRPr="00DC6D3D" w:rsidRDefault="00676019" w:rsidP="00676019">
      <w:pPr>
        <w:rPr>
          <w:rFonts w:cs="Arial"/>
          <w:b/>
          <w:bCs/>
          <w:i/>
          <w:iCs/>
          <w:szCs w:val="24"/>
        </w:rPr>
      </w:pPr>
    </w:p>
    <w:p w14:paraId="40AEC2E9" w14:textId="77777777" w:rsidR="00676019" w:rsidRPr="00DC6D3D" w:rsidRDefault="00676019" w:rsidP="00F4239E">
      <w:pPr>
        <w:keepNext/>
        <w:rPr>
          <w:rFonts w:cs="Arial"/>
          <w:b/>
          <w:bCs/>
          <w:iCs/>
          <w:szCs w:val="24"/>
          <w:u w:val="single"/>
        </w:rPr>
      </w:pPr>
      <w:r>
        <w:rPr>
          <w:b/>
        </w:rPr>
        <w:lastRenderedPageBreak/>
        <w:t>4.</w:t>
      </w:r>
      <w:r>
        <w:rPr>
          <w:b/>
          <w:i/>
        </w:rPr>
        <w:t xml:space="preserve"> </w:t>
      </w:r>
      <w:r>
        <w:rPr>
          <w:b/>
          <w:u w:val="single"/>
        </w:rPr>
        <w:t>Impact sur la famille</w:t>
      </w:r>
    </w:p>
    <w:p w14:paraId="0B78386B" w14:textId="131768CD" w:rsidR="00676019" w:rsidRPr="00DC6D3D" w:rsidRDefault="00AD0578" w:rsidP="00676019">
      <w:pPr>
        <w:rPr>
          <w:rFonts w:cs="Arial"/>
          <w:szCs w:val="24"/>
        </w:rPr>
      </w:pPr>
      <w:r>
        <w:t>En vertu des exigences de la dixième disposition additionnelle de la loi n° 40/2003 du 18</w:t>
      </w:r>
      <w:r w:rsidR="00DD2821">
        <w:t> </w:t>
      </w:r>
      <w:r>
        <w:t>novembre</w:t>
      </w:r>
      <w:r w:rsidR="00DD2821">
        <w:t> </w:t>
      </w:r>
      <w:r>
        <w:t>2003 sur la protection des familles nombreuses, introduite par la loi n° 26/2015 du 28</w:t>
      </w:r>
      <w:r w:rsidR="00DD2821">
        <w:t> </w:t>
      </w:r>
      <w:r>
        <w:t>juillet</w:t>
      </w:r>
      <w:r w:rsidR="00DD2821">
        <w:t> </w:t>
      </w:r>
      <w:r>
        <w:t>2015 portant modification du système de protection de l</w:t>
      </w:r>
      <w:r w:rsidR="00DD2821">
        <w:t>’</w:t>
      </w:r>
      <w:r>
        <w:t>enfance et des adolescents, qui instaure l</w:t>
      </w:r>
      <w:r w:rsidR="00DD2821">
        <w:t>’</w:t>
      </w:r>
      <w:r>
        <w:t>obligation d</w:t>
      </w:r>
      <w:r w:rsidR="00DD2821">
        <w:t>’</w:t>
      </w:r>
      <w:r>
        <w:t>inclure l</w:t>
      </w:r>
      <w:r w:rsidR="00DD2821">
        <w:t>’</w:t>
      </w:r>
      <w:r>
        <w:t>impact sur la famille des réglementations et des lois dans les rapports d</w:t>
      </w:r>
      <w:r w:rsidR="00DD2821">
        <w:t>’</w:t>
      </w:r>
      <w:r>
        <w:t>analyse d</w:t>
      </w:r>
      <w:r w:rsidR="00DD2821">
        <w:t>’</w:t>
      </w:r>
      <w:r>
        <w:t xml:space="preserve">impact préalables à leur application, nous constatons que le présent décret ne présente aucun impact sur la famille. </w:t>
      </w:r>
    </w:p>
    <w:p w14:paraId="1E191732" w14:textId="77777777" w:rsidR="000337D8" w:rsidRPr="00DC6D3D" w:rsidRDefault="000337D8" w:rsidP="00676019">
      <w:pPr>
        <w:rPr>
          <w:rFonts w:cs="Arial"/>
          <w:b/>
          <w:bCs/>
          <w:iCs/>
          <w:szCs w:val="24"/>
          <w:u w:val="single"/>
        </w:rPr>
      </w:pPr>
    </w:p>
    <w:p w14:paraId="439BA717" w14:textId="77777777" w:rsidR="00676019" w:rsidRPr="00DC6D3D" w:rsidRDefault="00676019" w:rsidP="00F4239E">
      <w:pPr>
        <w:keepNext/>
        <w:rPr>
          <w:rFonts w:cs="Arial"/>
          <w:b/>
          <w:bCs/>
          <w:iCs/>
          <w:szCs w:val="24"/>
          <w:u w:val="single"/>
        </w:rPr>
      </w:pPr>
      <w:r>
        <w:rPr>
          <w:b/>
        </w:rPr>
        <w:t xml:space="preserve">5. </w:t>
      </w:r>
      <w:r>
        <w:rPr>
          <w:b/>
          <w:u w:val="single"/>
        </w:rPr>
        <w:t>Impact sur les enfants et les adolescents</w:t>
      </w:r>
    </w:p>
    <w:p w14:paraId="4565F399" w14:textId="4CBEF7E2" w:rsidR="00676019" w:rsidRPr="00DC6D3D" w:rsidRDefault="00676019" w:rsidP="00676019">
      <w:pPr>
        <w:rPr>
          <w:rFonts w:cs="Arial"/>
          <w:szCs w:val="24"/>
        </w:rPr>
      </w:pPr>
      <w:r>
        <w:t>Le projet de décret royal n</w:t>
      </w:r>
      <w:r w:rsidR="00DD2821">
        <w:t>’</w:t>
      </w:r>
      <w:r>
        <w:t>a pas d</w:t>
      </w:r>
      <w:r w:rsidR="00DD2821">
        <w:t>’</w:t>
      </w:r>
      <w:r>
        <w:t>impact sur la protection juridique des mineurs, établie par la loi organique n° 1/1996 du 15</w:t>
      </w:r>
      <w:r w:rsidR="00DD2821">
        <w:t> </w:t>
      </w:r>
      <w:r>
        <w:t>janvier</w:t>
      </w:r>
      <w:r w:rsidR="00DD2821">
        <w:t> </w:t>
      </w:r>
      <w:r>
        <w:t>1996 relative à la protection juridique des mineurs, modifiant partiellement le Code civil et le Code de procédure civile.</w:t>
      </w:r>
    </w:p>
    <w:p w14:paraId="733F110A" w14:textId="77777777" w:rsidR="00676019" w:rsidRPr="00DC6D3D" w:rsidRDefault="00676019" w:rsidP="00676019">
      <w:pPr>
        <w:rPr>
          <w:rFonts w:cs="Arial"/>
          <w:szCs w:val="24"/>
        </w:rPr>
      </w:pPr>
    </w:p>
    <w:p w14:paraId="557DB261" w14:textId="77777777" w:rsidR="00676019" w:rsidRPr="00DC6D3D" w:rsidRDefault="00676019" w:rsidP="00F4239E">
      <w:pPr>
        <w:keepNext/>
        <w:rPr>
          <w:rFonts w:cs="Arial"/>
          <w:b/>
          <w:bCs/>
          <w:iCs/>
          <w:szCs w:val="24"/>
          <w:u w:val="single"/>
        </w:rPr>
      </w:pPr>
      <w:r>
        <w:rPr>
          <w:b/>
        </w:rPr>
        <w:t>6.</w:t>
      </w:r>
      <w:r>
        <w:rPr>
          <w:b/>
          <w:i/>
        </w:rPr>
        <w:t xml:space="preserve"> </w:t>
      </w:r>
      <w:r>
        <w:rPr>
          <w:b/>
          <w:u w:val="single"/>
        </w:rPr>
        <w:t>Autres impacts</w:t>
      </w:r>
    </w:p>
    <w:p w14:paraId="523115EB" w14:textId="72DD6ADD" w:rsidR="00700BE5" w:rsidRPr="00E52DAD" w:rsidRDefault="00700BE5" w:rsidP="00700BE5">
      <w:pPr>
        <w:rPr>
          <w:rFonts w:cs="Arial"/>
          <w:iCs/>
          <w:spacing w:val="-4"/>
          <w:szCs w:val="24"/>
        </w:rPr>
      </w:pPr>
      <w:r w:rsidRPr="00E52DAD">
        <w:rPr>
          <w:spacing w:val="-4"/>
        </w:rPr>
        <w:t>Aucun impact n</w:t>
      </w:r>
      <w:r w:rsidR="00DD2821" w:rsidRPr="00E52DAD">
        <w:rPr>
          <w:spacing w:val="-4"/>
        </w:rPr>
        <w:t>’</w:t>
      </w:r>
      <w:r w:rsidRPr="00E52DAD">
        <w:rPr>
          <w:spacing w:val="-4"/>
        </w:rPr>
        <w:t>est prévu en termes d</w:t>
      </w:r>
      <w:r w:rsidR="00DD2821" w:rsidRPr="00E52DAD">
        <w:rPr>
          <w:spacing w:val="-4"/>
        </w:rPr>
        <w:t>’</w:t>
      </w:r>
      <w:r w:rsidRPr="00E52DAD">
        <w:rPr>
          <w:spacing w:val="-4"/>
        </w:rPr>
        <w:t>égalité des chances, de non-discrimination et d</w:t>
      </w:r>
      <w:r w:rsidR="00DD2821" w:rsidRPr="00E52DAD">
        <w:rPr>
          <w:spacing w:val="-4"/>
        </w:rPr>
        <w:t>’</w:t>
      </w:r>
      <w:r w:rsidRPr="00E52DAD">
        <w:rPr>
          <w:spacing w:val="-4"/>
        </w:rPr>
        <w:t>accessibilité universelle des personnes handicapées, au sens du texte consolidé de la loi générale sur les droits des personnes handicapées et sur leur inclusion sociale, approuvé par le décret législatif royal n° 1/2013 du 29</w:t>
      </w:r>
      <w:r w:rsidR="00DD2821" w:rsidRPr="00E52DAD">
        <w:rPr>
          <w:spacing w:val="-4"/>
        </w:rPr>
        <w:t> </w:t>
      </w:r>
      <w:r w:rsidRPr="00E52DAD">
        <w:rPr>
          <w:spacing w:val="-4"/>
        </w:rPr>
        <w:t>novembre</w:t>
      </w:r>
      <w:r w:rsidR="00DD2821" w:rsidRPr="00E52DAD">
        <w:rPr>
          <w:spacing w:val="-4"/>
        </w:rPr>
        <w:t> </w:t>
      </w:r>
      <w:r w:rsidRPr="00E52DAD">
        <w:rPr>
          <w:spacing w:val="-4"/>
        </w:rPr>
        <w:t>2013.</w:t>
      </w:r>
    </w:p>
    <w:p w14:paraId="4022BAAD" w14:textId="77777777" w:rsidR="000337D8" w:rsidRPr="00DC6D3D" w:rsidRDefault="00700BE5" w:rsidP="00700BE5">
      <w:pPr>
        <w:rPr>
          <w:rFonts w:cs="Arial"/>
          <w:iCs/>
          <w:szCs w:val="24"/>
        </w:rPr>
      </w:pPr>
      <w:r>
        <w:t>Aucun impact supplémentaire de nature sociale n’est attendu.</w:t>
      </w:r>
    </w:p>
    <w:p w14:paraId="0F6064AE" w14:textId="52896185" w:rsidR="00700BE5" w:rsidRPr="00DC6D3D" w:rsidRDefault="000337D8" w:rsidP="00700BE5">
      <w:pPr>
        <w:rPr>
          <w:rFonts w:cs="Arial"/>
          <w:iCs/>
          <w:szCs w:val="24"/>
        </w:rPr>
      </w:pPr>
      <w:r>
        <w:t>En ce qui concerne l</w:t>
      </w:r>
      <w:r w:rsidR="00DD2821">
        <w:t>’</w:t>
      </w:r>
      <w:r>
        <w:t>impact environnemental de cette norme, on estime que son approbation aura un impact positif, notamment grâce à l</w:t>
      </w:r>
      <w:r w:rsidR="00DD2821">
        <w:t>’</w:t>
      </w:r>
      <w:r>
        <w:t>interdiction de l</w:t>
      </w:r>
      <w:r w:rsidR="00DD2821">
        <w:t>’</w:t>
      </w:r>
      <w:r>
        <w:t>utilisation de récipients en plastique pour la commercialisation au détail d</w:t>
      </w:r>
      <w:r w:rsidR="00DD2821">
        <w:t>’</w:t>
      </w:r>
      <w:r>
        <w:t>huiles d</w:t>
      </w:r>
      <w:r w:rsidR="00DD2821">
        <w:t>’</w:t>
      </w:r>
      <w:r>
        <w:t>olive vierge extra, qui permettra de réduire l</w:t>
      </w:r>
      <w:r w:rsidR="00DD2821">
        <w:t>’</w:t>
      </w:r>
      <w:r>
        <w:t>utilisation de matières plastiques, dans la lignée des politiques de développement durable.</w:t>
      </w:r>
    </w:p>
    <w:p w14:paraId="000314EC" w14:textId="77777777" w:rsidR="00676019" w:rsidRPr="00DC6D3D" w:rsidRDefault="00676019" w:rsidP="00676019"/>
    <w:p w14:paraId="11464D92" w14:textId="77777777" w:rsidR="00676019" w:rsidRPr="00DC6D3D" w:rsidRDefault="00676019" w:rsidP="00F4239E">
      <w:pPr>
        <w:keepNext/>
        <w:rPr>
          <w:b/>
          <w:u w:val="single"/>
        </w:rPr>
      </w:pPr>
      <w:r>
        <w:rPr>
          <w:b/>
        </w:rPr>
        <w:t xml:space="preserve">VII. </w:t>
      </w:r>
      <w:r>
        <w:rPr>
          <w:b/>
          <w:u w:val="single"/>
        </w:rPr>
        <w:t>Évaluation ex post</w:t>
      </w:r>
    </w:p>
    <w:p w14:paraId="511A977B" w14:textId="77777777" w:rsidR="00C03AF0" w:rsidRPr="00DC6D3D" w:rsidRDefault="00676019" w:rsidP="00676019">
      <w:pPr>
        <w:rPr>
          <w:b/>
          <w:u w:val="single"/>
        </w:rPr>
      </w:pPr>
      <w:r>
        <w:t>Conformément aux dispositions de l’article 28, paragraphe 2, de la loi sur le gouvernement et de l’article 3 du décret royal nº 286/2017 du 24 mars 2017 réglementant le plan réglementaire annuel et le rapport annuel sur l’évaluation réglementaire de l’administration générale de l’État et créant le comité de planification et d’évaluation réglementaire, le projet de décret, en raison de sa nature et de son contenu, n’est pas concerné par l’obligation d’évaluation en fonction des résultats.</w:t>
      </w:r>
    </w:p>
    <w:sectPr w:rsidR="00C03AF0" w:rsidRPr="00DC6D3D" w:rsidSect="00C93C23">
      <w:headerReference w:type="default" r:id="rId10"/>
      <w:footerReference w:type="default" r:id="rId11"/>
      <w:footerReference w:type="first" r:id="rId12"/>
      <w:type w:val="continuous"/>
      <w:pgSz w:w="11906" w:h="16838" w:code="9"/>
      <w:pgMar w:top="1134" w:right="1418" w:bottom="1134" w:left="1418" w:header="289" w:footer="408" w:gutter="0"/>
      <w:cols w:space="720" w:equalWidth="0">
        <w:col w:w="856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049CD" w14:textId="77777777" w:rsidR="00BE5EC2" w:rsidRDefault="00BE5EC2">
      <w:r>
        <w:separator/>
      </w:r>
    </w:p>
  </w:endnote>
  <w:endnote w:type="continuationSeparator" w:id="0">
    <w:p w14:paraId="4803195E" w14:textId="77777777" w:rsidR="00BE5EC2" w:rsidRDefault="00BE5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Bodoni SvtyTwo OS ITC TT-Book">
    <w:altName w:val="Courier New"/>
    <w:charset w:val="00"/>
    <w:family w:val="auto"/>
    <w:pitch w:val="variable"/>
    <w:sig w:usb0="00000003" w:usb1="00000000" w:usb2="00000000" w:usb3="00000000" w:csb0="00000001" w:csb1="00000000"/>
  </w:font>
  <w:font w:name="ヒラギノ角ゴ Pro W3">
    <w:altName w:val="Arial Unicode MS"/>
    <w:charset w:val="80"/>
    <w:family w:val="auto"/>
    <w:pitch w:val="variable"/>
    <w:sig w:usb0="00000001" w:usb1="00000000" w:usb2="01000407" w:usb3="00000000" w:csb0="00020000" w:csb1="00000000"/>
  </w:font>
  <w:font w:name="Calibri">
    <w:panose1 w:val="020F0502020204030204"/>
    <w:charset w:val="00"/>
    <w:family w:val="swiss"/>
    <w:pitch w:val="variable"/>
    <w:sig w:usb0="E0002A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16AD6" w14:textId="77777777" w:rsidR="00DD2821" w:rsidRPr="00B83FAC" w:rsidRDefault="00DD2821" w:rsidP="00F1690A">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w:rPr>
        <w:rStyle w:val="PageNumber"/>
      </w:rPr>
      <w:t xml:space="preserve"> de </w:t>
    </w:r>
    <w:r>
      <w:rPr>
        <w:rStyle w:val="PageNumber"/>
      </w:rPr>
      <w:fldChar w:fldCharType="begin"/>
    </w:r>
    <w:r>
      <w:rPr>
        <w:rStyle w:val="PageNumber"/>
      </w:rPr>
      <w:instrText xml:space="preserve"> NUMPAGES </w:instrText>
    </w:r>
    <w:r>
      <w:rPr>
        <w:rStyle w:val="PageNumber"/>
      </w:rPr>
      <w:fldChar w:fldCharType="separate"/>
    </w:r>
    <w:r>
      <w:rPr>
        <w:rStyle w:val="PageNumber"/>
      </w:rPr>
      <w:t>25</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37" w:type="dxa"/>
      <w:tblBorders>
        <w:insideV w:val="single" w:sz="4" w:space="0" w:color="auto"/>
      </w:tblBorders>
      <w:tblCellMar>
        <w:left w:w="70" w:type="dxa"/>
        <w:right w:w="70" w:type="dxa"/>
      </w:tblCellMar>
      <w:tblLook w:val="0000" w:firstRow="0" w:lastRow="0" w:firstColumn="0" w:lastColumn="0" w:noHBand="0" w:noVBand="0"/>
    </w:tblPr>
    <w:tblGrid>
      <w:gridCol w:w="7441"/>
      <w:gridCol w:w="1596"/>
    </w:tblGrid>
    <w:tr w:rsidR="00DD2821" w:rsidRPr="00700DB8" w14:paraId="6DEB6C6C" w14:textId="77777777" w:rsidTr="00F56843">
      <w:tc>
        <w:tcPr>
          <w:tcW w:w="7441" w:type="dxa"/>
          <w:vAlign w:val="center"/>
        </w:tcPr>
        <w:p w14:paraId="55910747" w14:textId="77777777" w:rsidR="00DD2821" w:rsidRDefault="00DD2821" w:rsidP="00CE02B3">
          <w:pPr>
            <w:pStyle w:val="FootnoteText"/>
            <w:tabs>
              <w:tab w:val="left" w:pos="1021"/>
              <w:tab w:val="left" w:pos="8080"/>
            </w:tabs>
            <w:spacing w:before="20" w:after="20"/>
            <w:rPr>
              <w:rFonts w:ascii="Gill Sans MT" w:hAnsi="Gill Sans MT"/>
              <w:sz w:val="14"/>
            </w:rPr>
          </w:pPr>
          <w:r>
            <w:rPr>
              <w:rFonts w:ascii="Gill Sans MT" w:hAnsi="Gill Sans MT"/>
              <w:sz w:val="14"/>
            </w:rPr>
            <w:t>www.mapa.gob.es</w:t>
          </w:r>
        </w:p>
        <w:p w14:paraId="37D12016" w14:textId="77777777" w:rsidR="00DD2821" w:rsidRPr="00700DB8" w:rsidRDefault="00DD2821" w:rsidP="00E114F1">
          <w:pPr>
            <w:pStyle w:val="FootnoteText"/>
            <w:tabs>
              <w:tab w:val="left" w:pos="1021"/>
              <w:tab w:val="left" w:pos="8080"/>
            </w:tabs>
            <w:spacing w:before="20" w:after="20"/>
            <w:jc w:val="left"/>
            <w:rPr>
              <w:rFonts w:ascii="Gill Sans MT" w:hAnsi="Gill Sans MT"/>
              <w:sz w:val="14"/>
            </w:rPr>
          </w:pPr>
          <w:r>
            <w:rPr>
              <w:rFonts w:ascii="Gill Sans MT" w:hAnsi="Gill Sans MT"/>
              <w:sz w:val="14"/>
            </w:rPr>
            <w:t>dgia@mapama.es</w:t>
          </w:r>
        </w:p>
      </w:tc>
      <w:tc>
        <w:tcPr>
          <w:tcW w:w="1596" w:type="dxa"/>
        </w:tcPr>
        <w:p w14:paraId="6CC8B80B" w14:textId="77777777" w:rsidR="00DD2821" w:rsidRPr="00DD2821" w:rsidRDefault="00DD2821" w:rsidP="00CE02B3">
          <w:pPr>
            <w:pStyle w:val="FootnoteText"/>
            <w:tabs>
              <w:tab w:val="left" w:pos="1915"/>
              <w:tab w:val="left" w:pos="8080"/>
            </w:tabs>
            <w:spacing w:before="20"/>
            <w:rPr>
              <w:rFonts w:ascii="Gill Sans MT" w:hAnsi="Gill Sans MT"/>
              <w:sz w:val="14"/>
              <w:lang w:val="en-US"/>
            </w:rPr>
          </w:pPr>
          <w:r w:rsidRPr="00DD2821">
            <w:rPr>
              <w:rFonts w:ascii="Gill Sans MT" w:hAnsi="Gill Sans MT"/>
              <w:sz w:val="14"/>
              <w:lang w:val="en-US"/>
            </w:rPr>
            <w:t>Pº INFANTA ISABEL, 1</w:t>
          </w:r>
        </w:p>
        <w:p w14:paraId="6B4965D8" w14:textId="77777777" w:rsidR="00DD2821" w:rsidRPr="00DD2821" w:rsidRDefault="00DD2821" w:rsidP="00CE02B3">
          <w:pPr>
            <w:pStyle w:val="FootnoteText"/>
            <w:tabs>
              <w:tab w:val="left" w:pos="1915"/>
              <w:tab w:val="left" w:pos="8080"/>
            </w:tabs>
            <w:spacing w:before="20"/>
            <w:rPr>
              <w:rFonts w:ascii="Gill Sans MT" w:hAnsi="Gill Sans MT"/>
              <w:sz w:val="14"/>
              <w:lang w:val="en-US"/>
            </w:rPr>
          </w:pPr>
          <w:r w:rsidRPr="00DD2821">
            <w:rPr>
              <w:rFonts w:ascii="Gill Sans MT" w:hAnsi="Gill Sans MT"/>
              <w:sz w:val="14"/>
              <w:lang w:val="en-US"/>
            </w:rPr>
            <w:t>28071 MADRID</w:t>
          </w:r>
        </w:p>
        <w:p w14:paraId="79D50660" w14:textId="77777777" w:rsidR="00DD2821" w:rsidRPr="00DD2821" w:rsidRDefault="00DD2821" w:rsidP="00CE02B3">
          <w:pPr>
            <w:pStyle w:val="FootnoteText"/>
            <w:tabs>
              <w:tab w:val="left" w:pos="1915"/>
              <w:tab w:val="left" w:pos="8080"/>
            </w:tabs>
            <w:spacing w:before="20"/>
            <w:rPr>
              <w:rFonts w:ascii="Gill Sans MT" w:hAnsi="Gill Sans MT"/>
              <w:sz w:val="14"/>
              <w:lang w:val="en-US"/>
            </w:rPr>
          </w:pPr>
          <w:r w:rsidRPr="00DD2821">
            <w:rPr>
              <w:rFonts w:ascii="Gill Sans MT" w:hAnsi="Gill Sans MT"/>
              <w:sz w:val="14"/>
              <w:lang w:val="en-US"/>
            </w:rPr>
            <w:t>TÉL. 913475361</w:t>
          </w:r>
        </w:p>
        <w:p w14:paraId="7C629B44" w14:textId="77777777" w:rsidR="00DD2821" w:rsidRPr="00700DB8" w:rsidRDefault="00DD2821" w:rsidP="00CE02B3">
          <w:pPr>
            <w:pStyle w:val="FootnoteText"/>
            <w:tabs>
              <w:tab w:val="left" w:pos="1915"/>
              <w:tab w:val="left" w:pos="8080"/>
            </w:tabs>
            <w:spacing w:before="20"/>
            <w:rPr>
              <w:rFonts w:ascii="Gill Sans MT" w:hAnsi="Gill Sans MT"/>
              <w:sz w:val="14"/>
            </w:rPr>
          </w:pPr>
          <w:r>
            <w:rPr>
              <w:rFonts w:ascii="Gill Sans MT" w:hAnsi="Gill Sans MT"/>
              <w:sz w:val="14"/>
            </w:rPr>
            <w:t>FAX 91347770</w:t>
          </w:r>
        </w:p>
      </w:tc>
    </w:tr>
  </w:tbl>
  <w:p w14:paraId="7BAB5AA6" w14:textId="77777777" w:rsidR="00DD2821" w:rsidRDefault="00DD2821" w:rsidP="00B83FA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50473" w14:textId="77777777" w:rsidR="00BE5EC2" w:rsidRDefault="00BE5EC2">
      <w:r>
        <w:separator/>
      </w:r>
    </w:p>
  </w:footnote>
  <w:footnote w:type="continuationSeparator" w:id="0">
    <w:p w14:paraId="136123E3" w14:textId="77777777" w:rsidR="00BE5EC2" w:rsidRDefault="00BE5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E624D" w14:textId="77777777" w:rsidR="00DD2821" w:rsidRDefault="00DD2821" w:rsidP="00EC1516">
    <w:pPr>
      <w:ind w:right="-87"/>
      <w:jc w:val="right"/>
    </w:pPr>
    <w:r>
      <w:rPr>
        <w:noProof/>
      </w:rPr>
      <mc:AlternateContent>
        <mc:Choice Requires="wps">
          <w:drawing>
            <wp:anchor distT="0" distB="0" distL="114300" distR="114300" simplePos="0" relativeHeight="251657728" behindDoc="0" locked="0" layoutInCell="0" allowOverlap="1" wp14:anchorId="0548F135" wp14:editId="5A5A3C71">
              <wp:simplePos x="0" y="0"/>
              <wp:positionH relativeFrom="column">
                <wp:posOffset>6041390</wp:posOffset>
              </wp:positionH>
              <wp:positionV relativeFrom="paragraph">
                <wp:posOffset>823595</wp:posOffset>
              </wp:positionV>
              <wp:extent cx="868680" cy="0"/>
              <wp:effectExtent l="12065" t="13970" r="5080" b="508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BEEE9"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7pt,64.85pt" to="544.1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" o:allowincell="f"/>
          </w:pict>
        </mc:Fallback>
      </mc:AlternateContent>
    </w:r>
    <w:r>
      <w:rPr>
        <w:noProof/>
      </w:rPr>
      <w:drawing>
        <wp:inline distT="0" distB="0" distL="0" distR="0" wp14:anchorId="52CDB21C" wp14:editId="3836CE10">
          <wp:extent cx="838200" cy="8763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38200" cy="8763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6089E"/>
    <w:multiLevelType w:val="hybridMultilevel"/>
    <w:tmpl w:val="A720074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071009"/>
    <w:multiLevelType w:val="singleLevel"/>
    <w:tmpl w:val="FAFC5D3A"/>
    <w:name w:val="List Bullet 2__1"/>
    <w:lvl w:ilvl="0">
      <w:start w:val="1"/>
      <w:numFmt w:val="bullet"/>
      <w:pStyle w:val="ListBullet2"/>
      <w:lvlText w:val=""/>
      <w:lvlJc w:val="left"/>
      <w:pPr>
        <w:tabs>
          <w:tab w:val="num" w:pos="1134"/>
        </w:tabs>
        <w:ind w:left="1134" w:hanging="283"/>
      </w:pPr>
      <w:rPr>
        <w:rFonts w:ascii="Symbol" w:hAnsi="Symbol" w:hint="default"/>
      </w:rPr>
    </w:lvl>
  </w:abstractNum>
  <w:abstractNum w:abstractNumId="2" w15:restartNumberingAfterBreak="0">
    <w:nsid w:val="0A255CFF"/>
    <w:multiLevelType w:val="hybridMultilevel"/>
    <w:tmpl w:val="7690DF4A"/>
    <w:lvl w:ilvl="0" w:tplc="9A7C0D60">
      <w:start w:val="1"/>
      <w:numFmt w:val="lowerLetter"/>
      <w:lvlText w:val="%1)"/>
      <w:lvlJc w:val="left"/>
      <w:pPr>
        <w:ind w:left="720" w:hanging="360"/>
      </w:pPr>
      <w:rPr>
        <w:rFonts w:hint="default"/>
        <w:b w:val="0"/>
        <w:bCs/>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415579"/>
    <w:multiLevelType w:val="hybridMultilevel"/>
    <w:tmpl w:val="7DF0EE36"/>
    <w:lvl w:ilvl="0" w:tplc="315E71BC">
      <w:start w:val="1"/>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FA1987"/>
    <w:multiLevelType w:val="hybridMultilevel"/>
    <w:tmpl w:val="127209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561AA1"/>
    <w:multiLevelType w:val="hybridMultilevel"/>
    <w:tmpl w:val="72B86C06"/>
    <w:lvl w:ilvl="0" w:tplc="0C0A0001">
      <w:start w:val="1"/>
      <w:numFmt w:val="bullet"/>
      <w:lvlText w:val=""/>
      <w:lvlJc w:val="left"/>
      <w:pPr>
        <w:ind w:left="1260" w:hanging="360"/>
      </w:pPr>
      <w:rPr>
        <w:rFonts w:ascii="Symbol" w:hAnsi="Symbol" w:hint="default"/>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6" w15:restartNumberingAfterBreak="0">
    <w:nsid w:val="2C2D7F4D"/>
    <w:multiLevelType w:val="multilevel"/>
    <w:tmpl w:val="C0E22A40"/>
    <w:styleLink w:val="EstiloConvietas"/>
    <w:lvl w:ilvl="0">
      <w:start w:val="1"/>
      <w:numFmt w:val="bullet"/>
      <w:lvlText w:val="–"/>
      <w:lvlJc w:val="left"/>
      <w:pPr>
        <w:tabs>
          <w:tab w:val="num" w:pos="360"/>
        </w:tabs>
        <w:ind w:left="360" w:hanging="360"/>
      </w:pPr>
      <w:rPr>
        <w:rFonts w:ascii="Arial" w:hAnsi="Arial"/>
        <w:sz w:val="24"/>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3DB74B86"/>
    <w:multiLevelType w:val="hybridMultilevel"/>
    <w:tmpl w:val="1AEE64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15F0928"/>
    <w:multiLevelType w:val="multilevel"/>
    <w:tmpl w:val="88EE9D42"/>
    <w:lvl w:ilvl="0">
      <w:start w:val="1"/>
      <w:numFmt w:val="none"/>
      <w:pStyle w:val="Heading1"/>
      <w:lvlText w:val=""/>
      <w:lvlJc w:val="left"/>
      <w:pPr>
        <w:tabs>
          <w:tab w:val="num" w:pos="432"/>
        </w:tabs>
        <w:ind w:left="432" w:hanging="432"/>
      </w:pPr>
      <w:rPr>
        <w:rFonts w:hint="default"/>
      </w:rPr>
    </w:lvl>
    <w:lvl w:ilvl="1">
      <w:start w:val="1"/>
      <w:numFmt w:val="upperRoman"/>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5%1.%2.%3.%4.%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CC323BD"/>
    <w:multiLevelType w:val="hybridMultilevel"/>
    <w:tmpl w:val="78388C86"/>
    <w:lvl w:ilvl="0" w:tplc="315E71B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CD5402C"/>
    <w:multiLevelType w:val="hybridMultilevel"/>
    <w:tmpl w:val="27CACF3A"/>
    <w:lvl w:ilvl="0" w:tplc="F956166E">
      <w:start w:val="1"/>
      <w:numFmt w:val="lowerLetter"/>
      <w:lvlText w:val="%1)"/>
      <w:lvlJc w:val="left"/>
      <w:pPr>
        <w:ind w:left="4754" w:hanging="360"/>
      </w:pPr>
      <w:rPr>
        <w:rFonts w:ascii="Arial" w:hAnsi="Arial" w:hint="default"/>
        <w:sz w:val="24"/>
      </w:r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11" w15:restartNumberingAfterBreak="0">
    <w:nsid w:val="52250CF5"/>
    <w:multiLevelType w:val="hybridMultilevel"/>
    <w:tmpl w:val="97807ECE"/>
    <w:lvl w:ilvl="0" w:tplc="F72C04DA">
      <w:start w:val="1"/>
      <w:numFmt w:val="bullet"/>
      <w:lvlText w:val="–"/>
      <w:lvlJc w:val="left"/>
      <w:pPr>
        <w:tabs>
          <w:tab w:val="num" w:pos="360"/>
        </w:tabs>
        <w:ind w:left="360" w:hanging="360"/>
      </w:pPr>
      <w:rPr>
        <w:rFonts w:ascii="Arial" w:hAnsi="Arial" w:hint="default"/>
      </w:rPr>
    </w:lvl>
    <w:lvl w:ilvl="1" w:tplc="912E21D6" w:tentative="1">
      <w:start w:val="1"/>
      <w:numFmt w:val="bullet"/>
      <w:lvlText w:val="o"/>
      <w:lvlJc w:val="left"/>
      <w:pPr>
        <w:tabs>
          <w:tab w:val="num" w:pos="1440"/>
        </w:tabs>
        <w:ind w:left="1440" w:hanging="360"/>
      </w:pPr>
      <w:rPr>
        <w:rFonts w:ascii="Courier New" w:hAnsi="Courier New" w:cs="Courier New" w:hint="default"/>
      </w:rPr>
    </w:lvl>
    <w:lvl w:ilvl="2" w:tplc="84CACF00" w:tentative="1">
      <w:start w:val="1"/>
      <w:numFmt w:val="bullet"/>
      <w:lvlText w:val=""/>
      <w:lvlJc w:val="left"/>
      <w:pPr>
        <w:tabs>
          <w:tab w:val="num" w:pos="2160"/>
        </w:tabs>
        <w:ind w:left="2160" w:hanging="360"/>
      </w:pPr>
      <w:rPr>
        <w:rFonts w:ascii="Wingdings" w:hAnsi="Wingdings" w:hint="default"/>
      </w:rPr>
    </w:lvl>
    <w:lvl w:ilvl="3" w:tplc="E1588DA2" w:tentative="1">
      <w:start w:val="1"/>
      <w:numFmt w:val="bullet"/>
      <w:lvlText w:val=""/>
      <w:lvlJc w:val="left"/>
      <w:pPr>
        <w:tabs>
          <w:tab w:val="num" w:pos="2880"/>
        </w:tabs>
        <w:ind w:left="2880" w:hanging="360"/>
      </w:pPr>
      <w:rPr>
        <w:rFonts w:ascii="Symbol" w:hAnsi="Symbol" w:hint="default"/>
      </w:rPr>
    </w:lvl>
    <w:lvl w:ilvl="4" w:tplc="2C9CC22A" w:tentative="1">
      <w:start w:val="1"/>
      <w:numFmt w:val="bullet"/>
      <w:lvlText w:val="o"/>
      <w:lvlJc w:val="left"/>
      <w:pPr>
        <w:tabs>
          <w:tab w:val="num" w:pos="3600"/>
        </w:tabs>
        <w:ind w:left="3600" w:hanging="360"/>
      </w:pPr>
      <w:rPr>
        <w:rFonts w:ascii="Courier New" w:hAnsi="Courier New" w:cs="Courier New" w:hint="default"/>
      </w:rPr>
    </w:lvl>
    <w:lvl w:ilvl="5" w:tplc="3EDCE0A6" w:tentative="1">
      <w:start w:val="1"/>
      <w:numFmt w:val="bullet"/>
      <w:lvlText w:val=""/>
      <w:lvlJc w:val="left"/>
      <w:pPr>
        <w:tabs>
          <w:tab w:val="num" w:pos="4320"/>
        </w:tabs>
        <w:ind w:left="4320" w:hanging="360"/>
      </w:pPr>
      <w:rPr>
        <w:rFonts w:ascii="Wingdings" w:hAnsi="Wingdings" w:hint="default"/>
      </w:rPr>
    </w:lvl>
    <w:lvl w:ilvl="6" w:tplc="EA3215FE" w:tentative="1">
      <w:start w:val="1"/>
      <w:numFmt w:val="bullet"/>
      <w:lvlText w:val=""/>
      <w:lvlJc w:val="left"/>
      <w:pPr>
        <w:tabs>
          <w:tab w:val="num" w:pos="5040"/>
        </w:tabs>
        <w:ind w:left="5040" w:hanging="360"/>
      </w:pPr>
      <w:rPr>
        <w:rFonts w:ascii="Symbol" w:hAnsi="Symbol" w:hint="default"/>
      </w:rPr>
    </w:lvl>
    <w:lvl w:ilvl="7" w:tplc="1F9E4B1E" w:tentative="1">
      <w:start w:val="1"/>
      <w:numFmt w:val="bullet"/>
      <w:lvlText w:val="o"/>
      <w:lvlJc w:val="left"/>
      <w:pPr>
        <w:tabs>
          <w:tab w:val="num" w:pos="5760"/>
        </w:tabs>
        <w:ind w:left="5760" w:hanging="360"/>
      </w:pPr>
      <w:rPr>
        <w:rFonts w:ascii="Courier New" w:hAnsi="Courier New" w:cs="Courier New" w:hint="default"/>
      </w:rPr>
    </w:lvl>
    <w:lvl w:ilvl="8" w:tplc="21F0611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A35298"/>
    <w:multiLevelType w:val="multilevel"/>
    <w:tmpl w:val="3ADEA386"/>
    <w:lvl w:ilvl="0">
      <w:start w:val="1"/>
      <w:numFmt w:val="decimal"/>
      <w:pStyle w:val="Apartado"/>
      <w:suff w:val="space"/>
      <w:lvlText w:val="%1."/>
      <w:lvlJc w:val="left"/>
      <w:pPr>
        <w:ind w:left="360" w:hanging="360"/>
      </w:pPr>
      <w:rPr>
        <w:rFonts w:hint="default"/>
        <w:b w:val="0"/>
        <w:i w:val="0"/>
        <w:sz w:val="24"/>
      </w:rPr>
    </w:lvl>
    <w:lvl w:ilvl="1">
      <w:start w:val="1"/>
      <w:numFmt w:val="decimal"/>
      <w:lvlText w:val="%2."/>
      <w:lvlJc w:val="left"/>
      <w:pPr>
        <w:tabs>
          <w:tab w:val="num" w:pos="709"/>
        </w:tabs>
        <w:ind w:left="792" w:hanging="432"/>
      </w:pPr>
      <w:rPr>
        <w:rFonts w:hint="default"/>
      </w:rPr>
    </w:lvl>
    <w:lvl w:ilvl="2">
      <w:start w:val="1"/>
      <w:numFmt w:val="decimal"/>
      <w:lvlText w:val="%1.%2.%3."/>
      <w:lvlJc w:val="left"/>
      <w:pPr>
        <w:tabs>
          <w:tab w:val="num" w:pos="357"/>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5D327EDE"/>
    <w:multiLevelType w:val="hybridMultilevel"/>
    <w:tmpl w:val="D4AC54E8"/>
    <w:lvl w:ilvl="0" w:tplc="315E71B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315E71BC">
      <w:start w:val="1"/>
      <w:numFmt w:val="bullet"/>
      <w:lvlText w:val="–"/>
      <w:lvlJc w:val="left"/>
      <w:pPr>
        <w:ind w:left="2160" w:hanging="360"/>
      </w:pPr>
      <w:rPr>
        <w:rFonts w:ascii="Arial" w:hAnsi="Aria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29411CA"/>
    <w:multiLevelType w:val="hybridMultilevel"/>
    <w:tmpl w:val="50C052B8"/>
    <w:lvl w:ilvl="0" w:tplc="3F608F5C">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B0F6BAE"/>
    <w:multiLevelType w:val="hybridMultilevel"/>
    <w:tmpl w:val="5DDC1DF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71D831C5"/>
    <w:multiLevelType w:val="hybridMultilevel"/>
    <w:tmpl w:val="37C4C4F0"/>
    <w:lvl w:ilvl="0" w:tplc="0D54CA40">
      <w:start w:val="1"/>
      <w:numFmt w:val="bullet"/>
      <w:lvlText w:val="–"/>
      <w:lvlJc w:val="left"/>
      <w:pPr>
        <w:tabs>
          <w:tab w:val="num" w:pos="644"/>
        </w:tabs>
        <w:ind w:left="644" w:hanging="360"/>
      </w:pPr>
      <w:rPr>
        <w:rFonts w:ascii="Arial" w:hAnsi="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3F71830"/>
    <w:multiLevelType w:val="hybridMultilevel"/>
    <w:tmpl w:val="D32CC510"/>
    <w:lvl w:ilvl="0" w:tplc="E6D050D0">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6EE52EA"/>
    <w:multiLevelType w:val="hybridMultilevel"/>
    <w:tmpl w:val="86A2895A"/>
    <w:lvl w:ilvl="0" w:tplc="0C0A000F">
      <w:start w:val="1"/>
      <w:numFmt w:val="decimal"/>
      <w:lvlText w:val="%1."/>
      <w:lvlJc w:val="left"/>
      <w:pPr>
        <w:tabs>
          <w:tab w:val="num" w:pos="644"/>
        </w:tabs>
        <w:ind w:left="644" w:hanging="360"/>
      </w:pPr>
      <w:rPr>
        <w:rFonts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E17CEAA4">
      <w:start w:val="1"/>
      <w:numFmt w:val="lowerLetter"/>
      <w:lvlText w:val="%3)"/>
      <w:lvlJc w:val="left"/>
      <w:pPr>
        <w:ind w:left="2520" w:hanging="360"/>
      </w:pPr>
      <w:rPr>
        <w:rFonts w:hint="default"/>
      </w:rPr>
    </w:lvl>
    <w:lvl w:ilvl="3" w:tplc="0C0A000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A141351"/>
    <w:multiLevelType w:val="hybridMultilevel"/>
    <w:tmpl w:val="A9F6B5CE"/>
    <w:lvl w:ilvl="0" w:tplc="315E71BC">
      <w:start w:val="1"/>
      <w:numFmt w:val="bullet"/>
      <w:lvlText w:val="–"/>
      <w:lvlJc w:val="left"/>
      <w:pPr>
        <w:tabs>
          <w:tab w:val="num" w:pos="360"/>
        </w:tabs>
        <w:ind w:left="360" w:hanging="360"/>
      </w:pPr>
      <w:rPr>
        <w:rFonts w:ascii="Arial" w:hAnsi="Arial" w:hint="default"/>
      </w:rPr>
    </w:lvl>
    <w:lvl w:ilvl="1" w:tplc="A01A9354" w:tentative="1">
      <w:start w:val="1"/>
      <w:numFmt w:val="bullet"/>
      <w:lvlText w:val="o"/>
      <w:lvlJc w:val="left"/>
      <w:pPr>
        <w:tabs>
          <w:tab w:val="num" w:pos="1440"/>
        </w:tabs>
        <w:ind w:left="1440" w:hanging="360"/>
      </w:pPr>
      <w:rPr>
        <w:rFonts w:ascii="Courier New" w:hAnsi="Courier New" w:cs="Courier New" w:hint="default"/>
      </w:rPr>
    </w:lvl>
    <w:lvl w:ilvl="2" w:tplc="661E1E8E" w:tentative="1">
      <w:start w:val="1"/>
      <w:numFmt w:val="bullet"/>
      <w:lvlText w:val=""/>
      <w:lvlJc w:val="left"/>
      <w:pPr>
        <w:tabs>
          <w:tab w:val="num" w:pos="2160"/>
        </w:tabs>
        <w:ind w:left="2160" w:hanging="360"/>
      </w:pPr>
      <w:rPr>
        <w:rFonts w:ascii="Wingdings" w:hAnsi="Wingdings" w:hint="default"/>
      </w:rPr>
    </w:lvl>
    <w:lvl w:ilvl="3" w:tplc="7E1EBA9A" w:tentative="1">
      <w:start w:val="1"/>
      <w:numFmt w:val="bullet"/>
      <w:lvlText w:val=""/>
      <w:lvlJc w:val="left"/>
      <w:pPr>
        <w:tabs>
          <w:tab w:val="num" w:pos="2880"/>
        </w:tabs>
        <w:ind w:left="2880" w:hanging="360"/>
      </w:pPr>
      <w:rPr>
        <w:rFonts w:ascii="Symbol" w:hAnsi="Symbol" w:hint="default"/>
      </w:rPr>
    </w:lvl>
    <w:lvl w:ilvl="4" w:tplc="504283E4" w:tentative="1">
      <w:start w:val="1"/>
      <w:numFmt w:val="bullet"/>
      <w:lvlText w:val="o"/>
      <w:lvlJc w:val="left"/>
      <w:pPr>
        <w:tabs>
          <w:tab w:val="num" w:pos="3600"/>
        </w:tabs>
        <w:ind w:left="3600" w:hanging="360"/>
      </w:pPr>
      <w:rPr>
        <w:rFonts w:ascii="Courier New" w:hAnsi="Courier New" w:cs="Courier New" w:hint="default"/>
      </w:rPr>
    </w:lvl>
    <w:lvl w:ilvl="5" w:tplc="21229004" w:tentative="1">
      <w:start w:val="1"/>
      <w:numFmt w:val="bullet"/>
      <w:lvlText w:val=""/>
      <w:lvlJc w:val="left"/>
      <w:pPr>
        <w:tabs>
          <w:tab w:val="num" w:pos="4320"/>
        </w:tabs>
        <w:ind w:left="4320" w:hanging="360"/>
      </w:pPr>
      <w:rPr>
        <w:rFonts w:ascii="Wingdings" w:hAnsi="Wingdings" w:hint="default"/>
      </w:rPr>
    </w:lvl>
    <w:lvl w:ilvl="6" w:tplc="6FD0D8E8" w:tentative="1">
      <w:start w:val="1"/>
      <w:numFmt w:val="bullet"/>
      <w:lvlText w:val=""/>
      <w:lvlJc w:val="left"/>
      <w:pPr>
        <w:tabs>
          <w:tab w:val="num" w:pos="5040"/>
        </w:tabs>
        <w:ind w:left="5040" w:hanging="360"/>
      </w:pPr>
      <w:rPr>
        <w:rFonts w:ascii="Symbol" w:hAnsi="Symbol" w:hint="default"/>
      </w:rPr>
    </w:lvl>
    <w:lvl w:ilvl="7" w:tplc="D402E896" w:tentative="1">
      <w:start w:val="1"/>
      <w:numFmt w:val="bullet"/>
      <w:lvlText w:val="o"/>
      <w:lvlJc w:val="left"/>
      <w:pPr>
        <w:tabs>
          <w:tab w:val="num" w:pos="5760"/>
        </w:tabs>
        <w:ind w:left="5760" w:hanging="360"/>
      </w:pPr>
      <w:rPr>
        <w:rFonts w:ascii="Courier New" w:hAnsi="Courier New" w:cs="Courier New" w:hint="default"/>
      </w:rPr>
    </w:lvl>
    <w:lvl w:ilvl="8" w:tplc="7EF029D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1117CA"/>
    <w:multiLevelType w:val="hybridMultilevel"/>
    <w:tmpl w:val="FFF853E8"/>
    <w:lvl w:ilvl="0" w:tplc="76A2A2E4">
      <w:start w:val="4"/>
      <w:numFmt w:val="bullet"/>
      <w:lvlText w:val="-"/>
      <w:lvlJc w:val="left"/>
      <w:pPr>
        <w:ind w:left="720" w:hanging="360"/>
      </w:pPr>
      <w:rPr>
        <w:rFonts w:ascii="Arial" w:eastAsia="Times New Roman" w:hAnsi="Arial" w:cs="Arial" w:hint="default"/>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9"/>
  </w:num>
  <w:num w:numId="4">
    <w:abstractNumId w:val="11"/>
  </w:num>
  <w:num w:numId="5">
    <w:abstractNumId w:val="8"/>
  </w:num>
  <w:num w:numId="6">
    <w:abstractNumId w:val="16"/>
  </w:num>
  <w:num w:numId="7">
    <w:abstractNumId w:val="12"/>
  </w:num>
  <w:num w:numId="8">
    <w:abstractNumId w:val="3"/>
  </w:num>
  <w:num w:numId="9">
    <w:abstractNumId w:val="5"/>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18"/>
  </w:num>
  <w:num w:numId="23">
    <w:abstractNumId w:val="9"/>
  </w:num>
  <w:num w:numId="24">
    <w:abstractNumId w:val="13"/>
  </w:num>
  <w:num w:numId="25">
    <w:abstractNumId w:val="0"/>
  </w:num>
  <w:num w:numId="26">
    <w:abstractNumId w:val="17"/>
  </w:num>
  <w:num w:numId="27">
    <w:abstractNumId w:val="14"/>
  </w:num>
  <w:num w:numId="28">
    <w:abstractNumId w:val="2"/>
  </w:num>
  <w:num w:numId="29">
    <w:abstractNumId w:val="10"/>
  </w:num>
  <w:num w:numId="30">
    <w:abstractNumId w:val="20"/>
  </w:num>
  <w:num w:numId="31">
    <w:abstractNumId w:val="7"/>
  </w:num>
  <w:num w:numId="32">
    <w:abstractNumId w:val="15"/>
  </w:num>
  <w:num w:numId="3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30"/>
    <w:rsid w:val="00000916"/>
    <w:rsid w:val="000026F7"/>
    <w:rsid w:val="00003ED6"/>
    <w:rsid w:val="00003FD6"/>
    <w:rsid w:val="00004A7E"/>
    <w:rsid w:val="00005B14"/>
    <w:rsid w:val="000061DC"/>
    <w:rsid w:val="00007430"/>
    <w:rsid w:val="00010FDF"/>
    <w:rsid w:val="000134FB"/>
    <w:rsid w:val="00015F11"/>
    <w:rsid w:val="0001755F"/>
    <w:rsid w:val="00017D18"/>
    <w:rsid w:val="00020561"/>
    <w:rsid w:val="00021854"/>
    <w:rsid w:val="0002191F"/>
    <w:rsid w:val="00021B0D"/>
    <w:rsid w:val="00027084"/>
    <w:rsid w:val="0003211D"/>
    <w:rsid w:val="00032A00"/>
    <w:rsid w:val="00032A66"/>
    <w:rsid w:val="0003330A"/>
    <w:rsid w:val="000337D8"/>
    <w:rsid w:val="000349F5"/>
    <w:rsid w:val="00034BA0"/>
    <w:rsid w:val="000353E1"/>
    <w:rsid w:val="00035477"/>
    <w:rsid w:val="000413CC"/>
    <w:rsid w:val="000416BE"/>
    <w:rsid w:val="00042209"/>
    <w:rsid w:val="00043CB1"/>
    <w:rsid w:val="00052E33"/>
    <w:rsid w:val="0005337D"/>
    <w:rsid w:val="00053452"/>
    <w:rsid w:val="00053BD1"/>
    <w:rsid w:val="00054110"/>
    <w:rsid w:val="00055312"/>
    <w:rsid w:val="0006216C"/>
    <w:rsid w:val="00062959"/>
    <w:rsid w:val="000637C7"/>
    <w:rsid w:val="00063D67"/>
    <w:rsid w:val="000644B5"/>
    <w:rsid w:val="00066C2B"/>
    <w:rsid w:val="00066E1F"/>
    <w:rsid w:val="000678EE"/>
    <w:rsid w:val="00076DA4"/>
    <w:rsid w:val="000827CA"/>
    <w:rsid w:val="00084688"/>
    <w:rsid w:val="000849E1"/>
    <w:rsid w:val="0008517D"/>
    <w:rsid w:val="00085794"/>
    <w:rsid w:val="00085DB8"/>
    <w:rsid w:val="00091E7E"/>
    <w:rsid w:val="00092F23"/>
    <w:rsid w:val="00093790"/>
    <w:rsid w:val="000951E1"/>
    <w:rsid w:val="00097C3D"/>
    <w:rsid w:val="000A00E7"/>
    <w:rsid w:val="000A161F"/>
    <w:rsid w:val="000A2E2C"/>
    <w:rsid w:val="000A3740"/>
    <w:rsid w:val="000A37B3"/>
    <w:rsid w:val="000A6A4C"/>
    <w:rsid w:val="000B0B60"/>
    <w:rsid w:val="000B1745"/>
    <w:rsid w:val="000B1CC6"/>
    <w:rsid w:val="000B2F6F"/>
    <w:rsid w:val="000B39B8"/>
    <w:rsid w:val="000B3F3B"/>
    <w:rsid w:val="000B44C5"/>
    <w:rsid w:val="000B4B07"/>
    <w:rsid w:val="000B5894"/>
    <w:rsid w:val="000B5DE2"/>
    <w:rsid w:val="000B709A"/>
    <w:rsid w:val="000C0E3F"/>
    <w:rsid w:val="000C2CCA"/>
    <w:rsid w:val="000C3EC5"/>
    <w:rsid w:val="000C56B0"/>
    <w:rsid w:val="000C5AE7"/>
    <w:rsid w:val="000C643A"/>
    <w:rsid w:val="000C758D"/>
    <w:rsid w:val="000D0E37"/>
    <w:rsid w:val="000D167D"/>
    <w:rsid w:val="000D2B0C"/>
    <w:rsid w:val="000D2FA4"/>
    <w:rsid w:val="000D516D"/>
    <w:rsid w:val="000D6E76"/>
    <w:rsid w:val="000D7FFA"/>
    <w:rsid w:val="000E1BAF"/>
    <w:rsid w:val="000E4831"/>
    <w:rsid w:val="000E591F"/>
    <w:rsid w:val="000E64CB"/>
    <w:rsid w:val="000F2B75"/>
    <w:rsid w:val="000F301E"/>
    <w:rsid w:val="000F4417"/>
    <w:rsid w:val="000F64BC"/>
    <w:rsid w:val="000F66C8"/>
    <w:rsid w:val="001005DA"/>
    <w:rsid w:val="00102C1C"/>
    <w:rsid w:val="00103E19"/>
    <w:rsid w:val="00106203"/>
    <w:rsid w:val="00107B28"/>
    <w:rsid w:val="0011319A"/>
    <w:rsid w:val="00113876"/>
    <w:rsid w:val="00113B6A"/>
    <w:rsid w:val="001140A2"/>
    <w:rsid w:val="0011436A"/>
    <w:rsid w:val="0011609B"/>
    <w:rsid w:val="00116AE4"/>
    <w:rsid w:val="00117AF8"/>
    <w:rsid w:val="0012007D"/>
    <w:rsid w:val="00120992"/>
    <w:rsid w:val="001211DC"/>
    <w:rsid w:val="00124C6A"/>
    <w:rsid w:val="00124D4E"/>
    <w:rsid w:val="00125980"/>
    <w:rsid w:val="00127270"/>
    <w:rsid w:val="0012770D"/>
    <w:rsid w:val="001311CD"/>
    <w:rsid w:val="00133778"/>
    <w:rsid w:val="00133DBE"/>
    <w:rsid w:val="00134997"/>
    <w:rsid w:val="001351E4"/>
    <w:rsid w:val="0013552E"/>
    <w:rsid w:val="00135C66"/>
    <w:rsid w:val="00136D02"/>
    <w:rsid w:val="0014033D"/>
    <w:rsid w:val="001406F4"/>
    <w:rsid w:val="001445CF"/>
    <w:rsid w:val="0014494D"/>
    <w:rsid w:val="00145F7C"/>
    <w:rsid w:val="00146DCD"/>
    <w:rsid w:val="0015289D"/>
    <w:rsid w:val="00153ADE"/>
    <w:rsid w:val="00153F59"/>
    <w:rsid w:val="00154A65"/>
    <w:rsid w:val="00155C95"/>
    <w:rsid w:val="001564F7"/>
    <w:rsid w:val="001605E5"/>
    <w:rsid w:val="00162058"/>
    <w:rsid w:val="00162801"/>
    <w:rsid w:val="00163224"/>
    <w:rsid w:val="0016342F"/>
    <w:rsid w:val="00163E28"/>
    <w:rsid w:val="0016452E"/>
    <w:rsid w:val="00164A9B"/>
    <w:rsid w:val="00164FD3"/>
    <w:rsid w:val="00165C77"/>
    <w:rsid w:val="00166FDA"/>
    <w:rsid w:val="00167AED"/>
    <w:rsid w:val="00171568"/>
    <w:rsid w:val="00171D2C"/>
    <w:rsid w:val="00172F06"/>
    <w:rsid w:val="0017506E"/>
    <w:rsid w:val="0017608E"/>
    <w:rsid w:val="001765C5"/>
    <w:rsid w:val="00176862"/>
    <w:rsid w:val="0017795B"/>
    <w:rsid w:val="001825C0"/>
    <w:rsid w:val="00182CAB"/>
    <w:rsid w:val="00185414"/>
    <w:rsid w:val="00191DAA"/>
    <w:rsid w:val="001946E9"/>
    <w:rsid w:val="00194893"/>
    <w:rsid w:val="00194CF0"/>
    <w:rsid w:val="00196B75"/>
    <w:rsid w:val="001A04FF"/>
    <w:rsid w:val="001A3B5D"/>
    <w:rsid w:val="001A43EC"/>
    <w:rsid w:val="001A53BC"/>
    <w:rsid w:val="001A56A5"/>
    <w:rsid w:val="001A5E28"/>
    <w:rsid w:val="001B01CF"/>
    <w:rsid w:val="001B5C93"/>
    <w:rsid w:val="001B6782"/>
    <w:rsid w:val="001B780A"/>
    <w:rsid w:val="001C10C3"/>
    <w:rsid w:val="001C20F3"/>
    <w:rsid w:val="001C26ED"/>
    <w:rsid w:val="001C4E58"/>
    <w:rsid w:val="001C53CD"/>
    <w:rsid w:val="001C60C7"/>
    <w:rsid w:val="001D0979"/>
    <w:rsid w:val="001D0E62"/>
    <w:rsid w:val="001D25E6"/>
    <w:rsid w:val="001D46B7"/>
    <w:rsid w:val="001E0532"/>
    <w:rsid w:val="001E584B"/>
    <w:rsid w:val="001E5EA8"/>
    <w:rsid w:val="001F1F67"/>
    <w:rsid w:val="001F2176"/>
    <w:rsid w:val="001F3E37"/>
    <w:rsid w:val="001F4015"/>
    <w:rsid w:val="001F563E"/>
    <w:rsid w:val="001F5B69"/>
    <w:rsid w:val="001F7D35"/>
    <w:rsid w:val="00202648"/>
    <w:rsid w:val="00202D70"/>
    <w:rsid w:val="00204A5C"/>
    <w:rsid w:val="002105E1"/>
    <w:rsid w:val="002118F6"/>
    <w:rsid w:val="00211E35"/>
    <w:rsid w:val="00215E8D"/>
    <w:rsid w:val="00216E6D"/>
    <w:rsid w:val="00216EC1"/>
    <w:rsid w:val="00216FE4"/>
    <w:rsid w:val="002218E3"/>
    <w:rsid w:val="00221B11"/>
    <w:rsid w:val="00221B30"/>
    <w:rsid w:val="002263FD"/>
    <w:rsid w:val="00226525"/>
    <w:rsid w:val="00232190"/>
    <w:rsid w:val="002325EB"/>
    <w:rsid w:val="00235469"/>
    <w:rsid w:val="002355CA"/>
    <w:rsid w:val="002422AA"/>
    <w:rsid w:val="00242713"/>
    <w:rsid w:val="002437AE"/>
    <w:rsid w:val="0024389B"/>
    <w:rsid w:val="00244553"/>
    <w:rsid w:val="00244B57"/>
    <w:rsid w:val="00245AFF"/>
    <w:rsid w:val="00246B77"/>
    <w:rsid w:val="00246D25"/>
    <w:rsid w:val="00246D30"/>
    <w:rsid w:val="00247653"/>
    <w:rsid w:val="00250BAB"/>
    <w:rsid w:val="002519A2"/>
    <w:rsid w:val="002555BE"/>
    <w:rsid w:val="002567B8"/>
    <w:rsid w:val="00262D95"/>
    <w:rsid w:val="002634A1"/>
    <w:rsid w:val="00264707"/>
    <w:rsid w:val="002666BC"/>
    <w:rsid w:val="00266861"/>
    <w:rsid w:val="00267918"/>
    <w:rsid w:val="00267E49"/>
    <w:rsid w:val="00270DC1"/>
    <w:rsid w:val="00274A31"/>
    <w:rsid w:val="00274B68"/>
    <w:rsid w:val="0027742D"/>
    <w:rsid w:val="00277DE7"/>
    <w:rsid w:val="00281DF2"/>
    <w:rsid w:val="00291396"/>
    <w:rsid w:val="00292F54"/>
    <w:rsid w:val="0029552B"/>
    <w:rsid w:val="00295E6C"/>
    <w:rsid w:val="002A36D0"/>
    <w:rsid w:val="002A3E93"/>
    <w:rsid w:val="002A5F5D"/>
    <w:rsid w:val="002A7BDD"/>
    <w:rsid w:val="002B06EC"/>
    <w:rsid w:val="002B0A98"/>
    <w:rsid w:val="002B16B3"/>
    <w:rsid w:val="002B1711"/>
    <w:rsid w:val="002B3AF6"/>
    <w:rsid w:val="002B4E6E"/>
    <w:rsid w:val="002B68F3"/>
    <w:rsid w:val="002B6C0A"/>
    <w:rsid w:val="002C078A"/>
    <w:rsid w:val="002C11BE"/>
    <w:rsid w:val="002C1A9A"/>
    <w:rsid w:val="002C22E5"/>
    <w:rsid w:val="002C4AAD"/>
    <w:rsid w:val="002C602D"/>
    <w:rsid w:val="002C779E"/>
    <w:rsid w:val="002D021E"/>
    <w:rsid w:val="002D05EC"/>
    <w:rsid w:val="002D240A"/>
    <w:rsid w:val="002D67D7"/>
    <w:rsid w:val="002D6F6C"/>
    <w:rsid w:val="002E01D3"/>
    <w:rsid w:val="002E43BA"/>
    <w:rsid w:val="002E4410"/>
    <w:rsid w:val="002E7E6E"/>
    <w:rsid w:val="002F36F4"/>
    <w:rsid w:val="002F3AA7"/>
    <w:rsid w:val="002F43B7"/>
    <w:rsid w:val="003028BA"/>
    <w:rsid w:val="00302B05"/>
    <w:rsid w:val="00303D7C"/>
    <w:rsid w:val="0030485C"/>
    <w:rsid w:val="0030720D"/>
    <w:rsid w:val="00310BC9"/>
    <w:rsid w:val="0031253D"/>
    <w:rsid w:val="00312D12"/>
    <w:rsid w:val="00313812"/>
    <w:rsid w:val="00316D53"/>
    <w:rsid w:val="003217BE"/>
    <w:rsid w:val="00323E6E"/>
    <w:rsid w:val="00324F65"/>
    <w:rsid w:val="00326E27"/>
    <w:rsid w:val="0033099E"/>
    <w:rsid w:val="003316D1"/>
    <w:rsid w:val="00332E07"/>
    <w:rsid w:val="003338AD"/>
    <w:rsid w:val="00334B38"/>
    <w:rsid w:val="003357CB"/>
    <w:rsid w:val="0033598A"/>
    <w:rsid w:val="003375A3"/>
    <w:rsid w:val="00337B87"/>
    <w:rsid w:val="00341FD5"/>
    <w:rsid w:val="00345A95"/>
    <w:rsid w:val="0034762B"/>
    <w:rsid w:val="0034785D"/>
    <w:rsid w:val="003508A2"/>
    <w:rsid w:val="00351ED8"/>
    <w:rsid w:val="003520E2"/>
    <w:rsid w:val="003529AF"/>
    <w:rsid w:val="00353126"/>
    <w:rsid w:val="00356A03"/>
    <w:rsid w:val="0035703E"/>
    <w:rsid w:val="003614B8"/>
    <w:rsid w:val="00361A06"/>
    <w:rsid w:val="00361E44"/>
    <w:rsid w:val="00364E46"/>
    <w:rsid w:val="00371449"/>
    <w:rsid w:val="00373DB8"/>
    <w:rsid w:val="00375717"/>
    <w:rsid w:val="00375CA2"/>
    <w:rsid w:val="00377405"/>
    <w:rsid w:val="003778ED"/>
    <w:rsid w:val="003804BE"/>
    <w:rsid w:val="003805A0"/>
    <w:rsid w:val="00381C60"/>
    <w:rsid w:val="003828A5"/>
    <w:rsid w:val="00383975"/>
    <w:rsid w:val="00386E60"/>
    <w:rsid w:val="00390E56"/>
    <w:rsid w:val="003938AB"/>
    <w:rsid w:val="003A01AD"/>
    <w:rsid w:val="003A0772"/>
    <w:rsid w:val="003A28D9"/>
    <w:rsid w:val="003A4045"/>
    <w:rsid w:val="003A4402"/>
    <w:rsid w:val="003B0746"/>
    <w:rsid w:val="003B0C10"/>
    <w:rsid w:val="003B1DE2"/>
    <w:rsid w:val="003B4740"/>
    <w:rsid w:val="003B6821"/>
    <w:rsid w:val="003C0877"/>
    <w:rsid w:val="003C0D09"/>
    <w:rsid w:val="003C0ED3"/>
    <w:rsid w:val="003C2E3F"/>
    <w:rsid w:val="003C6388"/>
    <w:rsid w:val="003D2687"/>
    <w:rsid w:val="003D3CDB"/>
    <w:rsid w:val="003D4A9F"/>
    <w:rsid w:val="003D4E5D"/>
    <w:rsid w:val="003D5E47"/>
    <w:rsid w:val="003E2698"/>
    <w:rsid w:val="003E37EC"/>
    <w:rsid w:val="003E3A0D"/>
    <w:rsid w:val="003E3EF6"/>
    <w:rsid w:val="003E55B3"/>
    <w:rsid w:val="003E5C5B"/>
    <w:rsid w:val="003F1736"/>
    <w:rsid w:val="003F21B0"/>
    <w:rsid w:val="003F3EF2"/>
    <w:rsid w:val="003F423E"/>
    <w:rsid w:val="003F4F9D"/>
    <w:rsid w:val="003F5699"/>
    <w:rsid w:val="003F63B5"/>
    <w:rsid w:val="00402B41"/>
    <w:rsid w:val="00406573"/>
    <w:rsid w:val="00407B1A"/>
    <w:rsid w:val="00411798"/>
    <w:rsid w:val="00412AC8"/>
    <w:rsid w:val="00413042"/>
    <w:rsid w:val="004214CD"/>
    <w:rsid w:val="0042227C"/>
    <w:rsid w:val="00423F58"/>
    <w:rsid w:val="00424FFF"/>
    <w:rsid w:val="00431D69"/>
    <w:rsid w:val="00433524"/>
    <w:rsid w:val="0043708A"/>
    <w:rsid w:val="004370B9"/>
    <w:rsid w:val="00440E4C"/>
    <w:rsid w:val="00441816"/>
    <w:rsid w:val="00441B58"/>
    <w:rsid w:val="00447EF1"/>
    <w:rsid w:val="00450D3D"/>
    <w:rsid w:val="00451188"/>
    <w:rsid w:val="00451A30"/>
    <w:rsid w:val="00451BF5"/>
    <w:rsid w:val="00460CEE"/>
    <w:rsid w:val="00460E61"/>
    <w:rsid w:val="00461E63"/>
    <w:rsid w:val="00462244"/>
    <w:rsid w:val="004627B9"/>
    <w:rsid w:val="00465A43"/>
    <w:rsid w:val="004667A6"/>
    <w:rsid w:val="00467F61"/>
    <w:rsid w:val="00471488"/>
    <w:rsid w:val="0047258D"/>
    <w:rsid w:val="00473014"/>
    <w:rsid w:val="004738D0"/>
    <w:rsid w:val="00475D87"/>
    <w:rsid w:val="004765B9"/>
    <w:rsid w:val="00476DCD"/>
    <w:rsid w:val="00477E0F"/>
    <w:rsid w:val="004802C0"/>
    <w:rsid w:val="00482A33"/>
    <w:rsid w:val="00483B68"/>
    <w:rsid w:val="0048400F"/>
    <w:rsid w:val="004848FD"/>
    <w:rsid w:val="00484E22"/>
    <w:rsid w:val="004856AD"/>
    <w:rsid w:val="00486F20"/>
    <w:rsid w:val="00486F52"/>
    <w:rsid w:val="00493B24"/>
    <w:rsid w:val="00493C10"/>
    <w:rsid w:val="00495DEF"/>
    <w:rsid w:val="004A30B6"/>
    <w:rsid w:val="004A74E2"/>
    <w:rsid w:val="004A7960"/>
    <w:rsid w:val="004B2B46"/>
    <w:rsid w:val="004B3276"/>
    <w:rsid w:val="004B4763"/>
    <w:rsid w:val="004C1AB2"/>
    <w:rsid w:val="004C2DCD"/>
    <w:rsid w:val="004C46D6"/>
    <w:rsid w:val="004C4F8C"/>
    <w:rsid w:val="004C5C5C"/>
    <w:rsid w:val="004C68CF"/>
    <w:rsid w:val="004C748A"/>
    <w:rsid w:val="004C7523"/>
    <w:rsid w:val="004D0457"/>
    <w:rsid w:val="004D0BFB"/>
    <w:rsid w:val="004D4AAE"/>
    <w:rsid w:val="004D5BA9"/>
    <w:rsid w:val="004D647F"/>
    <w:rsid w:val="004E2EE2"/>
    <w:rsid w:val="004E41CD"/>
    <w:rsid w:val="004E5C1E"/>
    <w:rsid w:val="004F3322"/>
    <w:rsid w:val="004F499C"/>
    <w:rsid w:val="004F51A0"/>
    <w:rsid w:val="004F54D8"/>
    <w:rsid w:val="00500AB2"/>
    <w:rsid w:val="00500EBF"/>
    <w:rsid w:val="0050140F"/>
    <w:rsid w:val="005022DC"/>
    <w:rsid w:val="00505CC0"/>
    <w:rsid w:val="0051114E"/>
    <w:rsid w:val="00511155"/>
    <w:rsid w:val="0051310D"/>
    <w:rsid w:val="00515CC5"/>
    <w:rsid w:val="0051713B"/>
    <w:rsid w:val="00520239"/>
    <w:rsid w:val="00522668"/>
    <w:rsid w:val="005254D8"/>
    <w:rsid w:val="00532689"/>
    <w:rsid w:val="00532A48"/>
    <w:rsid w:val="00532CBE"/>
    <w:rsid w:val="005335E7"/>
    <w:rsid w:val="00535248"/>
    <w:rsid w:val="00535BA7"/>
    <w:rsid w:val="005403A4"/>
    <w:rsid w:val="005418C2"/>
    <w:rsid w:val="00542968"/>
    <w:rsid w:val="0054639B"/>
    <w:rsid w:val="005467B1"/>
    <w:rsid w:val="00546B5B"/>
    <w:rsid w:val="005476B0"/>
    <w:rsid w:val="005504F1"/>
    <w:rsid w:val="005510A2"/>
    <w:rsid w:val="005512C5"/>
    <w:rsid w:val="00552F02"/>
    <w:rsid w:val="00553837"/>
    <w:rsid w:val="00554839"/>
    <w:rsid w:val="00554D4C"/>
    <w:rsid w:val="005577A5"/>
    <w:rsid w:val="005638E3"/>
    <w:rsid w:val="00565FB1"/>
    <w:rsid w:val="00567185"/>
    <w:rsid w:val="005677FD"/>
    <w:rsid w:val="00567E99"/>
    <w:rsid w:val="00570143"/>
    <w:rsid w:val="00570F16"/>
    <w:rsid w:val="005714B1"/>
    <w:rsid w:val="00571FF9"/>
    <w:rsid w:val="0057581F"/>
    <w:rsid w:val="0057653B"/>
    <w:rsid w:val="00580694"/>
    <w:rsid w:val="00582252"/>
    <w:rsid w:val="0058283B"/>
    <w:rsid w:val="00583722"/>
    <w:rsid w:val="00585C9C"/>
    <w:rsid w:val="00586A54"/>
    <w:rsid w:val="00587054"/>
    <w:rsid w:val="00591484"/>
    <w:rsid w:val="005916CC"/>
    <w:rsid w:val="00592D5D"/>
    <w:rsid w:val="005930DF"/>
    <w:rsid w:val="00596A01"/>
    <w:rsid w:val="005B0835"/>
    <w:rsid w:val="005B22B5"/>
    <w:rsid w:val="005B2937"/>
    <w:rsid w:val="005B2AF3"/>
    <w:rsid w:val="005B44F0"/>
    <w:rsid w:val="005B6410"/>
    <w:rsid w:val="005B644A"/>
    <w:rsid w:val="005B6595"/>
    <w:rsid w:val="005B6879"/>
    <w:rsid w:val="005C0758"/>
    <w:rsid w:val="005C6153"/>
    <w:rsid w:val="005D4DBC"/>
    <w:rsid w:val="005D61A3"/>
    <w:rsid w:val="005D7301"/>
    <w:rsid w:val="005D7B58"/>
    <w:rsid w:val="005E038B"/>
    <w:rsid w:val="005E0926"/>
    <w:rsid w:val="005E16C6"/>
    <w:rsid w:val="005E1BF5"/>
    <w:rsid w:val="005E22B5"/>
    <w:rsid w:val="005E35B3"/>
    <w:rsid w:val="005F06D7"/>
    <w:rsid w:val="005F0B12"/>
    <w:rsid w:val="005F0DF5"/>
    <w:rsid w:val="005F0F39"/>
    <w:rsid w:val="005F3F5C"/>
    <w:rsid w:val="005F4E45"/>
    <w:rsid w:val="005F56A4"/>
    <w:rsid w:val="005F72D2"/>
    <w:rsid w:val="00600F68"/>
    <w:rsid w:val="006012D3"/>
    <w:rsid w:val="00601F0C"/>
    <w:rsid w:val="00603B19"/>
    <w:rsid w:val="0060460F"/>
    <w:rsid w:val="00604DA3"/>
    <w:rsid w:val="0060500B"/>
    <w:rsid w:val="006067D0"/>
    <w:rsid w:val="006108D2"/>
    <w:rsid w:val="0061109A"/>
    <w:rsid w:val="006122C3"/>
    <w:rsid w:val="00613DF0"/>
    <w:rsid w:val="006169C8"/>
    <w:rsid w:val="0062217C"/>
    <w:rsid w:val="00623047"/>
    <w:rsid w:val="006239F7"/>
    <w:rsid w:val="00627220"/>
    <w:rsid w:val="006300BA"/>
    <w:rsid w:val="006304E5"/>
    <w:rsid w:val="0063193C"/>
    <w:rsid w:val="006319DF"/>
    <w:rsid w:val="00631D7A"/>
    <w:rsid w:val="006343F2"/>
    <w:rsid w:val="00635400"/>
    <w:rsid w:val="006363EA"/>
    <w:rsid w:val="00637E07"/>
    <w:rsid w:val="00641C8B"/>
    <w:rsid w:val="00641E72"/>
    <w:rsid w:val="006422E1"/>
    <w:rsid w:val="00643740"/>
    <w:rsid w:val="006455FB"/>
    <w:rsid w:val="00647C4F"/>
    <w:rsid w:val="00647F06"/>
    <w:rsid w:val="0065067D"/>
    <w:rsid w:val="00652F41"/>
    <w:rsid w:val="00655A58"/>
    <w:rsid w:val="006565E7"/>
    <w:rsid w:val="00660D5B"/>
    <w:rsid w:val="00666C07"/>
    <w:rsid w:val="00672718"/>
    <w:rsid w:val="00672BE3"/>
    <w:rsid w:val="006745F1"/>
    <w:rsid w:val="00675201"/>
    <w:rsid w:val="006757AE"/>
    <w:rsid w:val="006757D9"/>
    <w:rsid w:val="00676019"/>
    <w:rsid w:val="006761D8"/>
    <w:rsid w:val="00676963"/>
    <w:rsid w:val="00683F9A"/>
    <w:rsid w:val="00685420"/>
    <w:rsid w:val="0068681A"/>
    <w:rsid w:val="006875BE"/>
    <w:rsid w:val="00687A7D"/>
    <w:rsid w:val="00687B6F"/>
    <w:rsid w:val="00691B32"/>
    <w:rsid w:val="006943D6"/>
    <w:rsid w:val="006A03E8"/>
    <w:rsid w:val="006A1FB8"/>
    <w:rsid w:val="006A2466"/>
    <w:rsid w:val="006A488C"/>
    <w:rsid w:val="006A5626"/>
    <w:rsid w:val="006A777A"/>
    <w:rsid w:val="006B3B59"/>
    <w:rsid w:val="006B3F46"/>
    <w:rsid w:val="006B7214"/>
    <w:rsid w:val="006C0B35"/>
    <w:rsid w:val="006C1801"/>
    <w:rsid w:val="006C4FEE"/>
    <w:rsid w:val="006D1248"/>
    <w:rsid w:val="006D1287"/>
    <w:rsid w:val="006D16E2"/>
    <w:rsid w:val="006D1EAB"/>
    <w:rsid w:val="006D44B8"/>
    <w:rsid w:val="006D6207"/>
    <w:rsid w:val="006D667F"/>
    <w:rsid w:val="006E0384"/>
    <w:rsid w:val="006E16E8"/>
    <w:rsid w:val="006E2C1E"/>
    <w:rsid w:val="006E33FF"/>
    <w:rsid w:val="006E3C53"/>
    <w:rsid w:val="006E517A"/>
    <w:rsid w:val="006E5602"/>
    <w:rsid w:val="006E5B73"/>
    <w:rsid w:val="006F2F41"/>
    <w:rsid w:val="006F36FD"/>
    <w:rsid w:val="006F4209"/>
    <w:rsid w:val="006F4BDE"/>
    <w:rsid w:val="006F5A81"/>
    <w:rsid w:val="006F782E"/>
    <w:rsid w:val="00700BE5"/>
    <w:rsid w:val="00700DB8"/>
    <w:rsid w:val="00701927"/>
    <w:rsid w:val="0070453F"/>
    <w:rsid w:val="00706A76"/>
    <w:rsid w:val="00706D42"/>
    <w:rsid w:val="00710C56"/>
    <w:rsid w:val="00713BF7"/>
    <w:rsid w:val="00714AEE"/>
    <w:rsid w:val="007215BA"/>
    <w:rsid w:val="00721E76"/>
    <w:rsid w:val="00722F0C"/>
    <w:rsid w:val="00724849"/>
    <w:rsid w:val="00731110"/>
    <w:rsid w:val="007342E3"/>
    <w:rsid w:val="00734334"/>
    <w:rsid w:val="00737110"/>
    <w:rsid w:val="007428B9"/>
    <w:rsid w:val="00743862"/>
    <w:rsid w:val="00743E79"/>
    <w:rsid w:val="0074695D"/>
    <w:rsid w:val="00747013"/>
    <w:rsid w:val="007472B5"/>
    <w:rsid w:val="007524BB"/>
    <w:rsid w:val="0075283E"/>
    <w:rsid w:val="00753E7C"/>
    <w:rsid w:val="00754722"/>
    <w:rsid w:val="007562A8"/>
    <w:rsid w:val="007563F0"/>
    <w:rsid w:val="007566C0"/>
    <w:rsid w:val="00757D19"/>
    <w:rsid w:val="00757FCA"/>
    <w:rsid w:val="00761BC6"/>
    <w:rsid w:val="0076278D"/>
    <w:rsid w:val="00762C9A"/>
    <w:rsid w:val="00765B96"/>
    <w:rsid w:val="00766D87"/>
    <w:rsid w:val="0077376A"/>
    <w:rsid w:val="00773B58"/>
    <w:rsid w:val="007749FC"/>
    <w:rsid w:val="007770FE"/>
    <w:rsid w:val="00777753"/>
    <w:rsid w:val="00782F72"/>
    <w:rsid w:val="00785377"/>
    <w:rsid w:val="007867A4"/>
    <w:rsid w:val="00792730"/>
    <w:rsid w:val="0079292A"/>
    <w:rsid w:val="00792948"/>
    <w:rsid w:val="00793524"/>
    <w:rsid w:val="007979FD"/>
    <w:rsid w:val="00797A2F"/>
    <w:rsid w:val="007A011D"/>
    <w:rsid w:val="007A2791"/>
    <w:rsid w:val="007A495A"/>
    <w:rsid w:val="007B4D72"/>
    <w:rsid w:val="007B4FB4"/>
    <w:rsid w:val="007B7A2A"/>
    <w:rsid w:val="007B7F67"/>
    <w:rsid w:val="007C0352"/>
    <w:rsid w:val="007C166B"/>
    <w:rsid w:val="007C1EC9"/>
    <w:rsid w:val="007C2998"/>
    <w:rsid w:val="007C39F9"/>
    <w:rsid w:val="007C6246"/>
    <w:rsid w:val="007C7814"/>
    <w:rsid w:val="007D1909"/>
    <w:rsid w:val="007D35C9"/>
    <w:rsid w:val="007D53F5"/>
    <w:rsid w:val="007E0301"/>
    <w:rsid w:val="007E14B0"/>
    <w:rsid w:val="007E3730"/>
    <w:rsid w:val="007E3F4D"/>
    <w:rsid w:val="007E41AD"/>
    <w:rsid w:val="007F03AE"/>
    <w:rsid w:val="007F0907"/>
    <w:rsid w:val="007F0A2C"/>
    <w:rsid w:val="007F1ED0"/>
    <w:rsid w:val="007F3BF3"/>
    <w:rsid w:val="007F5149"/>
    <w:rsid w:val="007F5B30"/>
    <w:rsid w:val="007F6DAE"/>
    <w:rsid w:val="00800486"/>
    <w:rsid w:val="008045A7"/>
    <w:rsid w:val="0080611E"/>
    <w:rsid w:val="00811C93"/>
    <w:rsid w:val="008124E6"/>
    <w:rsid w:val="0081290F"/>
    <w:rsid w:val="008147D1"/>
    <w:rsid w:val="008170D4"/>
    <w:rsid w:val="00817B3A"/>
    <w:rsid w:val="00817C14"/>
    <w:rsid w:val="00817D6A"/>
    <w:rsid w:val="008203E0"/>
    <w:rsid w:val="0082152D"/>
    <w:rsid w:val="0082251A"/>
    <w:rsid w:val="00822A7B"/>
    <w:rsid w:val="008239C9"/>
    <w:rsid w:val="008241BC"/>
    <w:rsid w:val="00827576"/>
    <w:rsid w:val="00827894"/>
    <w:rsid w:val="0083239B"/>
    <w:rsid w:val="00832584"/>
    <w:rsid w:val="00840049"/>
    <w:rsid w:val="008409EC"/>
    <w:rsid w:val="00841497"/>
    <w:rsid w:val="00842B72"/>
    <w:rsid w:val="00845023"/>
    <w:rsid w:val="008457AF"/>
    <w:rsid w:val="00851D72"/>
    <w:rsid w:val="00856E83"/>
    <w:rsid w:val="00861B36"/>
    <w:rsid w:val="0086265B"/>
    <w:rsid w:val="008633BF"/>
    <w:rsid w:val="008662EE"/>
    <w:rsid w:val="00870487"/>
    <w:rsid w:val="0087053E"/>
    <w:rsid w:val="00870F97"/>
    <w:rsid w:val="0087183C"/>
    <w:rsid w:val="00871EB3"/>
    <w:rsid w:val="00872B99"/>
    <w:rsid w:val="00872FE6"/>
    <w:rsid w:val="00873C4F"/>
    <w:rsid w:val="00874D06"/>
    <w:rsid w:val="00875357"/>
    <w:rsid w:val="0088065C"/>
    <w:rsid w:val="00884014"/>
    <w:rsid w:val="008859F3"/>
    <w:rsid w:val="008868D8"/>
    <w:rsid w:val="00887D50"/>
    <w:rsid w:val="008910BA"/>
    <w:rsid w:val="00892100"/>
    <w:rsid w:val="008926D5"/>
    <w:rsid w:val="00894CE1"/>
    <w:rsid w:val="00897251"/>
    <w:rsid w:val="008A28CF"/>
    <w:rsid w:val="008A2DE8"/>
    <w:rsid w:val="008A551E"/>
    <w:rsid w:val="008A5637"/>
    <w:rsid w:val="008A5E1D"/>
    <w:rsid w:val="008A7471"/>
    <w:rsid w:val="008A7C6C"/>
    <w:rsid w:val="008B0679"/>
    <w:rsid w:val="008B2649"/>
    <w:rsid w:val="008B4BA5"/>
    <w:rsid w:val="008B5102"/>
    <w:rsid w:val="008B754E"/>
    <w:rsid w:val="008C2CD2"/>
    <w:rsid w:val="008C31F5"/>
    <w:rsid w:val="008C3760"/>
    <w:rsid w:val="008C40B7"/>
    <w:rsid w:val="008C5A8F"/>
    <w:rsid w:val="008C5B5F"/>
    <w:rsid w:val="008C69DE"/>
    <w:rsid w:val="008D0FCF"/>
    <w:rsid w:val="008D2C50"/>
    <w:rsid w:val="008D35C3"/>
    <w:rsid w:val="008E68E2"/>
    <w:rsid w:val="008E6FB5"/>
    <w:rsid w:val="008F372F"/>
    <w:rsid w:val="008F6EF8"/>
    <w:rsid w:val="009008A3"/>
    <w:rsid w:val="00903D80"/>
    <w:rsid w:val="00905131"/>
    <w:rsid w:val="0090533C"/>
    <w:rsid w:val="00905BFA"/>
    <w:rsid w:val="00910E3F"/>
    <w:rsid w:val="00911AB4"/>
    <w:rsid w:val="00911D8B"/>
    <w:rsid w:val="00914242"/>
    <w:rsid w:val="009166CC"/>
    <w:rsid w:val="00916B80"/>
    <w:rsid w:val="00917534"/>
    <w:rsid w:val="00927126"/>
    <w:rsid w:val="00927AFD"/>
    <w:rsid w:val="00930011"/>
    <w:rsid w:val="009307BE"/>
    <w:rsid w:val="009318B7"/>
    <w:rsid w:val="00931B74"/>
    <w:rsid w:val="00935252"/>
    <w:rsid w:val="00940CED"/>
    <w:rsid w:val="00941620"/>
    <w:rsid w:val="0094332D"/>
    <w:rsid w:val="0094398E"/>
    <w:rsid w:val="009450C6"/>
    <w:rsid w:val="0094774C"/>
    <w:rsid w:val="009525FA"/>
    <w:rsid w:val="00952896"/>
    <w:rsid w:val="00952914"/>
    <w:rsid w:val="00952CF1"/>
    <w:rsid w:val="009615EB"/>
    <w:rsid w:val="00962C32"/>
    <w:rsid w:val="00965209"/>
    <w:rsid w:val="0096548B"/>
    <w:rsid w:val="00966090"/>
    <w:rsid w:val="009667A5"/>
    <w:rsid w:val="0096747F"/>
    <w:rsid w:val="00970CA2"/>
    <w:rsid w:val="00973817"/>
    <w:rsid w:val="009755E5"/>
    <w:rsid w:val="00975F25"/>
    <w:rsid w:val="00976D2D"/>
    <w:rsid w:val="00977BED"/>
    <w:rsid w:val="00981716"/>
    <w:rsid w:val="00986822"/>
    <w:rsid w:val="00986E4F"/>
    <w:rsid w:val="00987F60"/>
    <w:rsid w:val="0099031A"/>
    <w:rsid w:val="00991A39"/>
    <w:rsid w:val="00994CBA"/>
    <w:rsid w:val="00995501"/>
    <w:rsid w:val="00995FB9"/>
    <w:rsid w:val="00996078"/>
    <w:rsid w:val="0099764B"/>
    <w:rsid w:val="009A01B0"/>
    <w:rsid w:val="009A0508"/>
    <w:rsid w:val="009A0C28"/>
    <w:rsid w:val="009A3F3B"/>
    <w:rsid w:val="009A76F8"/>
    <w:rsid w:val="009B15E4"/>
    <w:rsid w:val="009B1DB0"/>
    <w:rsid w:val="009B200A"/>
    <w:rsid w:val="009B293E"/>
    <w:rsid w:val="009B3355"/>
    <w:rsid w:val="009B532B"/>
    <w:rsid w:val="009B5B62"/>
    <w:rsid w:val="009B5FBF"/>
    <w:rsid w:val="009B627B"/>
    <w:rsid w:val="009C2676"/>
    <w:rsid w:val="009C424E"/>
    <w:rsid w:val="009C59F1"/>
    <w:rsid w:val="009C67CB"/>
    <w:rsid w:val="009D11B3"/>
    <w:rsid w:val="009D1E3A"/>
    <w:rsid w:val="009D3203"/>
    <w:rsid w:val="009D3824"/>
    <w:rsid w:val="009D49EB"/>
    <w:rsid w:val="009D5A2D"/>
    <w:rsid w:val="009D7410"/>
    <w:rsid w:val="009E08C0"/>
    <w:rsid w:val="009E13E2"/>
    <w:rsid w:val="009E1A71"/>
    <w:rsid w:val="009E21BE"/>
    <w:rsid w:val="009E41E2"/>
    <w:rsid w:val="009F4178"/>
    <w:rsid w:val="009F4B04"/>
    <w:rsid w:val="009F4BAB"/>
    <w:rsid w:val="009F67F0"/>
    <w:rsid w:val="00A022F7"/>
    <w:rsid w:val="00A03EE1"/>
    <w:rsid w:val="00A04010"/>
    <w:rsid w:val="00A05061"/>
    <w:rsid w:val="00A05991"/>
    <w:rsid w:val="00A06B98"/>
    <w:rsid w:val="00A07371"/>
    <w:rsid w:val="00A074A6"/>
    <w:rsid w:val="00A10316"/>
    <w:rsid w:val="00A10E26"/>
    <w:rsid w:val="00A115DD"/>
    <w:rsid w:val="00A12346"/>
    <w:rsid w:val="00A141CC"/>
    <w:rsid w:val="00A1591E"/>
    <w:rsid w:val="00A17206"/>
    <w:rsid w:val="00A17334"/>
    <w:rsid w:val="00A17346"/>
    <w:rsid w:val="00A21578"/>
    <w:rsid w:val="00A2241E"/>
    <w:rsid w:val="00A22EAB"/>
    <w:rsid w:val="00A23088"/>
    <w:rsid w:val="00A2352B"/>
    <w:rsid w:val="00A244BA"/>
    <w:rsid w:val="00A24D85"/>
    <w:rsid w:val="00A27B0E"/>
    <w:rsid w:val="00A31A07"/>
    <w:rsid w:val="00A3595B"/>
    <w:rsid w:val="00A36A56"/>
    <w:rsid w:val="00A41FA2"/>
    <w:rsid w:val="00A42133"/>
    <w:rsid w:val="00A44AE4"/>
    <w:rsid w:val="00A464D8"/>
    <w:rsid w:val="00A466AD"/>
    <w:rsid w:val="00A50211"/>
    <w:rsid w:val="00A507BF"/>
    <w:rsid w:val="00A5115D"/>
    <w:rsid w:val="00A513C6"/>
    <w:rsid w:val="00A51FA7"/>
    <w:rsid w:val="00A53940"/>
    <w:rsid w:val="00A53E2A"/>
    <w:rsid w:val="00A54AFA"/>
    <w:rsid w:val="00A55561"/>
    <w:rsid w:val="00A56C91"/>
    <w:rsid w:val="00A5728F"/>
    <w:rsid w:val="00A63A5A"/>
    <w:rsid w:val="00A643FD"/>
    <w:rsid w:val="00A7040D"/>
    <w:rsid w:val="00A72D45"/>
    <w:rsid w:val="00A73713"/>
    <w:rsid w:val="00A7454D"/>
    <w:rsid w:val="00A80CD7"/>
    <w:rsid w:val="00A82AA1"/>
    <w:rsid w:val="00A82F95"/>
    <w:rsid w:val="00A834C0"/>
    <w:rsid w:val="00A8354B"/>
    <w:rsid w:val="00A87B80"/>
    <w:rsid w:val="00A95071"/>
    <w:rsid w:val="00A9609E"/>
    <w:rsid w:val="00A96FD6"/>
    <w:rsid w:val="00AA07EC"/>
    <w:rsid w:val="00AA1A66"/>
    <w:rsid w:val="00AA2675"/>
    <w:rsid w:val="00AA276D"/>
    <w:rsid w:val="00AA2DCC"/>
    <w:rsid w:val="00AA2FE0"/>
    <w:rsid w:val="00AA4BF1"/>
    <w:rsid w:val="00AA4F8F"/>
    <w:rsid w:val="00AA5027"/>
    <w:rsid w:val="00AA70DA"/>
    <w:rsid w:val="00AA7969"/>
    <w:rsid w:val="00AB1DE0"/>
    <w:rsid w:val="00AB2597"/>
    <w:rsid w:val="00AB259E"/>
    <w:rsid w:val="00AB2A3B"/>
    <w:rsid w:val="00AB2C8C"/>
    <w:rsid w:val="00AB4261"/>
    <w:rsid w:val="00AB4534"/>
    <w:rsid w:val="00AB5097"/>
    <w:rsid w:val="00AB52F8"/>
    <w:rsid w:val="00AB693B"/>
    <w:rsid w:val="00AC0647"/>
    <w:rsid w:val="00AC2671"/>
    <w:rsid w:val="00AC271E"/>
    <w:rsid w:val="00AC41BB"/>
    <w:rsid w:val="00AC4CFB"/>
    <w:rsid w:val="00AD0578"/>
    <w:rsid w:val="00AD18A6"/>
    <w:rsid w:val="00AD3989"/>
    <w:rsid w:val="00AD60C0"/>
    <w:rsid w:val="00AD792F"/>
    <w:rsid w:val="00AE0E2B"/>
    <w:rsid w:val="00AE1870"/>
    <w:rsid w:val="00AE2398"/>
    <w:rsid w:val="00AE5667"/>
    <w:rsid w:val="00AE6635"/>
    <w:rsid w:val="00AE6D9B"/>
    <w:rsid w:val="00AE794B"/>
    <w:rsid w:val="00AF00B9"/>
    <w:rsid w:val="00AF20D1"/>
    <w:rsid w:val="00AF287C"/>
    <w:rsid w:val="00AF30D5"/>
    <w:rsid w:val="00AF3B93"/>
    <w:rsid w:val="00AF43AA"/>
    <w:rsid w:val="00B00747"/>
    <w:rsid w:val="00B00F25"/>
    <w:rsid w:val="00B015B4"/>
    <w:rsid w:val="00B03E26"/>
    <w:rsid w:val="00B0629A"/>
    <w:rsid w:val="00B06672"/>
    <w:rsid w:val="00B07D3F"/>
    <w:rsid w:val="00B135DB"/>
    <w:rsid w:val="00B14CEE"/>
    <w:rsid w:val="00B15E85"/>
    <w:rsid w:val="00B1696A"/>
    <w:rsid w:val="00B16BB8"/>
    <w:rsid w:val="00B22549"/>
    <w:rsid w:val="00B22E40"/>
    <w:rsid w:val="00B243E7"/>
    <w:rsid w:val="00B266E0"/>
    <w:rsid w:val="00B26862"/>
    <w:rsid w:val="00B27896"/>
    <w:rsid w:val="00B3323F"/>
    <w:rsid w:val="00B3784C"/>
    <w:rsid w:val="00B40E09"/>
    <w:rsid w:val="00B4123A"/>
    <w:rsid w:val="00B41B6C"/>
    <w:rsid w:val="00B4277A"/>
    <w:rsid w:val="00B42783"/>
    <w:rsid w:val="00B4484E"/>
    <w:rsid w:val="00B47DCC"/>
    <w:rsid w:val="00B51110"/>
    <w:rsid w:val="00B54238"/>
    <w:rsid w:val="00B548B2"/>
    <w:rsid w:val="00B5685D"/>
    <w:rsid w:val="00B57EBD"/>
    <w:rsid w:val="00B60003"/>
    <w:rsid w:val="00B618D7"/>
    <w:rsid w:val="00B627A3"/>
    <w:rsid w:val="00B63ED9"/>
    <w:rsid w:val="00B64AF5"/>
    <w:rsid w:val="00B650B4"/>
    <w:rsid w:val="00B67163"/>
    <w:rsid w:val="00B6727C"/>
    <w:rsid w:val="00B67F38"/>
    <w:rsid w:val="00B7184E"/>
    <w:rsid w:val="00B7220E"/>
    <w:rsid w:val="00B75259"/>
    <w:rsid w:val="00B75A09"/>
    <w:rsid w:val="00B83362"/>
    <w:rsid w:val="00B835FA"/>
    <w:rsid w:val="00B83FAC"/>
    <w:rsid w:val="00B83FEF"/>
    <w:rsid w:val="00B8431A"/>
    <w:rsid w:val="00B850B4"/>
    <w:rsid w:val="00B9631E"/>
    <w:rsid w:val="00B969E4"/>
    <w:rsid w:val="00B97389"/>
    <w:rsid w:val="00BA019F"/>
    <w:rsid w:val="00BA31AA"/>
    <w:rsid w:val="00BA3411"/>
    <w:rsid w:val="00BA5559"/>
    <w:rsid w:val="00BA7C66"/>
    <w:rsid w:val="00BB0E1C"/>
    <w:rsid w:val="00BB2DE6"/>
    <w:rsid w:val="00BB2ED7"/>
    <w:rsid w:val="00BB34DA"/>
    <w:rsid w:val="00BC0600"/>
    <w:rsid w:val="00BC22EF"/>
    <w:rsid w:val="00BC6CB4"/>
    <w:rsid w:val="00BD3609"/>
    <w:rsid w:val="00BD6BB2"/>
    <w:rsid w:val="00BD788C"/>
    <w:rsid w:val="00BE065B"/>
    <w:rsid w:val="00BE0A2D"/>
    <w:rsid w:val="00BE1620"/>
    <w:rsid w:val="00BE2EC3"/>
    <w:rsid w:val="00BE308A"/>
    <w:rsid w:val="00BE5EC2"/>
    <w:rsid w:val="00BE7E10"/>
    <w:rsid w:val="00BE7EFC"/>
    <w:rsid w:val="00BF0D5D"/>
    <w:rsid w:val="00BF215F"/>
    <w:rsid w:val="00BF2795"/>
    <w:rsid w:val="00BF2EAB"/>
    <w:rsid w:val="00BF355C"/>
    <w:rsid w:val="00BF6AC0"/>
    <w:rsid w:val="00BF79D2"/>
    <w:rsid w:val="00C03093"/>
    <w:rsid w:val="00C03AF0"/>
    <w:rsid w:val="00C046E9"/>
    <w:rsid w:val="00C062D0"/>
    <w:rsid w:val="00C07A4B"/>
    <w:rsid w:val="00C07BD6"/>
    <w:rsid w:val="00C11D38"/>
    <w:rsid w:val="00C11E5A"/>
    <w:rsid w:val="00C12098"/>
    <w:rsid w:val="00C163C4"/>
    <w:rsid w:val="00C20899"/>
    <w:rsid w:val="00C20AF5"/>
    <w:rsid w:val="00C210FE"/>
    <w:rsid w:val="00C22FB4"/>
    <w:rsid w:val="00C24961"/>
    <w:rsid w:val="00C24CD5"/>
    <w:rsid w:val="00C25F97"/>
    <w:rsid w:val="00C2611B"/>
    <w:rsid w:val="00C322E2"/>
    <w:rsid w:val="00C343D0"/>
    <w:rsid w:val="00C353D9"/>
    <w:rsid w:val="00C36A1D"/>
    <w:rsid w:val="00C37323"/>
    <w:rsid w:val="00C41FAF"/>
    <w:rsid w:val="00C42112"/>
    <w:rsid w:val="00C4416C"/>
    <w:rsid w:val="00C445C2"/>
    <w:rsid w:val="00C47DED"/>
    <w:rsid w:val="00C51033"/>
    <w:rsid w:val="00C51A48"/>
    <w:rsid w:val="00C52A18"/>
    <w:rsid w:val="00C54119"/>
    <w:rsid w:val="00C54204"/>
    <w:rsid w:val="00C543BB"/>
    <w:rsid w:val="00C54D3E"/>
    <w:rsid w:val="00C571A3"/>
    <w:rsid w:val="00C60E01"/>
    <w:rsid w:val="00C6222E"/>
    <w:rsid w:val="00C62737"/>
    <w:rsid w:val="00C65368"/>
    <w:rsid w:val="00C67DA4"/>
    <w:rsid w:val="00C70048"/>
    <w:rsid w:val="00C70A03"/>
    <w:rsid w:val="00C7672B"/>
    <w:rsid w:val="00C80795"/>
    <w:rsid w:val="00C80843"/>
    <w:rsid w:val="00C80B5D"/>
    <w:rsid w:val="00C824D5"/>
    <w:rsid w:val="00C83567"/>
    <w:rsid w:val="00C83A9D"/>
    <w:rsid w:val="00C84A3B"/>
    <w:rsid w:val="00C86392"/>
    <w:rsid w:val="00C86E44"/>
    <w:rsid w:val="00C86F26"/>
    <w:rsid w:val="00C87C1C"/>
    <w:rsid w:val="00C91CC3"/>
    <w:rsid w:val="00C93C23"/>
    <w:rsid w:val="00C95394"/>
    <w:rsid w:val="00C95E10"/>
    <w:rsid w:val="00C96FA1"/>
    <w:rsid w:val="00C97DD3"/>
    <w:rsid w:val="00CA07F5"/>
    <w:rsid w:val="00CA0811"/>
    <w:rsid w:val="00CA1858"/>
    <w:rsid w:val="00CA18FC"/>
    <w:rsid w:val="00CA23FE"/>
    <w:rsid w:val="00CA3F86"/>
    <w:rsid w:val="00CA5662"/>
    <w:rsid w:val="00CA7C1D"/>
    <w:rsid w:val="00CA7EE9"/>
    <w:rsid w:val="00CB1111"/>
    <w:rsid w:val="00CB2DFD"/>
    <w:rsid w:val="00CB3BB5"/>
    <w:rsid w:val="00CB3EC2"/>
    <w:rsid w:val="00CB725A"/>
    <w:rsid w:val="00CB7FB6"/>
    <w:rsid w:val="00CC04CE"/>
    <w:rsid w:val="00CC0AD9"/>
    <w:rsid w:val="00CC0C47"/>
    <w:rsid w:val="00CC12A2"/>
    <w:rsid w:val="00CC18D1"/>
    <w:rsid w:val="00CC37AF"/>
    <w:rsid w:val="00CC3882"/>
    <w:rsid w:val="00CC46B6"/>
    <w:rsid w:val="00CC4D30"/>
    <w:rsid w:val="00CC5097"/>
    <w:rsid w:val="00CC5A49"/>
    <w:rsid w:val="00CC620B"/>
    <w:rsid w:val="00CC75BB"/>
    <w:rsid w:val="00CC76BB"/>
    <w:rsid w:val="00CD25BE"/>
    <w:rsid w:val="00CD72DA"/>
    <w:rsid w:val="00CD7D93"/>
    <w:rsid w:val="00CE02B3"/>
    <w:rsid w:val="00CE196D"/>
    <w:rsid w:val="00CE1F83"/>
    <w:rsid w:val="00CE29A1"/>
    <w:rsid w:val="00CE2E0B"/>
    <w:rsid w:val="00CE2E53"/>
    <w:rsid w:val="00CE572F"/>
    <w:rsid w:val="00CE7737"/>
    <w:rsid w:val="00CE7A43"/>
    <w:rsid w:val="00CE7DC2"/>
    <w:rsid w:val="00CE7EC4"/>
    <w:rsid w:val="00CF0BC5"/>
    <w:rsid w:val="00CF1475"/>
    <w:rsid w:val="00CF1491"/>
    <w:rsid w:val="00CF400A"/>
    <w:rsid w:val="00CF523F"/>
    <w:rsid w:val="00CF5DB3"/>
    <w:rsid w:val="00CF68F2"/>
    <w:rsid w:val="00CF7270"/>
    <w:rsid w:val="00CF750F"/>
    <w:rsid w:val="00D010A4"/>
    <w:rsid w:val="00D03ECB"/>
    <w:rsid w:val="00D06842"/>
    <w:rsid w:val="00D06BEF"/>
    <w:rsid w:val="00D07350"/>
    <w:rsid w:val="00D1029E"/>
    <w:rsid w:val="00D10B89"/>
    <w:rsid w:val="00D2092B"/>
    <w:rsid w:val="00D221E6"/>
    <w:rsid w:val="00D22A81"/>
    <w:rsid w:val="00D2589F"/>
    <w:rsid w:val="00D25BA2"/>
    <w:rsid w:val="00D277C7"/>
    <w:rsid w:val="00D27FC1"/>
    <w:rsid w:val="00D302EB"/>
    <w:rsid w:val="00D33DBC"/>
    <w:rsid w:val="00D34F0A"/>
    <w:rsid w:val="00D37B67"/>
    <w:rsid w:val="00D41831"/>
    <w:rsid w:val="00D4282E"/>
    <w:rsid w:val="00D42E8C"/>
    <w:rsid w:val="00D46910"/>
    <w:rsid w:val="00D47F2D"/>
    <w:rsid w:val="00D51173"/>
    <w:rsid w:val="00D52412"/>
    <w:rsid w:val="00D5273E"/>
    <w:rsid w:val="00D52C27"/>
    <w:rsid w:val="00D53988"/>
    <w:rsid w:val="00D54D4B"/>
    <w:rsid w:val="00D55C8C"/>
    <w:rsid w:val="00D56A97"/>
    <w:rsid w:val="00D56CF5"/>
    <w:rsid w:val="00D60173"/>
    <w:rsid w:val="00D61AC0"/>
    <w:rsid w:val="00D656FF"/>
    <w:rsid w:val="00D71203"/>
    <w:rsid w:val="00D76C11"/>
    <w:rsid w:val="00D84F54"/>
    <w:rsid w:val="00D8656A"/>
    <w:rsid w:val="00D87066"/>
    <w:rsid w:val="00D870CF"/>
    <w:rsid w:val="00D9025A"/>
    <w:rsid w:val="00D91F2D"/>
    <w:rsid w:val="00D93ECD"/>
    <w:rsid w:val="00D94476"/>
    <w:rsid w:val="00D9661D"/>
    <w:rsid w:val="00DA0A97"/>
    <w:rsid w:val="00DA12D9"/>
    <w:rsid w:val="00DA660B"/>
    <w:rsid w:val="00DA6AB8"/>
    <w:rsid w:val="00DA6ED2"/>
    <w:rsid w:val="00DA7735"/>
    <w:rsid w:val="00DB0A90"/>
    <w:rsid w:val="00DB114B"/>
    <w:rsid w:val="00DB2824"/>
    <w:rsid w:val="00DB42B8"/>
    <w:rsid w:val="00DB601D"/>
    <w:rsid w:val="00DC00E9"/>
    <w:rsid w:val="00DC0507"/>
    <w:rsid w:val="00DC0701"/>
    <w:rsid w:val="00DC1D50"/>
    <w:rsid w:val="00DC50F9"/>
    <w:rsid w:val="00DC5E80"/>
    <w:rsid w:val="00DC5ECE"/>
    <w:rsid w:val="00DC6A30"/>
    <w:rsid w:val="00DC6D3D"/>
    <w:rsid w:val="00DC7F08"/>
    <w:rsid w:val="00DD131A"/>
    <w:rsid w:val="00DD2821"/>
    <w:rsid w:val="00DD2A9B"/>
    <w:rsid w:val="00DD4211"/>
    <w:rsid w:val="00DD469E"/>
    <w:rsid w:val="00DD5B96"/>
    <w:rsid w:val="00DD6ACE"/>
    <w:rsid w:val="00DD6B1B"/>
    <w:rsid w:val="00DE771D"/>
    <w:rsid w:val="00DE785E"/>
    <w:rsid w:val="00DE7E2F"/>
    <w:rsid w:val="00DF5199"/>
    <w:rsid w:val="00DF6D64"/>
    <w:rsid w:val="00DF72C8"/>
    <w:rsid w:val="00E02D33"/>
    <w:rsid w:val="00E033B9"/>
    <w:rsid w:val="00E03AF9"/>
    <w:rsid w:val="00E0759A"/>
    <w:rsid w:val="00E110CB"/>
    <w:rsid w:val="00E114F1"/>
    <w:rsid w:val="00E121D5"/>
    <w:rsid w:val="00E126FA"/>
    <w:rsid w:val="00E137DB"/>
    <w:rsid w:val="00E15A62"/>
    <w:rsid w:val="00E1631D"/>
    <w:rsid w:val="00E168C5"/>
    <w:rsid w:val="00E16F74"/>
    <w:rsid w:val="00E171AC"/>
    <w:rsid w:val="00E17FFB"/>
    <w:rsid w:val="00E20DD5"/>
    <w:rsid w:val="00E22994"/>
    <w:rsid w:val="00E2336E"/>
    <w:rsid w:val="00E24235"/>
    <w:rsid w:val="00E277D7"/>
    <w:rsid w:val="00E3026F"/>
    <w:rsid w:val="00E3150B"/>
    <w:rsid w:val="00E32002"/>
    <w:rsid w:val="00E32197"/>
    <w:rsid w:val="00E32CA4"/>
    <w:rsid w:val="00E33C29"/>
    <w:rsid w:val="00E36745"/>
    <w:rsid w:val="00E37F4D"/>
    <w:rsid w:val="00E40962"/>
    <w:rsid w:val="00E40A61"/>
    <w:rsid w:val="00E44582"/>
    <w:rsid w:val="00E469BC"/>
    <w:rsid w:val="00E50382"/>
    <w:rsid w:val="00E50BB6"/>
    <w:rsid w:val="00E51911"/>
    <w:rsid w:val="00E52AF8"/>
    <w:rsid w:val="00E52DAD"/>
    <w:rsid w:val="00E5386E"/>
    <w:rsid w:val="00E539A3"/>
    <w:rsid w:val="00E53EC8"/>
    <w:rsid w:val="00E572A5"/>
    <w:rsid w:val="00E57920"/>
    <w:rsid w:val="00E57CCF"/>
    <w:rsid w:val="00E61115"/>
    <w:rsid w:val="00E61A33"/>
    <w:rsid w:val="00E62628"/>
    <w:rsid w:val="00E62A16"/>
    <w:rsid w:val="00E637D4"/>
    <w:rsid w:val="00E638DE"/>
    <w:rsid w:val="00E63EE5"/>
    <w:rsid w:val="00E65DD5"/>
    <w:rsid w:val="00E668CB"/>
    <w:rsid w:val="00E66FCC"/>
    <w:rsid w:val="00E71735"/>
    <w:rsid w:val="00E759D1"/>
    <w:rsid w:val="00E769AC"/>
    <w:rsid w:val="00E77098"/>
    <w:rsid w:val="00E8233B"/>
    <w:rsid w:val="00E82AE8"/>
    <w:rsid w:val="00E82BE9"/>
    <w:rsid w:val="00E83614"/>
    <w:rsid w:val="00E849A9"/>
    <w:rsid w:val="00E92751"/>
    <w:rsid w:val="00E96909"/>
    <w:rsid w:val="00E972FE"/>
    <w:rsid w:val="00EA17BA"/>
    <w:rsid w:val="00EA3873"/>
    <w:rsid w:val="00EA77FF"/>
    <w:rsid w:val="00EB3601"/>
    <w:rsid w:val="00EB39A3"/>
    <w:rsid w:val="00EB6D2B"/>
    <w:rsid w:val="00EC1516"/>
    <w:rsid w:val="00EC348C"/>
    <w:rsid w:val="00ED1BE8"/>
    <w:rsid w:val="00ED3045"/>
    <w:rsid w:val="00ED34D0"/>
    <w:rsid w:val="00ED79DB"/>
    <w:rsid w:val="00EE262C"/>
    <w:rsid w:val="00EE2FE4"/>
    <w:rsid w:val="00EE3CBD"/>
    <w:rsid w:val="00EE5284"/>
    <w:rsid w:val="00EE59F3"/>
    <w:rsid w:val="00EE5DB6"/>
    <w:rsid w:val="00EE7711"/>
    <w:rsid w:val="00EF19FF"/>
    <w:rsid w:val="00EF1D13"/>
    <w:rsid w:val="00EF331D"/>
    <w:rsid w:val="00EF6DD4"/>
    <w:rsid w:val="00F01658"/>
    <w:rsid w:val="00F02F33"/>
    <w:rsid w:val="00F0659F"/>
    <w:rsid w:val="00F10240"/>
    <w:rsid w:val="00F1690A"/>
    <w:rsid w:val="00F2030E"/>
    <w:rsid w:val="00F20803"/>
    <w:rsid w:val="00F21FF6"/>
    <w:rsid w:val="00F221CA"/>
    <w:rsid w:val="00F22549"/>
    <w:rsid w:val="00F23426"/>
    <w:rsid w:val="00F244B4"/>
    <w:rsid w:val="00F25BFA"/>
    <w:rsid w:val="00F3005D"/>
    <w:rsid w:val="00F3279D"/>
    <w:rsid w:val="00F3303E"/>
    <w:rsid w:val="00F35D06"/>
    <w:rsid w:val="00F3633B"/>
    <w:rsid w:val="00F376D5"/>
    <w:rsid w:val="00F40958"/>
    <w:rsid w:val="00F40E0D"/>
    <w:rsid w:val="00F40ECE"/>
    <w:rsid w:val="00F4239E"/>
    <w:rsid w:val="00F426FD"/>
    <w:rsid w:val="00F43392"/>
    <w:rsid w:val="00F44124"/>
    <w:rsid w:val="00F44219"/>
    <w:rsid w:val="00F44F73"/>
    <w:rsid w:val="00F45046"/>
    <w:rsid w:val="00F47E52"/>
    <w:rsid w:val="00F51C2D"/>
    <w:rsid w:val="00F53BFF"/>
    <w:rsid w:val="00F53C80"/>
    <w:rsid w:val="00F53F5E"/>
    <w:rsid w:val="00F54A7D"/>
    <w:rsid w:val="00F554A0"/>
    <w:rsid w:val="00F56843"/>
    <w:rsid w:val="00F56E31"/>
    <w:rsid w:val="00F6190B"/>
    <w:rsid w:val="00F62FAC"/>
    <w:rsid w:val="00F6380A"/>
    <w:rsid w:val="00F65DE4"/>
    <w:rsid w:val="00F66E01"/>
    <w:rsid w:val="00F70719"/>
    <w:rsid w:val="00F70DB8"/>
    <w:rsid w:val="00F71147"/>
    <w:rsid w:val="00F71254"/>
    <w:rsid w:val="00F71415"/>
    <w:rsid w:val="00F7180A"/>
    <w:rsid w:val="00F71C6E"/>
    <w:rsid w:val="00F7204C"/>
    <w:rsid w:val="00F73B6C"/>
    <w:rsid w:val="00F7484F"/>
    <w:rsid w:val="00F7543F"/>
    <w:rsid w:val="00F762DD"/>
    <w:rsid w:val="00F763A0"/>
    <w:rsid w:val="00F7688E"/>
    <w:rsid w:val="00F77CC3"/>
    <w:rsid w:val="00F83987"/>
    <w:rsid w:val="00F84118"/>
    <w:rsid w:val="00F8549A"/>
    <w:rsid w:val="00F906C2"/>
    <w:rsid w:val="00F90982"/>
    <w:rsid w:val="00F92A87"/>
    <w:rsid w:val="00F946F4"/>
    <w:rsid w:val="00F94CB6"/>
    <w:rsid w:val="00F95452"/>
    <w:rsid w:val="00F95E3C"/>
    <w:rsid w:val="00F96437"/>
    <w:rsid w:val="00F9688E"/>
    <w:rsid w:val="00FA2427"/>
    <w:rsid w:val="00FA5343"/>
    <w:rsid w:val="00FA579D"/>
    <w:rsid w:val="00FA5B89"/>
    <w:rsid w:val="00FB0372"/>
    <w:rsid w:val="00FB10C5"/>
    <w:rsid w:val="00FB116F"/>
    <w:rsid w:val="00FB1B51"/>
    <w:rsid w:val="00FB326D"/>
    <w:rsid w:val="00FB346A"/>
    <w:rsid w:val="00FB38D7"/>
    <w:rsid w:val="00FB4422"/>
    <w:rsid w:val="00FB48FE"/>
    <w:rsid w:val="00FC04DD"/>
    <w:rsid w:val="00FC2A02"/>
    <w:rsid w:val="00FC45F4"/>
    <w:rsid w:val="00FC6DF5"/>
    <w:rsid w:val="00FD04F7"/>
    <w:rsid w:val="00FD1E1C"/>
    <w:rsid w:val="00FD20EF"/>
    <w:rsid w:val="00FD23D9"/>
    <w:rsid w:val="00FD33DD"/>
    <w:rsid w:val="00FD3D25"/>
    <w:rsid w:val="00FE03CF"/>
    <w:rsid w:val="00FE062D"/>
    <w:rsid w:val="00FE0B8A"/>
    <w:rsid w:val="00FE1937"/>
    <w:rsid w:val="00FE28C9"/>
    <w:rsid w:val="00FE37E6"/>
    <w:rsid w:val="00FE42A4"/>
    <w:rsid w:val="00FE6102"/>
    <w:rsid w:val="00FF107E"/>
    <w:rsid w:val="00FF1AF6"/>
    <w:rsid w:val="00FF5565"/>
    <w:rsid w:val="00FF5E00"/>
    <w:rsid w:val="00FF732A"/>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B17321"/>
  <w15:docId w15:val="{FCBC29CD-A3FB-40B6-ADBC-1D8F2713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9AC"/>
    <w:pPr>
      <w:spacing w:before="120"/>
      <w:jc w:val="both"/>
    </w:pPr>
    <w:rPr>
      <w:rFonts w:ascii="Arial" w:hAnsi="Arial"/>
      <w:sz w:val="24"/>
    </w:rPr>
  </w:style>
  <w:style w:type="paragraph" w:styleId="Heading1">
    <w:name w:val="heading 1"/>
    <w:basedOn w:val="Normal"/>
    <w:next w:val="Normal"/>
    <w:qFormat/>
    <w:rsid w:val="00B8431A"/>
    <w:pPr>
      <w:keepNext/>
      <w:numPr>
        <w:numId w:val="5"/>
      </w:numPr>
      <w:spacing w:before="480"/>
      <w:outlineLvl w:val="0"/>
    </w:pPr>
    <w:rPr>
      <w:b/>
      <w:u w:val="single"/>
    </w:rPr>
  </w:style>
  <w:style w:type="paragraph" w:styleId="Heading2">
    <w:name w:val="heading 2"/>
    <w:basedOn w:val="Normal"/>
    <w:next w:val="Normal"/>
    <w:qFormat/>
    <w:rsid w:val="00B8431A"/>
    <w:pPr>
      <w:keepNext/>
      <w:widowControl w:val="0"/>
      <w:numPr>
        <w:ilvl w:val="1"/>
        <w:numId w:val="5"/>
      </w:numPr>
      <w:spacing w:before="480"/>
      <w:ind w:left="578" w:hanging="578"/>
      <w:outlineLvl w:val="1"/>
    </w:pPr>
    <w:rPr>
      <w:b/>
      <w:u w:val="single"/>
    </w:rPr>
  </w:style>
  <w:style w:type="paragraph" w:styleId="Heading3">
    <w:name w:val="heading 3"/>
    <w:basedOn w:val="Normal"/>
    <w:next w:val="Normal"/>
    <w:link w:val="Heading3Char"/>
    <w:qFormat/>
    <w:rsid w:val="00B8431A"/>
    <w:pPr>
      <w:keepNext/>
      <w:numPr>
        <w:ilvl w:val="2"/>
        <w:numId w:val="5"/>
      </w:numPr>
      <w:spacing w:before="240"/>
      <w:outlineLvl w:val="2"/>
    </w:pPr>
    <w:rPr>
      <w:b/>
      <w:snapToGrid w:val="0"/>
      <w:color w:val="000000"/>
      <w:u w:val="single"/>
    </w:rPr>
  </w:style>
  <w:style w:type="paragraph" w:styleId="Heading4">
    <w:name w:val="heading 4"/>
    <w:basedOn w:val="Normal"/>
    <w:next w:val="Normal"/>
    <w:qFormat/>
    <w:rsid w:val="009D49EB"/>
    <w:pPr>
      <w:keepNext/>
      <w:numPr>
        <w:ilvl w:val="3"/>
        <w:numId w:val="5"/>
      </w:numPr>
      <w:spacing w:before="240"/>
      <w:outlineLvl w:val="3"/>
    </w:pPr>
    <w:rPr>
      <w:bCs/>
      <w:szCs w:val="28"/>
      <w:u w:val="single"/>
    </w:rPr>
  </w:style>
  <w:style w:type="paragraph" w:styleId="Heading5">
    <w:name w:val="heading 5"/>
    <w:basedOn w:val="Normal"/>
    <w:next w:val="Normal"/>
    <w:qFormat/>
    <w:rsid w:val="00B8431A"/>
    <w:pPr>
      <w:numPr>
        <w:ilvl w:val="4"/>
        <w:numId w:val="5"/>
      </w:numPr>
      <w:spacing w:before="240" w:after="60"/>
      <w:outlineLvl w:val="4"/>
    </w:pPr>
    <w:rPr>
      <w:b/>
      <w:bCs/>
      <w:i/>
      <w:iCs/>
      <w:sz w:val="26"/>
      <w:szCs w:val="26"/>
    </w:rPr>
  </w:style>
  <w:style w:type="paragraph" w:styleId="Heading6">
    <w:name w:val="heading 6"/>
    <w:basedOn w:val="Normal"/>
    <w:next w:val="Normal"/>
    <w:qFormat/>
    <w:rsid w:val="00B8431A"/>
    <w:pPr>
      <w:numPr>
        <w:ilvl w:val="5"/>
        <w:numId w:val="5"/>
      </w:numPr>
      <w:spacing w:before="240" w:after="60"/>
      <w:outlineLvl w:val="5"/>
    </w:pPr>
    <w:rPr>
      <w:rFonts w:ascii="Times New Roman" w:hAnsi="Times New Roman"/>
      <w:b/>
      <w:bCs/>
      <w:sz w:val="22"/>
      <w:szCs w:val="22"/>
    </w:rPr>
  </w:style>
  <w:style w:type="paragraph" w:styleId="Heading7">
    <w:name w:val="heading 7"/>
    <w:basedOn w:val="Normal"/>
    <w:next w:val="Normal"/>
    <w:qFormat/>
    <w:rsid w:val="00B8431A"/>
    <w:pPr>
      <w:numPr>
        <w:ilvl w:val="6"/>
        <w:numId w:val="5"/>
      </w:numPr>
      <w:spacing w:before="240" w:after="60"/>
      <w:outlineLvl w:val="6"/>
    </w:pPr>
    <w:rPr>
      <w:rFonts w:ascii="Times New Roman" w:hAnsi="Times New Roman"/>
      <w:szCs w:val="24"/>
    </w:rPr>
  </w:style>
  <w:style w:type="paragraph" w:styleId="Heading8">
    <w:name w:val="heading 8"/>
    <w:basedOn w:val="Normal"/>
    <w:next w:val="Normal"/>
    <w:qFormat/>
    <w:rsid w:val="00B8431A"/>
    <w:pPr>
      <w:numPr>
        <w:ilvl w:val="7"/>
        <w:numId w:val="5"/>
      </w:numPr>
      <w:spacing w:before="240" w:after="60"/>
      <w:outlineLvl w:val="7"/>
    </w:pPr>
    <w:rPr>
      <w:rFonts w:ascii="Times New Roman" w:hAnsi="Times New Roman"/>
      <w:i/>
      <w:iCs/>
      <w:szCs w:val="24"/>
    </w:rPr>
  </w:style>
  <w:style w:type="paragraph" w:styleId="Heading9">
    <w:name w:val="heading 9"/>
    <w:basedOn w:val="Normal"/>
    <w:next w:val="Normal"/>
    <w:qFormat/>
    <w:rsid w:val="00B8431A"/>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culo">
    <w:name w:val="Artículo"/>
    <w:basedOn w:val="Normal"/>
    <w:rsid w:val="00F71C6E"/>
    <w:pPr>
      <w:spacing w:before="240"/>
    </w:pPr>
    <w:rPr>
      <w:szCs w:val="24"/>
    </w:rPr>
  </w:style>
  <w:style w:type="paragraph" w:customStyle="1" w:styleId="EstiloTtulo3Subrayado">
    <w:name w:val="Estilo Título 3 + Subrayado"/>
    <w:basedOn w:val="Heading3"/>
    <w:rsid w:val="00F71C6E"/>
    <w:rPr>
      <w:rFonts w:cs="Arial"/>
      <w:b w:val="0"/>
      <w:bCs/>
      <w:snapToGrid/>
      <w:color w:val="auto"/>
      <w:szCs w:val="26"/>
    </w:rPr>
  </w:style>
  <w:style w:type="paragraph" w:styleId="FootnoteText">
    <w:name w:val="footnote text"/>
    <w:basedOn w:val="Normal"/>
    <w:link w:val="FootnoteTextChar"/>
    <w:uiPriority w:val="99"/>
    <w:semiHidden/>
    <w:rsid w:val="00CE7EC4"/>
  </w:style>
  <w:style w:type="character" w:styleId="FootnoteReference">
    <w:name w:val="footnote reference"/>
    <w:basedOn w:val="DefaultParagraphFont"/>
    <w:semiHidden/>
    <w:rsid w:val="00CE7EC4"/>
    <w:rPr>
      <w:vertAlign w:val="superscript"/>
    </w:rPr>
  </w:style>
  <w:style w:type="paragraph" w:customStyle="1" w:styleId="EstiloTtulo3Subrayado1">
    <w:name w:val="Estilo Título 3 + Subrayado1"/>
    <w:basedOn w:val="Heading3"/>
    <w:rsid w:val="00F71C6E"/>
    <w:rPr>
      <w:rFonts w:cs="Arial"/>
      <w:b w:val="0"/>
      <w:bCs/>
      <w:snapToGrid/>
      <w:color w:val="auto"/>
      <w:szCs w:val="26"/>
    </w:rPr>
  </w:style>
  <w:style w:type="paragraph" w:customStyle="1" w:styleId="EstiloEstiloTtulo3Subrayado1Negrita">
    <w:name w:val="Estilo Estilo Título 3 + Subrayado1 + Negrita"/>
    <w:basedOn w:val="EstiloTtulo3Subrayado1"/>
    <w:rsid w:val="00F71C6E"/>
    <w:rPr>
      <w:b/>
    </w:rPr>
  </w:style>
  <w:style w:type="paragraph" w:customStyle="1" w:styleId="EstiloTtulo3SinNegrita">
    <w:name w:val="Estilo Título 3 + Sin Negrita"/>
    <w:basedOn w:val="Heading3"/>
    <w:rsid w:val="00F71C6E"/>
    <w:rPr>
      <w:rFonts w:cs="Arial"/>
      <w:b w:val="0"/>
      <w:snapToGrid/>
      <w:color w:val="auto"/>
      <w:szCs w:val="26"/>
    </w:rPr>
  </w:style>
  <w:style w:type="numbering" w:customStyle="1" w:styleId="EstiloConvietas">
    <w:name w:val="Estilo Con viñetas"/>
    <w:basedOn w:val="NoList"/>
    <w:rsid w:val="00F71C6E"/>
    <w:pPr>
      <w:numPr>
        <w:numId w:val="1"/>
      </w:numPr>
    </w:pPr>
  </w:style>
  <w:style w:type="table" w:styleId="TableGrid">
    <w:name w:val="Table Grid"/>
    <w:basedOn w:val="TableNormal"/>
    <w:rsid w:val="00F71C6E"/>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a">
    <w:name w:val="Normal tabla"/>
    <w:basedOn w:val="Normal"/>
    <w:rsid w:val="00F71C6E"/>
    <w:pPr>
      <w:spacing w:before="60" w:after="60"/>
    </w:pPr>
    <w:rPr>
      <w:sz w:val="22"/>
      <w:szCs w:val="24"/>
    </w:rPr>
  </w:style>
  <w:style w:type="character" w:styleId="CommentReference">
    <w:name w:val="annotation reference"/>
    <w:basedOn w:val="DefaultParagraphFont"/>
    <w:semiHidden/>
    <w:rsid w:val="00F71C6E"/>
    <w:rPr>
      <w:sz w:val="16"/>
      <w:szCs w:val="16"/>
    </w:rPr>
  </w:style>
  <w:style w:type="paragraph" w:styleId="CommentText">
    <w:name w:val="annotation text"/>
    <w:basedOn w:val="Normal"/>
    <w:semiHidden/>
    <w:rsid w:val="00F71C6E"/>
  </w:style>
  <w:style w:type="paragraph" w:styleId="CommentSubject">
    <w:name w:val="annotation subject"/>
    <w:basedOn w:val="CommentText"/>
    <w:next w:val="CommentText"/>
    <w:semiHidden/>
    <w:rsid w:val="00F71C6E"/>
    <w:rPr>
      <w:b/>
      <w:bCs/>
    </w:rPr>
  </w:style>
  <w:style w:type="paragraph" w:styleId="BalloonText">
    <w:name w:val="Balloon Text"/>
    <w:basedOn w:val="Normal"/>
    <w:semiHidden/>
    <w:rsid w:val="00F71C6E"/>
    <w:rPr>
      <w:rFonts w:ascii="Tahoma" w:hAnsi="Tahoma" w:cs="Tahoma"/>
      <w:sz w:val="16"/>
      <w:szCs w:val="16"/>
    </w:rPr>
  </w:style>
  <w:style w:type="paragraph" w:styleId="Header">
    <w:name w:val="header"/>
    <w:basedOn w:val="Normal"/>
    <w:link w:val="HeaderChar"/>
    <w:rsid w:val="00F71C6E"/>
    <w:pPr>
      <w:tabs>
        <w:tab w:val="center" w:pos="4252"/>
        <w:tab w:val="right" w:pos="8504"/>
      </w:tabs>
    </w:pPr>
    <w:rPr>
      <w:szCs w:val="24"/>
    </w:rPr>
  </w:style>
  <w:style w:type="paragraph" w:styleId="DocumentMap">
    <w:name w:val="Document Map"/>
    <w:basedOn w:val="Normal"/>
    <w:semiHidden/>
    <w:rsid w:val="00CE7EC4"/>
    <w:pPr>
      <w:shd w:val="clear" w:color="auto" w:fill="000080"/>
    </w:pPr>
    <w:rPr>
      <w:rFonts w:ascii="Tahoma" w:hAnsi="Tahoma" w:cs="Tahoma"/>
    </w:rPr>
  </w:style>
  <w:style w:type="paragraph" w:styleId="Footer">
    <w:name w:val="footer"/>
    <w:basedOn w:val="Normal"/>
    <w:rsid w:val="00F71C6E"/>
    <w:pPr>
      <w:tabs>
        <w:tab w:val="center" w:pos="4252"/>
        <w:tab w:val="right" w:pos="8504"/>
      </w:tabs>
    </w:pPr>
    <w:rPr>
      <w:szCs w:val="24"/>
    </w:rPr>
  </w:style>
  <w:style w:type="character" w:styleId="PageNumber">
    <w:name w:val="page number"/>
    <w:basedOn w:val="DefaultParagraphFont"/>
    <w:rsid w:val="00F71C6E"/>
  </w:style>
  <w:style w:type="paragraph" w:styleId="TOC1">
    <w:name w:val="toc 1"/>
    <w:basedOn w:val="Normal"/>
    <w:next w:val="Normal"/>
    <w:autoRedefine/>
    <w:semiHidden/>
    <w:rsid w:val="00F71C6E"/>
    <w:pPr>
      <w:tabs>
        <w:tab w:val="right" w:leader="dot" w:pos="9540"/>
      </w:tabs>
      <w:ind w:right="-110"/>
    </w:pPr>
    <w:rPr>
      <w:szCs w:val="24"/>
    </w:rPr>
  </w:style>
  <w:style w:type="paragraph" w:styleId="TOC2">
    <w:name w:val="toc 2"/>
    <w:basedOn w:val="Normal"/>
    <w:next w:val="Normal"/>
    <w:autoRedefine/>
    <w:semiHidden/>
    <w:rsid w:val="00F71C6E"/>
    <w:pPr>
      <w:tabs>
        <w:tab w:val="left" w:pos="720"/>
        <w:tab w:val="right" w:leader="dot" w:pos="9540"/>
      </w:tabs>
      <w:ind w:left="240"/>
    </w:pPr>
    <w:rPr>
      <w:szCs w:val="24"/>
    </w:rPr>
  </w:style>
  <w:style w:type="paragraph" w:styleId="TOC3">
    <w:name w:val="toc 3"/>
    <w:basedOn w:val="Normal"/>
    <w:next w:val="Normal"/>
    <w:autoRedefine/>
    <w:semiHidden/>
    <w:rsid w:val="00F71C6E"/>
    <w:pPr>
      <w:tabs>
        <w:tab w:val="left" w:pos="1080"/>
        <w:tab w:val="right" w:leader="dot" w:pos="9540"/>
      </w:tabs>
      <w:ind w:left="1080" w:hanging="723"/>
    </w:pPr>
    <w:rPr>
      <w:szCs w:val="24"/>
    </w:rPr>
  </w:style>
  <w:style w:type="character" w:styleId="Hyperlink">
    <w:name w:val="Hyperlink"/>
    <w:basedOn w:val="DefaultParagraphFont"/>
    <w:rsid w:val="00F71C6E"/>
    <w:rPr>
      <w:color w:val="0000FF"/>
      <w:u w:val="single"/>
    </w:rPr>
  </w:style>
  <w:style w:type="paragraph" w:styleId="NormalWeb">
    <w:name w:val="Normal (Web)"/>
    <w:basedOn w:val="Normal"/>
    <w:rsid w:val="00F71C6E"/>
    <w:pPr>
      <w:spacing w:before="100" w:beforeAutospacing="1" w:after="100" w:afterAutospacing="1"/>
    </w:pPr>
    <w:rPr>
      <w:rFonts w:ascii="Verdana" w:hAnsi="Verdana"/>
      <w:sz w:val="17"/>
      <w:szCs w:val="17"/>
    </w:rPr>
  </w:style>
  <w:style w:type="character" w:styleId="HTMLCite">
    <w:name w:val="HTML Cite"/>
    <w:basedOn w:val="DefaultParagraphFont"/>
    <w:rsid w:val="00F71C6E"/>
    <w:rPr>
      <w:rFonts w:ascii="Times New Roman" w:hAnsi="Times New Roman" w:cs="Times New Roman" w:hint="default"/>
      <w:i/>
      <w:iCs/>
      <w:sz w:val="18"/>
      <w:szCs w:val="18"/>
    </w:rPr>
  </w:style>
  <w:style w:type="character" w:styleId="Strong">
    <w:name w:val="Strong"/>
    <w:basedOn w:val="DefaultParagraphFont"/>
    <w:qFormat/>
    <w:rsid w:val="00F71C6E"/>
    <w:rPr>
      <w:b/>
      <w:bCs/>
    </w:rPr>
  </w:style>
  <w:style w:type="paragraph" w:styleId="ListBullet2">
    <w:name w:val="List Bullet 2"/>
    <w:basedOn w:val="Normal"/>
    <w:rsid w:val="00F71C6E"/>
    <w:pPr>
      <w:numPr>
        <w:numId w:val="2"/>
      </w:numPr>
      <w:spacing w:after="120"/>
    </w:pPr>
    <w:rPr>
      <w:rFonts w:ascii="Times New Roman" w:hAnsi="Times New Roman"/>
      <w:snapToGrid w:val="0"/>
      <w:szCs w:val="24"/>
      <w:lang w:eastAsia="en-GB"/>
    </w:rPr>
  </w:style>
  <w:style w:type="paragraph" w:customStyle="1" w:styleId="EstiloTtulo1Izquierda0cmPrimeralnea0cm">
    <w:name w:val="Estilo Título 1 + Izquierda:  0 cm Primera línea:  0 cm"/>
    <w:basedOn w:val="Heading1"/>
    <w:rsid w:val="00F71C6E"/>
    <w:pPr>
      <w:ind w:left="0" w:firstLine="0"/>
    </w:pPr>
    <w:rPr>
      <w:bCs/>
      <w:kern w:val="32"/>
    </w:rPr>
  </w:style>
  <w:style w:type="paragraph" w:customStyle="1" w:styleId="Institutionquisigne">
    <w:name w:val="Institution qui signe"/>
    <w:basedOn w:val="Normal"/>
    <w:next w:val="Personnequisigne"/>
    <w:rsid w:val="00F71C6E"/>
    <w:pPr>
      <w:keepNext/>
      <w:tabs>
        <w:tab w:val="left" w:pos="4252"/>
      </w:tabs>
      <w:spacing w:before="720"/>
    </w:pPr>
    <w:rPr>
      <w:rFonts w:ascii="Times New Roman" w:hAnsi="Times New Roman"/>
      <w:i/>
      <w:szCs w:val="24"/>
      <w:lang w:eastAsia="de-DE"/>
    </w:rPr>
  </w:style>
  <w:style w:type="paragraph" w:customStyle="1" w:styleId="Personnequisigne">
    <w:name w:val="Personne qui signe"/>
    <w:basedOn w:val="Normal"/>
    <w:next w:val="Institutionquisigne"/>
    <w:rsid w:val="00F71C6E"/>
    <w:pPr>
      <w:tabs>
        <w:tab w:val="left" w:pos="4252"/>
      </w:tabs>
      <w:spacing w:before="0"/>
      <w:jc w:val="left"/>
    </w:pPr>
    <w:rPr>
      <w:rFonts w:ascii="Times New Roman" w:hAnsi="Times New Roman"/>
      <w:i/>
      <w:szCs w:val="24"/>
      <w:lang w:eastAsia="de-DE"/>
    </w:rPr>
  </w:style>
  <w:style w:type="character" w:customStyle="1" w:styleId="texte1">
    <w:name w:val="texte1"/>
    <w:basedOn w:val="DefaultParagraphFont"/>
    <w:rsid w:val="00F71C6E"/>
    <w:rPr>
      <w:rFonts w:ascii="Verdana" w:hAnsi="Verdana" w:cs="Times New Roman"/>
      <w:color w:val="000000"/>
      <w:sz w:val="15"/>
      <w:szCs w:val="15"/>
      <w:u w:val="none"/>
      <w:effect w:val="none"/>
    </w:rPr>
  </w:style>
  <w:style w:type="character" w:customStyle="1" w:styleId="Heading3Char">
    <w:name w:val="Heading 3 Char"/>
    <w:basedOn w:val="DefaultParagraphFont"/>
    <w:link w:val="Heading3"/>
    <w:rsid w:val="00B8431A"/>
    <w:rPr>
      <w:rFonts w:ascii="Arial" w:hAnsi="Arial"/>
      <w:b/>
      <w:snapToGrid w:val="0"/>
      <w:color w:val="000000"/>
      <w:sz w:val="24"/>
      <w:u w:val="single"/>
      <w:lang w:val="fr-FR"/>
    </w:rPr>
  </w:style>
  <w:style w:type="paragraph" w:customStyle="1" w:styleId="documento2">
    <w:name w:val="documento2"/>
    <w:basedOn w:val="Normal"/>
    <w:rsid w:val="00F71C6E"/>
    <w:pPr>
      <w:spacing w:before="0"/>
      <w:jc w:val="left"/>
    </w:pPr>
    <w:rPr>
      <w:rFonts w:ascii="Times New Roman" w:hAnsi="Times New Roman"/>
      <w:szCs w:val="24"/>
    </w:rPr>
  </w:style>
  <w:style w:type="paragraph" w:customStyle="1" w:styleId="Point1">
    <w:name w:val="Point 1"/>
    <w:basedOn w:val="Normal"/>
    <w:rsid w:val="00F71C6E"/>
    <w:pPr>
      <w:spacing w:after="120"/>
      <w:ind w:left="1417" w:hanging="567"/>
    </w:pPr>
    <w:rPr>
      <w:rFonts w:ascii="Times New Roman" w:hAnsi="Times New Roman"/>
      <w:szCs w:val="24"/>
      <w:lang w:eastAsia="de-DE"/>
    </w:rPr>
  </w:style>
  <w:style w:type="paragraph" w:customStyle="1" w:styleId="CM1">
    <w:name w:val="CM1"/>
    <w:basedOn w:val="Normal"/>
    <w:next w:val="Normal"/>
    <w:rsid w:val="00F71C6E"/>
    <w:pPr>
      <w:autoSpaceDE w:val="0"/>
      <w:autoSpaceDN w:val="0"/>
      <w:adjustRightInd w:val="0"/>
      <w:spacing w:before="0"/>
      <w:jc w:val="left"/>
    </w:pPr>
    <w:rPr>
      <w:rFonts w:ascii="EUAlbertina" w:hAnsi="EUAlbertina"/>
      <w:szCs w:val="24"/>
    </w:rPr>
  </w:style>
  <w:style w:type="paragraph" w:customStyle="1" w:styleId="CM4">
    <w:name w:val="CM4"/>
    <w:basedOn w:val="Normal"/>
    <w:next w:val="Normal"/>
    <w:rsid w:val="00F71C6E"/>
    <w:pPr>
      <w:autoSpaceDE w:val="0"/>
      <w:autoSpaceDN w:val="0"/>
      <w:adjustRightInd w:val="0"/>
      <w:spacing w:before="0"/>
      <w:jc w:val="left"/>
    </w:pPr>
    <w:rPr>
      <w:rFonts w:ascii="EUAlbertina" w:hAnsi="EUAlbertina"/>
      <w:szCs w:val="24"/>
    </w:rPr>
  </w:style>
  <w:style w:type="paragraph" w:customStyle="1" w:styleId="documento-tit1">
    <w:name w:val="documento-tit1"/>
    <w:basedOn w:val="Normal"/>
    <w:rsid w:val="00F71C6E"/>
    <w:pPr>
      <w:pBdr>
        <w:top w:val="single" w:sz="6" w:space="6" w:color="AAAAAA"/>
        <w:left w:val="single" w:sz="6" w:space="18" w:color="AAAAAA"/>
        <w:bottom w:val="single" w:sz="6" w:space="6" w:color="AAAAAA"/>
        <w:right w:val="single" w:sz="6" w:space="18" w:color="AAAAAA"/>
      </w:pBdr>
      <w:shd w:val="clear" w:color="auto" w:fill="FFFFFF"/>
      <w:spacing w:after="120"/>
      <w:jc w:val="left"/>
    </w:pPr>
    <w:rPr>
      <w:rFonts w:ascii="Times New Roman" w:hAnsi="Times New Roman"/>
      <w:szCs w:val="24"/>
    </w:rPr>
  </w:style>
  <w:style w:type="character" w:styleId="Emphasis">
    <w:name w:val="Emphasis"/>
    <w:basedOn w:val="DefaultParagraphFont"/>
    <w:qFormat/>
    <w:rsid w:val="00F71C6E"/>
    <w:rPr>
      <w:i/>
      <w:iCs/>
    </w:rPr>
  </w:style>
  <w:style w:type="paragraph" w:customStyle="1" w:styleId="Text1">
    <w:name w:val="Text 1"/>
    <w:basedOn w:val="Normal"/>
    <w:rsid w:val="00F71C6E"/>
    <w:pPr>
      <w:spacing w:after="120"/>
      <w:ind w:left="850"/>
    </w:pPr>
    <w:rPr>
      <w:rFonts w:ascii="Times New Roman" w:hAnsi="Times New Roman"/>
      <w:szCs w:val="24"/>
      <w:lang w:eastAsia="de-DE"/>
    </w:rPr>
  </w:style>
  <w:style w:type="paragraph" w:customStyle="1" w:styleId="Typedudocument">
    <w:name w:val="Type du document"/>
    <w:basedOn w:val="Normal"/>
    <w:next w:val="Datedadoption"/>
    <w:rsid w:val="00F71C6E"/>
    <w:pPr>
      <w:spacing w:before="360"/>
      <w:jc w:val="center"/>
    </w:pPr>
    <w:rPr>
      <w:rFonts w:ascii="Times New Roman" w:hAnsi="Times New Roman"/>
      <w:b/>
      <w:szCs w:val="24"/>
      <w:lang w:eastAsia="de-DE"/>
    </w:rPr>
  </w:style>
  <w:style w:type="paragraph" w:customStyle="1" w:styleId="Datedadoption">
    <w:name w:val="Date d'adoption"/>
    <w:basedOn w:val="Normal"/>
    <w:next w:val="Titreobjet"/>
    <w:rsid w:val="00F71C6E"/>
    <w:pPr>
      <w:spacing w:before="360"/>
      <w:jc w:val="center"/>
    </w:pPr>
    <w:rPr>
      <w:rFonts w:ascii="Times New Roman" w:hAnsi="Times New Roman"/>
      <w:b/>
      <w:szCs w:val="24"/>
      <w:lang w:eastAsia="de-DE"/>
    </w:rPr>
  </w:style>
  <w:style w:type="paragraph" w:customStyle="1" w:styleId="Titreobjet">
    <w:name w:val="Titre objet"/>
    <w:basedOn w:val="Normal"/>
    <w:next w:val="Normal"/>
    <w:rsid w:val="00F71C6E"/>
    <w:pPr>
      <w:spacing w:before="360" w:after="360"/>
      <w:jc w:val="center"/>
    </w:pPr>
    <w:rPr>
      <w:rFonts w:ascii="Times New Roman" w:hAnsi="Times New Roman"/>
      <w:b/>
      <w:szCs w:val="24"/>
      <w:lang w:eastAsia="de-DE"/>
    </w:rPr>
  </w:style>
  <w:style w:type="paragraph" w:customStyle="1" w:styleId="Statut">
    <w:name w:val="Statut"/>
    <w:basedOn w:val="Normal"/>
    <w:next w:val="Typedudocument"/>
    <w:rsid w:val="00F71C6E"/>
    <w:pPr>
      <w:spacing w:before="360"/>
      <w:jc w:val="center"/>
    </w:pPr>
    <w:rPr>
      <w:rFonts w:ascii="Times New Roman" w:hAnsi="Times New Roman"/>
      <w:snapToGrid w:val="0"/>
      <w:szCs w:val="24"/>
      <w:lang w:eastAsia="en-GB"/>
    </w:rPr>
  </w:style>
  <w:style w:type="paragraph" w:customStyle="1" w:styleId="Default">
    <w:name w:val="Default"/>
    <w:rsid w:val="00F71C6E"/>
    <w:pPr>
      <w:autoSpaceDE w:val="0"/>
      <w:autoSpaceDN w:val="0"/>
      <w:adjustRightInd w:val="0"/>
    </w:pPr>
    <w:rPr>
      <w:rFonts w:ascii="EUAlbertina" w:hAnsi="EUAlbertina" w:cs="EUAlbertina"/>
      <w:color w:val="000000"/>
      <w:sz w:val="24"/>
      <w:szCs w:val="24"/>
    </w:rPr>
  </w:style>
  <w:style w:type="paragraph" w:styleId="TOC4">
    <w:name w:val="toc 4"/>
    <w:basedOn w:val="Normal"/>
    <w:next w:val="Normal"/>
    <w:autoRedefine/>
    <w:semiHidden/>
    <w:rsid w:val="00F71C6E"/>
    <w:pPr>
      <w:ind w:left="720"/>
    </w:pPr>
    <w:rPr>
      <w:szCs w:val="24"/>
    </w:rPr>
  </w:style>
  <w:style w:type="paragraph" w:styleId="TOC5">
    <w:name w:val="toc 5"/>
    <w:basedOn w:val="Normal"/>
    <w:next w:val="Normal"/>
    <w:autoRedefine/>
    <w:semiHidden/>
    <w:rsid w:val="00F71C6E"/>
    <w:pPr>
      <w:spacing w:before="0"/>
      <w:ind w:left="960"/>
      <w:jc w:val="left"/>
    </w:pPr>
    <w:rPr>
      <w:rFonts w:ascii="Times New Roman" w:hAnsi="Times New Roman"/>
      <w:szCs w:val="24"/>
    </w:rPr>
  </w:style>
  <w:style w:type="paragraph" w:styleId="TOC6">
    <w:name w:val="toc 6"/>
    <w:basedOn w:val="Normal"/>
    <w:next w:val="Normal"/>
    <w:autoRedefine/>
    <w:semiHidden/>
    <w:rsid w:val="00F71C6E"/>
    <w:pPr>
      <w:spacing w:before="0"/>
      <w:ind w:left="1200"/>
      <w:jc w:val="left"/>
    </w:pPr>
    <w:rPr>
      <w:rFonts w:ascii="Times New Roman" w:hAnsi="Times New Roman"/>
      <w:szCs w:val="24"/>
    </w:rPr>
  </w:style>
  <w:style w:type="paragraph" w:styleId="TOC7">
    <w:name w:val="toc 7"/>
    <w:basedOn w:val="Normal"/>
    <w:next w:val="Normal"/>
    <w:autoRedefine/>
    <w:semiHidden/>
    <w:rsid w:val="00F71C6E"/>
    <w:pPr>
      <w:spacing w:before="0"/>
      <w:ind w:left="1440"/>
      <w:jc w:val="left"/>
    </w:pPr>
    <w:rPr>
      <w:rFonts w:ascii="Times New Roman" w:hAnsi="Times New Roman"/>
      <w:szCs w:val="24"/>
    </w:rPr>
  </w:style>
  <w:style w:type="paragraph" w:styleId="TOC8">
    <w:name w:val="toc 8"/>
    <w:basedOn w:val="Normal"/>
    <w:next w:val="Normal"/>
    <w:autoRedefine/>
    <w:semiHidden/>
    <w:rsid w:val="00F71C6E"/>
    <w:pPr>
      <w:spacing w:before="0"/>
      <w:ind w:left="1680"/>
      <w:jc w:val="left"/>
    </w:pPr>
    <w:rPr>
      <w:rFonts w:ascii="Times New Roman" w:hAnsi="Times New Roman"/>
      <w:szCs w:val="24"/>
    </w:rPr>
  </w:style>
  <w:style w:type="paragraph" w:styleId="TOC9">
    <w:name w:val="toc 9"/>
    <w:basedOn w:val="Normal"/>
    <w:next w:val="Normal"/>
    <w:autoRedefine/>
    <w:semiHidden/>
    <w:rsid w:val="00F71C6E"/>
    <w:pPr>
      <w:spacing w:before="0"/>
      <w:ind w:left="1920"/>
      <w:jc w:val="left"/>
    </w:pPr>
    <w:rPr>
      <w:rFonts w:ascii="Times New Roman" w:hAnsi="Times New Roman"/>
      <w:szCs w:val="24"/>
    </w:rPr>
  </w:style>
  <w:style w:type="paragraph" w:customStyle="1" w:styleId="EstiloTtulo2Antes36pto">
    <w:name w:val="Estilo Título 2 + Antes:  36 pto"/>
    <w:basedOn w:val="Heading2"/>
    <w:rsid w:val="00D06842"/>
    <w:pPr>
      <w:spacing w:before="720"/>
      <w:ind w:left="0" w:firstLine="0"/>
    </w:pPr>
    <w:rPr>
      <w:bCs/>
    </w:rPr>
  </w:style>
  <w:style w:type="paragraph" w:customStyle="1" w:styleId="EstiloTtulo2Antes36pto1">
    <w:name w:val="Estilo Título 2 + Antes:  36 pto1"/>
    <w:basedOn w:val="Heading2"/>
    <w:rsid w:val="00D06842"/>
    <w:pPr>
      <w:tabs>
        <w:tab w:val="clear" w:pos="576"/>
        <w:tab w:val="num" w:pos="709"/>
      </w:tabs>
      <w:spacing w:before="720"/>
      <w:ind w:left="709" w:hanging="709"/>
    </w:pPr>
    <w:rPr>
      <w:bCs/>
    </w:rPr>
  </w:style>
  <w:style w:type="paragraph" w:styleId="BodyText">
    <w:name w:val="Body Text"/>
    <w:basedOn w:val="Normal"/>
    <w:rsid w:val="00D52412"/>
    <w:pPr>
      <w:tabs>
        <w:tab w:val="left" w:pos="-720"/>
      </w:tabs>
      <w:spacing w:before="360" w:line="288" w:lineRule="auto"/>
    </w:pPr>
    <w:rPr>
      <w:spacing w:val="-3"/>
      <w:sz w:val="20"/>
    </w:rPr>
  </w:style>
  <w:style w:type="paragraph" w:styleId="BodyTextIndent">
    <w:name w:val="Body Text Indent"/>
    <w:basedOn w:val="Normal"/>
    <w:rsid w:val="00D52412"/>
    <w:pPr>
      <w:tabs>
        <w:tab w:val="center" w:pos="4393"/>
      </w:tabs>
      <w:spacing w:before="240"/>
      <w:ind w:firstLine="737"/>
    </w:pPr>
    <w:rPr>
      <w:spacing w:val="-3"/>
    </w:rPr>
  </w:style>
  <w:style w:type="paragraph" w:styleId="BodyTextIndent3">
    <w:name w:val="Body Text Indent 3"/>
    <w:basedOn w:val="Normal"/>
    <w:rsid w:val="00D52412"/>
    <w:pPr>
      <w:spacing w:before="0" w:after="120"/>
      <w:ind w:left="283"/>
      <w:jc w:val="left"/>
    </w:pPr>
    <w:rPr>
      <w:rFonts w:ascii="Times New Roman" w:hAnsi="Times New Roman"/>
      <w:sz w:val="16"/>
      <w:szCs w:val="16"/>
    </w:rPr>
  </w:style>
  <w:style w:type="character" w:customStyle="1" w:styleId="HeaderChar">
    <w:name w:val="Header Char"/>
    <w:basedOn w:val="DefaultParagraphFont"/>
    <w:link w:val="Header"/>
    <w:rsid w:val="00062959"/>
    <w:rPr>
      <w:rFonts w:ascii="Arial" w:hAnsi="Arial"/>
      <w:sz w:val="24"/>
      <w:szCs w:val="24"/>
      <w:lang w:val="fr-FR" w:eastAsia="es-ES" w:bidi="ar-SA"/>
    </w:rPr>
  </w:style>
  <w:style w:type="paragraph" w:customStyle="1" w:styleId="Cuerpo">
    <w:name w:val="Cuerpo"/>
    <w:rsid w:val="00062959"/>
    <w:pPr>
      <w:spacing w:before="200" w:after="80" w:line="336" w:lineRule="auto"/>
    </w:pPr>
    <w:rPr>
      <w:rFonts w:ascii="Bodoni SvtyTwo OS ITC TT-Book" w:eastAsia="ヒラギノ角ゴ Pro W3" w:hAnsi="Bodoni SvtyTwo OS ITC TT-Book"/>
      <w:color w:val="000000"/>
      <w:sz w:val="24"/>
      <w:lang w:eastAsia="en-US"/>
    </w:rPr>
  </w:style>
  <w:style w:type="paragraph" w:customStyle="1" w:styleId="Formatolibre">
    <w:name w:val="Formato libre"/>
    <w:rsid w:val="00062959"/>
    <w:pPr>
      <w:spacing w:line="336" w:lineRule="auto"/>
    </w:pPr>
    <w:rPr>
      <w:rFonts w:ascii="Bodoni SvtyTwo OS ITC TT-Book" w:eastAsia="ヒラギノ角ゴ Pro W3" w:hAnsi="Bodoni SvtyTwo OS ITC TT-Book"/>
      <w:color w:val="000000"/>
      <w:sz w:val="24"/>
      <w:lang w:eastAsia="en-US"/>
    </w:rPr>
  </w:style>
  <w:style w:type="paragraph" w:customStyle="1" w:styleId="EstiloArtculoPrimeralnea0cmInterlineadosencillo">
    <w:name w:val="Estilo Artículo + Primera línea:  0 cm Interlineado:  sencillo"/>
    <w:basedOn w:val="Artculo"/>
    <w:rsid w:val="00F7543F"/>
    <w:pPr>
      <w:keepNext/>
      <w:tabs>
        <w:tab w:val="left" w:pos="-720"/>
      </w:tabs>
      <w:suppressAutoHyphens/>
      <w:spacing w:before="480"/>
    </w:pPr>
    <w:rPr>
      <w:spacing w:val="-3"/>
      <w:szCs w:val="20"/>
    </w:rPr>
  </w:style>
  <w:style w:type="character" w:customStyle="1" w:styleId="CITE">
    <w:name w:val="CITE"/>
    <w:rsid w:val="005C0758"/>
    <w:rPr>
      <w:i/>
    </w:rPr>
  </w:style>
  <w:style w:type="paragraph" w:customStyle="1" w:styleId="Pa6">
    <w:name w:val="Pa6"/>
    <w:basedOn w:val="Normal"/>
    <w:next w:val="Normal"/>
    <w:uiPriority w:val="99"/>
    <w:rsid w:val="00F02F33"/>
    <w:pPr>
      <w:autoSpaceDE w:val="0"/>
      <w:autoSpaceDN w:val="0"/>
      <w:adjustRightInd w:val="0"/>
      <w:spacing w:before="240" w:line="201" w:lineRule="atLeast"/>
      <w:ind w:firstLine="357"/>
    </w:pPr>
    <w:rPr>
      <w:szCs w:val="24"/>
    </w:rPr>
  </w:style>
  <w:style w:type="paragraph" w:customStyle="1" w:styleId="parrafo1">
    <w:name w:val="parrafo1"/>
    <w:basedOn w:val="Normal"/>
    <w:rsid w:val="001F1F67"/>
    <w:pPr>
      <w:spacing w:before="180" w:after="180"/>
      <w:ind w:firstLine="360"/>
    </w:pPr>
    <w:rPr>
      <w:rFonts w:ascii="Times New Roman" w:hAnsi="Times New Roman"/>
      <w:szCs w:val="24"/>
    </w:rPr>
  </w:style>
  <w:style w:type="paragraph" w:styleId="Title">
    <w:name w:val="Title"/>
    <w:basedOn w:val="Normal"/>
    <w:qFormat/>
    <w:rsid w:val="009C67CB"/>
    <w:pPr>
      <w:spacing w:before="240" w:after="60"/>
      <w:jc w:val="center"/>
      <w:outlineLvl w:val="0"/>
    </w:pPr>
    <w:rPr>
      <w:rFonts w:cs="Arial"/>
      <w:b/>
      <w:bCs/>
      <w:caps/>
      <w:kern w:val="28"/>
      <w:sz w:val="32"/>
      <w:szCs w:val="32"/>
      <w:u w:val="single"/>
    </w:rPr>
  </w:style>
  <w:style w:type="paragraph" w:customStyle="1" w:styleId="EstiloTtulo1Izquierda0cmPrimeralnea0cm1">
    <w:name w:val="Estilo Título 1 + Izquierda:  0 cm Primera línea:  0 cm1"/>
    <w:basedOn w:val="Heading1"/>
    <w:rsid w:val="00A96FD6"/>
    <w:rPr>
      <w:bCs/>
      <w:u w:val="none"/>
    </w:rPr>
  </w:style>
  <w:style w:type="paragraph" w:customStyle="1" w:styleId="Apartado">
    <w:name w:val="Apartado"/>
    <w:basedOn w:val="Normal"/>
    <w:link w:val="ApartadoCarCar"/>
    <w:rsid w:val="0080611E"/>
    <w:pPr>
      <w:numPr>
        <w:numId w:val="7"/>
      </w:numPr>
    </w:pPr>
  </w:style>
  <w:style w:type="character" w:customStyle="1" w:styleId="ApartadoCarCar">
    <w:name w:val="Apartado Car Car"/>
    <w:basedOn w:val="DefaultParagraphFont"/>
    <w:link w:val="Apartado"/>
    <w:rsid w:val="0080611E"/>
    <w:rPr>
      <w:rFonts w:ascii="Arial" w:hAnsi="Arial"/>
      <w:sz w:val="24"/>
    </w:rPr>
  </w:style>
  <w:style w:type="paragraph" w:customStyle="1" w:styleId="apartado0">
    <w:name w:val="apartado"/>
    <w:basedOn w:val="Normal"/>
    <w:rsid w:val="00A507BF"/>
    <w:pPr>
      <w:ind w:left="360" w:hanging="360"/>
    </w:pPr>
    <w:rPr>
      <w:rFonts w:cs="Arial"/>
      <w:szCs w:val="24"/>
    </w:rPr>
  </w:style>
  <w:style w:type="character" w:customStyle="1" w:styleId="FootnoteTextChar">
    <w:name w:val="Footnote Text Char"/>
    <w:basedOn w:val="DefaultParagraphFont"/>
    <w:link w:val="FootnoteText"/>
    <w:uiPriority w:val="99"/>
    <w:semiHidden/>
    <w:locked/>
    <w:rsid w:val="00A507BF"/>
    <w:rPr>
      <w:rFonts w:ascii="Arial" w:hAnsi="Arial"/>
      <w:sz w:val="24"/>
      <w:lang w:val="fr-FR" w:eastAsia="es-ES" w:bidi="ar-SA"/>
    </w:rPr>
  </w:style>
  <w:style w:type="paragraph" w:styleId="EndnoteText">
    <w:name w:val="endnote text"/>
    <w:basedOn w:val="Normal"/>
    <w:link w:val="EndnoteTextChar"/>
    <w:semiHidden/>
    <w:rsid w:val="00A507BF"/>
    <w:pPr>
      <w:spacing w:before="0"/>
      <w:jc w:val="left"/>
    </w:pPr>
    <w:rPr>
      <w:rFonts w:ascii="Times New Roman" w:hAnsi="Times New Roman"/>
      <w:noProof/>
      <w:sz w:val="20"/>
    </w:rPr>
  </w:style>
  <w:style w:type="character" w:customStyle="1" w:styleId="EndnoteTextChar">
    <w:name w:val="Endnote Text Char"/>
    <w:basedOn w:val="DefaultParagraphFont"/>
    <w:link w:val="EndnoteText"/>
    <w:semiHidden/>
    <w:locked/>
    <w:rsid w:val="00A507BF"/>
    <w:rPr>
      <w:noProof/>
      <w:lang w:val="fr-FR" w:eastAsia="es-ES" w:bidi="ar-SA"/>
    </w:rPr>
  </w:style>
  <w:style w:type="paragraph" w:styleId="ListParagraph">
    <w:name w:val="List Paragraph"/>
    <w:basedOn w:val="Normal"/>
    <w:uiPriority w:val="34"/>
    <w:qFormat/>
    <w:rsid w:val="00A55561"/>
    <w:pPr>
      <w:ind w:left="720"/>
      <w:contextualSpacing/>
    </w:pPr>
  </w:style>
  <w:style w:type="paragraph" w:styleId="Revision">
    <w:name w:val="Revision"/>
    <w:hidden/>
    <w:uiPriority w:val="99"/>
    <w:semiHidden/>
    <w:rsid w:val="00244B57"/>
    <w:rPr>
      <w:rFonts w:ascii="Arial" w:hAnsi="Arial"/>
      <w:sz w:val="24"/>
    </w:rPr>
  </w:style>
  <w:style w:type="paragraph" w:styleId="Caption">
    <w:name w:val="caption"/>
    <w:basedOn w:val="Normal"/>
    <w:next w:val="Normal"/>
    <w:unhideWhenUsed/>
    <w:qFormat/>
    <w:rsid w:val="003E2698"/>
    <w:pPr>
      <w:spacing w:before="0" w:after="200"/>
    </w:pPr>
    <w:rPr>
      <w:i/>
      <w:iCs/>
      <w:color w:val="1F497D" w:themeColor="text2"/>
      <w:sz w:val="18"/>
      <w:szCs w:val="18"/>
    </w:rPr>
  </w:style>
  <w:style w:type="paragraph" w:styleId="PlainText">
    <w:name w:val="Plain Text"/>
    <w:basedOn w:val="Normal"/>
    <w:link w:val="PlainTextChar"/>
    <w:uiPriority w:val="99"/>
    <w:semiHidden/>
    <w:unhideWhenUsed/>
    <w:rsid w:val="00E16F74"/>
    <w:pPr>
      <w:spacing w:before="0"/>
      <w:jc w:val="left"/>
    </w:pPr>
    <w:rPr>
      <w:rFonts w:ascii="Calibri" w:eastAsia="Calibri" w:hAnsi="Calibri"/>
      <w:sz w:val="22"/>
      <w:szCs w:val="21"/>
      <w:lang w:eastAsia="en-US"/>
    </w:rPr>
  </w:style>
  <w:style w:type="character" w:customStyle="1" w:styleId="PlainTextChar">
    <w:name w:val="Plain Text Char"/>
    <w:basedOn w:val="DefaultParagraphFont"/>
    <w:link w:val="PlainText"/>
    <w:uiPriority w:val="99"/>
    <w:semiHidden/>
    <w:rsid w:val="00E16F74"/>
    <w:rPr>
      <w:rFonts w:ascii="Calibri" w:eastAsia="Calibri" w:hAnsi="Calibri"/>
      <w:sz w:val="22"/>
      <w:szCs w:val="21"/>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801158">
      <w:bodyDiv w:val="1"/>
      <w:marLeft w:val="144"/>
      <w:marRight w:val="1680"/>
      <w:marTop w:val="2604"/>
      <w:marBottom w:val="420"/>
      <w:divBdr>
        <w:top w:val="none" w:sz="0" w:space="0" w:color="auto"/>
        <w:left w:val="none" w:sz="0" w:space="0" w:color="auto"/>
        <w:bottom w:val="none" w:sz="0" w:space="0" w:color="auto"/>
        <w:right w:val="none" w:sz="0" w:space="0" w:color="auto"/>
      </w:divBdr>
    </w:div>
    <w:div w:id="891044216">
      <w:bodyDiv w:val="1"/>
      <w:marLeft w:val="0"/>
      <w:marRight w:val="0"/>
      <w:marTop w:val="0"/>
      <w:marBottom w:val="0"/>
      <w:divBdr>
        <w:top w:val="none" w:sz="0" w:space="0" w:color="auto"/>
        <w:left w:val="none" w:sz="0" w:space="0" w:color="auto"/>
        <w:bottom w:val="none" w:sz="0" w:space="0" w:color="auto"/>
        <w:right w:val="none" w:sz="0" w:space="0" w:color="auto"/>
      </w:divBdr>
    </w:div>
    <w:div w:id="911696204">
      <w:bodyDiv w:val="1"/>
      <w:marLeft w:val="0"/>
      <w:marRight w:val="0"/>
      <w:marTop w:val="0"/>
      <w:marBottom w:val="0"/>
      <w:divBdr>
        <w:top w:val="none" w:sz="0" w:space="0" w:color="auto"/>
        <w:left w:val="none" w:sz="0" w:space="0" w:color="auto"/>
        <w:bottom w:val="none" w:sz="0" w:space="0" w:color="auto"/>
        <w:right w:val="none" w:sz="0" w:space="0" w:color="auto"/>
      </w:divBdr>
    </w:div>
    <w:div w:id="1072389154">
      <w:bodyDiv w:val="1"/>
      <w:marLeft w:val="0"/>
      <w:marRight w:val="0"/>
      <w:marTop w:val="0"/>
      <w:marBottom w:val="0"/>
      <w:divBdr>
        <w:top w:val="none" w:sz="0" w:space="0" w:color="auto"/>
        <w:left w:val="none" w:sz="0" w:space="0" w:color="auto"/>
        <w:bottom w:val="none" w:sz="0" w:space="0" w:color="auto"/>
        <w:right w:val="none" w:sz="0" w:space="0" w:color="auto"/>
      </w:divBdr>
    </w:div>
    <w:div w:id="1091585206">
      <w:bodyDiv w:val="1"/>
      <w:marLeft w:val="144"/>
      <w:marRight w:val="1680"/>
      <w:marTop w:val="2604"/>
      <w:marBottom w:val="420"/>
      <w:divBdr>
        <w:top w:val="none" w:sz="0" w:space="0" w:color="auto"/>
        <w:left w:val="none" w:sz="0" w:space="0" w:color="auto"/>
        <w:bottom w:val="none" w:sz="0" w:space="0" w:color="auto"/>
        <w:right w:val="none" w:sz="0" w:space="0" w:color="auto"/>
      </w:divBdr>
    </w:div>
    <w:div w:id="1220702189">
      <w:bodyDiv w:val="1"/>
      <w:marLeft w:val="0"/>
      <w:marRight w:val="0"/>
      <w:marTop w:val="0"/>
      <w:marBottom w:val="0"/>
      <w:divBdr>
        <w:top w:val="none" w:sz="0" w:space="0" w:color="auto"/>
        <w:left w:val="none" w:sz="0" w:space="0" w:color="auto"/>
        <w:bottom w:val="none" w:sz="0" w:space="0" w:color="auto"/>
        <w:right w:val="none" w:sz="0" w:space="0" w:color="auto"/>
      </w:divBdr>
      <w:divsChild>
        <w:div w:id="1916742010">
          <w:marLeft w:val="0"/>
          <w:marRight w:val="0"/>
          <w:marTop w:val="0"/>
          <w:marBottom w:val="0"/>
          <w:divBdr>
            <w:top w:val="none" w:sz="0" w:space="0" w:color="auto"/>
            <w:left w:val="single" w:sz="6" w:space="0" w:color="DDDDDD"/>
            <w:bottom w:val="none" w:sz="0" w:space="0" w:color="auto"/>
            <w:right w:val="none" w:sz="0" w:space="0" w:color="auto"/>
          </w:divBdr>
          <w:divsChild>
            <w:div w:id="384109685">
              <w:marLeft w:val="0"/>
              <w:marRight w:val="0"/>
              <w:marTop w:val="0"/>
              <w:marBottom w:val="0"/>
              <w:divBdr>
                <w:top w:val="single" w:sz="2" w:space="0" w:color="008000"/>
                <w:left w:val="single" w:sz="2" w:space="0" w:color="008000"/>
                <w:bottom w:val="single" w:sz="2" w:space="0" w:color="008000"/>
                <w:right w:val="single" w:sz="2" w:space="0" w:color="008000"/>
              </w:divBdr>
              <w:divsChild>
                <w:div w:id="1214583279">
                  <w:marLeft w:val="0"/>
                  <w:marRight w:val="0"/>
                  <w:marTop w:val="0"/>
                  <w:marBottom w:val="0"/>
                  <w:divBdr>
                    <w:top w:val="none" w:sz="0" w:space="0" w:color="auto"/>
                    <w:left w:val="none" w:sz="0" w:space="0" w:color="auto"/>
                    <w:bottom w:val="none" w:sz="0" w:space="0" w:color="auto"/>
                    <w:right w:val="none" w:sz="0" w:space="0" w:color="auto"/>
                  </w:divBdr>
                  <w:divsChild>
                    <w:div w:id="1146049420">
                      <w:marLeft w:val="0"/>
                      <w:marRight w:val="0"/>
                      <w:marTop w:val="0"/>
                      <w:marBottom w:val="0"/>
                      <w:divBdr>
                        <w:top w:val="none" w:sz="0" w:space="0" w:color="auto"/>
                        <w:left w:val="none" w:sz="0" w:space="0" w:color="auto"/>
                        <w:bottom w:val="none" w:sz="0" w:space="0" w:color="auto"/>
                        <w:right w:val="none" w:sz="0" w:space="0" w:color="auto"/>
                      </w:divBdr>
                      <w:divsChild>
                        <w:div w:id="1184588912">
                          <w:marLeft w:val="720"/>
                          <w:marRight w:val="720"/>
                          <w:marTop w:val="0"/>
                          <w:marBottom w:val="0"/>
                          <w:divBdr>
                            <w:top w:val="none" w:sz="0" w:space="0" w:color="auto"/>
                            <w:left w:val="none" w:sz="0" w:space="0" w:color="auto"/>
                            <w:bottom w:val="none" w:sz="0" w:space="0" w:color="auto"/>
                            <w:right w:val="none" w:sz="0" w:space="0" w:color="auto"/>
                          </w:divBdr>
                          <w:divsChild>
                            <w:div w:id="1139616075">
                              <w:marLeft w:val="0"/>
                              <w:marRight w:val="0"/>
                              <w:marTop w:val="0"/>
                              <w:marBottom w:val="0"/>
                              <w:divBdr>
                                <w:top w:val="none" w:sz="0" w:space="0" w:color="auto"/>
                                <w:left w:val="none" w:sz="0" w:space="0" w:color="auto"/>
                                <w:bottom w:val="none" w:sz="0" w:space="0" w:color="auto"/>
                                <w:right w:val="none" w:sz="0" w:space="0" w:color="auto"/>
                              </w:divBdr>
                              <w:divsChild>
                                <w:div w:id="783305565">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sChild>
    </w:div>
    <w:div w:id="1230263427">
      <w:bodyDiv w:val="1"/>
      <w:marLeft w:val="0"/>
      <w:marRight w:val="0"/>
      <w:marTop w:val="0"/>
      <w:marBottom w:val="0"/>
      <w:divBdr>
        <w:top w:val="none" w:sz="0" w:space="0" w:color="auto"/>
        <w:left w:val="none" w:sz="0" w:space="0" w:color="auto"/>
        <w:bottom w:val="none" w:sz="0" w:space="0" w:color="auto"/>
        <w:right w:val="none" w:sz="0" w:space="0" w:color="auto"/>
      </w:divBdr>
      <w:divsChild>
        <w:div w:id="1518618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238206">
              <w:marLeft w:val="0"/>
              <w:marRight w:val="0"/>
              <w:marTop w:val="0"/>
              <w:marBottom w:val="0"/>
              <w:divBdr>
                <w:top w:val="none" w:sz="0" w:space="0" w:color="auto"/>
                <w:left w:val="none" w:sz="0" w:space="0" w:color="auto"/>
                <w:bottom w:val="none" w:sz="0" w:space="0" w:color="auto"/>
                <w:right w:val="none" w:sz="0" w:space="0" w:color="auto"/>
              </w:divBdr>
              <w:divsChild>
                <w:div w:id="6588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528104">
      <w:bodyDiv w:val="1"/>
      <w:marLeft w:val="0"/>
      <w:marRight w:val="0"/>
      <w:marTop w:val="0"/>
      <w:marBottom w:val="0"/>
      <w:divBdr>
        <w:top w:val="none" w:sz="0" w:space="0" w:color="auto"/>
        <w:left w:val="none" w:sz="0" w:space="0" w:color="auto"/>
        <w:bottom w:val="none" w:sz="0" w:space="0" w:color="auto"/>
        <w:right w:val="none" w:sz="0" w:space="0" w:color="auto"/>
      </w:divBdr>
    </w:div>
    <w:div w:id="1301886685">
      <w:bodyDiv w:val="1"/>
      <w:marLeft w:val="0"/>
      <w:marRight w:val="0"/>
      <w:marTop w:val="0"/>
      <w:marBottom w:val="0"/>
      <w:divBdr>
        <w:top w:val="none" w:sz="0" w:space="0" w:color="auto"/>
        <w:left w:val="none" w:sz="0" w:space="0" w:color="auto"/>
        <w:bottom w:val="none" w:sz="0" w:space="0" w:color="auto"/>
        <w:right w:val="none" w:sz="0" w:space="0" w:color="auto"/>
      </w:divBdr>
    </w:div>
    <w:div w:id="1348482038">
      <w:bodyDiv w:val="1"/>
      <w:marLeft w:val="0"/>
      <w:marRight w:val="0"/>
      <w:marTop w:val="0"/>
      <w:marBottom w:val="0"/>
      <w:divBdr>
        <w:top w:val="none" w:sz="0" w:space="0" w:color="auto"/>
        <w:left w:val="none" w:sz="0" w:space="0" w:color="auto"/>
        <w:bottom w:val="none" w:sz="0" w:space="0" w:color="auto"/>
        <w:right w:val="none" w:sz="0" w:space="0" w:color="auto"/>
      </w:divBdr>
    </w:div>
    <w:div w:id="1634674357">
      <w:bodyDiv w:val="1"/>
      <w:marLeft w:val="0"/>
      <w:marRight w:val="0"/>
      <w:marTop w:val="0"/>
      <w:marBottom w:val="0"/>
      <w:divBdr>
        <w:top w:val="none" w:sz="0" w:space="0" w:color="auto"/>
        <w:left w:val="none" w:sz="0" w:space="0" w:color="auto"/>
        <w:bottom w:val="none" w:sz="0" w:space="0" w:color="auto"/>
        <w:right w:val="none" w:sz="0" w:space="0" w:color="auto"/>
      </w:divBdr>
    </w:div>
    <w:div w:id="2088307719">
      <w:bodyDiv w:val="1"/>
      <w:marLeft w:val="0"/>
      <w:marRight w:val="0"/>
      <w:marTop w:val="0"/>
      <w:marBottom w:val="0"/>
      <w:divBdr>
        <w:top w:val="none" w:sz="0" w:space="0" w:color="auto"/>
        <w:left w:val="none" w:sz="0" w:space="0" w:color="auto"/>
        <w:bottom w:val="none" w:sz="0" w:space="0" w:color="auto"/>
        <w:right w:val="none" w:sz="0" w:space="0" w:color="auto"/>
      </w:divBdr>
    </w:div>
    <w:div w:id="208930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lex.europa.eu/smartapi/cgi/sga_doc?smartapi!celexplus!prod!DocNumber&amp;lg=fr&amp;type_doc=Regulation&amp;an_doc=2008&amp;nu_doc=133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1\DOCUME~1\plantillas\ofici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E1E0B-EA5F-4B75-A5F8-40CA467D8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oficio.dot</Template>
  <TotalTime>39</TotalTime>
  <Pages>25</Pages>
  <Words>8215</Words>
  <Characters>47495</Characters>
  <Application>Microsoft Office Word</Application>
  <DocSecurity>0</DocSecurity>
  <Lines>395</Lines>
  <Paragraphs>111</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Documento</vt:lpstr>
      <vt:lpstr>Documento</vt:lpstr>
      <vt:lpstr>Documento</vt:lpstr>
    </vt:vector>
  </TitlesOfParts>
  <Company>IGSAP</Company>
  <LinksUpToDate>false</LinksUpToDate>
  <CharactersWithSpaces>55599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dc:title>
  <dc:creator>JMPL</dc:creator>
  <cp:lastModifiedBy>Diana STOICA</cp:lastModifiedBy>
  <cp:revision>14</cp:revision>
  <cp:lastPrinted>2015-09-07T10:14:00Z</cp:lastPrinted>
  <dcterms:created xsi:type="dcterms:W3CDTF">2020-09-08T10:24:00Z</dcterms:created>
  <dcterms:modified xsi:type="dcterms:W3CDTF">2020-10-09T12:18:00Z</dcterms:modified>
</cp:coreProperties>
</file>