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B62" w:rsidRPr="00B00403" w:rsidRDefault="003D5B62" w:rsidP="003D5B62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</w:rPr>
        <w:t xml:space="preserve">1. ------IND- 2018 0178 S-- </w:t>
      </w:r>
      <w:proofErr w:type="gramStart"/>
      <w:r>
        <w:rPr>
          <w:rFonts w:ascii="Courier New" w:hAnsi="Courier New"/>
          <w:sz w:val="20"/>
        </w:rPr>
        <w:t>HU-</w:t>
      </w:r>
      <w:proofErr w:type="gramEnd"/>
      <w:r>
        <w:rPr>
          <w:rFonts w:ascii="Courier New" w:hAnsi="Courier New"/>
          <w:sz w:val="20"/>
        </w:rPr>
        <w:t xml:space="preserve"> ------ 20181122 --- --- FINAL</w:t>
      </w:r>
    </w:p>
    <w:p w:rsidR="00DE28EA" w:rsidRPr="00B06CA7" w:rsidRDefault="00DE28EA" w:rsidP="00F47340">
      <w:pPr>
        <w:pStyle w:val="BodyText"/>
        <w:rPr>
          <w:rFonts w:ascii="Times New Roman" w:hAnsi="Times New Roman" w:cs="Times New Roman"/>
          <w:b/>
          <w:w w:val="100"/>
          <w:sz w:val="26"/>
          <w:szCs w:val="26"/>
        </w:rPr>
      </w:pPr>
      <w:r>
        <w:rPr>
          <w:rFonts w:ascii="Times New Roman" w:hAnsi="Times New Roman"/>
          <w:b/>
          <w:sz w:val="26"/>
        </w:rPr>
        <w:t>LIFS 2018:4</w:t>
      </w:r>
    </w:p>
    <w:p w:rsidR="00DE28EA" w:rsidRPr="00B06CA7" w:rsidRDefault="00DE28EA" w:rsidP="00F47340">
      <w:pPr>
        <w:pStyle w:val="BodyText"/>
        <w:spacing w:after="240"/>
        <w:rPr>
          <w:rFonts w:ascii="Times New Roman" w:hAnsi="Times New Roman" w:cs="Times New Roman"/>
          <w:w w:val="100"/>
          <w:sz w:val="16"/>
          <w:szCs w:val="19"/>
        </w:rPr>
      </w:pPr>
      <w:r>
        <w:rPr>
          <w:rFonts w:ascii="Times New Roman" w:hAnsi="Times New Roman"/>
          <w:sz w:val="16"/>
        </w:rPr>
        <w:t>Közzétéve</w:t>
      </w:r>
      <w:r>
        <w:rPr>
          <w:rFonts w:ascii="Times New Roman" w:hAnsi="Times New Roman"/>
          <w:sz w:val="16"/>
        </w:rPr>
        <w:br/>
        <w:t>2018. augusztus 8-án</w:t>
      </w:r>
    </w:p>
    <w:p w:rsidR="00A457A5" w:rsidRPr="0076436D" w:rsidRDefault="00A457A5" w:rsidP="00F47340">
      <w:pPr>
        <w:pStyle w:val="Rubrik1"/>
        <w:keepNext/>
        <w:keepLines/>
        <w:widowControl/>
        <w:ind w:right="0"/>
        <w:rPr>
          <w:rFonts w:ascii="Times New Roman" w:hAnsi="Times New Roman" w:cs="Times New Roman"/>
          <w:w w:val="100"/>
          <w:sz w:val="26"/>
          <w:szCs w:val="26"/>
        </w:rPr>
      </w:pPr>
      <w:r>
        <w:rPr>
          <w:rFonts w:ascii="Times New Roman" w:hAnsi="Times New Roman"/>
          <w:sz w:val="26"/>
        </w:rPr>
        <w:t>A Svéd Szerencsejáték-hatóság szabályzata és általános ajánlása a nemzeti sorsjátékokról és a közérdekű céllal szervezett sorsjátékokról;</w:t>
      </w:r>
    </w:p>
    <w:p w:rsidR="00A457A5" w:rsidRPr="0076436D" w:rsidRDefault="00A457A5" w:rsidP="00F47340">
      <w:pPr>
        <w:pStyle w:val="Brdtextblank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2018. július 25-én elfogadva.</w:t>
      </w:r>
    </w:p>
    <w:p w:rsidR="00A457A5" w:rsidRPr="0076436D" w:rsidRDefault="00A457A5" w:rsidP="00F47340">
      <w:pPr>
        <w:pStyle w:val="Brdtextblank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Svéd Szerencsejáték-hatóság ezennel a következőket írja elő</w:t>
      </w:r>
      <w:r>
        <w:rPr>
          <w:rFonts w:ascii="Times New Roman" w:hAnsi="Times New Roman"/>
          <w:w w:val="100"/>
          <w:sz w:val="19"/>
          <w:vertAlign w:val="superscript"/>
        </w:rPr>
        <w:footnoteReference w:id="1"/>
      </w:r>
      <w:r>
        <w:rPr>
          <w:rFonts w:ascii="Times New Roman" w:hAnsi="Times New Roman"/>
          <w:sz w:val="19"/>
        </w:rPr>
        <w:t xml:space="preserve"> a szerencsejáték-rendelet (2018:1475) 16. fejezetének 3. §</w:t>
      </w:r>
      <w:proofErr w:type="spellStart"/>
      <w:r>
        <w:rPr>
          <w:rFonts w:ascii="Times New Roman" w:hAnsi="Times New Roman"/>
          <w:sz w:val="19"/>
        </w:rPr>
        <w:t>-</w:t>
      </w:r>
      <w:proofErr w:type="gramStart"/>
      <w:r>
        <w:rPr>
          <w:rFonts w:ascii="Times New Roman" w:hAnsi="Times New Roman"/>
          <w:sz w:val="19"/>
        </w:rPr>
        <w:t>a</w:t>
      </w:r>
      <w:proofErr w:type="spellEnd"/>
      <w:r>
        <w:rPr>
          <w:rFonts w:ascii="Times New Roman" w:hAnsi="Times New Roman"/>
          <w:sz w:val="19"/>
        </w:rPr>
        <w:t>;</w:t>
      </w:r>
      <w:proofErr w:type="gramEnd"/>
      <w:r>
        <w:rPr>
          <w:rFonts w:ascii="Times New Roman" w:hAnsi="Times New Roman"/>
          <w:sz w:val="19"/>
        </w:rPr>
        <w:t xml:space="preserve"> 8. §</w:t>
      </w:r>
      <w:proofErr w:type="spellStart"/>
      <w:r>
        <w:rPr>
          <w:rFonts w:ascii="Times New Roman" w:hAnsi="Times New Roman"/>
          <w:sz w:val="19"/>
        </w:rPr>
        <w:t>-ának</w:t>
      </w:r>
      <w:proofErr w:type="spellEnd"/>
      <w:r>
        <w:rPr>
          <w:rFonts w:ascii="Times New Roman" w:hAnsi="Times New Roman"/>
          <w:sz w:val="19"/>
        </w:rPr>
        <w:t xml:space="preserve"> 4. pontja; 9. §</w:t>
      </w:r>
      <w:proofErr w:type="spellStart"/>
      <w:r>
        <w:rPr>
          <w:rFonts w:ascii="Times New Roman" w:hAnsi="Times New Roman"/>
          <w:sz w:val="19"/>
        </w:rPr>
        <w:t>-a</w:t>
      </w:r>
      <w:proofErr w:type="spellEnd"/>
      <w:r>
        <w:rPr>
          <w:rFonts w:ascii="Times New Roman" w:hAnsi="Times New Roman"/>
          <w:sz w:val="19"/>
        </w:rPr>
        <w:t>; 10. §</w:t>
      </w:r>
      <w:proofErr w:type="spellStart"/>
      <w:r>
        <w:rPr>
          <w:rFonts w:ascii="Times New Roman" w:hAnsi="Times New Roman"/>
          <w:sz w:val="19"/>
        </w:rPr>
        <w:t>-ának</w:t>
      </w:r>
      <w:proofErr w:type="spellEnd"/>
      <w:r>
        <w:rPr>
          <w:rFonts w:ascii="Times New Roman" w:hAnsi="Times New Roman"/>
          <w:sz w:val="19"/>
        </w:rPr>
        <w:t xml:space="preserve"> 1. pontja; és 11. §</w:t>
      </w:r>
      <w:proofErr w:type="spellStart"/>
      <w:r>
        <w:rPr>
          <w:rFonts w:ascii="Times New Roman" w:hAnsi="Times New Roman"/>
          <w:sz w:val="19"/>
        </w:rPr>
        <w:t>-ának</w:t>
      </w:r>
      <w:proofErr w:type="spellEnd"/>
      <w:r>
        <w:rPr>
          <w:rFonts w:ascii="Times New Roman" w:hAnsi="Times New Roman"/>
          <w:sz w:val="19"/>
        </w:rPr>
        <w:t xml:space="preserve"> 1–2. pontja értelmében, valamint a következő általános ajánlást fogadja el.</w:t>
      </w:r>
    </w:p>
    <w:p w:rsidR="00A457A5" w:rsidRPr="0076436D" w:rsidRDefault="00A457A5" w:rsidP="00F47340">
      <w:pPr>
        <w:pStyle w:val="Rubrik2"/>
        <w:keepLines/>
        <w:rPr>
          <w:rFonts w:ascii="Times New Roman" w:hAnsi="Times New Roman" w:cs="Times New Roman"/>
          <w:w w:val="100"/>
          <w:sz w:val="21"/>
          <w:szCs w:val="21"/>
        </w:rPr>
      </w:pPr>
      <w:r>
        <w:rPr>
          <w:rFonts w:ascii="Times New Roman" w:hAnsi="Times New Roman"/>
          <w:sz w:val="21"/>
        </w:rPr>
        <w:t>1. fejezet Hatály és terminológia</w:t>
      </w:r>
    </w:p>
    <w:p w:rsidR="00A457A5" w:rsidRPr="0076436D" w:rsidRDefault="00A457A5" w:rsidP="00F47340">
      <w:pPr>
        <w:pStyle w:val="Brdtexthalv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b/>
          <w:sz w:val="19"/>
        </w:rPr>
        <w:t>1. §</w:t>
      </w:r>
      <w:r>
        <w:rPr>
          <w:rFonts w:ascii="Times New Roman" w:hAnsi="Times New Roman"/>
          <w:sz w:val="19"/>
        </w:rPr>
        <w:t xml:space="preserve"> E szabályzat és általános ajánlás a szerencsejáték-törvény (2018:1138) 5. fejezetének 1. §</w:t>
      </w:r>
      <w:proofErr w:type="spellStart"/>
      <w:r>
        <w:rPr>
          <w:rFonts w:ascii="Times New Roman" w:hAnsi="Times New Roman"/>
          <w:sz w:val="19"/>
        </w:rPr>
        <w:t>-</w:t>
      </w:r>
      <w:proofErr w:type="gramStart"/>
      <w:r>
        <w:rPr>
          <w:rFonts w:ascii="Times New Roman" w:hAnsi="Times New Roman"/>
          <w:sz w:val="19"/>
        </w:rPr>
        <w:t>a</w:t>
      </w:r>
      <w:proofErr w:type="spellEnd"/>
      <w:proofErr w:type="gramEnd"/>
      <w:r>
        <w:rPr>
          <w:rFonts w:ascii="Times New Roman" w:hAnsi="Times New Roman"/>
          <w:sz w:val="19"/>
        </w:rPr>
        <w:t xml:space="preserve"> alapján nemzeti sorsjátékok nyújtására jogosult felekre, valamint a szerencsejáték-törvény 6. fejezetének 3. §</w:t>
      </w:r>
      <w:proofErr w:type="spellStart"/>
      <w:r>
        <w:rPr>
          <w:rFonts w:ascii="Times New Roman" w:hAnsi="Times New Roman"/>
          <w:sz w:val="19"/>
        </w:rPr>
        <w:t>-a</w:t>
      </w:r>
      <w:proofErr w:type="spellEnd"/>
      <w:r>
        <w:rPr>
          <w:rFonts w:ascii="Times New Roman" w:hAnsi="Times New Roman"/>
          <w:sz w:val="19"/>
        </w:rPr>
        <w:t xml:space="preserve"> alapján sorsjátékok nyújtására jogosult felekre vonatkozik.</w:t>
      </w:r>
    </w:p>
    <w:p w:rsidR="00A457A5" w:rsidRPr="0076436D" w:rsidRDefault="00A457A5" w:rsidP="00F47340">
      <w:pPr>
        <w:pStyle w:val="Brdtextblank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b/>
          <w:sz w:val="19"/>
        </w:rPr>
        <w:t>2. §</w:t>
      </w:r>
      <w:r>
        <w:rPr>
          <w:rFonts w:ascii="Times New Roman" w:hAnsi="Times New Roman"/>
          <w:sz w:val="19"/>
        </w:rPr>
        <w:t xml:space="preserve"> Eltérő rendelkezés hiányában az e szabályzatban használt fogalmak és megnevezések a szerencsejáték-törvényben (2018:1138) és a szerencsejáték-rendeletben (2018:1475) meghatározottakkal azonos jelentéssel bírnak.</w:t>
      </w:r>
    </w:p>
    <w:p w:rsidR="00A457A5" w:rsidRPr="0076436D" w:rsidRDefault="00A457A5" w:rsidP="00F47340">
      <w:pPr>
        <w:pStyle w:val="brdtextfyrkant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E szabályzatban és általános ajánlásban a következő fogalommeghatározások érvényesek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i/>
          <w:sz w:val="19"/>
        </w:rPr>
        <w:t>rejtett biztonsági UV-jellemző:</w:t>
      </w:r>
      <w:r>
        <w:rPr>
          <w:rFonts w:ascii="Times New Roman" w:hAnsi="Times New Roman"/>
          <w:sz w:val="19"/>
        </w:rPr>
        <w:t xml:space="preserve"> UV-fény alatt fluoreszkáló kép vagy mintázat, amely szabad szemmel nem látható. A kép/mintázat csak 365 nm-es hullámhosszúságú UV-fénnyel való megvilágítás hatására jelenhet meg, és olyan színben kell fluoreszkálnia, amely eltér a nyomtatása hátteréül szolgáló színtől.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i/>
          <w:sz w:val="19"/>
        </w:rPr>
        <w:t>utólag meghatározott eredményű sorsjegy:</w:t>
      </w:r>
      <w:r>
        <w:rPr>
          <w:rFonts w:ascii="Times New Roman" w:hAnsi="Times New Roman"/>
          <w:sz w:val="19"/>
        </w:rPr>
        <w:t xml:space="preserve"> nem lezárt sorsjegy, amelynek sorsolása a vásárlás után történik.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elektronikus sorsjegy: fizikai sorsjegy-hordozó, amely elektronikus komponenseket és egy vagy több szelvényt tartalmaz.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második osztályú sorsolás: olyan sorsolás, amely során a szelvény egy olyan sorsolásban szerepel, amelynek a nyereménye előre meghatározott.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előre meghatározott eredményű sorsjegy: olyan lezárt sorsjegy, amely közvetlenül a vásárló számára mutatja meg, hogy nyertes vagy vesztes szelvényről van-e szó.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lastRenderedPageBreak/>
        <w:t>kémiai törlési védelem: a papír olyan vegyszereket tartalmaz, amelyek oldószerekkel vagy oxidálószerekkel (alkohol, savak, szénhidrogének, klór, felületaktív anyagok stb.) érintkezve elszíneződnek.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másolásvédelem: másolás esetén megváltoznak vagy hibássá válnak a dokumentum biztonsági jellemzői.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felfedés: a játékinformációt elrejtő rétegek, például a lekaparandó anyag eltávolítása.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proofErr w:type="spellStart"/>
      <w:r>
        <w:rPr>
          <w:rFonts w:ascii="Times New Roman" w:hAnsi="Times New Roman"/>
          <w:i/>
          <w:sz w:val="19"/>
        </w:rPr>
        <w:t>mikroszöveg</w:t>
      </w:r>
      <w:proofErr w:type="spellEnd"/>
      <w:r>
        <w:rPr>
          <w:rFonts w:ascii="Times New Roman" w:hAnsi="Times New Roman"/>
          <w:sz w:val="19"/>
        </w:rPr>
        <w:t xml:space="preserve">: szabad szemmel nézve csak egy vonalnak tűnő, </w:t>
      </w:r>
      <w:proofErr w:type="spellStart"/>
      <w:r>
        <w:rPr>
          <w:rFonts w:ascii="Times New Roman" w:hAnsi="Times New Roman"/>
          <w:sz w:val="19"/>
        </w:rPr>
        <w:t>max</w:t>
      </w:r>
      <w:proofErr w:type="spellEnd"/>
      <w:r>
        <w:rPr>
          <w:rFonts w:ascii="Times New Roman" w:hAnsi="Times New Roman"/>
          <w:sz w:val="19"/>
        </w:rPr>
        <w:t xml:space="preserve">. 0,30 mm magas és min. 35 mm hosszú, </w:t>
      </w:r>
      <w:proofErr w:type="gramStart"/>
      <w:r>
        <w:rPr>
          <w:rFonts w:ascii="Times New Roman" w:hAnsi="Times New Roman"/>
          <w:sz w:val="19"/>
        </w:rPr>
        <w:t>kis méretű</w:t>
      </w:r>
      <w:proofErr w:type="gramEnd"/>
      <w:r>
        <w:rPr>
          <w:rFonts w:ascii="Times New Roman" w:hAnsi="Times New Roman"/>
          <w:sz w:val="19"/>
        </w:rPr>
        <w:t xml:space="preserve"> szöveg, amely azonban nagyítás mellett jól olvasható.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i/>
          <w:sz w:val="19"/>
        </w:rPr>
        <w:t>dombornyomás</w:t>
      </w:r>
      <w:r>
        <w:rPr>
          <w:rFonts w:ascii="Times New Roman" w:hAnsi="Times New Roman"/>
          <w:sz w:val="19"/>
        </w:rPr>
        <w:t>: vastag réteg tintával készített betűk, számok vagy szimbólumok, amelyek kiemelkednek a papír felületéből. A másik megoldás szerint a betűk, számok vagy szimbólumok bele vannak nyomva a papírba, azon bemélyedést képezve.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reprodukció: műszaki berendezéssel történő képalkotás, majd azt követően nyomtatás vagy kinyomtatás.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játékinformáció: a sorsjegyen található információ, amely meghatározza, hogy nyertes vagy vesztes sorsjegyről van-e szó.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vízjel: a papírgyártási folyamat során előállított, a fény áthaladására megjelenő képek vagy mintázatok. A kép/mintázat azért jelennek meg, mert a papír eltérő vastagsággal készül; a vastagabb területek sötétebbnek, a vékonyabbak világosabbnak tűnnek.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biztonsági mintázat: legalább két színből álló, legfeljebb 0,10 mm vonalvastagságú, egymást éles szögben metsző vékony vonalakból áll. Lehet hamis dombornyomás is, vagyis ahol a vékony vonalak olyan mintázatot alkotnak, amely dombornyomás (</w:t>
      </w:r>
      <w:proofErr w:type="gramStart"/>
      <w:r>
        <w:rPr>
          <w:rFonts w:ascii="Times New Roman" w:hAnsi="Times New Roman"/>
          <w:sz w:val="19"/>
        </w:rPr>
        <w:t>három dimenziós</w:t>
      </w:r>
      <w:proofErr w:type="gramEnd"/>
      <w:r>
        <w:rPr>
          <w:rFonts w:ascii="Times New Roman" w:hAnsi="Times New Roman"/>
          <w:sz w:val="19"/>
        </w:rPr>
        <w:t xml:space="preserve"> mintázat) hatását kelti.</w:t>
      </w:r>
    </w:p>
    <w:p w:rsidR="00A457A5" w:rsidRPr="0076436D" w:rsidRDefault="00A457A5" w:rsidP="00265800">
      <w:pPr>
        <w:pStyle w:val="brdtextfyrkant"/>
        <w:numPr>
          <w:ilvl w:val="0"/>
          <w:numId w:val="1"/>
        </w:numPr>
        <w:tabs>
          <w:tab w:val="left" w:pos="567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fedőnyomtatás: nyomtatott kép vagy mintázat, amely kaparós bevonat vagy hasonló elem felületére van elhelyezve úgy, hogy egyértelműen megállapítható legyen, hogy a kaparós bevonatot felfedték-e.</w:t>
      </w:r>
    </w:p>
    <w:p w:rsidR="00A457A5" w:rsidRPr="0076436D" w:rsidRDefault="00A457A5" w:rsidP="00F47340">
      <w:pPr>
        <w:pStyle w:val="Rubrik2"/>
        <w:keepLines/>
        <w:rPr>
          <w:rFonts w:ascii="Times New Roman" w:hAnsi="Times New Roman" w:cs="Times New Roman"/>
          <w:w w:val="100"/>
          <w:sz w:val="21"/>
          <w:szCs w:val="21"/>
        </w:rPr>
      </w:pPr>
      <w:r>
        <w:rPr>
          <w:rFonts w:ascii="Times New Roman" w:hAnsi="Times New Roman"/>
          <w:sz w:val="21"/>
        </w:rPr>
        <w:t>2. fejezet Közérdekű céllal szervezett sorsjátékok</w:t>
      </w:r>
    </w:p>
    <w:p w:rsidR="00A457A5" w:rsidRPr="0076436D" w:rsidRDefault="00A457A5" w:rsidP="00F47340">
      <w:pPr>
        <w:pStyle w:val="Brdtexthalv"/>
        <w:rPr>
          <w:rFonts w:ascii="Times New Roman" w:hAnsi="Times New Roman" w:cs="Times New Roman"/>
          <w:b/>
          <w:bCs/>
          <w:w w:val="100"/>
          <w:sz w:val="19"/>
          <w:szCs w:val="19"/>
        </w:rPr>
      </w:pPr>
      <w:r>
        <w:rPr>
          <w:rFonts w:ascii="Times New Roman" w:hAnsi="Times New Roman"/>
          <w:b/>
          <w:sz w:val="19"/>
        </w:rPr>
        <w:t xml:space="preserve">1. § </w:t>
      </w:r>
      <w:r>
        <w:rPr>
          <w:rFonts w:ascii="Times New Roman" w:hAnsi="Times New Roman"/>
          <w:sz w:val="19"/>
        </w:rPr>
        <w:t>A szerencsejáték-törvény (2018:1138) 6. fejezetének 3. §</w:t>
      </w:r>
      <w:proofErr w:type="spellStart"/>
      <w:r>
        <w:rPr>
          <w:rFonts w:ascii="Times New Roman" w:hAnsi="Times New Roman"/>
          <w:sz w:val="19"/>
        </w:rPr>
        <w:t>-</w:t>
      </w:r>
      <w:proofErr w:type="gramStart"/>
      <w:r>
        <w:rPr>
          <w:rFonts w:ascii="Times New Roman" w:hAnsi="Times New Roman"/>
          <w:sz w:val="19"/>
        </w:rPr>
        <w:t>a</w:t>
      </w:r>
      <w:proofErr w:type="spellEnd"/>
      <w:proofErr w:type="gramEnd"/>
      <w:r>
        <w:rPr>
          <w:rFonts w:ascii="Times New Roman" w:hAnsi="Times New Roman"/>
          <w:sz w:val="19"/>
        </w:rPr>
        <w:t xml:space="preserve"> értelmében a közérdekű céllal szervezett sorsjátékok sorsjegyeinek értékesítése előtt könyvelőt/könyvvizsgálót kell kijelölni.</w:t>
      </w:r>
    </w:p>
    <w:p w:rsidR="00A457A5" w:rsidRPr="0076436D" w:rsidRDefault="00A457A5" w:rsidP="00F47340">
      <w:pPr>
        <w:pStyle w:val="brdtextfyrkant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könyvelő/könyvvizsgáló feladata a sorsjáték könyvelésének felülvizsgálata és könyvvizsgálói jelentés készítése.</w:t>
      </w:r>
    </w:p>
    <w:p w:rsidR="00A457A5" w:rsidRPr="0076436D" w:rsidRDefault="00A457A5" w:rsidP="00F47340">
      <w:pPr>
        <w:pStyle w:val="Rubrik4"/>
        <w:keepLines/>
        <w:widowControl/>
        <w:ind w:left="1120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Általános ajánlás:</w:t>
      </w:r>
    </w:p>
    <w:p w:rsidR="00A457A5" w:rsidRPr="0076436D" w:rsidRDefault="00A457A5" w:rsidP="00F47340">
      <w:pPr>
        <w:pStyle w:val="Brdtexthalv"/>
        <w:ind w:left="1120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Ha egy sorsjáték becsült árbevétele 5 millió SEK fölött van, okleveles könyvelőt vagy engedéllyel rendelkező könyvvizsgálót kell alkalmazni.</w:t>
      </w:r>
    </w:p>
    <w:p w:rsidR="00A457A5" w:rsidRPr="0076436D" w:rsidRDefault="00A457A5" w:rsidP="00F47340">
      <w:pPr>
        <w:pStyle w:val="brdtextfyrkant"/>
        <w:ind w:left="1120" w:firstLine="200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felülvizsgálatot a Svéd Szerencsejáték-hatóság által a közérdekű céllal szervezett sorsjátékok könyvelői/könyvvizsgálói számára kiadott utasítások szerint kell végezni.</w:t>
      </w:r>
    </w:p>
    <w:p w:rsidR="00A457A5" w:rsidRPr="0076436D" w:rsidRDefault="00A457A5" w:rsidP="00F47340">
      <w:pPr>
        <w:pStyle w:val="Brdtextblank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b/>
          <w:sz w:val="19"/>
        </w:rPr>
        <w:t>2. §</w:t>
      </w:r>
      <w:r>
        <w:rPr>
          <w:rFonts w:ascii="Times New Roman" w:hAnsi="Times New Roman"/>
          <w:sz w:val="19"/>
        </w:rPr>
        <w:t xml:space="preserve"> A sorsjáték végén az engedélyes eljuttatja a Svéd Szerencsejáték-hatósághoz a sorsjáték könyvelését és a könyvvizsgálói jelentést.</w:t>
      </w:r>
    </w:p>
    <w:p w:rsidR="00A457A5" w:rsidRPr="0076436D" w:rsidRDefault="00A457A5" w:rsidP="00F47340">
      <w:pPr>
        <w:pStyle w:val="Rubrik2"/>
        <w:keepLines/>
        <w:rPr>
          <w:rFonts w:ascii="Times New Roman" w:hAnsi="Times New Roman" w:cs="Times New Roman"/>
          <w:w w:val="100"/>
          <w:sz w:val="21"/>
          <w:szCs w:val="21"/>
        </w:rPr>
      </w:pPr>
      <w:r>
        <w:rPr>
          <w:rFonts w:ascii="Times New Roman" w:hAnsi="Times New Roman"/>
          <w:sz w:val="21"/>
        </w:rPr>
        <w:lastRenderedPageBreak/>
        <w:t>3. fejezet Kifizetési táblázatok, nyeremények, sorsolások és sorsolási eredmények</w:t>
      </w:r>
    </w:p>
    <w:p w:rsidR="00A457A5" w:rsidRPr="0076436D" w:rsidRDefault="00A457A5" w:rsidP="00F47340">
      <w:pPr>
        <w:pStyle w:val="Rubrik40"/>
        <w:keepLines/>
        <w:widowControl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Kifizetési táblázat</w:t>
      </w:r>
    </w:p>
    <w:p w:rsidR="00A457A5" w:rsidRPr="0076436D" w:rsidRDefault="00A457A5" w:rsidP="00F47340">
      <w:pPr>
        <w:pStyle w:val="Brdtexthalv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1. § A nyomtatott vagy elektronikus sorsjegyeknek meg kell felelniük a meghatározott kifizetési táblázatnak.</w:t>
      </w:r>
    </w:p>
    <w:p w:rsidR="00A457A5" w:rsidRPr="0076436D" w:rsidRDefault="00A457A5" w:rsidP="00F47340">
      <w:pPr>
        <w:pStyle w:val="brdtextfyrkant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nyertes és a vesztes sorsjegyek nem bocsáthatók rendelkezésre egymástól elkülönítve.</w:t>
      </w:r>
    </w:p>
    <w:p w:rsidR="00A457A5" w:rsidRPr="0076436D" w:rsidRDefault="00A457A5" w:rsidP="00F47340">
      <w:pPr>
        <w:pStyle w:val="Rubrik4"/>
        <w:keepLines/>
        <w:widowControl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Nyeremények</w:t>
      </w:r>
    </w:p>
    <w:p w:rsidR="00A457A5" w:rsidRPr="0076436D" w:rsidRDefault="00A457A5" w:rsidP="00F47340">
      <w:pPr>
        <w:pStyle w:val="Brdtexthalv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2. § Ha egy sorsjátékban pénznyereménytől eltérő nyeremények vannak, azokat piaci értékükön kell értékelni.</w:t>
      </w:r>
    </w:p>
    <w:p w:rsidR="00A457A5" w:rsidRPr="0076436D" w:rsidRDefault="00A457A5" w:rsidP="00F47340">
      <w:pPr>
        <w:pStyle w:val="brdtextfyrkant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nehezen értékelhető nyeremények értékelését pártatlan, tájékozott félnek kell elvégeznie.</w:t>
      </w:r>
    </w:p>
    <w:p w:rsidR="00A457A5" w:rsidRPr="0076436D" w:rsidRDefault="00A457A5" w:rsidP="00F47340">
      <w:pPr>
        <w:pStyle w:val="Rubrik4"/>
        <w:keepLines/>
        <w:widowControl/>
        <w:ind w:left="1120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Általános ajánlás:</w:t>
      </w:r>
    </w:p>
    <w:p w:rsidR="00A457A5" w:rsidRPr="0076436D" w:rsidRDefault="00A457A5" w:rsidP="00F47340">
      <w:pPr>
        <w:pStyle w:val="Brdtexthalv"/>
        <w:ind w:left="1120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műalkotások és egyéb javak formájában meglévő nyereményeket nehéz lehet az engedélyesnek értékelnie.</w:t>
      </w:r>
    </w:p>
    <w:p w:rsidR="00A457A5" w:rsidRPr="0076436D" w:rsidRDefault="00A457A5" w:rsidP="00F47340">
      <w:pPr>
        <w:pStyle w:val="Rubrik4"/>
        <w:keepLines/>
        <w:widowControl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Utólag meghatározott eredményű sorsjegyek</w:t>
      </w:r>
    </w:p>
    <w:p w:rsidR="00A457A5" w:rsidRPr="0076436D" w:rsidRDefault="00A457A5" w:rsidP="00F47340">
      <w:pPr>
        <w:pStyle w:val="Brdtexthalv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b/>
          <w:sz w:val="19"/>
        </w:rPr>
        <w:t>3. §</w:t>
      </w:r>
      <w:r>
        <w:rPr>
          <w:rFonts w:ascii="Times New Roman" w:hAnsi="Times New Roman"/>
          <w:sz w:val="19"/>
        </w:rPr>
        <w:t xml:space="preserve"> Ha a sorsolási eredmény kizárólag az eladott sorsjegyeken alapul, sorsolás előtt dokumentálni kell az eladatlan sorsjegyeket.</w:t>
      </w:r>
    </w:p>
    <w:p w:rsidR="00A457A5" w:rsidRPr="0076436D" w:rsidRDefault="00A457A5" w:rsidP="00F47340">
      <w:pPr>
        <w:pStyle w:val="Rubrik4"/>
        <w:keepLines/>
        <w:widowControl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sorsolási eredmények jegyzőkönyvezése, módosítása és érvénytelenítése</w:t>
      </w:r>
    </w:p>
    <w:p w:rsidR="00A457A5" w:rsidRPr="0076436D" w:rsidRDefault="00A457A5" w:rsidP="00F47340">
      <w:pPr>
        <w:pStyle w:val="Brdtexthalv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b/>
          <w:sz w:val="19"/>
        </w:rPr>
        <w:t xml:space="preserve">4. § </w:t>
      </w:r>
      <w:r>
        <w:rPr>
          <w:rFonts w:ascii="Times New Roman" w:hAnsi="Times New Roman"/>
          <w:sz w:val="19"/>
        </w:rPr>
        <w:t>A sorsolás eredményét jegyzőkönyvben kell dokumentálni. A jegyzőkönyvet az engedély érvényességi ideje alatt meg kell őrizni.</w:t>
      </w:r>
    </w:p>
    <w:p w:rsidR="00A457A5" w:rsidRPr="0076436D" w:rsidRDefault="00A457A5" w:rsidP="00F47340">
      <w:pPr>
        <w:pStyle w:val="Brdtextblank"/>
        <w:keepNext/>
        <w:keepLines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b/>
          <w:sz w:val="19"/>
        </w:rPr>
        <w:t>5. §</w:t>
      </w:r>
      <w:r>
        <w:rPr>
          <w:rFonts w:ascii="Times New Roman" w:hAnsi="Times New Roman"/>
          <w:sz w:val="19"/>
        </w:rPr>
        <w:t xml:space="preserve"> A sorsolási eredmények nem módosíthatók.</w:t>
      </w:r>
    </w:p>
    <w:p w:rsidR="00A457A5" w:rsidRPr="0076436D" w:rsidRDefault="00D72EA2" w:rsidP="00F47340">
      <w:pPr>
        <w:pStyle w:val="brdtextfyrkant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Ha az eredményeket érintő hibák léptek fel,</w:t>
      </w:r>
      <w:bookmarkStart w:id="0" w:name="_GoBack"/>
      <w:bookmarkEnd w:id="0"/>
      <w:r w:rsidR="00A457A5">
        <w:rPr>
          <w:rFonts w:ascii="Times New Roman" w:hAnsi="Times New Roman"/>
          <w:sz w:val="19"/>
        </w:rPr>
        <w:t xml:space="preserve"> </w:t>
      </w:r>
      <w:r>
        <w:rPr>
          <w:rFonts w:ascii="Times New Roman" w:hAnsi="Times New Roman"/>
          <w:sz w:val="19"/>
        </w:rPr>
        <w:t xml:space="preserve">a </w:t>
      </w:r>
      <w:r w:rsidR="00A457A5">
        <w:rPr>
          <w:rFonts w:ascii="Times New Roman" w:hAnsi="Times New Roman"/>
          <w:sz w:val="19"/>
        </w:rPr>
        <w:t>sorsolás eredményét</w:t>
      </w:r>
      <w:r>
        <w:rPr>
          <w:rFonts w:ascii="Times New Roman" w:hAnsi="Times New Roman"/>
          <w:sz w:val="19"/>
        </w:rPr>
        <w:t xml:space="preserve"> </w:t>
      </w:r>
      <w:r w:rsidRPr="00D72EA2">
        <w:rPr>
          <w:rFonts w:ascii="Times New Roman" w:hAnsi="Times New Roman"/>
          <w:sz w:val="19"/>
        </w:rPr>
        <w:t>még a</w:t>
      </w:r>
      <w:r>
        <w:rPr>
          <w:rFonts w:ascii="Times New Roman" w:hAnsi="Times New Roman"/>
          <w:sz w:val="19"/>
        </w:rPr>
        <w:t>z eredmények közzététele</w:t>
      </w:r>
      <w:r w:rsidRPr="00D72EA2">
        <w:rPr>
          <w:rFonts w:ascii="Times New Roman" w:hAnsi="Times New Roman"/>
          <w:sz w:val="19"/>
        </w:rPr>
        <w:t xml:space="preserve"> előtt</w:t>
      </w:r>
      <w:r>
        <w:rPr>
          <w:rFonts w:ascii="Times New Roman" w:hAnsi="Times New Roman"/>
          <w:sz w:val="19"/>
        </w:rPr>
        <w:t xml:space="preserve"> érvényteleníteni kell</w:t>
      </w:r>
      <w:r w:rsidR="00A457A5">
        <w:rPr>
          <w:rFonts w:ascii="Times New Roman" w:hAnsi="Times New Roman"/>
          <w:sz w:val="19"/>
        </w:rPr>
        <w:t>.</w:t>
      </w:r>
    </w:p>
    <w:p w:rsidR="00A457A5" w:rsidRPr="0076436D" w:rsidRDefault="00A457A5" w:rsidP="00F47340">
      <w:pPr>
        <w:pStyle w:val="brdtextfyrkant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sorsolási eredmény fenti bekezdés szerinti érvénytelenítésekor az adatokat és az érvénytelenített eredményt dokumentálni kell és az engedély érvényességi ideje alatt meg kell őrizni.</w:t>
      </w:r>
    </w:p>
    <w:p w:rsidR="00A457A5" w:rsidRPr="0076436D" w:rsidRDefault="00A457A5" w:rsidP="00F47340">
      <w:pPr>
        <w:pStyle w:val="Rubrik2"/>
        <w:keepLines/>
        <w:rPr>
          <w:rFonts w:ascii="Times New Roman" w:hAnsi="Times New Roman" w:cs="Times New Roman"/>
          <w:w w:val="100"/>
          <w:sz w:val="21"/>
          <w:szCs w:val="21"/>
        </w:rPr>
      </w:pPr>
      <w:r>
        <w:rPr>
          <w:rFonts w:ascii="Times New Roman" w:hAnsi="Times New Roman"/>
          <w:sz w:val="21"/>
        </w:rPr>
        <w:t xml:space="preserve">4. fejezet </w:t>
      </w:r>
      <w:proofErr w:type="gramStart"/>
      <w:r>
        <w:rPr>
          <w:rFonts w:ascii="Times New Roman" w:hAnsi="Times New Roman"/>
          <w:sz w:val="21"/>
        </w:rPr>
        <w:t>A</w:t>
      </w:r>
      <w:proofErr w:type="gramEnd"/>
      <w:r>
        <w:rPr>
          <w:rFonts w:ascii="Times New Roman" w:hAnsi="Times New Roman"/>
          <w:sz w:val="21"/>
        </w:rPr>
        <w:t xml:space="preserve"> fizikai sorsjegyek tulajdonságai</w:t>
      </w:r>
    </w:p>
    <w:p w:rsidR="00A457A5" w:rsidRPr="0076436D" w:rsidRDefault="00A457A5" w:rsidP="00F47340">
      <w:pPr>
        <w:pStyle w:val="Brdtexthalv"/>
        <w:keepNext/>
        <w:keepLines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1. § A második osztályú sorsolások egyes sorsjegyeinek egyedinek kell lenniük.</w:t>
      </w:r>
    </w:p>
    <w:p w:rsidR="00A457A5" w:rsidRPr="0076436D" w:rsidRDefault="00A457A5" w:rsidP="00F47340">
      <w:pPr>
        <w:pStyle w:val="brdtextfyrkant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megadott engedély szerint az egyedi sorsjegynek adott tömbhöz vagy sorozathoz kell tartoznia.</w:t>
      </w:r>
    </w:p>
    <w:p w:rsidR="00A457A5" w:rsidRPr="0076436D" w:rsidRDefault="00A457A5" w:rsidP="00F47340">
      <w:pPr>
        <w:pStyle w:val="Brdtextblank"/>
        <w:keepNext/>
        <w:keepLines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b/>
          <w:sz w:val="19"/>
        </w:rPr>
        <w:t xml:space="preserve">2. § </w:t>
      </w:r>
      <w:r>
        <w:rPr>
          <w:rFonts w:ascii="Times New Roman" w:hAnsi="Times New Roman"/>
          <w:sz w:val="19"/>
        </w:rPr>
        <w:t>A nyomtatott/elektronikus sorsjegyek nem rendelkezhetnek olyan fizikai hibákkal vagy jelzésekkel, amelyek lehetővé teszik a nyertes sorsjegyek kiszűrését.</w:t>
      </w:r>
    </w:p>
    <w:p w:rsidR="00A457A5" w:rsidRPr="0076436D" w:rsidRDefault="00A457A5" w:rsidP="00F47340">
      <w:pPr>
        <w:pStyle w:val="brdtextfyrkant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Ne lehessen leolvasni a játékinformációt a lezárt sorsjegyről.</w:t>
      </w:r>
    </w:p>
    <w:p w:rsidR="00A457A5" w:rsidRPr="0076436D" w:rsidRDefault="00A457A5" w:rsidP="00F47340">
      <w:pPr>
        <w:pStyle w:val="brdtextfyrkant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lastRenderedPageBreak/>
        <w:t>A lezárt sorsjegyeknek biztosítottnak kell lenniük a manipulációval és reprodukcióval szemben.</w:t>
      </w:r>
    </w:p>
    <w:p w:rsidR="00A457A5" w:rsidRPr="0076436D" w:rsidRDefault="00A457A5" w:rsidP="00F47340">
      <w:pPr>
        <w:pStyle w:val="Brdtextblank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3. § Ha olyan hiányosságok vannak a sorsjegyek tulajdonságaiban, amelyek miatt nem felelnek meg e szabályzat követelményeinek, abba kell hagyni a gyártást és érvényteleníteni kell a meglévő sorsjegyeket.</w:t>
      </w:r>
    </w:p>
    <w:p w:rsidR="00A457A5" w:rsidRPr="0076436D" w:rsidRDefault="00A457A5" w:rsidP="00F47340">
      <w:pPr>
        <w:pStyle w:val="Brdtextblank"/>
        <w:keepNext/>
        <w:keepLines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b/>
          <w:sz w:val="19"/>
        </w:rPr>
        <w:t>4. §</w:t>
      </w:r>
      <w:r>
        <w:rPr>
          <w:rFonts w:ascii="Times New Roman" w:hAnsi="Times New Roman"/>
          <w:sz w:val="19"/>
        </w:rPr>
        <w:t xml:space="preserve"> Az alábbiak vonatkoznak azokra az előre meghatározott eredményű lezárt sorsjegyekre, amelyeknél a nyeremény maximális értéke az </w:t>
      </w:r>
      <w:proofErr w:type="spellStart"/>
      <w:r>
        <w:rPr>
          <w:rFonts w:ascii="Times New Roman" w:hAnsi="Times New Roman"/>
          <w:sz w:val="19"/>
        </w:rPr>
        <w:t>áralapösszeg</w:t>
      </w:r>
      <w:proofErr w:type="spellEnd"/>
      <w:r>
        <w:rPr>
          <w:rFonts w:ascii="Times New Roman" w:hAnsi="Times New Roman"/>
          <w:sz w:val="19"/>
        </w:rPr>
        <w:t xml:space="preserve"> 1/1-ed részét meghaladja</w:t>
      </w:r>
    </w:p>
    <w:p w:rsidR="00A457A5" w:rsidRPr="0076436D" w:rsidRDefault="00A457A5" w:rsidP="00265800">
      <w:pPr>
        <w:pStyle w:val="brdtextfyrkant"/>
        <w:numPr>
          <w:ilvl w:val="0"/>
          <w:numId w:val="3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ne lehessen ismét lezárni a már felnyitott sorsjegyet,</w:t>
      </w:r>
    </w:p>
    <w:p w:rsidR="00A457A5" w:rsidRPr="0076436D" w:rsidRDefault="00A457A5" w:rsidP="00265800">
      <w:pPr>
        <w:pStyle w:val="brdtextfyrkant"/>
        <w:numPr>
          <w:ilvl w:val="0"/>
          <w:numId w:val="3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ne lehessen leolvasni a játékinformációt a sorsjegy fény elé tartásával,</w:t>
      </w:r>
    </w:p>
    <w:p w:rsidR="00A457A5" w:rsidRPr="0076436D" w:rsidRDefault="00A457A5" w:rsidP="00265800">
      <w:pPr>
        <w:pStyle w:val="brdtextfyrkant"/>
        <w:numPr>
          <w:ilvl w:val="0"/>
          <w:numId w:val="3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játékinformáció nem képezhet kiemelkedő domborodást vagy bemélyedést a lezárás külső felületén,</w:t>
      </w:r>
    </w:p>
    <w:p w:rsidR="00A457A5" w:rsidRPr="0076436D" w:rsidRDefault="00A457A5" w:rsidP="00265800">
      <w:pPr>
        <w:pStyle w:val="brdtextfyrkant"/>
        <w:numPr>
          <w:ilvl w:val="0"/>
          <w:numId w:val="3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sorsjegynek másolásvédelemmel kell rendelkeznie,</w:t>
      </w:r>
    </w:p>
    <w:p w:rsidR="00A457A5" w:rsidRPr="0076436D" w:rsidRDefault="00A457A5" w:rsidP="00265800">
      <w:pPr>
        <w:pStyle w:val="brdtextfyrkant"/>
        <w:numPr>
          <w:ilvl w:val="0"/>
          <w:numId w:val="3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sorsjegynek biztonsági UV-jellemzővel kell rendelkeznie,</w:t>
      </w:r>
    </w:p>
    <w:p w:rsidR="00A457A5" w:rsidRPr="0076436D" w:rsidRDefault="00A457A5" w:rsidP="00265800">
      <w:pPr>
        <w:pStyle w:val="brdtextfyrkant"/>
        <w:numPr>
          <w:ilvl w:val="0"/>
          <w:numId w:val="3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lekaparásra szolgáló mezőnek olyan fedőnyomtatással kell rendelkeznie, amely elfedi a játékinformációt és az ellenőrző mezőket,</w:t>
      </w:r>
    </w:p>
    <w:p w:rsidR="00A457A5" w:rsidRPr="0076436D" w:rsidRDefault="00A457A5" w:rsidP="00265800">
      <w:pPr>
        <w:pStyle w:val="brdtextfyrkant"/>
        <w:numPr>
          <w:ilvl w:val="0"/>
          <w:numId w:val="3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lezárt ellenőrző mezőket óvni kell a felfedés és elolvasás ellen,</w:t>
      </w:r>
    </w:p>
    <w:p w:rsidR="00A457A5" w:rsidRPr="0076436D" w:rsidRDefault="00A457A5" w:rsidP="00265800">
      <w:pPr>
        <w:pStyle w:val="brdtextfyrkant"/>
        <w:numPr>
          <w:ilvl w:val="0"/>
          <w:numId w:val="3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ne lehessen leolvasni a játékinformációt statikus elektromosság segítségével,</w:t>
      </w:r>
    </w:p>
    <w:p w:rsidR="00A457A5" w:rsidRPr="0076436D" w:rsidRDefault="00A457A5" w:rsidP="00265800">
      <w:pPr>
        <w:pStyle w:val="brdtextfyrkant"/>
        <w:numPr>
          <w:ilvl w:val="0"/>
          <w:numId w:val="3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játékinformációnak ne legyenek fix pozíciói,</w:t>
      </w:r>
    </w:p>
    <w:p w:rsidR="00A457A5" w:rsidRPr="0076436D" w:rsidRDefault="00A457A5" w:rsidP="00265800">
      <w:pPr>
        <w:pStyle w:val="brdtextfyrkant"/>
        <w:numPr>
          <w:ilvl w:val="0"/>
          <w:numId w:val="3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játékinformációt védeni kell a módosítással szemben, és</w:t>
      </w:r>
    </w:p>
    <w:p w:rsidR="00A457A5" w:rsidRPr="0076436D" w:rsidRDefault="00A457A5" w:rsidP="00265800">
      <w:pPr>
        <w:pStyle w:val="brdtextfyrkant"/>
        <w:numPr>
          <w:ilvl w:val="0"/>
          <w:numId w:val="3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 xml:space="preserve">a sorsjegyen </w:t>
      </w:r>
      <w:proofErr w:type="spellStart"/>
      <w:r>
        <w:rPr>
          <w:rFonts w:ascii="Times New Roman" w:hAnsi="Times New Roman"/>
          <w:sz w:val="19"/>
        </w:rPr>
        <w:t>mikroszöveget</w:t>
      </w:r>
      <w:proofErr w:type="spellEnd"/>
      <w:r>
        <w:rPr>
          <w:rFonts w:ascii="Times New Roman" w:hAnsi="Times New Roman"/>
          <w:sz w:val="19"/>
        </w:rPr>
        <w:t xml:space="preserve"> kell feltüntetni.</w:t>
      </w:r>
    </w:p>
    <w:p w:rsidR="00A457A5" w:rsidRPr="0076436D" w:rsidRDefault="00A457A5" w:rsidP="00F47340">
      <w:pPr>
        <w:pStyle w:val="Rubrik4"/>
        <w:keepLines/>
        <w:widowControl/>
        <w:ind w:left="1120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Általános ajánlás:</w:t>
      </w:r>
    </w:p>
    <w:p w:rsidR="00A457A5" w:rsidRPr="0076436D" w:rsidRDefault="00A457A5" w:rsidP="00F47340">
      <w:pPr>
        <w:pStyle w:val="Brdtexthalv"/>
        <w:ind w:left="1120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Példák a másolásvédelemre: nehezen másolható színek, raszteres csapdák, nyomatok vagy kiképzések eltérő fényvisszaveréssel, pl. fényes kiképzés matt papíron, és különleges papírok.</w:t>
      </w:r>
    </w:p>
    <w:p w:rsidR="00A457A5" w:rsidRPr="0076436D" w:rsidRDefault="00A457A5" w:rsidP="00F47340">
      <w:pPr>
        <w:pStyle w:val="brdtextfyrkant"/>
        <w:ind w:left="1120" w:firstLine="200"/>
        <w:rPr>
          <w:rFonts w:ascii="Times New Roman" w:hAnsi="Times New Roman" w:cs="Times New Roman"/>
          <w:w w:val="100"/>
          <w:sz w:val="19"/>
          <w:szCs w:val="19"/>
          <w:u w:val="thick"/>
        </w:rPr>
      </w:pPr>
      <w:r>
        <w:rPr>
          <w:rFonts w:ascii="Times New Roman" w:hAnsi="Times New Roman"/>
          <w:sz w:val="19"/>
        </w:rPr>
        <w:t xml:space="preserve">A lekaparásra szolgáló mezőben </w:t>
      </w:r>
      <w:proofErr w:type="spellStart"/>
      <w:r>
        <w:rPr>
          <w:rFonts w:ascii="Times New Roman" w:hAnsi="Times New Roman"/>
          <w:sz w:val="19"/>
        </w:rPr>
        <w:t>mikroszöveg</w:t>
      </w:r>
      <w:proofErr w:type="spellEnd"/>
      <w:r>
        <w:rPr>
          <w:rFonts w:ascii="Times New Roman" w:hAnsi="Times New Roman"/>
          <w:sz w:val="19"/>
        </w:rPr>
        <w:t xml:space="preserve"> helyezhető el.</w:t>
      </w:r>
    </w:p>
    <w:p w:rsidR="00A457A5" w:rsidRPr="0076436D" w:rsidRDefault="00A457A5" w:rsidP="00F47340">
      <w:pPr>
        <w:pStyle w:val="Brdtextblank"/>
        <w:keepNext/>
        <w:keepLines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b/>
          <w:sz w:val="19"/>
        </w:rPr>
        <w:t>5. §</w:t>
      </w:r>
      <w:r>
        <w:rPr>
          <w:rFonts w:ascii="Times New Roman" w:hAnsi="Times New Roman"/>
          <w:sz w:val="19"/>
        </w:rPr>
        <w:t xml:space="preserve"> Az alábbiak vonatkoznak azokra az utólag meghatározott eredményű lezárt sorsjegyekre, amelyeknél a nyeremény maximális értéke az </w:t>
      </w:r>
      <w:proofErr w:type="spellStart"/>
      <w:r>
        <w:rPr>
          <w:rFonts w:ascii="Times New Roman" w:hAnsi="Times New Roman"/>
          <w:sz w:val="19"/>
        </w:rPr>
        <w:t>áralapösszeg</w:t>
      </w:r>
      <w:proofErr w:type="spellEnd"/>
      <w:r>
        <w:rPr>
          <w:rFonts w:ascii="Times New Roman" w:hAnsi="Times New Roman"/>
          <w:sz w:val="19"/>
        </w:rPr>
        <w:t xml:space="preserve"> 1/1-ed részét meghaladja</w:t>
      </w:r>
    </w:p>
    <w:p w:rsidR="00A457A5" w:rsidRPr="0076436D" w:rsidRDefault="00A457A5" w:rsidP="00265800">
      <w:pPr>
        <w:pStyle w:val="brdtextfyrkant"/>
        <w:numPr>
          <w:ilvl w:val="0"/>
          <w:numId w:val="10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sorsjegynek másolásvédelemmel kell rendelkeznie,</w:t>
      </w:r>
    </w:p>
    <w:p w:rsidR="00A457A5" w:rsidRPr="0076436D" w:rsidRDefault="00A457A5" w:rsidP="00265800">
      <w:pPr>
        <w:pStyle w:val="brdtextfyrkant"/>
        <w:numPr>
          <w:ilvl w:val="0"/>
          <w:numId w:val="10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sorsjegynek biztonsági UV-jellemzővel kell rendelkeznie,</w:t>
      </w:r>
    </w:p>
    <w:p w:rsidR="00A457A5" w:rsidRPr="0076436D" w:rsidRDefault="00A457A5" w:rsidP="00265800">
      <w:pPr>
        <w:pStyle w:val="brdtextfyrkant"/>
        <w:numPr>
          <w:ilvl w:val="0"/>
          <w:numId w:val="10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sorsjegynek biztonsági mintázattal kell rendelkeznie,</w:t>
      </w:r>
    </w:p>
    <w:p w:rsidR="00A457A5" w:rsidRPr="0076436D" w:rsidRDefault="00A457A5" w:rsidP="00265800">
      <w:pPr>
        <w:pStyle w:val="brdtextfyrkant"/>
        <w:numPr>
          <w:ilvl w:val="0"/>
          <w:numId w:val="10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játékinformációt védeni kell a módosítással szemben,</w:t>
      </w:r>
    </w:p>
    <w:p w:rsidR="00A457A5" w:rsidRPr="0076436D" w:rsidRDefault="00A457A5" w:rsidP="00265800">
      <w:pPr>
        <w:pStyle w:val="brdtextfyrkant"/>
        <w:numPr>
          <w:ilvl w:val="0"/>
          <w:numId w:val="10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 xml:space="preserve">a sorsjegyen </w:t>
      </w:r>
      <w:proofErr w:type="spellStart"/>
      <w:r>
        <w:rPr>
          <w:rFonts w:ascii="Times New Roman" w:hAnsi="Times New Roman"/>
          <w:sz w:val="19"/>
        </w:rPr>
        <w:t>mikroszöveget</w:t>
      </w:r>
      <w:proofErr w:type="spellEnd"/>
      <w:r>
        <w:rPr>
          <w:rFonts w:ascii="Times New Roman" w:hAnsi="Times New Roman"/>
          <w:sz w:val="19"/>
        </w:rPr>
        <w:t xml:space="preserve"> kell feltüntetni,</w:t>
      </w:r>
    </w:p>
    <w:p w:rsidR="00A457A5" w:rsidRPr="0076436D" w:rsidRDefault="00A457A5" w:rsidP="00265800">
      <w:pPr>
        <w:pStyle w:val="brdtextfyrkant"/>
        <w:numPr>
          <w:ilvl w:val="0"/>
          <w:numId w:val="10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sorsjegy előállításához vízjeles papírt vagy azzal egyenértékű biztonsági szintű papírt kell használni, és</w:t>
      </w:r>
    </w:p>
    <w:p w:rsidR="00A457A5" w:rsidRPr="0076436D" w:rsidRDefault="00A457A5" w:rsidP="00265800">
      <w:pPr>
        <w:pStyle w:val="brdtextfyrkant"/>
        <w:numPr>
          <w:ilvl w:val="0"/>
          <w:numId w:val="10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papírnak kémiai törlés elleni védelemmel kell rendelkeznie.</w:t>
      </w:r>
    </w:p>
    <w:p w:rsidR="00A457A5" w:rsidRPr="0076436D" w:rsidRDefault="00A457A5" w:rsidP="00F47340">
      <w:pPr>
        <w:pStyle w:val="Rubrik4"/>
        <w:keepLines/>
        <w:widowControl/>
        <w:ind w:left="1120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Általános ajánlás:</w:t>
      </w:r>
    </w:p>
    <w:p w:rsidR="00A457A5" w:rsidRPr="0076436D" w:rsidRDefault="00A457A5" w:rsidP="00F47340">
      <w:pPr>
        <w:pStyle w:val="Brdtexthalv"/>
        <w:ind w:left="1120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 xml:space="preserve">Példák a másolásvédelemre: nehezen másolható színek, raszteres csapdák, nyomatok vagy kiképzések eltérő fényvisszaveréssel, pl. fényes kiképzés matt papíron, és </w:t>
      </w:r>
      <w:r>
        <w:rPr>
          <w:rFonts w:ascii="Times New Roman" w:hAnsi="Times New Roman"/>
          <w:sz w:val="19"/>
        </w:rPr>
        <w:lastRenderedPageBreak/>
        <w:t xml:space="preserve">különleges papírok. A lekaparásra szolgáló mezőben </w:t>
      </w:r>
      <w:proofErr w:type="spellStart"/>
      <w:r>
        <w:rPr>
          <w:rFonts w:ascii="Times New Roman" w:hAnsi="Times New Roman"/>
          <w:sz w:val="19"/>
        </w:rPr>
        <w:t>mikroszöveg</w:t>
      </w:r>
      <w:proofErr w:type="spellEnd"/>
      <w:r>
        <w:rPr>
          <w:rFonts w:ascii="Times New Roman" w:hAnsi="Times New Roman"/>
          <w:sz w:val="19"/>
        </w:rPr>
        <w:t xml:space="preserve"> helyezhető el.</w:t>
      </w:r>
    </w:p>
    <w:p w:rsidR="00A457A5" w:rsidRPr="0076436D" w:rsidRDefault="00A457A5" w:rsidP="00F47340">
      <w:pPr>
        <w:pStyle w:val="brdtextfyrkant"/>
        <w:ind w:left="1120" w:firstLine="200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Az „egyenértékű biztonsági szintű papír” azt jelentheti, hogy a sorsjegy olyan biztonsági jellemzők kombinációjával rendelkezik, amelyek a vízjeles papíréval egyenértékű biztonságot nyújtanak.</w:t>
      </w:r>
    </w:p>
    <w:p w:rsidR="00A457A5" w:rsidRPr="0076436D" w:rsidRDefault="00A457A5" w:rsidP="00F47340">
      <w:pPr>
        <w:pStyle w:val="Brdtextblank"/>
        <w:keepNext/>
        <w:keepLines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b/>
          <w:sz w:val="19"/>
        </w:rPr>
        <w:t>6. §</w:t>
      </w:r>
      <w:r>
        <w:rPr>
          <w:rFonts w:ascii="Times New Roman" w:hAnsi="Times New Roman"/>
          <w:sz w:val="19"/>
        </w:rPr>
        <w:t xml:space="preserve"> Az alábbiak vonatkoznak azokra az elektronikus sorsjegyekre, amelyeknél a nyeremény maximális értéke az ár alapösszeg 1/6-od részét meghaladja</w:t>
      </w:r>
    </w:p>
    <w:p w:rsidR="00A457A5" w:rsidRPr="0076436D" w:rsidRDefault="00A457A5" w:rsidP="00265800">
      <w:pPr>
        <w:pStyle w:val="brdtextfyrkant"/>
        <w:numPr>
          <w:ilvl w:val="0"/>
          <w:numId w:val="9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látható nyom hagyása nélkül ne lehessen aktiválni és visszaállítani a sorsjegyet,</w:t>
      </w:r>
    </w:p>
    <w:p w:rsidR="00A457A5" w:rsidRPr="0076436D" w:rsidRDefault="00A457A5" w:rsidP="00265800">
      <w:pPr>
        <w:pStyle w:val="brdtextfyrkant"/>
        <w:numPr>
          <w:ilvl w:val="0"/>
          <w:numId w:val="9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sorsjegynek biztonsági UV-jellemzővel kell rendelkeznie,</w:t>
      </w:r>
    </w:p>
    <w:p w:rsidR="00A457A5" w:rsidRPr="0076436D" w:rsidRDefault="00A457A5" w:rsidP="00265800">
      <w:pPr>
        <w:pStyle w:val="brdtextfyrkant"/>
        <w:numPr>
          <w:ilvl w:val="0"/>
          <w:numId w:val="9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sorsjegynek másolásvédelemmel kell rendelkeznie,</w:t>
      </w:r>
    </w:p>
    <w:p w:rsidR="00A457A5" w:rsidRPr="0076436D" w:rsidRDefault="00A457A5" w:rsidP="00265800">
      <w:pPr>
        <w:pStyle w:val="brdtextfyrkant"/>
        <w:numPr>
          <w:ilvl w:val="0"/>
          <w:numId w:val="9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sorsjegynek fedőnyomtatással ellátott ellenőrző mezővel kell rendelkeznie,</w:t>
      </w:r>
    </w:p>
    <w:p w:rsidR="00A457A5" w:rsidRPr="0076436D" w:rsidRDefault="00A457A5" w:rsidP="00265800">
      <w:pPr>
        <w:pStyle w:val="brdtextfyrkant"/>
        <w:numPr>
          <w:ilvl w:val="0"/>
          <w:numId w:val="9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az elektronikus elemeket és kijelzőket védeni kell a manipuláció ellen, és</w:t>
      </w:r>
    </w:p>
    <w:p w:rsidR="00A457A5" w:rsidRPr="0076436D" w:rsidRDefault="00A457A5" w:rsidP="00265800">
      <w:pPr>
        <w:pStyle w:val="brdtextfyrkant"/>
        <w:numPr>
          <w:ilvl w:val="0"/>
          <w:numId w:val="9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 xml:space="preserve">a sorsjegyen </w:t>
      </w:r>
      <w:proofErr w:type="spellStart"/>
      <w:r>
        <w:rPr>
          <w:rFonts w:ascii="Times New Roman" w:hAnsi="Times New Roman"/>
          <w:sz w:val="19"/>
        </w:rPr>
        <w:t>mikroszöveget</w:t>
      </w:r>
      <w:proofErr w:type="spellEnd"/>
      <w:r>
        <w:rPr>
          <w:rFonts w:ascii="Times New Roman" w:hAnsi="Times New Roman"/>
          <w:sz w:val="19"/>
        </w:rPr>
        <w:t xml:space="preserve"> kell feltüntetni.</w:t>
      </w:r>
    </w:p>
    <w:p w:rsidR="00A457A5" w:rsidRPr="0076436D" w:rsidRDefault="00A457A5" w:rsidP="00F47340">
      <w:pPr>
        <w:pStyle w:val="Rubrik4"/>
        <w:keepLines/>
        <w:widowControl/>
        <w:ind w:left="1120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Általános ajánlás:</w:t>
      </w:r>
    </w:p>
    <w:p w:rsidR="00A457A5" w:rsidRPr="0076436D" w:rsidRDefault="00A457A5" w:rsidP="00F47340">
      <w:pPr>
        <w:pStyle w:val="Brdtexthalv"/>
        <w:ind w:left="1120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 xml:space="preserve">Példák a másolásvédelemre: nehezen másolható színek, raszteres csapdák, nyomatok vagy kiképzések eltérő fényvisszaveréssel, pl. fényes kiképzés matt papíron, és különleges papírok. A lekaparásra szolgáló mezőben </w:t>
      </w:r>
      <w:proofErr w:type="spellStart"/>
      <w:r>
        <w:rPr>
          <w:rFonts w:ascii="Times New Roman" w:hAnsi="Times New Roman"/>
          <w:sz w:val="19"/>
        </w:rPr>
        <w:t>mikroszöveg</w:t>
      </w:r>
      <w:proofErr w:type="spellEnd"/>
      <w:r>
        <w:rPr>
          <w:rFonts w:ascii="Times New Roman" w:hAnsi="Times New Roman"/>
          <w:sz w:val="19"/>
        </w:rPr>
        <w:t xml:space="preserve"> helyezhető el.</w:t>
      </w:r>
    </w:p>
    <w:p w:rsidR="00A457A5" w:rsidRPr="0076436D" w:rsidRDefault="00A457A5" w:rsidP="00F47340">
      <w:pPr>
        <w:pStyle w:val="Rubrik2"/>
        <w:keepLines/>
        <w:rPr>
          <w:rFonts w:ascii="Times New Roman" w:hAnsi="Times New Roman" w:cs="Times New Roman"/>
          <w:w w:val="100"/>
          <w:sz w:val="21"/>
          <w:szCs w:val="21"/>
        </w:rPr>
      </w:pPr>
      <w:r>
        <w:rPr>
          <w:rFonts w:ascii="Times New Roman" w:hAnsi="Times New Roman"/>
          <w:sz w:val="21"/>
        </w:rPr>
        <w:t xml:space="preserve">5. fejezet </w:t>
      </w:r>
      <w:proofErr w:type="gramStart"/>
      <w:r>
        <w:rPr>
          <w:rFonts w:ascii="Times New Roman" w:hAnsi="Times New Roman"/>
          <w:sz w:val="21"/>
        </w:rPr>
        <w:t>A</w:t>
      </w:r>
      <w:proofErr w:type="gramEnd"/>
      <w:r>
        <w:rPr>
          <w:rFonts w:ascii="Times New Roman" w:hAnsi="Times New Roman"/>
          <w:sz w:val="21"/>
        </w:rPr>
        <w:t xml:space="preserve"> sorsjegyek kezelése</w:t>
      </w:r>
    </w:p>
    <w:p w:rsidR="00A457A5" w:rsidRPr="0076436D" w:rsidRDefault="00A457A5" w:rsidP="00F47340">
      <w:pPr>
        <w:pStyle w:val="Rubrik40"/>
        <w:keepLines/>
        <w:widowControl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kész sorsjegyek kezelése</w:t>
      </w:r>
    </w:p>
    <w:p w:rsidR="00A457A5" w:rsidRPr="0076436D" w:rsidRDefault="00A457A5" w:rsidP="00F47340">
      <w:pPr>
        <w:pStyle w:val="Brdtexthalv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1. § Dokumentált eljárásoknak kell rendelkezésre állniuk a kész sorsjegyek kezeléséhez.</w:t>
      </w:r>
    </w:p>
    <w:p w:rsidR="00A457A5" w:rsidRPr="0076436D" w:rsidRDefault="00A457A5" w:rsidP="00F47340">
      <w:pPr>
        <w:pStyle w:val="brdtextfyrkant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Az eljárásoknak a részben kész sorsjegyekre is vonatkozniuk kell.</w:t>
      </w:r>
    </w:p>
    <w:p w:rsidR="00A457A5" w:rsidRPr="0076436D" w:rsidRDefault="00A457A5" w:rsidP="00F47340">
      <w:pPr>
        <w:pStyle w:val="Brdtextblank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2. § A játékadatok generálása során jogosulatlan személyek ne kapjanak teljes körű betekintést abba, hogy a nyertes sorsjegyek hol helyezkednek el a kész sorsjegyek között.</w:t>
      </w:r>
    </w:p>
    <w:p w:rsidR="00A457A5" w:rsidRPr="0076436D" w:rsidRDefault="00A457A5" w:rsidP="00F47340">
      <w:pPr>
        <w:pStyle w:val="Brdtextblank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3. § A késztermékeket és egyéb érzékeny anyagokat biztonságosan és védve kell tartani.</w:t>
      </w:r>
    </w:p>
    <w:p w:rsidR="00A457A5" w:rsidRPr="0076436D" w:rsidRDefault="00A457A5" w:rsidP="00F47340">
      <w:pPr>
        <w:pStyle w:val="brdtextfyrkant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fizikai sorsjegyek kezelésére és tartására használt terekhez való hozzáférést szolgáló kártyákat, kódokat, kulcsokat és egyéb eszközöket úgy kell ellenőrizni, hogy jogosulatlan személyek ne férhessenek hozzájuk.</w:t>
      </w:r>
    </w:p>
    <w:p w:rsidR="00A457A5" w:rsidRPr="0076436D" w:rsidRDefault="00A457A5" w:rsidP="00F47340">
      <w:pPr>
        <w:pStyle w:val="Brdtextblank"/>
        <w:keepNext/>
        <w:keepLines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4. § A fizikai sorsjegyeket úgy kell becsomagolni, hogy az egyes sorsjegyekhez történő hozzáféréshez a külső csomagolást fel kelljen tépni.</w:t>
      </w:r>
    </w:p>
    <w:p w:rsidR="00A457A5" w:rsidRPr="0076436D" w:rsidRDefault="00A457A5" w:rsidP="00F47340">
      <w:pPr>
        <w:pStyle w:val="brdtextfyrkant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Ha a fizikai sorsjegyek raklapon vannak csomagolva, a raklapot plombálni kell, hogy annak tartalma ne legyen látható.</w:t>
      </w:r>
    </w:p>
    <w:p w:rsidR="00A457A5" w:rsidRPr="0076436D" w:rsidRDefault="00A457A5" w:rsidP="00F47340">
      <w:pPr>
        <w:pStyle w:val="brdtextfyrkant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plomba vagy a csomagolás minden sérülését dokumentálni kell.</w:t>
      </w:r>
    </w:p>
    <w:p w:rsidR="00A457A5" w:rsidRPr="0076436D" w:rsidRDefault="00A457A5" w:rsidP="00F47340">
      <w:pPr>
        <w:pStyle w:val="Brdtextblank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5. § A kész fizikai sorsjegyek szállítását biztonságos módon kell végezni.</w:t>
      </w:r>
    </w:p>
    <w:p w:rsidR="00A457A5" w:rsidRPr="0076436D" w:rsidRDefault="00A457A5" w:rsidP="00F47340">
      <w:pPr>
        <w:pStyle w:val="Rubrik4"/>
        <w:keepLines/>
        <w:widowControl/>
        <w:ind w:left="1120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Általános ajánlás:</w:t>
      </w:r>
    </w:p>
    <w:p w:rsidR="00A457A5" w:rsidRPr="0076436D" w:rsidRDefault="00A457A5" w:rsidP="00F47340">
      <w:pPr>
        <w:pStyle w:val="Brdtexthalv"/>
        <w:ind w:left="1120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kész fizikai sorsjegyek szállítását plombálható járművekkel rendelkező, megbízható cégekre kell bízni. Az útvonal megválasztásakor ügyelni kell arra, hogy a fuvarozó – például – gazdasági előnyszerzés érdekében ne választhasson kockázatosabb útvonalat. Útközben kerülni kell a megállásokat.</w:t>
      </w:r>
    </w:p>
    <w:p w:rsidR="00A457A5" w:rsidRPr="0076436D" w:rsidRDefault="00A457A5" w:rsidP="00F47340">
      <w:pPr>
        <w:pStyle w:val="brdtextfyrkant"/>
        <w:ind w:left="1120" w:firstLine="200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leszállításokat úgy kell megtervezni, hogy az áru kirakodását és biztonságos tárolóba helyezését a megérkezéskor azonnal el lehessen végezni. A teherautót nem szabad sem éjszakára, sem más időpontban átmenetileg felügyelet nélkül hagyni.</w:t>
      </w:r>
    </w:p>
    <w:p w:rsidR="00A457A5" w:rsidRPr="0076436D" w:rsidRDefault="00A457A5" w:rsidP="00F47340">
      <w:pPr>
        <w:pStyle w:val="Rubrik4"/>
        <w:keepLines/>
        <w:widowControl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Az eladatlan és a beváltott nyertes sorsjegyek kezelése</w:t>
      </w:r>
    </w:p>
    <w:p w:rsidR="00A457A5" w:rsidRPr="0076436D" w:rsidRDefault="00A457A5" w:rsidP="00F47340">
      <w:pPr>
        <w:pStyle w:val="Brdtexthalv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6. § Dokumentált eljárásoknak kell rendelkezésre állniuk az eladatlan és a beváltott nyertes sorsjegyek kezeléséhez.</w:t>
      </w:r>
    </w:p>
    <w:p w:rsidR="00A457A5" w:rsidRPr="0076436D" w:rsidRDefault="00A457A5" w:rsidP="00F47340">
      <w:pPr>
        <w:pStyle w:val="brdtextfyrkant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sorsjáték után a lehető leghamarabb meg kell semmisíteni az eladatlan és a beváltott nyertes sorsjegyeket.</w:t>
      </w:r>
    </w:p>
    <w:p w:rsidR="00A457A5" w:rsidRPr="0076436D" w:rsidRDefault="00A457A5" w:rsidP="00F47340">
      <w:pPr>
        <w:pStyle w:val="brdtextfyrkant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Ha valamilyen szerencsejáték rendszeren keresztül történik meg a nyeremény érvényesítése, akkor ez helyettesíti a fent említett megsemmisítést.</w:t>
      </w:r>
    </w:p>
    <w:p w:rsidR="00A457A5" w:rsidRPr="0076436D" w:rsidRDefault="00A457A5" w:rsidP="00F47340">
      <w:pPr>
        <w:pStyle w:val="Rubrik4"/>
        <w:keepLines/>
        <w:widowControl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sérült sorsjegyek kezelése</w:t>
      </w:r>
    </w:p>
    <w:p w:rsidR="00A457A5" w:rsidRPr="0076436D" w:rsidRDefault="00A457A5" w:rsidP="00F47340">
      <w:pPr>
        <w:pStyle w:val="Brdtexthalv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7. § Dokumentált eljárásoknak kell rendelkezésre állniuk az előállítás vagy a szállítás során megsérült fizikai sorsjegyek kezeléséhez.</w:t>
      </w:r>
    </w:p>
    <w:p w:rsidR="00A457A5" w:rsidRPr="0076436D" w:rsidRDefault="00A457A5" w:rsidP="00F47340">
      <w:pPr>
        <w:pStyle w:val="brdtextfyrkant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Az előállítás vagy a szállítás során megsérült sorsjegyek pótlása esetén is ügyelni kell arra, hogy a kifizetési táblázat, a nyeremények eloszlása és a leszállított sorsjegyek száma a megrendelés szerinti legyen.</w:t>
      </w:r>
    </w:p>
    <w:p w:rsidR="00A457A5" w:rsidRPr="0076436D" w:rsidRDefault="00A457A5" w:rsidP="00F47340">
      <w:pPr>
        <w:pStyle w:val="brdtextfyrkant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 xml:space="preserve">A </w:t>
      </w:r>
      <w:proofErr w:type="gramStart"/>
      <w:r>
        <w:rPr>
          <w:rFonts w:ascii="Times New Roman" w:hAnsi="Times New Roman"/>
          <w:sz w:val="19"/>
        </w:rPr>
        <w:t>sérül</w:t>
      </w:r>
      <w:proofErr w:type="gramEnd"/>
      <w:r>
        <w:rPr>
          <w:rFonts w:ascii="Times New Roman" w:hAnsi="Times New Roman"/>
          <w:sz w:val="19"/>
        </w:rPr>
        <w:t xml:space="preserve"> fizikai sorsjegyeket dokumentálni kell és meg kell semmisíteni.</w:t>
      </w:r>
    </w:p>
    <w:p w:rsidR="00A457A5" w:rsidRPr="0076436D" w:rsidRDefault="00A457A5" w:rsidP="00F47340">
      <w:pPr>
        <w:pStyle w:val="Rubrik4"/>
        <w:keepLines/>
        <w:widowControl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selejt nyomtatott anyagok és egyéb eszközök kezelése</w:t>
      </w:r>
    </w:p>
    <w:p w:rsidR="00A457A5" w:rsidRPr="0076436D" w:rsidRDefault="00A457A5" w:rsidP="00F47340">
      <w:pPr>
        <w:pStyle w:val="Brdtexthalv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8. § Dokumentált eljárásoknak kell rendelkezésre állniuk a fizikai sorsjegyek előállítása során felhasznált selejt nyomtatott anyagok és egyéb eszközök kezeléséhez.</w:t>
      </w:r>
    </w:p>
    <w:p w:rsidR="00A457A5" w:rsidRPr="0076436D" w:rsidRDefault="00A457A5" w:rsidP="00F47340">
      <w:pPr>
        <w:pStyle w:val="brdtextfyrkant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Minden selejt nyomtatott anyagot dokumentálni kell és meg kell semmisíteni.</w:t>
      </w:r>
    </w:p>
    <w:p w:rsidR="00A457A5" w:rsidRPr="0076436D" w:rsidRDefault="00A457A5" w:rsidP="00F47340">
      <w:pPr>
        <w:pStyle w:val="Rubrik4"/>
        <w:keepLines/>
        <w:widowControl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használt adathordozók kezelése</w:t>
      </w:r>
    </w:p>
    <w:p w:rsidR="00A457A5" w:rsidRPr="0076436D" w:rsidRDefault="00A457A5" w:rsidP="00F47340">
      <w:pPr>
        <w:pStyle w:val="Brdtexthalv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9. § Dokumentált eljárásoknak kell rendelkezésre állniuk a fizikai sorsjegyek adatainak generálására szolgáló elhasznált rendszerek kezeléséhez és a már nem használatos nyomtatott fizikai sorsjegyek érvényesítéséhez.</w:t>
      </w:r>
    </w:p>
    <w:p w:rsidR="00A457A5" w:rsidRPr="0076436D" w:rsidRDefault="00A457A5" w:rsidP="00F47340">
      <w:pPr>
        <w:pStyle w:val="brdtextfyrkant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nyereményinformációkat tartalmazó fájlokat úgy kell kezelni, hogy jogosulatlan személyek ne tudják az információkat lemásolni, rossz célra felhasználni vagy megrongálni.</w:t>
      </w:r>
    </w:p>
    <w:p w:rsidR="00A457A5" w:rsidRPr="0076436D" w:rsidRDefault="00A457A5" w:rsidP="00F47340">
      <w:pPr>
        <w:pStyle w:val="Rubrik4"/>
        <w:keepLines/>
        <w:widowControl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Megsemmisítés</w:t>
      </w:r>
    </w:p>
    <w:p w:rsidR="00A457A5" w:rsidRPr="0076436D" w:rsidRDefault="00A457A5" w:rsidP="00F47340">
      <w:pPr>
        <w:pStyle w:val="Brdtexthalv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10. § Dokumentált eljárásoknak kell rendelkezésre állniuk a megsemmisítés kezeléséhez.</w:t>
      </w:r>
    </w:p>
    <w:p w:rsidR="00A457A5" w:rsidRPr="0076436D" w:rsidRDefault="00A457A5" w:rsidP="00F47340">
      <w:pPr>
        <w:pStyle w:val="Rubrik4"/>
        <w:keepLines/>
        <w:widowControl/>
        <w:ind w:left="1120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Általános ajánlás:</w:t>
      </w:r>
    </w:p>
    <w:p w:rsidR="00A457A5" w:rsidRPr="0076436D" w:rsidRDefault="00A457A5" w:rsidP="00F47340">
      <w:pPr>
        <w:pStyle w:val="Brdtexthalv"/>
        <w:ind w:left="1120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megsemmisítést mindig legalább két személy jelenlétében kell végezni.</w:t>
      </w:r>
    </w:p>
    <w:p w:rsidR="00A457A5" w:rsidRPr="0076436D" w:rsidRDefault="00A457A5" w:rsidP="00F47340">
      <w:pPr>
        <w:pStyle w:val="Rubrik2"/>
        <w:keepLines/>
        <w:rPr>
          <w:rFonts w:ascii="Times New Roman" w:hAnsi="Times New Roman" w:cs="Times New Roman"/>
          <w:w w:val="100"/>
          <w:sz w:val="21"/>
          <w:szCs w:val="21"/>
        </w:rPr>
      </w:pPr>
      <w:r>
        <w:rPr>
          <w:rFonts w:ascii="Times New Roman" w:hAnsi="Times New Roman"/>
          <w:sz w:val="21"/>
        </w:rPr>
        <w:t>6. fejezet Információ a szerencsejáték-ügynökök részére</w:t>
      </w:r>
    </w:p>
    <w:p w:rsidR="00A457A5" w:rsidRPr="0076436D" w:rsidRDefault="00A457A5" w:rsidP="00F47340">
      <w:pPr>
        <w:pStyle w:val="Brdtexthalv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b/>
          <w:sz w:val="19"/>
        </w:rPr>
        <w:t>1. §</w:t>
      </w:r>
      <w:r>
        <w:rPr>
          <w:rFonts w:ascii="Times New Roman" w:hAnsi="Times New Roman"/>
          <w:sz w:val="19"/>
        </w:rPr>
        <w:t xml:space="preserve"> A szerencsejáték-ügynököknek ismerniük kell a szerencsejáték-törvény(2018:1138), szerencsejáték-rendelet (2018:1475), a rendeletek, az általános ajánlás és a </w:t>
      </w:r>
      <w:proofErr w:type="gramStart"/>
      <w:r>
        <w:rPr>
          <w:rFonts w:ascii="Times New Roman" w:hAnsi="Times New Roman"/>
          <w:sz w:val="19"/>
        </w:rPr>
        <w:t>szabályzat vonatkozó</w:t>
      </w:r>
      <w:proofErr w:type="gramEnd"/>
      <w:r>
        <w:rPr>
          <w:rFonts w:ascii="Times New Roman" w:hAnsi="Times New Roman"/>
          <w:sz w:val="19"/>
        </w:rPr>
        <w:t xml:space="preserve"> részeit, valamint az engedélyesre vonatkozó szerződéses feltételeket. Tisztában kell lenniük továbbá az engedélyes azon belső eljárásaival és irányvonalaival, amelyek a szerencsejáték-értékesítői tevékenységeket érintik.</w:t>
      </w:r>
    </w:p>
    <w:p w:rsidR="00A457A5" w:rsidRPr="0076436D" w:rsidRDefault="00A457A5" w:rsidP="00F47340">
      <w:pPr>
        <w:pStyle w:val="Rubrik4"/>
        <w:keepLines/>
        <w:widowControl/>
        <w:ind w:left="1120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Általános ajánlás:</w:t>
      </w:r>
    </w:p>
    <w:p w:rsidR="00A457A5" w:rsidRPr="0076436D" w:rsidRDefault="00A457A5" w:rsidP="00F47340">
      <w:pPr>
        <w:pStyle w:val="Brdtexthalv"/>
        <w:ind w:left="1120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 xml:space="preserve">A szerencsejáték-törvény, a rendelet és a szabályzat vonatkozó részei közé tartozhat például az, hogy csak 18 éven felüliek játszhatnak, hogy szerencsejátékhoz tilos hitelt </w:t>
      </w:r>
      <w:proofErr w:type="gramStart"/>
      <w:r>
        <w:rPr>
          <w:rFonts w:ascii="Times New Roman" w:hAnsi="Times New Roman"/>
          <w:sz w:val="19"/>
        </w:rPr>
        <w:t>adni</w:t>
      </w:r>
      <w:proofErr w:type="gramEnd"/>
      <w:r>
        <w:rPr>
          <w:rFonts w:ascii="Times New Roman" w:hAnsi="Times New Roman"/>
          <w:sz w:val="19"/>
        </w:rPr>
        <w:t xml:space="preserve"> és hogy a játékos hol kaphat információt és segítséget az önvizsgálathoz, önkizáráshoz és egyéb, a szerencsejátékhoz kapcsolódó kérdésekben.</w:t>
      </w:r>
    </w:p>
    <w:p w:rsidR="00A457A5" w:rsidRPr="0076436D" w:rsidRDefault="00A457A5" w:rsidP="00F47340">
      <w:pPr>
        <w:pStyle w:val="Rubrik2"/>
        <w:keepLines/>
        <w:rPr>
          <w:rFonts w:ascii="Times New Roman" w:hAnsi="Times New Roman" w:cs="Times New Roman"/>
          <w:w w:val="100"/>
          <w:sz w:val="21"/>
          <w:szCs w:val="21"/>
        </w:rPr>
      </w:pPr>
      <w:r>
        <w:rPr>
          <w:rFonts w:ascii="Times New Roman" w:hAnsi="Times New Roman"/>
          <w:sz w:val="21"/>
        </w:rPr>
        <w:t xml:space="preserve">7. fejezet </w:t>
      </w:r>
      <w:proofErr w:type="spellStart"/>
      <w:r>
        <w:rPr>
          <w:rFonts w:ascii="Times New Roman" w:hAnsi="Times New Roman"/>
          <w:sz w:val="21"/>
        </w:rPr>
        <w:t>Játékosfiók</w:t>
      </w:r>
      <w:proofErr w:type="spellEnd"/>
      <w:r>
        <w:rPr>
          <w:rFonts w:ascii="Times New Roman" w:hAnsi="Times New Roman"/>
          <w:sz w:val="21"/>
        </w:rPr>
        <w:t xml:space="preserve"> és ideiglenes </w:t>
      </w:r>
      <w:proofErr w:type="spellStart"/>
      <w:r>
        <w:rPr>
          <w:rFonts w:ascii="Times New Roman" w:hAnsi="Times New Roman"/>
          <w:sz w:val="21"/>
        </w:rPr>
        <w:t>játékosfiók</w:t>
      </w:r>
      <w:proofErr w:type="spellEnd"/>
    </w:p>
    <w:p w:rsidR="00A457A5" w:rsidRPr="0076436D" w:rsidRDefault="00A457A5" w:rsidP="00F47340">
      <w:pPr>
        <w:pStyle w:val="Brdtexthalv"/>
        <w:keepNext/>
        <w:keepLines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b/>
          <w:sz w:val="19"/>
        </w:rPr>
        <w:t xml:space="preserve">1. § </w:t>
      </w:r>
      <w:r>
        <w:rPr>
          <w:rFonts w:ascii="Times New Roman" w:hAnsi="Times New Roman"/>
          <w:sz w:val="19"/>
        </w:rPr>
        <w:t xml:space="preserve">Egy játékos csupán egy </w:t>
      </w:r>
      <w:proofErr w:type="spellStart"/>
      <w:r>
        <w:rPr>
          <w:rFonts w:ascii="Times New Roman" w:hAnsi="Times New Roman"/>
          <w:sz w:val="19"/>
        </w:rPr>
        <w:t>játékosfiókkal</w:t>
      </w:r>
      <w:proofErr w:type="spellEnd"/>
      <w:r>
        <w:rPr>
          <w:rFonts w:ascii="Times New Roman" w:hAnsi="Times New Roman"/>
          <w:sz w:val="19"/>
        </w:rPr>
        <w:t xml:space="preserve"> rendelkezhet.</w:t>
      </w:r>
    </w:p>
    <w:p w:rsidR="00A457A5" w:rsidRPr="0076436D" w:rsidRDefault="00A457A5" w:rsidP="00F47340">
      <w:pPr>
        <w:pStyle w:val="brdtextfyrkant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 xml:space="preserve">Az első bekezdés nem alkalmazandó abban az esetben, ha az engedélyes különböző </w:t>
      </w:r>
      <w:proofErr w:type="spellStart"/>
      <w:r>
        <w:rPr>
          <w:rFonts w:ascii="Times New Roman" w:hAnsi="Times New Roman"/>
          <w:sz w:val="19"/>
        </w:rPr>
        <w:t>URL-eken</w:t>
      </w:r>
      <w:proofErr w:type="spellEnd"/>
      <w:r>
        <w:rPr>
          <w:rFonts w:ascii="Times New Roman" w:hAnsi="Times New Roman"/>
          <w:sz w:val="19"/>
        </w:rPr>
        <w:t xml:space="preserve"> </w:t>
      </w:r>
      <w:proofErr w:type="gramStart"/>
      <w:r>
        <w:rPr>
          <w:rFonts w:ascii="Times New Roman" w:hAnsi="Times New Roman"/>
          <w:sz w:val="19"/>
        </w:rPr>
        <w:t>keresztül biztosít</w:t>
      </w:r>
      <w:proofErr w:type="gramEnd"/>
      <w:r>
        <w:rPr>
          <w:rFonts w:ascii="Times New Roman" w:hAnsi="Times New Roman"/>
          <w:sz w:val="19"/>
        </w:rPr>
        <w:t xml:space="preserve"> szerencsejáték-szolgáltatást. Ilyen esetben a játékos rendelkezhet egynél több </w:t>
      </w:r>
      <w:proofErr w:type="spellStart"/>
      <w:r>
        <w:rPr>
          <w:rFonts w:ascii="Times New Roman" w:hAnsi="Times New Roman"/>
          <w:sz w:val="19"/>
        </w:rPr>
        <w:t>játékosfiókkal</w:t>
      </w:r>
      <w:proofErr w:type="spellEnd"/>
      <w:r>
        <w:rPr>
          <w:rFonts w:ascii="Times New Roman" w:hAnsi="Times New Roman"/>
          <w:sz w:val="19"/>
        </w:rPr>
        <w:t xml:space="preserve"> az engedélyesnél, feltéve, hogy az engedélyes</w:t>
      </w:r>
    </w:p>
    <w:p w:rsidR="00A457A5" w:rsidRPr="0076436D" w:rsidRDefault="00A457A5" w:rsidP="00265800">
      <w:pPr>
        <w:pStyle w:val="brdtextfyrkant"/>
        <w:numPr>
          <w:ilvl w:val="0"/>
          <w:numId w:val="8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 xml:space="preserve">képes azonosítani és meghatározni a játékos külön </w:t>
      </w:r>
      <w:proofErr w:type="spellStart"/>
      <w:r>
        <w:rPr>
          <w:rFonts w:ascii="Times New Roman" w:hAnsi="Times New Roman"/>
          <w:sz w:val="19"/>
        </w:rPr>
        <w:t>játékosfiókjait</w:t>
      </w:r>
      <w:proofErr w:type="spellEnd"/>
      <w:r>
        <w:rPr>
          <w:rFonts w:ascii="Times New Roman" w:hAnsi="Times New Roman"/>
          <w:sz w:val="19"/>
        </w:rPr>
        <w:t>;</w:t>
      </w:r>
    </w:p>
    <w:p w:rsidR="00A457A5" w:rsidRPr="0076436D" w:rsidRDefault="00A457A5" w:rsidP="00265800">
      <w:pPr>
        <w:pStyle w:val="brdtextfyrkant"/>
        <w:numPr>
          <w:ilvl w:val="0"/>
          <w:numId w:val="8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biztosítja a játékos kizárását az engedélyes valamennyi játékából, amennyiben a játékos a szerencsejáték-törvény (2018:1138) 14. fejezetének 11. §</w:t>
      </w:r>
      <w:proofErr w:type="spellStart"/>
      <w:r>
        <w:rPr>
          <w:rFonts w:ascii="Times New Roman" w:hAnsi="Times New Roman"/>
          <w:sz w:val="19"/>
        </w:rPr>
        <w:t>-a</w:t>
      </w:r>
      <w:proofErr w:type="spellEnd"/>
      <w:r>
        <w:rPr>
          <w:rFonts w:ascii="Times New Roman" w:hAnsi="Times New Roman"/>
          <w:sz w:val="19"/>
        </w:rPr>
        <w:t xml:space="preserve"> szerint az önkizárás mellett dönt, kivéve, ha a játékos kifejezetten úgy dönt, hogy csupán egy vagy több adott játék esetében szeretné alkalmazni az önkizárást;</w:t>
      </w:r>
    </w:p>
    <w:p w:rsidR="00A457A5" w:rsidRPr="0076436D" w:rsidRDefault="00A457A5" w:rsidP="00265800">
      <w:pPr>
        <w:pStyle w:val="brdtextfyrkant"/>
        <w:numPr>
          <w:ilvl w:val="0"/>
          <w:numId w:val="8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 xml:space="preserve">a játékos valamennyi külön </w:t>
      </w:r>
      <w:proofErr w:type="spellStart"/>
      <w:r>
        <w:rPr>
          <w:rFonts w:ascii="Times New Roman" w:hAnsi="Times New Roman"/>
          <w:sz w:val="19"/>
        </w:rPr>
        <w:t>játékosfiókja</w:t>
      </w:r>
      <w:proofErr w:type="spellEnd"/>
      <w:r>
        <w:rPr>
          <w:rFonts w:ascii="Times New Roman" w:hAnsi="Times New Roman"/>
          <w:sz w:val="19"/>
        </w:rPr>
        <w:t xml:space="preserve"> tekintetében nyomon tudja követni a játékos szerencsejátékkal kapcsolatos viselkedését és tranzakcióit.</w:t>
      </w:r>
    </w:p>
    <w:p w:rsidR="00A457A5" w:rsidRPr="0076436D" w:rsidRDefault="00A457A5" w:rsidP="00F47340">
      <w:pPr>
        <w:pStyle w:val="Brdtextblank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b/>
          <w:sz w:val="19"/>
        </w:rPr>
        <w:t>2. §</w:t>
      </w:r>
      <w:r>
        <w:rPr>
          <w:rFonts w:ascii="Times New Roman" w:hAnsi="Times New Roman"/>
          <w:sz w:val="19"/>
        </w:rPr>
        <w:t xml:space="preserve"> A játékos nem helyezhet el az </w:t>
      </w:r>
      <w:proofErr w:type="spellStart"/>
      <w:r>
        <w:rPr>
          <w:rFonts w:ascii="Times New Roman" w:hAnsi="Times New Roman"/>
          <w:sz w:val="19"/>
        </w:rPr>
        <w:t>áralapösszeg</w:t>
      </w:r>
      <w:proofErr w:type="spellEnd"/>
      <w:r>
        <w:rPr>
          <w:rFonts w:ascii="Times New Roman" w:hAnsi="Times New Roman"/>
          <w:sz w:val="19"/>
        </w:rPr>
        <w:t xml:space="preserve"> 1/4 részénél többet az ideiglenes </w:t>
      </w:r>
      <w:proofErr w:type="spellStart"/>
      <w:r>
        <w:rPr>
          <w:rFonts w:ascii="Times New Roman" w:hAnsi="Times New Roman"/>
          <w:sz w:val="19"/>
        </w:rPr>
        <w:t>játékosfiókban</w:t>
      </w:r>
      <w:proofErr w:type="spellEnd"/>
      <w:r>
        <w:rPr>
          <w:rFonts w:ascii="Times New Roman" w:hAnsi="Times New Roman"/>
          <w:sz w:val="19"/>
        </w:rPr>
        <w:t>.</w:t>
      </w:r>
    </w:p>
    <w:p w:rsidR="00A457A5" w:rsidRPr="0076436D" w:rsidRDefault="00A457A5" w:rsidP="00F47340">
      <w:pPr>
        <w:pStyle w:val="Brdtextblank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b/>
          <w:sz w:val="19"/>
        </w:rPr>
        <w:t>3. §</w:t>
      </w:r>
      <w:r>
        <w:rPr>
          <w:rFonts w:ascii="Times New Roman" w:hAnsi="Times New Roman"/>
          <w:sz w:val="19"/>
        </w:rPr>
        <w:t xml:space="preserve"> Az ideiglenes </w:t>
      </w:r>
      <w:proofErr w:type="spellStart"/>
      <w:r>
        <w:rPr>
          <w:rFonts w:ascii="Times New Roman" w:hAnsi="Times New Roman"/>
          <w:sz w:val="19"/>
        </w:rPr>
        <w:t>játékosfiókkal</w:t>
      </w:r>
      <w:proofErr w:type="spellEnd"/>
      <w:r>
        <w:rPr>
          <w:rFonts w:ascii="Times New Roman" w:hAnsi="Times New Roman"/>
          <w:sz w:val="19"/>
        </w:rPr>
        <w:t xml:space="preserve"> rendelkező játékosokat a regisztrációtól számított 15 napon belül figyelmeztetni kell, hogy nyújtsák be a regisztrációkor megadott információkat igazoló dokumentumokat.</w:t>
      </w:r>
    </w:p>
    <w:p w:rsidR="00A457A5" w:rsidRPr="0076436D" w:rsidRDefault="00A457A5" w:rsidP="00F47340">
      <w:pPr>
        <w:pStyle w:val="brdtextfyrkant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 xml:space="preserve">Ideiglenes </w:t>
      </w:r>
      <w:proofErr w:type="spellStart"/>
      <w:r>
        <w:rPr>
          <w:rFonts w:ascii="Times New Roman" w:hAnsi="Times New Roman"/>
          <w:sz w:val="19"/>
        </w:rPr>
        <w:t>játékosfiók</w:t>
      </w:r>
      <w:proofErr w:type="spellEnd"/>
      <w:r>
        <w:rPr>
          <w:rFonts w:ascii="Times New Roman" w:hAnsi="Times New Roman"/>
          <w:sz w:val="19"/>
        </w:rPr>
        <w:t xml:space="preserve"> legfeljebb 30 napig használható szerencsejátékra.</w:t>
      </w:r>
    </w:p>
    <w:p w:rsidR="00A457A5" w:rsidRPr="0076436D" w:rsidRDefault="00A457A5" w:rsidP="00F47340">
      <w:pPr>
        <w:pStyle w:val="Rubrik2"/>
        <w:keepLines/>
        <w:rPr>
          <w:rFonts w:ascii="Times New Roman" w:hAnsi="Times New Roman" w:cs="Times New Roman"/>
          <w:w w:val="100"/>
          <w:sz w:val="21"/>
          <w:szCs w:val="21"/>
        </w:rPr>
      </w:pPr>
      <w:r>
        <w:rPr>
          <w:rFonts w:ascii="Times New Roman" w:hAnsi="Times New Roman"/>
          <w:sz w:val="21"/>
        </w:rPr>
        <w:t>8. fejezet Információ a játékosok részére</w:t>
      </w:r>
    </w:p>
    <w:p w:rsidR="00A457A5" w:rsidRPr="0076436D" w:rsidRDefault="00A457A5" w:rsidP="00F47340">
      <w:pPr>
        <w:pStyle w:val="Brdtexthalv"/>
        <w:keepNext/>
        <w:keepLines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b/>
          <w:sz w:val="19"/>
        </w:rPr>
        <w:t>1. §</w:t>
      </w:r>
      <w:r>
        <w:rPr>
          <w:rFonts w:ascii="Times New Roman" w:hAnsi="Times New Roman"/>
          <w:sz w:val="19"/>
        </w:rPr>
        <w:t xml:space="preserve"> A szerencsejáték-törvény (2018:1138) 14. fejezetének 4. §</w:t>
      </w:r>
      <w:proofErr w:type="spellStart"/>
      <w:r>
        <w:rPr>
          <w:rFonts w:ascii="Times New Roman" w:hAnsi="Times New Roman"/>
          <w:sz w:val="19"/>
        </w:rPr>
        <w:t>-ában</w:t>
      </w:r>
      <w:proofErr w:type="spellEnd"/>
      <w:r>
        <w:rPr>
          <w:rFonts w:ascii="Times New Roman" w:hAnsi="Times New Roman"/>
          <w:sz w:val="19"/>
        </w:rPr>
        <w:t xml:space="preserve"> rögzítettek mellett az alábbi információkat kell a játékosok számára azonnal elérhetővé tenni</w:t>
      </w:r>
    </w:p>
    <w:p w:rsidR="00A457A5" w:rsidRPr="0076436D" w:rsidRDefault="00A457A5" w:rsidP="00265800">
      <w:pPr>
        <w:pStyle w:val="brdtextfyrkant"/>
        <w:numPr>
          <w:ilvl w:val="0"/>
          <w:numId w:val="7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az engedélyes neve, telefonszáma és e-mail címe;</w:t>
      </w:r>
    </w:p>
    <w:p w:rsidR="00A457A5" w:rsidRPr="0076436D" w:rsidRDefault="00A457A5" w:rsidP="00265800">
      <w:pPr>
        <w:pStyle w:val="brdtextfyrkant"/>
        <w:numPr>
          <w:ilvl w:val="0"/>
          <w:numId w:val="7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adott esetben a kedvezményezettre vonatkozó információk;</w:t>
      </w:r>
    </w:p>
    <w:p w:rsidR="00A457A5" w:rsidRPr="0076436D" w:rsidRDefault="00A457A5" w:rsidP="00265800">
      <w:pPr>
        <w:pStyle w:val="brdtextfyrkant"/>
        <w:numPr>
          <w:ilvl w:val="0"/>
          <w:numId w:val="7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az értékesítési időszak és/vagy engedélyezett időszak;</w:t>
      </w:r>
    </w:p>
    <w:p w:rsidR="00A457A5" w:rsidRPr="0076436D" w:rsidRDefault="00A457A5" w:rsidP="00265800">
      <w:pPr>
        <w:pStyle w:val="brdtextfyrkant"/>
        <w:numPr>
          <w:ilvl w:val="0"/>
          <w:numId w:val="7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szerencsejátékokhoz kapcsolódó lehetséges kockázatok;</w:t>
      </w:r>
    </w:p>
    <w:p w:rsidR="00A457A5" w:rsidRPr="0076436D" w:rsidRDefault="00A457A5" w:rsidP="00265800">
      <w:pPr>
        <w:pStyle w:val="brdtextfyrkant"/>
        <w:numPr>
          <w:ilvl w:val="0"/>
          <w:numId w:val="7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egy – a szerencsejáték tevékenységtől független – szerencsejáték segélyvonal elérhetőségei, amely a svédországi viszonyok alapján képes segítséget nyújtani;</w:t>
      </w:r>
    </w:p>
    <w:p w:rsidR="00A457A5" w:rsidRPr="0076436D" w:rsidRDefault="00A457A5" w:rsidP="00265800">
      <w:pPr>
        <w:pStyle w:val="brdtextfyrkant"/>
        <w:numPr>
          <w:ilvl w:val="0"/>
          <w:numId w:val="7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hogy a Svéd Szerencsejáték-hatóság az engedélyező és a felügyeleti hatóság;</w:t>
      </w:r>
    </w:p>
    <w:p w:rsidR="00A457A5" w:rsidRPr="0076436D" w:rsidRDefault="00A457A5" w:rsidP="00265800">
      <w:pPr>
        <w:pStyle w:val="brdtextfyrkant"/>
        <w:numPr>
          <w:ilvl w:val="0"/>
          <w:numId w:val="7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az adott sorsjátékban alkalmazott sorsjegy ára, tét vagy azzal egyenértékű jellemző;</w:t>
      </w:r>
    </w:p>
    <w:p w:rsidR="00A457A5" w:rsidRPr="0076436D" w:rsidRDefault="00A457A5" w:rsidP="00265800">
      <w:pPr>
        <w:pStyle w:val="brdtextfyrkant"/>
        <w:numPr>
          <w:ilvl w:val="0"/>
          <w:numId w:val="7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az adott sorsjátékban való részvétel bármely egyéb költsége; és</w:t>
      </w:r>
    </w:p>
    <w:p w:rsidR="00A457A5" w:rsidRPr="0076436D" w:rsidRDefault="00A457A5" w:rsidP="00265800">
      <w:pPr>
        <w:pStyle w:val="brdtextfyrkant"/>
        <w:numPr>
          <w:ilvl w:val="0"/>
          <w:numId w:val="7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adott esetben a sorsjegyek száma vagy azzal egyenértékű jellemző.</w:t>
      </w:r>
    </w:p>
    <w:p w:rsidR="00A457A5" w:rsidRPr="0076436D" w:rsidRDefault="00A457A5" w:rsidP="00F47340">
      <w:pPr>
        <w:pStyle w:val="brdtextfyrkant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 xml:space="preserve">Ha a nyereményeket nem fizetik ki azonnal, a játékos részére információt kell adni a nyeremények kifizetésének idejéről és módjáról, valamint az utolsó </w:t>
      </w:r>
      <w:proofErr w:type="spellStart"/>
      <w:r>
        <w:rPr>
          <w:rFonts w:ascii="Times New Roman" w:hAnsi="Times New Roman"/>
          <w:sz w:val="19"/>
        </w:rPr>
        <w:t>nyereménykifizetési</w:t>
      </w:r>
      <w:proofErr w:type="spellEnd"/>
      <w:r>
        <w:rPr>
          <w:rFonts w:ascii="Times New Roman" w:hAnsi="Times New Roman"/>
          <w:sz w:val="19"/>
        </w:rPr>
        <w:t xml:space="preserve"> napról.</w:t>
      </w:r>
    </w:p>
    <w:p w:rsidR="00A457A5" w:rsidRPr="0076436D" w:rsidRDefault="00A457A5" w:rsidP="00F47340">
      <w:pPr>
        <w:pStyle w:val="brdtextfyrkant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Utólag meghatározott eredményű és sorsjegy nélküli sorsjátékok esetén a húzási eredmények idejéről és közzétételi módjáról és az esetleges nyereményelosztó húzás napjáról is információt kell adni.</w:t>
      </w:r>
    </w:p>
    <w:p w:rsidR="00A457A5" w:rsidRPr="0076436D" w:rsidRDefault="00A457A5" w:rsidP="00F47340">
      <w:pPr>
        <w:pStyle w:val="Rubrik4"/>
        <w:keepLines/>
        <w:widowControl/>
        <w:ind w:left="1120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Általános ajánlás:</w:t>
      </w:r>
    </w:p>
    <w:p w:rsidR="00A457A5" w:rsidRPr="0076436D" w:rsidRDefault="00A457A5" w:rsidP="00F47340">
      <w:pPr>
        <w:pStyle w:val="Brdtexthalv"/>
        <w:ind w:left="1120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Független segélyvonal lehet például a „</w:t>
      </w:r>
      <w:proofErr w:type="spellStart"/>
      <w:r>
        <w:rPr>
          <w:rFonts w:ascii="Times New Roman" w:hAnsi="Times New Roman"/>
          <w:sz w:val="19"/>
        </w:rPr>
        <w:t>Stödlinjen</w:t>
      </w:r>
      <w:proofErr w:type="spellEnd"/>
      <w:r>
        <w:rPr>
          <w:rFonts w:ascii="Times New Roman" w:hAnsi="Times New Roman"/>
          <w:sz w:val="19"/>
        </w:rPr>
        <w:t>”.</w:t>
      </w:r>
    </w:p>
    <w:p w:rsidR="00A457A5" w:rsidRPr="0076436D" w:rsidRDefault="00A457A5" w:rsidP="00F47340">
      <w:pPr>
        <w:pStyle w:val="Brdtextblank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2. § A fizikai sorsjegyekre vagy azokkal egyenértékű eszközökre vonatkozó, 1. § szerinti információt világos és jól látható módon kell megadni. Az 1. § 2</w:t>
      </w:r>
      <w:proofErr w:type="gramStart"/>
      <w:r>
        <w:rPr>
          <w:rFonts w:ascii="Times New Roman" w:hAnsi="Times New Roman"/>
          <w:sz w:val="19"/>
        </w:rPr>
        <w:t>.,</w:t>
      </w:r>
      <w:proofErr w:type="gramEnd"/>
      <w:r>
        <w:rPr>
          <w:rFonts w:ascii="Times New Roman" w:hAnsi="Times New Roman"/>
          <w:sz w:val="19"/>
        </w:rPr>
        <w:t xml:space="preserve"> 4. és 6. pontja szerinti információ azonban a sorsjegyen történő feltüntetéstől eltérő módon is biztosítható, mivel a sorsjegy rögzíti, hogy hol érhető el az információ.</w:t>
      </w:r>
    </w:p>
    <w:p w:rsidR="00A457A5" w:rsidRPr="0076436D" w:rsidRDefault="00A457A5" w:rsidP="00F47340">
      <w:pPr>
        <w:pStyle w:val="brdtextfyrkant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fizikai sorsjegyeken a kifizetési táblázatot világos és jól látható módon kell megadni.</w:t>
      </w:r>
    </w:p>
    <w:p w:rsidR="00A457A5" w:rsidRPr="0076436D" w:rsidRDefault="00A457A5" w:rsidP="00F47340">
      <w:pPr>
        <w:pStyle w:val="brdtextfyrkant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szerencsejáték-törvény (2018:1138) 11. fejezetének 6. §</w:t>
      </w:r>
      <w:proofErr w:type="spellStart"/>
      <w:r>
        <w:rPr>
          <w:rFonts w:ascii="Times New Roman" w:hAnsi="Times New Roman"/>
          <w:sz w:val="19"/>
        </w:rPr>
        <w:t>-a</w:t>
      </w:r>
      <w:proofErr w:type="spellEnd"/>
      <w:r>
        <w:rPr>
          <w:rFonts w:ascii="Times New Roman" w:hAnsi="Times New Roman"/>
          <w:sz w:val="19"/>
        </w:rPr>
        <w:t xml:space="preserve"> szerinti vállalkozókra vonatkozó információ csak akkor közölhető, ha az a játékosok számára a jogaik érvényesítése miatt szükséges.</w:t>
      </w:r>
    </w:p>
    <w:p w:rsidR="00A457A5" w:rsidRPr="0076436D" w:rsidRDefault="00DE28EA" w:rsidP="00F47340">
      <w:pPr>
        <w:pStyle w:val="Rubrik4"/>
        <w:keepLines/>
        <w:widowControl/>
        <w:ind w:left="1120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Általános ajánlás:</w:t>
      </w:r>
    </w:p>
    <w:p w:rsidR="00A457A5" w:rsidRPr="0076436D" w:rsidRDefault="00A457A5" w:rsidP="00F47340">
      <w:pPr>
        <w:pStyle w:val="Brdtexthalv"/>
        <w:ind w:left="1120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kifizetési táblázat feltüntethető például a fizikai sorsjegyek hátoldalán.</w:t>
      </w:r>
    </w:p>
    <w:p w:rsidR="00A457A5" w:rsidRPr="0076436D" w:rsidRDefault="00A457A5" w:rsidP="00F47340">
      <w:pPr>
        <w:pStyle w:val="brdtextfyrkant"/>
        <w:ind w:left="1120" w:firstLine="200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Elő kell segíteni azt, hogy a játékosok könnyen megismerhessék az engedélyes vagy a kedvezményezett kilétét. Az engedélyesekre vagy a kedvezményezettekre vonatkozó információ például a fizikai sorsjegyek elején tüntethető fel.</w:t>
      </w:r>
    </w:p>
    <w:p w:rsidR="00A457A5" w:rsidRPr="0076436D" w:rsidRDefault="00A457A5" w:rsidP="00F47340">
      <w:pPr>
        <w:pStyle w:val="Brdtextblank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b/>
          <w:sz w:val="19"/>
        </w:rPr>
        <w:t>3. §</w:t>
      </w:r>
      <w:r>
        <w:rPr>
          <w:rFonts w:ascii="Times New Roman" w:hAnsi="Times New Roman"/>
          <w:sz w:val="19"/>
        </w:rPr>
        <w:t xml:space="preserve"> </w:t>
      </w:r>
      <w:proofErr w:type="gramStart"/>
      <w:r>
        <w:rPr>
          <w:rFonts w:ascii="Times New Roman" w:hAnsi="Times New Roman"/>
          <w:sz w:val="19"/>
        </w:rPr>
        <w:t>A szerencsejáték-törvény (2018:1138) 12. fejezetének 1. §</w:t>
      </w:r>
      <w:proofErr w:type="spellStart"/>
      <w:r>
        <w:rPr>
          <w:rFonts w:ascii="Times New Roman" w:hAnsi="Times New Roman"/>
          <w:sz w:val="19"/>
        </w:rPr>
        <w:t>-a</w:t>
      </w:r>
      <w:proofErr w:type="spellEnd"/>
      <w:r>
        <w:rPr>
          <w:rFonts w:ascii="Times New Roman" w:hAnsi="Times New Roman"/>
          <w:sz w:val="19"/>
        </w:rPr>
        <w:t xml:space="preserve"> alapján regisztrációt igénylő sorsjegyek vásárlásakor az 1. § 4–6. pontja szerinti információt és a játékban való részvétel korlátozási lehetőségére vonatkozó információt – a szerencsejáték-törvény 14. fejezetének 7. §</w:t>
      </w:r>
      <w:proofErr w:type="spellStart"/>
      <w:r>
        <w:rPr>
          <w:rFonts w:ascii="Times New Roman" w:hAnsi="Times New Roman"/>
          <w:sz w:val="19"/>
        </w:rPr>
        <w:t>-a</w:t>
      </w:r>
      <w:proofErr w:type="spellEnd"/>
      <w:r>
        <w:rPr>
          <w:rFonts w:ascii="Times New Roman" w:hAnsi="Times New Roman"/>
          <w:sz w:val="19"/>
        </w:rPr>
        <w:t>, 14. fejezete 11. §</w:t>
      </w:r>
      <w:proofErr w:type="spellStart"/>
      <w:r>
        <w:rPr>
          <w:rFonts w:ascii="Times New Roman" w:hAnsi="Times New Roman"/>
          <w:sz w:val="19"/>
        </w:rPr>
        <w:t>-ának</w:t>
      </w:r>
      <w:proofErr w:type="spellEnd"/>
      <w:r>
        <w:rPr>
          <w:rFonts w:ascii="Times New Roman" w:hAnsi="Times New Roman"/>
          <w:sz w:val="19"/>
        </w:rPr>
        <w:t xml:space="preserve"> első bekezdése és 14. fejezetének 12. §</w:t>
      </w:r>
      <w:proofErr w:type="spellStart"/>
      <w:r>
        <w:rPr>
          <w:rFonts w:ascii="Times New Roman" w:hAnsi="Times New Roman"/>
          <w:sz w:val="19"/>
        </w:rPr>
        <w:t>-a</w:t>
      </w:r>
      <w:proofErr w:type="spellEnd"/>
      <w:r>
        <w:rPr>
          <w:rFonts w:ascii="Times New Roman" w:hAnsi="Times New Roman"/>
          <w:sz w:val="19"/>
        </w:rPr>
        <w:t>, valamint a szerencsejáték-rendelet (2018:1475) 11. fejezetének 3. §</w:t>
      </w:r>
      <w:proofErr w:type="spellStart"/>
      <w:r>
        <w:rPr>
          <w:rFonts w:ascii="Times New Roman" w:hAnsi="Times New Roman"/>
          <w:sz w:val="19"/>
        </w:rPr>
        <w:t>-a</w:t>
      </w:r>
      <w:proofErr w:type="spellEnd"/>
      <w:r>
        <w:rPr>
          <w:rFonts w:ascii="Times New Roman" w:hAnsi="Times New Roman"/>
          <w:sz w:val="19"/>
        </w:rPr>
        <w:t xml:space="preserve"> értelmében – a játékos regisztrációja előtt a játékos rendelkezésére kell bocsátani.</w:t>
      </w:r>
      <w:proofErr w:type="gramEnd"/>
    </w:p>
    <w:p w:rsidR="00A457A5" w:rsidRPr="0076436D" w:rsidRDefault="00A457A5" w:rsidP="00F47340">
      <w:pPr>
        <w:pStyle w:val="Brdtextblank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b/>
          <w:sz w:val="19"/>
        </w:rPr>
        <w:t>4. §</w:t>
      </w:r>
      <w:r>
        <w:rPr>
          <w:rFonts w:ascii="Times New Roman" w:hAnsi="Times New Roman"/>
          <w:sz w:val="19"/>
        </w:rPr>
        <w:t xml:space="preserve"> Online sorsjegy esetén az 1. § első bekezdésének 1–3. és 5. pontjában előírt információt jól láthatóan kell feltüntetni az engedélyes honlapján a Svéd Szerencsejáték-hatóság logójával, továbbá a hatóság weboldalára és a használati feltételekre mutató hivatkozással együtt.</w:t>
      </w:r>
    </w:p>
    <w:p w:rsidR="00A457A5" w:rsidRPr="0076436D" w:rsidRDefault="00A457A5" w:rsidP="00F47340">
      <w:pPr>
        <w:pStyle w:val="Brdtextblank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5. § Ha változás történik az aktuális használati feltételekben, és a változás nem jelentéktelen, a játékosokat még a változás hatályba lépése előtt értesíteni kell a változásról.</w:t>
      </w:r>
    </w:p>
    <w:p w:rsidR="00A457A5" w:rsidRPr="0076436D" w:rsidRDefault="00A457A5" w:rsidP="00F47340">
      <w:pPr>
        <w:pStyle w:val="Rubrik4"/>
        <w:keepLines/>
        <w:widowControl/>
        <w:ind w:left="1120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Általános ajánlás:</w:t>
      </w:r>
    </w:p>
    <w:p w:rsidR="00A457A5" w:rsidRPr="0076436D" w:rsidRDefault="00A457A5" w:rsidP="00F47340">
      <w:pPr>
        <w:pStyle w:val="Brdtexthalv"/>
        <w:ind w:left="1120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Jelentéktelen változás lehet például a helyesírási hibák javítása.</w:t>
      </w:r>
    </w:p>
    <w:p w:rsidR="00A457A5" w:rsidRPr="0076436D" w:rsidRDefault="00A457A5" w:rsidP="00F47340">
      <w:pPr>
        <w:pStyle w:val="brdtextfyrkant"/>
        <w:ind w:left="1120" w:firstLine="200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felhasználási feltételekben bekövetkezett változásokra vonatkozó, a játékosoknak szóló információk biztosíthatók például egy írásos értesítés formájában, vagy a játékosnak a bejelentkezéskor az új feltételekről való, jóváhagyást igénylő értesítése útján.</w:t>
      </w:r>
    </w:p>
    <w:p w:rsidR="00A457A5" w:rsidRPr="0076436D" w:rsidRDefault="00A457A5" w:rsidP="00F47340">
      <w:pPr>
        <w:pStyle w:val="Rubrik2"/>
        <w:keepLines/>
        <w:rPr>
          <w:rFonts w:ascii="Times New Roman" w:hAnsi="Times New Roman" w:cs="Times New Roman"/>
          <w:w w:val="100"/>
          <w:sz w:val="21"/>
          <w:szCs w:val="21"/>
        </w:rPr>
      </w:pPr>
      <w:r>
        <w:rPr>
          <w:rFonts w:ascii="Times New Roman" w:hAnsi="Times New Roman"/>
          <w:sz w:val="21"/>
        </w:rPr>
        <w:t>9. fejezet Az engedélyeseknek az alábbi információk feltüntetésével kell jelentéseket készíteniük</w:t>
      </w:r>
    </w:p>
    <w:p w:rsidR="00A457A5" w:rsidRPr="0076436D" w:rsidRDefault="00A457A5" w:rsidP="00F47340">
      <w:pPr>
        <w:pStyle w:val="Brdtexthalv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b/>
          <w:sz w:val="19"/>
        </w:rPr>
        <w:t xml:space="preserve">1. § </w:t>
      </w:r>
      <w:r>
        <w:rPr>
          <w:rFonts w:ascii="Times New Roman" w:hAnsi="Times New Roman"/>
          <w:sz w:val="19"/>
        </w:rPr>
        <w:t>Az engedélyeseknek regisztrálniuk kell, és a megadott engedélynek megfelelően a sorsjegyek tömbje, sorozata vagy hasonló jellemzője szerinti bontásban az alábbi információk feltüntetésével kell jelentéseket készíteniük</w:t>
      </w:r>
    </w:p>
    <w:p w:rsidR="00A457A5" w:rsidRPr="0076436D" w:rsidRDefault="00A457A5" w:rsidP="00265800">
      <w:pPr>
        <w:pStyle w:val="brdtextfyrkant"/>
        <w:numPr>
          <w:ilvl w:val="0"/>
          <w:numId w:val="6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nyomtatott sorsjegyek teljes száma a kifizetési táblázat szerint;</w:t>
      </w:r>
    </w:p>
    <w:p w:rsidR="00A457A5" w:rsidRPr="0076436D" w:rsidRDefault="00A457A5" w:rsidP="00265800">
      <w:pPr>
        <w:pStyle w:val="brdtextfyrkant"/>
        <w:numPr>
          <w:ilvl w:val="0"/>
          <w:numId w:val="6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az eladott sorsjegyek teljes száma;</w:t>
      </w:r>
    </w:p>
    <w:p w:rsidR="00A457A5" w:rsidRPr="0076436D" w:rsidRDefault="00A457A5" w:rsidP="00265800">
      <w:pPr>
        <w:pStyle w:val="brdtextfyrkant"/>
        <w:numPr>
          <w:ilvl w:val="0"/>
          <w:numId w:val="6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az eladott sorsjegyekből származó teljes bevétel;</w:t>
      </w:r>
    </w:p>
    <w:p w:rsidR="00A457A5" w:rsidRPr="0076436D" w:rsidRDefault="00A457A5" w:rsidP="00265800">
      <w:pPr>
        <w:pStyle w:val="brdtextfyrkant"/>
        <w:numPr>
          <w:ilvl w:val="0"/>
          <w:numId w:val="6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kifizetett nyeremények teljes összege;</w:t>
      </w:r>
    </w:p>
    <w:p w:rsidR="00A457A5" w:rsidRPr="0076436D" w:rsidRDefault="00A457A5" w:rsidP="00265800">
      <w:pPr>
        <w:pStyle w:val="brdtextfyrkant"/>
        <w:numPr>
          <w:ilvl w:val="0"/>
          <w:numId w:val="6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kifizetett nyeremények teljes összege a kifizetési táblázat szintjei szerinti bontásban; valamint</w:t>
      </w:r>
    </w:p>
    <w:p w:rsidR="00A457A5" w:rsidRPr="0076436D" w:rsidRDefault="00A457A5" w:rsidP="00265800">
      <w:pPr>
        <w:pStyle w:val="brdtextfyrkant"/>
        <w:numPr>
          <w:ilvl w:val="0"/>
          <w:numId w:val="6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kifizetési arány tényleges eredménye.</w:t>
      </w:r>
    </w:p>
    <w:p w:rsidR="00A457A5" w:rsidRPr="0076436D" w:rsidRDefault="00A457A5" w:rsidP="00F47340">
      <w:pPr>
        <w:pStyle w:val="Brdtextblank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b/>
          <w:sz w:val="19"/>
        </w:rPr>
        <w:t xml:space="preserve">2. § </w:t>
      </w:r>
      <w:r>
        <w:rPr>
          <w:rFonts w:ascii="Times New Roman" w:hAnsi="Times New Roman"/>
          <w:sz w:val="19"/>
        </w:rPr>
        <w:t>Az engedélyeseknek dokumentálniuk kell, és az értékesítés előtt manipulált vagy egyéb módon elveszett sorsjegyekre vonatkozóan jelentéseket kell készíteniük.</w:t>
      </w:r>
    </w:p>
    <w:p w:rsidR="00A457A5" w:rsidRPr="0076436D" w:rsidRDefault="00A457A5" w:rsidP="00265800">
      <w:pPr>
        <w:pStyle w:val="brdtextfyrkant"/>
        <w:numPr>
          <w:ilvl w:val="0"/>
          <w:numId w:val="5"/>
        </w:numPr>
        <w:pBdr>
          <w:top w:val="single" w:sz="4" w:space="1" w:color="auto"/>
        </w:pBd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E szabályzat 2019. január 1-jén lép hatályba.</w:t>
      </w:r>
    </w:p>
    <w:p w:rsidR="00A457A5" w:rsidRPr="0076436D" w:rsidRDefault="00A457A5" w:rsidP="00265800">
      <w:pPr>
        <w:pStyle w:val="brdtextfyrkant"/>
        <w:numPr>
          <w:ilvl w:val="0"/>
          <w:numId w:val="5"/>
        </w:numPr>
        <w:tabs>
          <w:tab w:val="left" w:pos="426"/>
        </w:tabs>
        <w:ind w:left="0" w:firstLine="181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szabályzat vonatkozik azokra az engedélykérelmekre is, amelyeket 2018. augusztus </w:t>
      </w:r>
      <w:proofErr w:type="gramStart"/>
      <w:r>
        <w:rPr>
          <w:rFonts w:ascii="Times New Roman" w:hAnsi="Times New Roman"/>
          <w:sz w:val="19"/>
        </w:rPr>
        <w:t>1-je után</w:t>
      </w:r>
      <w:proofErr w:type="gramEnd"/>
      <w:r>
        <w:rPr>
          <w:rFonts w:ascii="Times New Roman" w:hAnsi="Times New Roman"/>
          <w:sz w:val="19"/>
        </w:rPr>
        <w:t xml:space="preserve"> nyújtanak be a Svéd Szerencsejáték-hatósághoz, és amelyek a 2019. január 1-je utáni időszakra vonatkoznak.</w:t>
      </w:r>
    </w:p>
    <w:p w:rsidR="00A457A5" w:rsidRPr="0076436D" w:rsidRDefault="00A457A5" w:rsidP="00F47340">
      <w:pPr>
        <w:pStyle w:val="Brdtextblank"/>
        <w:rPr>
          <w:rFonts w:ascii="Times New Roman" w:hAnsi="Times New Roman" w:cs="Times New Roman"/>
          <w:w w:val="100"/>
          <w:sz w:val="19"/>
          <w:szCs w:val="19"/>
        </w:rPr>
      </w:pPr>
    </w:p>
    <w:p w:rsidR="00A457A5" w:rsidRPr="0076436D" w:rsidRDefault="00A457A5" w:rsidP="00F47340">
      <w:pPr>
        <w:pStyle w:val="Brdtextblank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A Svéd Szerencsejáték-hatóság nevében</w:t>
      </w:r>
    </w:p>
    <w:p w:rsidR="00A457A5" w:rsidRPr="0076436D" w:rsidRDefault="00A457A5" w:rsidP="00F47340">
      <w:pPr>
        <w:pStyle w:val="Brdtextblank"/>
        <w:rPr>
          <w:rFonts w:ascii="Times New Roman" w:hAnsi="Times New Roman" w:cs="Times New Roman"/>
          <w:w w:val="100"/>
          <w:sz w:val="19"/>
          <w:szCs w:val="19"/>
        </w:rPr>
      </w:pPr>
      <w:r>
        <w:rPr>
          <w:rFonts w:ascii="Times New Roman" w:hAnsi="Times New Roman"/>
          <w:sz w:val="19"/>
        </w:rPr>
        <w:t>CAMILLA ROSENBERG</w:t>
      </w:r>
    </w:p>
    <w:p w:rsidR="00A457A5" w:rsidRPr="0076436D" w:rsidRDefault="00A457A5" w:rsidP="00F47340">
      <w:pPr>
        <w:pStyle w:val="BodyText"/>
        <w:jc w:val="center"/>
        <w:rPr>
          <w:rFonts w:ascii="Times New Roman" w:hAnsi="Times New Roman" w:cs="Times New Roman"/>
          <w:w w:val="100"/>
          <w:sz w:val="19"/>
          <w:szCs w:val="19"/>
        </w:rPr>
      </w:pPr>
      <w:proofErr w:type="spellStart"/>
      <w:r>
        <w:rPr>
          <w:rFonts w:ascii="Times New Roman" w:hAnsi="Times New Roman"/>
          <w:sz w:val="19"/>
        </w:rPr>
        <w:t>Johan</w:t>
      </w:r>
      <w:proofErr w:type="spellEnd"/>
      <w:r>
        <w:rPr>
          <w:rFonts w:ascii="Times New Roman" w:hAnsi="Times New Roman"/>
          <w:sz w:val="19"/>
        </w:rPr>
        <w:t xml:space="preserve"> </w:t>
      </w:r>
      <w:proofErr w:type="spellStart"/>
      <w:r>
        <w:rPr>
          <w:rFonts w:ascii="Times New Roman" w:hAnsi="Times New Roman"/>
          <w:sz w:val="19"/>
        </w:rPr>
        <w:t>Röhr</w:t>
      </w:r>
      <w:proofErr w:type="spellEnd"/>
    </w:p>
    <w:sectPr w:rsidR="00A457A5" w:rsidRPr="00764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354" w:h="13720"/>
      <w:pgMar w:top="680" w:right="2306" w:bottom="1302" w:left="115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5B6" w:rsidRDefault="00CE35B6">
      <w:pPr>
        <w:spacing w:after="0" w:line="240" w:lineRule="auto"/>
      </w:pPr>
      <w:r>
        <w:separator/>
      </w:r>
    </w:p>
  </w:endnote>
  <w:endnote w:type="continuationSeparator" w:id="0">
    <w:p w:rsidR="00CE35B6" w:rsidRDefault="00CE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7A5" w:rsidRPr="00B06CA7" w:rsidRDefault="00A457A5">
    <w:pPr>
      <w:pStyle w:val="Footer"/>
      <w:tabs>
        <w:tab w:val="center" w:pos="12800"/>
        <w:tab w:val="right" w:pos="25600"/>
      </w:tabs>
      <w:jc w:val="left"/>
      <w:rPr>
        <w:rStyle w:val="Pagina"/>
        <w:rFonts w:ascii="Times New Roman" w:hAnsi="Times New Roman" w:cs="Times New Roman"/>
        <w:w w:val="100"/>
      </w:rPr>
    </w:pPr>
    <w:r w:rsidRPr="00B06CA7">
      <w:rPr>
        <w:rStyle w:val="Pagina"/>
        <w:rFonts w:ascii="Times New Roman" w:hAnsi="Times New Roman" w:cs="Times New Roman"/>
      </w:rPr>
      <w:fldChar w:fldCharType="begin"/>
    </w:r>
    <w:r w:rsidRPr="00B06CA7">
      <w:rPr>
        <w:rStyle w:val="Pagina"/>
        <w:rFonts w:ascii="Times New Roman" w:hAnsi="Times New Roman" w:cs="Times New Roman"/>
      </w:rPr>
      <w:instrText xml:space="preserve"> PAGE </w:instrText>
    </w:r>
    <w:r w:rsidRPr="00B06CA7">
      <w:rPr>
        <w:rStyle w:val="Pagina"/>
        <w:rFonts w:ascii="Times New Roman" w:hAnsi="Times New Roman" w:cs="Times New Roman"/>
      </w:rPr>
      <w:fldChar w:fldCharType="separate"/>
    </w:r>
    <w:r w:rsidR="00290FC9">
      <w:rPr>
        <w:rStyle w:val="Pagina"/>
        <w:rFonts w:ascii="Times New Roman" w:hAnsi="Times New Roman" w:cs="Times New Roman"/>
        <w:noProof/>
      </w:rPr>
      <w:t>8</w:t>
    </w:r>
    <w:r w:rsidRPr="00B06CA7">
      <w:rPr>
        <w:rStyle w:val="Pagina"/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7A5" w:rsidRPr="00B06CA7" w:rsidRDefault="00A457A5">
    <w:pPr>
      <w:pStyle w:val="Footer"/>
      <w:tabs>
        <w:tab w:val="center" w:pos="12800"/>
        <w:tab w:val="right" w:pos="25600"/>
      </w:tabs>
      <w:rPr>
        <w:rStyle w:val="Pagina"/>
        <w:rFonts w:ascii="Times New Roman" w:hAnsi="Times New Roman" w:cs="Times New Roman"/>
        <w:w w:val="100"/>
      </w:rPr>
    </w:pPr>
    <w:r w:rsidRPr="00B06CA7">
      <w:rPr>
        <w:rStyle w:val="Pagina"/>
        <w:rFonts w:ascii="Times New Roman" w:hAnsi="Times New Roman" w:cs="Times New Roman"/>
      </w:rPr>
      <w:fldChar w:fldCharType="begin"/>
    </w:r>
    <w:r w:rsidRPr="00B06CA7">
      <w:rPr>
        <w:rStyle w:val="Pagina"/>
        <w:rFonts w:ascii="Times New Roman" w:hAnsi="Times New Roman" w:cs="Times New Roman"/>
      </w:rPr>
      <w:instrText xml:space="preserve"> PAGE </w:instrText>
    </w:r>
    <w:r w:rsidRPr="00B06CA7">
      <w:rPr>
        <w:rStyle w:val="Pagina"/>
        <w:rFonts w:ascii="Times New Roman" w:hAnsi="Times New Roman" w:cs="Times New Roman"/>
      </w:rPr>
      <w:fldChar w:fldCharType="separate"/>
    </w:r>
    <w:r w:rsidR="00290FC9">
      <w:rPr>
        <w:rStyle w:val="Pagina"/>
        <w:rFonts w:ascii="Times New Roman" w:hAnsi="Times New Roman" w:cs="Times New Roman"/>
        <w:noProof/>
      </w:rPr>
      <w:t>7</w:t>
    </w:r>
    <w:r w:rsidRPr="00B06CA7">
      <w:rPr>
        <w:rStyle w:val="Pagina"/>
        <w:rFonts w:ascii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7A5" w:rsidRPr="00B06CA7" w:rsidRDefault="00A457A5">
    <w:pPr>
      <w:pStyle w:val="Footer"/>
      <w:rPr>
        <w:rStyle w:val="Pagina"/>
        <w:rFonts w:ascii="Times New Roman" w:hAnsi="Times New Roman" w:cs="Times New Roman"/>
        <w:w w:val="100"/>
      </w:rPr>
    </w:pPr>
    <w:r w:rsidRPr="00B06CA7">
      <w:rPr>
        <w:rStyle w:val="Pagina"/>
        <w:rFonts w:ascii="Times New Roman" w:hAnsi="Times New Roman" w:cs="Times New Roman"/>
      </w:rPr>
      <w:fldChar w:fldCharType="begin"/>
    </w:r>
    <w:r w:rsidRPr="00B06CA7">
      <w:rPr>
        <w:rStyle w:val="Pagina"/>
        <w:rFonts w:ascii="Times New Roman" w:hAnsi="Times New Roman" w:cs="Times New Roman"/>
      </w:rPr>
      <w:instrText xml:space="preserve"> PAGE </w:instrText>
    </w:r>
    <w:r w:rsidRPr="00B06CA7">
      <w:rPr>
        <w:rStyle w:val="Pagina"/>
        <w:rFonts w:ascii="Times New Roman" w:hAnsi="Times New Roman" w:cs="Times New Roman"/>
      </w:rPr>
      <w:fldChar w:fldCharType="separate"/>
    </w:r>
    <w:r w:rsidR="00290FC9">
      <w:rPr>
        <w:rStyle w:val="Pagina"/>
        <w:rFonts w:ascii="Times New Roman" w:hAnsi="Times New Roman" w:cs="Times New Roman"/>
        <w:noProof/>
      </w:rPr>
      <w:t>1</w:t>
    </w:r>
    <w:r w:rsidRPr="00B06CA7">
      <w:rPr>
        <w:rStyle w:val="Pagina"/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5B6" w:rsidRDefault="00CE35B6">
      <w:pPr>
        <w:spacing w:after="0" w:line="240" w:lineRule="auto"/>
      </w:pPr>
      <w:r>
        <w:separator/>
      </w:r>
    </w:p>
  </w:footnote>
  <w:footnote w:type="continuationSeparator" w:id="0">
    <w:p w:rsidR="00CE35B6" w:rsidRDefault="00CE35B6">
      <w:pPr>
        <w:spacing w:after="0" w:line="240" w:lineRule="auto"/>
      </w:pPr>
      <w:r>
        <w:continuationSeparator/>
      </w:r>
    </w:p>
  </w:footnote>
  <w:footnote w:id="1">
    <w:p w:rsidR="00A457A5" w:rsidRPr="00DE28EA" w:rsidRDefault="00A457A5">
      <w:pPr>
        <w:pStyle w:val="Fotnot"/>
        <w:rPr>
          <w:rFonts w:ascii="Times New Roman" w:hAnsi="Times New Roman" w:cs="Times New Roman"/>
          <w:w w:val="100"/>
          <w:sz w:val="17"/>
          <w:szCs w:val="17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  <w:sz w:val="17"/>
        </w:rPr>
        <w:t> Lásd a műszaki szabályokkal és az információs társadalom szolgáltatásaira vonatkozó szabályokkal kapcsolatos információszolgáltatási eljárás megállapításáról szóló, 2015. szeptember 9-i (EU) 2015/1535 európai parlamenti és tanácsi irányelvet.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7A5" w:rsidRPr="00B06CA7" w:rsidRDefault="00A457A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7A5" w:rsidRPr="00B06CA7" w:rsidRDefault="00A457A5" w:rsidP="00B06CA7">
    <w:pPr>
      <w:pStyle w:val="Header"/>
      <w:tabs>
        <w:tab w:val="clear" w:pos="2680"/>
        <w:tab w:val="clear" w:pos="4860"/>
        <w:tab w:val="center" w:pos="3840"/>
        <w:tab w:val="right" w:pos="7680"/>
        <w:tab w:val="center" w:pos="14920"/>
        <w:tab w:val="right" w:pos="29840"/>
      </w:tabs>
      <w:suppressAutoHyphens/>
      <w:jc w:val="right"/>
      <w:rPr>
        <w:rFonts w:ascii="Times New Roman" w:hAnsi="Times New Roman" w:cs="Times New Roman"/>
        <w:w w:val="100"/>
        <w:sz w:val="21"/>
        <w:szCs w:val="21"/>
      </w:rPr>
    </w:pPr>
    <w:r>
      <w:rPr>
        <w:rFonts w:ascii="Times New Roman" w:hAnsi="Times New Roman"/>
        <w:sz w:val="21"/>
      </w:rPr>
      <w:t>LIFS 2018:4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7A5" w:rsidRPr="00B06CA7" w:rsidRDefault="00A457A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12E54"/>
    <w:multiLevelType w:val="hybridMultilevel"/>
    <w:tmpl w:val="21365F34"/>
    <w:lvl w:ilvl="0" w:tplc="041D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BCB7C03"/>
    <w:multiLevelType w:val="hybridMultilevel"/>
    <w:tmpl w:val="21365F34"/>
    <w:lvl w:ilvl="0" w:tplc="041D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63A3C52"/>
    <w:multiLevelType w:val="hybridMultilevel"/>
    <w:tmpl w:val="A84C1E32"/>
    <w:lvl w:ilvl="0" w:tplc="041D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8FD2128"/>
    <w:multiLevelType w:val="hybridMultilevel"/>
    <w:tmpl w:val="21365F34"/>
    <w:lvl w:ilvl="0" w:tplc="041D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9B198B"/>
    <w:multiLevelType w:val="hybridMultilevel"/>
    <w:tmpl w:val="6786FB40"/>
    <w:lvl w:ilvl="0" w:tplc="B67C5EB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5E5520B7"/>
    <w:multiLevelType w:val="hybridMultilevel"/>
    <w:tmpl w:val="21365F34"/>
    <w:lvl w:ilvl="0" w:tplc="041D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56B0796"/>
    <w:multiLevelType w:val="hybridMultilevel"/>
    <w:tmpl w:val="21365F34"/>
    <w:lvl w:ilvl="0" w:tplc="041D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B4345C3"/>
    <w:multiLevelType w:val="hybridMultilevel"/>
    <w:tmpl w:val="21365F34"/>
    <w:lvl w:ilvl="0" w:tplc="041D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24C1E4B"/>
    <w:multiLevelType w:val="hybridMultilevel"/>
    <w:tmpl w:val="21365F34"/>
    <w:lvl w:ilvl="0" w:tplc="041D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77507C3"/>
    <w:multiLevelType w:val="hybridMultilevel"/>
    <w:tmpl w:val="0332EE3C"/>
    <w:lvl w:ilvl="0" w:tplc="11843B7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6D"/>
    <w:rsid w:val="00160D7C"/>
    <w:rsid w:val="001B10D4"/>
    <w:rsid w:val="00224CE3"/>
    <w:rsid w:val="002534DF"/>
    <w:rsid w:val="00265800"/>
    <w:rsid w:val="00290FC9"/>
    <w:rsid w:val="003818B4"/>
    <w:rsid w:val="003A531E"/>
    <w:rsid w:val="003D5B62"/>
    <w:rsid w:val="00462030"/>
    <w:rsid w:val="005D32FE"/>
    <w:rsid w:val="006C64A7"/>
    <w:rsid w:val="0076436D"/>
    <w:rsid w:val="00971EE7"/>
    <w:rsid w:val="009774BE"/>
    <w:rsid w:val="00A457A5"/>
    <w:rsid w:val="00B06CA7"/>
    <w:rsid w:val="00B62056"/>
    <w:rsid w:val="00B64244"/>
    <w:rsid w:val="00B97BEE"/>
    <w:rsid w:val="00BC3FA5"/>
    <w:rsid w:val="00BD10A6"/>
    <w:rsid w:val="00C87E36"/>
    <w:rsid w:val="00CE35B6"/>
    <w:rsid w:val="00D72EA2"/>
    <w:rsid w:val="00DE28EA"/>
    <w:rsid w:val="00F4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96"/>
  <w15:docId w15:val="{5FFD875F-DC02-41D9-9C04-D2A1C21D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tgivare">
    <w:name w:val="Utgivare"/>
    <w:pPr>
      <w:widowControl w:val="0"/>
      <w:tabs>
        <w:tab w:val="left" w:pos="100"/>
      </w:tabs>
      <w:autoSpaceDE w:val="0"/>
      <w:autoSpaceDN w:val="0"/>
      <w:adjustRightInd w:val="0"/>
      <w:spacing w:before="180" w:line="160" w:lineRule="atLeast"/>
      <w:jc w:val="both"/>
    </w:pPr>
    <w:rPr>
      <w:rFonts w:ascii="Times" w:hAnsi="Times" w:cs="Times"/>
      <w:color w:val="000000"/>
      <w:w w:val="0"/>
      <w:sz w:val="16"/>
      <w:szCs w:val="16"/>
    </w:rPr>
  </w:style>
  <w:style w:type="paragraph" w:customStyle="1" w:styleId="Fristende7cic">
    <w:name w:val="Fristående 7 cic"/>
    <w:uiPriority w:val="99"/>
    <w:pPr>
      <w:tabs>
        <w:tab w:val="left" w:pos="1980"/>
      </w:tabs>
      <w:autoSpaceDE w:val="0"/>
      <w:autoSpaceDN w:val="0"/>
      <w:adjustRightInd w:val="0"/>
      <w:spacing w:before="100" w:line="220" w:lineRule="atLeast"/>
      <w:ind w:left="1980" w:hanging="1980"/>
      <w:jc w:val="both"/>
    </w:pPr>
    <w:rPr>
      <w:rFonts w:ascii="Times" w:hAnsi="Times" w:cs="Times"/>
      <w:color w:val="000000"/>
      <w:w w:val="0"/>
      <w:sz w:val="18"/>
      <w:szCs w:val="18"/>
    </w:rPr>
  </w:style>
  <w:style w:type="paragraph" w:styleId="BodyText">
    <w:name w:val="Body Text"/>
    <w:basedOn w:val="Normal"/>
    <w:link w:val="BodyTextChar"/>
    <w:uiPriority w:val="99"/>
    <w:pPr>
      <w:tabs>
        <w:tab w:val="left" w:pos="2940"/>
      </w:tabs>
      <w:autoSpaceDE w:val="0"/>
      <w:autoSpaceDN w:val="0"/>
      <w:adjustRightInd w:val="0"/>
      <w:spacing w:after="0" w:line="220" w:lineRule="atLeast"/>
      <w:jc w:val="both"/>
    </w:pPr>
    <w:rPr>
      <w:rFonts w:ascii="Times" w:hAnsi="Times" w:cs="Times"/>
      <w:color w:val="000000"/>
      <w:w w:val="0"/>
      <w:sz w:val="18"/>
      <w:szCs w:val="18"/>
    </w:rPr>
  </w:style>
  <w:style w:type="character" w:customStyle="1" w:styleId="BodyTextChar">
    <w:name w:val="Body Text Char"/>
    <w:link w:val="BodyText"/>
    <w:uiPriority w:val="99"/>
  </w:style>
  <w:style w:type="paragraph" w:customStyle="1" w:styleId="Brdtextblank">
    <w:name w:val="Brödtext blank"/>
    <w:uiPriority w:val="99"/>
    <w:pPr>
      <w:tabs>
        <w:tab w:val="left" w:pos="3060"/>
      </w:tabs>
      <w:autoSpaceDE w:val="0"/>
      <w:autoSpaceDN w:val="0"/>
      <w:adjustRightInd w:val="0"/>
      <w:spacing w:before="220" w:line="220" w:lineRule="atLeast"/>
      <w:jc w:val="both"/>
    </w:pPr>
    <w:rPr>
      <w:rFonts w:ascii="Times" w:hAnsi="Times" w:cs="Times"/>
      <w:color w:val="000000"/>
      <w:w w:val="0"/>
      <w:sz w:val="18"/>
      <w:szCs w:val="18"/>
    </w:rPr>
  </w:style>
  <w:style w:type="paragraph" w:customStyle="1" w:styleId="Brdtexthalv">
    <w:name w:val="Brödtext halv"/>
    <w:uiPriority w:val="99"/>
    <w:pPr>
      <w:autoSpaceDE w:val="0"/>
      <w:autoSpaceDN w:val="0"/>
      <w:adjustRightInd w:val="0"/>
      <w:spacing w:before="100" w:line="220" w:lineRule="atLeast"/>
      <w:jc w:val="both"/>
    </w:pPr>
    <w:rPr>
      <w:rFonts w:ascii="Times" w:hAnsi="Times" w:cs="Times"/>
      <w:color w:val="000000"/>
      <w:w w:val="0"/>
      <w:sz w:val="18"/>
      <w:szCs w:val="18"/>
    </w:rPr>
  </w:style>
  <w:style w:type="paragraph" w:customStyle="1" w:styleId="Brdtextlinje">
    <w:name w:val="Brödtext linje"/>
    <w:uiPriority w:val="99"/>
    <w:pPr>
      <w:pBdr>
        <w:top w:val="single" w:sz="8" w:space="0" w:color="auto"/>
      </w:pBdr>
      <w:autoSpaceDE w:val="0"/>
      <w:autoSpaceDN w:val="0"/>
      <w:adjustRightInd w:val="0"/>
      <w:spacing w:line="220" w:lineRule="atLeast"/>
      <w:ind w:firstLine="180"/>
      <w:jc w:val="both"/>
    </w:pPr>
    <w:rPr>
      <w:rFonts w:ascii="Times" w:hAnsi="Times" w:cs="Times"/>
      <w:color w:val="000000"/>
      <w:w w:val="0"/>
      <w:sz w:val="18"/>
      <w:szCs w:val="18"/>
    </w:rPr>
  </w:style>
  <w:style w:type="paragraph" w:customStyle="1" w:styleId="Fotnot">
    <w:name w:val="Fotnot"/>
    <w:uiPriority w:val="99"/>
    <w:pPr>
      <w:widowControl w:val="0"/>
      <w:tabs>
        <w:tab w:val="left" w:pos="100"/>
      </w:tabs>
      <w:autoSpaceDE w:val="0"/>
      <w:autoSpaceDN w:val="0"/>
      <w:adjustRightInd w:val="0"/>
      <w:spacing w:line="160" w:lineRule="atLeast"/>
      <w:jc w:val="both"/>
    </w:pPr>
    <w:rPr>
      <w:rFonts w:ascii="Times" w:hAnsi="Times" w:cs="Times"/>
      <w:color w:val="000000"/>
      <w:w w:val="0"/>
      <w:sz w:val="16"/>
      <w:szCs w:val="16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3840"/>
        <w:tab w:val="right" w:pos="7680"/>
      </w:tabs>
      <w:autoSpaceDE w:val="0"/>
      <w:autoSpaceDN w:val="0"/>
      <w:adjustRightInd w:val="0"/>
      <w:spacing w:after="0" w:line="220" w:lineRule="atLeast"/>
      <w:jc w:val="right"/>
    </w:pPr>
    <w:rPr>
      <w:rFonts w:ascii="Times" w:hAnsi="Times" w:cs="Times"/>
      <w:color w:val="000000"/>
      <w:w w:val="0"/>
      <w:sz w:val="18"/>
      <w:szCs w:val="18"/>
    </w:rPr>
  </w:style>
  <w:style w:type="character" w:customStyle="1" w:styleId="FooterChar">
    <w:name w:val="Footer Char"/>
    <w:link w:val="Footer"/>
    <w:uiPriority w:val="99"/>
    <w:semiHidden/>
  </w:style>
  <w:style w:type="paragraph" w:styleId="Header">
    <w:name w:val="header"/>
    <w:aliases w:val="extra"/>
    <w:basedOn w:val="Normal"/>
    <w:link w:val="HeaderChar"/>
    <w:uiPriority w:val="99"/>
    <w:pPr>
      <w:widowControl w:val="0"/>
      <w:tabs>
        <w:tab w:val="left" w:pos="2680"/>
        <w:tab w:val="left" w:pos="4860"/>
      </w:tabs>
      <w:autoSpaceDE w:val="0"/>
      <w:autoSpaceDN w:val="0"/>
      <w:adjustRightInd w:val="0"/>
      <w:spacing w:after="0" w:line="240" w:lineRule="atLeast"/>
      <w:jc w:val="both"/>
    </w:pPr>
    <w:rPr>
      <w:rFonts w:ascii="Times" w:hAnsi="Times" w:cs="Times"/>
      <w:b/>
      <w:bCs/>
      <w:color w:val="000000"/>
      <w:w w:val="0"/>
      <w:sz w:val="20"/>
      <w:szCs w:val="20"/>
    </w:rPr>
  </w:style>
  <w:style w:type="character" w:customStyle="1" w:styleId="HeaderChar">
    <w:name w:val="Header Char"/>
    <w:aliases w:val="extra Char"/>
    <w:link w:val="Header"/>
    <w:uiPriority w:val="99"/>
    <w:semiHidden/>
  </w:style>
  <w:style w:type="paragraph" w:customStyle="1" w:styleId="Rubrik1">
    <w:name w:val="Rubrik1"/>
    <w:uiPriority w:val="99"/>
    <w:pPr>
      <w:widowControl w:val="0"/>
      <w:suppressAutoHyphens/>
      <w:autoSpaceDE w:val="0"/>
      <w:autoSpaceDN w:val="0"/>
      <w:adjustRightInd w:val="0"/>
      <w:spacing w:line="240" w:lineRule="atLeast"/>
      <w:ind w:right="240"/>
    </w:pPr>
    <w:rPr>
      <w:rFonts w:ascii="Times" w:hAnsi="Times" w:cs="Times"/>
      <w:b/>
      <w:bCs/>
      <w:color w:val="000000"/>
      <w:w w:val="0"/>
      <w:sz w:val="24"/>
      <w:szCs w:val="24"/>
    </w:rPr>
  </w:style>
  <w:style w:type="paragraph" w:customStyle="1" w:styleId="Rubrik2engelsk">
    <w:name w:val="Rubrik2 engelsk"/>
    <w:uiPriority w:val="99"/>
    <w:pPr>
      <w:keepNext/>
      <w:widowControl w:val="0"/>
      <w:autoSpaceDE w:val="0"/>
      <w:autoSpaceDN w:val="0"/>
      <w:adjustRightInd w:val="0"/>
      <w:spacing w:before="320" w:line="200" w:lineRule="atLeast"/>
      <w:jc w:val="both"/>
    </w:pPr>
    <w:rPr>
      <w:rFonts w:ascii="Times" w:hAnsi="Times" w:cs="Times"/>
      <w:b/>
      <w:bCs/>
      <w:color w:val="000000"/>
      <w:w w:val="0"/>
    </w:rPr>
  </w:style>
  <w:style w:type="paragraph" w:customStyle="1" w:styleId="Rubrik3">
    <w:name w:val="Rubrik3"/>
    <w:uiPriority w:val="99"/>
    <w:pPr>
      <w:keepNext/>
      <w:widowControl w:val="0"/>
      <w:suppressAutoHyphens/>
      <w:autoSpaceDE w:val="0"/>
      <w:autoSpaceDN w:val="0"/>
      <w:adjustRightInd w:val="0"/>
      <w:spacing w:before="360" w:line="220" w:lineRule="atLeast"/>
    </w:pPr>
    <w:rPr>
      <w:rFonts w:ascii="Times" w:hAnsi="Times" w:cs="Times"/>
      <w:b/>
      <w:bCs/>
      <w:color w:val="000000"/>
      <w:w w:val="0"/>
      <w:sz w:val="18"/>
      <w:szCs w:val="18"/>
    </w:rPr>
  </w:style>
  <w:style w:type="paragraph" w:customStyle="1" w:styleId="Rubrik30">
    <w:name w:val="Rubrik30"/>
    <w:uiPriority w:val="99"/>
    <w:pPr>
      <w:keepNext/>
      <w:widowControl w:val="0"/>
      <w:suppressAutoHyphens/>
      <w:autoSpaceDE w:val="0"/>
      <w:autoSpaceDN w:val="0"/>
      <w:adjustRightInd w:val="0"/>
      <w:spacing w:before="100" w:line="220" w:lineRule="atLeast"/>
    </w:pPr>
    <w:rPr>
      <w:rFonts w:ascii="Times" w:hAnsi="Times" w:cs="Times"/>
      <w:b/>
      <w:bCs/>
      <w:color w:val="000000"/>
      <w:w w:val="0"/>
      <w:sz w:val="18"/>
      <w:szCs w:val="18"/>
    </w:rPr>
  </w:style>
  <w:style w:type="paragraph" w:customStyle="1" w:styleId="Kantrubrik">
    <w:name w:val="Kantrubrik"/>
    <w:uiPriority w:val="99"/>
    <w:pPr>
      <w:widowControl w:val="0"/>
      <w:suppressAutoHyphens/>
      <w:autoSpaceDE w:val="0"/>
      <w:autoSpaceDN w:val="0"/>
      <w:adjustRightInd w:val="0"/>
      <w:spacing w:line="280" w:lineRule="atLeast"/>
    </w:pPr>
    <w:rPr>
      <w:rFonts w:ascii="Times" w:hAnsi="Times" w:cs="Times"/>
      <w:b/>
      <w:bCs/>
      <w:color w:val="000000"/>
      <w:w w:val="0"/>
      <w:sz w:val="22"/>
      <w:szCs w:val="22"/>
    </w:rPr>
  </w:style>
  <w:style w:type="paragraph" w:customStyle="1" w:styleId="Rubrik4">
    <w:name w:val="Rubrik4"/>
    <w:uiPriority w:val="99"/>
    <w:pPr>
      <w:keepNext/>
      <w:widowControl w:val="0"/>
      <w:suppressAutoHyphens/>
      <w:autoSpaceDE w:val="0"/>
      <w:autoSpaceDN w:val="0"/>
      <w:adjustRightInd w:val="0"/>
      <w:spacing w:before="360" w:line="220" w:lineRule="atLeast"/>
    </w:pPr>
    <w:rPr>
      <w:rFonts w:ascii="Times" w:hAnsi="Times" w:cs="Times"/>
      <w:i/>
      <w:iCs/>
      <w:color w:val="000000"/>
      <w:w w:val="0"/>
      <w:sz w:val="18"/>
      <w:szCs w:val="18"/>
    </w:rPr>
  </w:style>
  <w:style w:type="paragraph" w:customStyle="1" w:styleId="Rubrik40">
    <w:name w:val="Rubrik40"/>
    <w:uiPriority w:val="99"/>
    <w:pPr>
      <w:keepNext/>
      <w:widowControl w:val="0"/>
      <w:suppressAutoHyphens/>
      <w:autoSpaceDE w:val="0"/>
      <w:autoSpaceDN w:val="0"/>
      <w:adjustRightInd w:val="0"/>
      <w:spacing w:before="100" w:line="220" w:lineRule="atLeast"/>
    </w:pPr>
    <w:rPr>
      <w:rFonts w:ascii="Times" w:hAnsi="Times" w:cs="Times"/>
      <w:i/>
      <w:iCs/>
      <w:color w:val="000000"/>
      <w:w w:val="0"/>
      <w:sz w:val="18"/>
      <w:szCs w:val="18"/>
    </w:rPr>
  </w:style>
  <w:style w:type="paragraph" w:customStyle="1" w:styleId="Rubrik400utanluftver">
    <w:name w:val="Rubrik400 utan luft över"/>
    <w:uiPriority w:val="99"/>
    <w:pPr>
      <w:keepNext/>
      <w:widowControl w:val="0"/>
      <w:suppressAutoHyphens/>
      <w:autoSpaceDE w:val="0"/>
      <w:autoSpaceDN w:val="0"/>
      <w:adjustRightInd w:val="0"/>
      <w:spacing w:line="220" w:lineRule="atLeast"/>
    </w:pPr>
    <w:rPr>
      <w:rFonts w:ascii="Times" w:hAnsi="Times" w:cs="Times"/>
      <w:i/>
      <w:iCs/>
      <w:color w:val="000000"/>
      <w:w w:val="0"/>
      <w:sz w:val="18"/>
      <w:szCs w:val="18"/>
    </w:rPr>
  </w:style>
  <w:style w:type="paragraph" w:customStyle="1" w:styleId="Rubrik5">
    <w:name w:val="Rubrik5"/>
    <w:uiPriority w:val="99"/>
    <w:pPr>
      <w:keepNext/>
      <w:widowControl w:val="0"/>
      <w:suppressAutoHyphens/>
      <w:autoSpaceDE w:val="0"/>
      <w:autoSpaceDN w:val="0"/>
      <w:adjustRightInd w:val="0"/>
      <w:spacing w:before="360" w:line="220" w:lineRule="atLeast"/>
    </w:pPr>
    <w:rPr>
      <w:rFonts w:ascii="Times" w:hAnsi="Times" w:cs="Times"/>
      <w:color w:val="000000"/>
      <w:w w:val="0"/>
      <w:sz w:val="18"/>
      <w:szCs w:val="18"/>
    </w:rPr>
  </w:style>
  <w:style w:type="paragraph" w:customStyle="1" w:styleId="Rubrik50">
    <w:name w:val="Rubrik50"/>
    <w:uiPriority w:val="99"/>
    <w:pPr>
      <w:keepNext/>
      <w:widowControl w:val="0"/>
      <w:suppressAutoHyphens/>
      <w:autoSpaceDE w:val="0"/>
      <w:autoSpaceDN w:val="0"/>
      <w:adjustRightInd w:val="0"/>
      <w:spacing w:before="100" w:line="220" w:lineRule="atLeast"/>
    </w:pPr>
    <w:rPr>
      <w:rFonts w:ascii="Times" w:hAnsi="Times" w:cs="Times"/>
      <w:color w:val="000000"/>
      <w:w w:val="0"/>
      <w:sz w:val="18"/>
      <w:szCs w:val="18"/>
    </w:rPr>
  </w:style>
  <w:style w:type="paragraph" w:customStyle="1" w:styleId="Strecklinjeunder">
    <w:name w:val="Strecklinje under"/>
    <w:uiPriority w:val="99"/>
    <w:pPr>
      <w:pBdr>
        <w:bottom w:val="single" w:sz="8" w:space="0" w:color="auto"/>
      </w:pBdr>
      <w:tabs>
        <w:tab w:val="left" w:pos="3060"/>
      </w:tabs>
      <w:autoSpaceDE w:val="0"/>
      <w:autoSpaceDN w:val="0"/>
      <w:adjustRightInd w:val="0"/>
      <w:spacing w:line="220" w:lineRule="atLeast"/>
      <w:jc w:val="both"/>
    </w:pPr>
    <w:rPr>
      <w:rFonts w:ascii="Times" w:hAnsi="Times" w:cs="Times"/>
      <w:color w:val="000000"/>
      <w:w w:val="0"/>
      <w:sz w:val="18"/>
      <w:szCs w:val="18"/>
    </w:rPr>
  </w:style>
  <w:style w:type="paragraph" w:customStyle="1" w:styleId="Strecklinjever">
    <w:name w:val="Strecklinje över"/>
    <w:uiPriority w:val="99"/>
    <w:pPr>
      <w:pBdr>
        <w:top w:val="single" w:sz="8" w:space="0" w:color="auto"/>
      </w:pBdr>
      <w:tabs>
        <w:tab w:val="left" w:pos="2560"/>
        <w:tab w:val="left" w:pos="4600"/>
      </w:tabs>
      <w:autoSpaceDE w:val="0"/>
      <w:autoSpaceDN w:val="0"/>
      <w:adjustRightInd w:val="0"/>
      <w:spacing w:line="220" w:lineRule="atLeast"/>
      <w:jc w:val="both"/>
    </w:pPr>
    <w:rPr>
      <w:rFonts w:ascii="Times" w:hAnsi="Times" w:cs="Times"/>
      <w:color w:val="000000"/>
      <w:w w:val="0"/>
      <w:sz w:val="18"/>
      <w:szCs w:val="18"/>
    </w:rPr>
  </w:style>
  <w:style w:type="paragraph" w:customStyle="1" w:styleId="Tabellfotnot">
    <w:name w:val="Tabellfotnot"/>
    <w:uiPriority w:val="99"/>
    <w:pPr>
      <w:widowControl w:val="0"/>
      <w:tabs>
        <w:tab w:val="left" w:pos="560"/>
      </w:tabs>
      <w:autoSpaceDE w:val="0"/>
      <w:autoSpaceDN w:val="0"/>
      <w:adjustRightInd w:val="0"/>
      <w:spacing w:line="160" w:lineRule="atLeast"/>
      <w:jc w:val="both"/>
    </w:pPr>
    <w:rPr>
      <w:rFonts w:ascii="Times" w:hAnsi="Times" w:cs="Times"/>
      <w:color w:val="000000"/>
      <w:w w:val="0"/>
      <w:sz w:val="16"/>
      <w:szCs w:val="16"/>
    </w:rPr>
  </w:style>
  <w:style w:type="paragraph" w:customStyle="1" w:styleId="Tabelltext">
    <w:name w:val="Tabelltext"/>
    <w:uiPriority w:val="99"/>
    <w:pPr>
      <w:widowControl w:val="0"/>
      <w:autoSpaceDE w:val="0"/>
      <w:autoSpaceDN w:val="0"/>
      <w:adjustRightInd w:val="0"/>
      <w:spacing w:line="160" w:lineRule="atLeast"/>
      <w:jc w:val="both"/>
    </w:pPr>
    <w:rPr>
      <w:rFonts w:ascii="Times" w:hAnsi="Times" w:cs="Times"/>
      <w:color w:val="000000"/>
      <w:w w:val="0"/>
      <w:sz w:val="16"/>
      <w:szCs w:val="16"/>
    </w:rPr>
  </w:style>
  <w:style w:type="paragraph" w:customStyle="1" w:styleId="Tabelltitel">
    <w:name w:val="Tabelltitel"/>
    <w:uiPriority w:val="99"/>
    <w:pPr>
      <w:keepNext/>
      <w:pageBreakBefore/>
      <w:widowControl w:val="0"/>
      <w:suppressAutoHyphens/>
      <w:autoSpaceDE w:val="0"/>
      <w:autoSpaceDN w:val="0"/>
      <w:adjustRightInd w:val="0"/>
      <w:spacing w:before="180" w:line="180" w:lineRule="atLeast"/>
    </w:pPr>
    <w:rPr>
      <w:rFonts w:ascii="Times" w:hAnsi="Times" w:cs="Times"/>
      <w:b/>
      <w:bCs/>
      <w:color w:val="000000"/>
      <w:w w:val="0"/>
      <w:sz w:val="18"/>
      <w:szCs w:val="18"/>
    </w:rPr>
  </w:style>
  <w:style w:type="paragraph" w:customStyle="1" w:styleId="Text">
    <w:name w:val="Text"/>
    <w:uiPriority w:val="99"/>
    <w:pPr>
      <w:widowControl w:val="0"/>
      <w:tabs>
        <w:tab w:val="left" w:pos="760"/>
      </w:tabs>
      <w:autoSpaceDE w:val="0"/>
      <w:autoSpaceDN w:val="0"/>
      <w:adjustRightInd w:val="0"/>
      <w:spacing w:before="120" w:line="180" w:lineRule="atLeast"/>
      <w:jc w:val="both"/>
    </w:pPr>
    <w:rPr>
      <w:rFonts w:ascii="Times" w:hAnsi="Times" w:cs="Times"/>
      <w:color w:val="000000"/>
      <w:w w:val="0"/>
      <w:sz w:val="14"/>
      <w:szCs w:val="14"/>
    </w:rPr>
  </w:style>
  <w:style w:type="paragraph" w:customStyle="1" w:styleId="brdtextfyrkant">
    <w:name w:val="brödtext fyrkant"/>
    <w:uiPriority w:val="99"/>
    <w:pPr>
      <w:tabs>
        <w:tab w:val="left" w:pos="3060"/>
      </w:tabs>
      <w:autoSpaceDE w:val="0"/>
      <w:autoSpaceDN w:val="0"/>
      <w:adjustRightInd w:val="0"/>
      <w:spacing w:line="220" w:lineRule="atLeast"/>
      <w:ind w:firstLine="180"/>
      <w:jc w:val="both"/>
    </w:pPr>
    <w:rPr>
      <w:rFonts w:ascii="Times" w:hAnsi="Times" w:cs="Times"/>
      <w:color w:val="000000"/>
      <w:w w:val="0"/>
      <w:sz w:val="18"/>
      <w:szCs w:val="18"/>
    </w:rPr>
  </w:style>
  <w:style w:type="paragraph" w:customStyle="1" w:styleId="upprkninga-z">
    <w:name w:val="uppräkning a-z"/>
    <w:uiPriority w:val="99"/>
    <w:pPr>
      <w:tabs>
        <w:tab w:val="left" w:pos="280"/>
      </w:tabs>
      <w:autoSpaceDE w:val="0"/>
      <w:autoSpaceDN w:val="0"/>
      <w:adjustRightInd w:val="0"/>
      <w:spacing w:line="220" w:lineRule="atLeast"/>
      <w:ind w:left="280" w:hanging="280"/>
      <w:jc w:val="both"/>
    </w:pPr>
    <w:rPr>
      <w:rFonts w:ascii="Times" w:hAnsi="Times" w:cs="Times"/>
      <w:color w:val="000000"/>
      <w:w w:val="0"/>
      <w:sz w:val="18"/>
      <w:szCs w:val="18"/>
    </w:rPr>
  </w:style>
  <w:style w:type="paragraph" w:customStyle="1" w:styleId="upprkninga-zstart">
    <w:name w:val="uppräkning a-z start"/>
    <w:uiPriority w:val="99"/>
    <w:pPr>
      <w:tabs>
        <w:tab w:val="left" w:pos="280"/>
      </w:tabs>
      <w:autoSpaceDE w:val="0"/>
      <w:autoSpaceDN w:val="0"/>
      <w:adjustRightInd w:val="0"/>
      <w:spacing w:before="100" w:line="220" w:lineRule="atLeast"/>
      <w:ind w:left="280" w:hanging="280"/>
      <w:jc w:val="both"/>
    </w:pPr>
    <w:rPr>
      <w:rFonts w:ascii="Times" w:hAnsi="Times" w:cs="Times"/>
      <w:color w:val="000000"/>
      <w:w w:val="0"/>
      <w:sz w:val="18"/>
      <w:szCs w:val="18"/>
    </w:rPr>
  </w:style>
  <w:style w:type="paragraph" w:customStyle="1" w:styleId="upprkningstreck">
    <w:name w:val="uppräkning streck"/>
    <w:uiPriority w:val="99"/>
    <w:pPr>
      <w:tabs>
        <w:tab w:val="left" w:pos="560"/>
      </w:tabs>
      <w:autoSpaceDE w:val="0"/>
      <w:autoSpaceDN w:val="0"/>
      <w:adjustRightInd w:val="0"/>
      <w:spacing w:line="220" w:lineRule="atLeast"/>
      <w:ind w:left="560" w:hanging="280"/>
      <w:jc w:val="both"/>
    </w:pPr>
    <w:rPr>
      <w:rFonts w:ascii="Times" w:hAnsi="Times" w:cs="Times"/>
      <w:color w:val="000000"/>
      <w:w w:val="0"/>
      <w:sz w:val="18"/>
      <w:szCs w:val="18"/>
    </w:rPr>
  </w:style>
  <w:style w:type="paragraph" w:customStyle="1" w:styleId="Rubrik2">
    <w:name w:val="Rubrik2"/>
    <w:uiPriority w:val="99"/>
    <w:pPr>
      <w:keepNext/>
      <w:suppressAutoHyphens/>
      <w:autoSpaceDE w:val="0"/>
      <w:autoSpaceDN w:val="0"/>
      <w:adjustRightInd w:val="0"/>
      <w:spacing w:before="360" w:line="220" w:lineRule="atLeast"/>
    </w:pPr>
    <w:rPr>
      <w:rFonts w:ascii="Times" w:hAnsi="Times" w:cs="Times"/>
      <w:b/>
      <w:bCs/>
      <w:color w:val="000000"/>
      <w:w w:val="0"/>
    </w:rPr>
  </w:style>
  <w:style w:type="paragraph" w:customStyle="1" w:styleId="Brdtextnytt">
    <w:name w:val="Brödtext nytt"/>
    <w:uiPriority w:val="99"/>
    <w:pPr>
      <w:tabs>
        <w:tab w:val="left" w:pos="3060"/>
      </w:tabs>
      <w:autoSpaceDE w:val="0"/>
      <w:autoSpaceDN w:val="0"/>
      <w:adjustRightInd w:val="0"/>
      <w:spacing w:line="220" w:lineRule="atLeast"/>
      <w:ind w:firstLine="180"/>
      <w:jc w:val="both"/>
    </w:pPr>
    <w:rPr>
      <w:rFonts w:ascii="Times" w:hAnsi="Times" w:cs="Times"/>
      <w:color w:val="000000"/>
      <w:w w:val="0"/>
      <w:sz w:val="18"/>
      <w:szCs w:val="18"/>
    </w:rPr>
  </w:style>
  <w:style w:type="character" w:customStyle="1" w:styleId="Bilaga">
    <w:name w:val="Bilaga"/>
    <w:uiPriority w:val="99"/>
    <w:rPr>
      <w:sz w:val="14"/>
      <w:szCs w:val="14"/>
    </w:rPr>
  </w:style>
  <w:style w:type="character" w:customStyle="1" w:styleId="Kursiv">
    <w:name w:val="Kursiv"/>
    <w:uiPriority w:val="99"/>
    <w:rPr>
      <w:rFonts w:ascii="Times" w:hAnsi="Times" w:cs="Times"/>
      <w:i/>
      <w:iCs/>
      <w:color w:val="000000"/>
      <w:u w:val="none"/>
      <w:vertAlign w:val="baseline"/>
    </w:rPr>
  </w:style>
  <w:style w:type="character" w:customStyle="1" w:styleId="Arkisar">
    <w:name w:val="Arkisar"/>
    <w:uiPriority w:val="99"/>
    <w:rPr>
      <w:sz w:val="14"/>
      <w:szCs w:val="14"/>
    </w:rPr>
  </w:style>
  <w:style w:type="character" w:customStyle="1" w:styleId="UnderISSN-nummer">
    <w:name w:val="Under ISSN-nummer"/>
    <w:uiPriority w:val="99"/>
    <w:rPr>
      <w:rFonts w:ascii="Times" w:hAnsi="Times" w:cs="Times"/>
      <w:color w:val="000000"/>
      <w:spacing w:val="0"/>
      <w:sz w:val="15"/>
      <w:szCs w:val="15"/>
      <w:u w:val="none"/>
      <w:vertAlign w:val="baseline"/>
    </w:rPr>
  </w:style>
  <w:style w:type="character" w:customStyle="1" w:styleId="Svfrfattnhalvfet">
    <w:name w:val="Sv.författn. halvfet"/>
    <w:uiPriority w:val="99"/>
    <w:rPr>
      <w:rFonts w:ascii="Times" w:hAnsi="Times" w:cs="Times"/>
      <w:b/>
      <w:bCs/>
      <w:color w:val="000000"/>
      <w:spacing w:val="0"/>
      <w:sz w:val="36"/>
      <w:szCs w:val="36"/>
      <w:u w:val="none"/>
      <w:vertAlign w:val="baseline"/>
    </w:rPr>
  </w:style>
  <w:style w:type="character" w:customStyle="1" w:styleId="Tryckort">
    <w:name w:val="Tryckort"/>
    <w:uiPriority w:val="99"/>
    <w:rPr>
      <w:rFonts w:ascii="Times" w:hAnsi="Times" w:cs="Times"/>
      <w:color w:val="000000"/>
      <w:spacing w:val="0"/>
      <w:sz w:val="11"/>
      <w:szCs w:val="11"/>
      <w:u w:val="none"/>
      <w:vertAlign w:val="baseline"/>
    </w:rPr>
  </w:style>
  <w:style w:type="character" w:styleId="Emphasis">
    <w:name w:val="Emphasis"/>
    <w:uiPriority w:val="99"/>
    <w:qFormat/>
    <w:rPr>
      <w:i/>
      <w:iCs/>
    </w:rPr>
  </w:style>
  <w:style w:type="character" w:customStyle="1" w:styleId="Ekvationsvariabler">
    <w:name w:val="Ekvationsvariabler"/>
    <w:uiPriority w:val="99"/>
    <w:rPr>
      <w:i/>
      <w:iCs/>
    </w:rPr>
  </w:style>
  <w:style w:type="character" w:customStyle="1" w:styleId="Halvfet">
    <w:name w:val="Halvfet"/>
    <w:uiPriority w:val="99"/>
    <w:rPr>
      <w:rFonts w:ascii="Times" w:hAnsi="Times" w:cs="Times"/>
      <w:b/>
      <w:bCs/>
      <w:color w:val="000000"/>
      <w:u w:val="none"/>
      <w:vertAlign w:val="baseline"/>
    </w:rPr>
  </w:style>
  <w:style w:type="character" w:customStyle="1" w:styleId="Pagina">
    <w:name w:val="Pagina"/>
    <w:uiPriority w:val="99"/>
    <w:rPr>
      <w:rFonts w:ascii="Times" w:hAnsi="Times" w:cs="Times"/>
      <w:color w:val="000000"/>
      <w:spacing w:val="0"/>
      <w:sz w:val="19"/>
      <w:szCs w:val="19"/>
      <w:u w:val="none"/>
      <w:vertAlign w:val="baseline"/>
    </w:rPr>
  </w:style>
  <w:style w:type="character" w:customStyle="1" w:styleId="Utkom">
    <w:name w:val="Utkom"/>
    <w:uiPriority w:val="99"/>
    <w:rPr>
      <w:rFonts w:ascii="Times" w:hAnsi="Times" w:cs="Times"/>
      <w:color w:val="000000"/>
      <w:spacing w:val="0"/>
      <w:sz w:val="17"/>
      <w:szCs w:val="17"/>
      <w:u w:val="none"/>
      <w:vertAlign w:val="baseline"/>
    </w:rPr>
  </w:style>
  <w:style w:type="paragraph" w:styleId="PlainText">
    <w:name w:val="Plain Text"/>
    <w:basedOn w:val="Normal"/>
    <w:link w:val="PlainTextChar"/>
    <w:uiPriority w:val="99"/>
    <w:unhideWhenUsed/>
    <w:rsid w:val="003D5B6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5B62"/>
    <w:rPr>
      <w:rFonts w:ascii="Consolas" w:hAnsi="Consolas"/>
      <w:sz w:val="21"/>
      <w:szCs w:val="21"/>
      <w:lang w:val="hu-HU"/>
    </w:rPr>
  </w:style>
  <w:style w:type="paragraph" w:styleId="CommentText">
    <w:name w:val="annotation text"/>
    <w:basedOn w:val="Normal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2512</Words>
  <Characters>17335</Characters>
  <Application>Microsoft Office Word</Application>
  <DocSecurity>0</DocSecurity>
  <Lines>144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rkuser1</dc:creator>
  <cp:keywords/>
  <dc:description/>
  <cp:lastModifiedBy>JUHASZ, Reka</cp:lastModifiedBy>
  <cp:revision>7</cp:revision>
  <dcterms:created xsi:type="dcterms:W3CDTF">2018-11-09T14:20:00Z</dcterms:created>
  <dcterms:modified xsi:type="dcterms:W3CDTF">2018-11-22T10:24:00Z</dcterms:modified>
</cp:coreProperties>
</file>