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1652" w:rsidRPr="00025734" w:rsidRDefault="00CC1652" w:rsidP="00CC1652">
      <w:pPr>
        <w:pStyle w:val="PlainText"/>
        <w:rPr>
          <w:rFonts w:ascii="Courier New" w:hAnsi="Courier New" w:cs="Courier New"/>
          <w:sz w:val="20"/>
          <w:szCs w:val="20"/>
        </w:rPr>
      </w:pPr>
      <w:r w:rsidRPr="00025734">
        <w:rPr>
          <w:rFonts w:ascii="Courier New" w:hAnsi="Courier New"/>
          <w:sz w:val="20"/>
          <w:szCs w:val="20"/>
        </w:rPr>
        <w:t>1. ------IND- 2018 0179 S-- RO- ------ 20181122 --- --- FINAL</w:t>
      </w:r>
    </w:p>
    <w:p w:rsidR="008D301E" w:rsidRPr="00025734" w:rsidRDefault="008D301E" w:rsidP="008D301E">
      <w:pPr>
        <w:pStyle w:val="BodyText"/>
        <w:rPr>
          <w:rFonts w:ascii="Times New Roman" w:hAnsi="Times New Roman" w:cs="Times New Roman"/>
          <w:b/>
          <w:w w:val="100"/>
          <w:sz w:val="26"/>
          <w:szCs w:val="26"/>
        </w:rPr>
      </w:pPr>
      <w:proofErr w:type="spellStart"/>
      <w:r w:rsidRPr="00025734">
        <w:rPr>
          <w:rFonts w:ascii="Times New Roman" w:hAnsi="Times New Roman"/>
          <w:b/>
          <w:sz w:val="26"/>
          <w:szCs w:val="26"/>
        </w:rPr>
        <w:t>LIFS</w:t>
      </w:r>
      <w:proofErr w:type="spellEnd"/>
      <w:r w:rsidRPr="00025734">
        <w:rPr>
          <w:rFonts w:ascii="Times New Roman" w:hAnsi="Times New Roman"/>
          <w:b/>
          <w:sz w:val="26"/>
          <w:szCs w:val="26"/>
        </w:rPr>
        <w:t xml:space="preserve"> 2018:5</w:t>
      </w:r>
    </w:p>
    <w:p w:rsidR="008D301E" w:rsidRPr="00025734" w:rsidRDefault="008D301E" w:rsidP="008D301E">
      <w:pPr>
        <w:pStyle w:val="BodyText"/>
        <w:spacing w:after="240"/>
        <w:rPr>
          <w:rFonts w:ascii="Times New Roman" w:hAnsi="Times New Roman" w:cs="Times New Roman"/>
          <w:w w:val="100"/>
          <w:sz w:val="16"/>
          <w:szCs w:val="19"/>
        </w:rPr>
      </w:pPr>
      <w:r w:rsidRPr="00025734">
        <w:rPr>
          <w:rFonts w:ascii="Times New Roman" w:hAnsi="Times New Roman"/>
          <w:sz w:val="16"/>
          <w:szCs w:val="19"/>
        </w:rPr>
        <w:t>Publicat la</w:t>
      </w:r>
      <w:r w:rsidRPr="00025734">
        <w:rPr>
          <w:rFonts w:ascii="Times New Roman" w:hAnsi="Times New Roman"/>
          <w:sz w:val="16"/>
          <w:szCs w:val="19"/>
        </w:rPr>
        <w:br/>
        <w:t>8 august 2018</w:t>
      </w:r>
    </w:p>
    <w:p w:rsidR="00E26F6C" w:rsidRPr="00025734" w:rsidRDefault="00E26F6C" w:rsidP="008D301E">
      <w:pPr>
        <w:pStyle w:val="Rubrik1"/>
        <w:keepNext/>
        <w:keepLines/>
        <w:widowControl/>
        <w:ind w:right="0"/>
        <w:rPr>
          <w:rFonts w:ascii="Times New Roman" w:hAnsi="Times New Roman" w:cs="Times New Roman"/>
          <w:w w:val="100"/>
          <w:sz w:val="26"/>
          <w:szCs w:val="26"/>
        </w:rPr>
      </w:pPr>
      <w:r w:rsidRPr="00025734">
        <w:rPr>
          <w:rFonts w:ascii="Times New Roman" w:hAnsi="Times New Roman"/>
          <w:sz w:val="26"/>
          <w:szCs w:val="26"/>
        </w:rPr>
        <w:t>Regulamentele și orientările generale ale Inspecției Loteriilor și Jocurilor de Noroc privind jocurile de noroc și pariurile online comerciale</w:t>
      </w:r>
    </w:p>
    <w:p w:rsidR="00E26F6C" w:rsidRPr="00025734" w:rsidRDefault="00E26F6C" w:rsidP="008D301E">
      <w:pPr>
        <w:pStyle w:val="Brdtextblank"/>
        <w:rPr>
          <w:rFonts w:ascii="Times New Roman" w:hAnsi="Times New Roman" w:cs="Times New Roman"/>
          <w:w w:val="100"/>
          <w:sz w:val="19"/>
          <w:szCs w:val="19"/>
        </w:rPr>
      </w:pPr>
      <w:r w:rsidRPr="00025734">
        <w:rPr>
          <w:rFonts w:ascii="Times New Roman" w:hAnsi="Times New Roman"/>
          <w:sz w:val="19"/>
          <w:szCs w:val="19"/>
        </w:rPr>
        <w:t>adoptate la 25 iulie 2018.</w:t>
      </w:r>
    </w:p>
    <w:p w:rsidR="00E26F6C" w:rsidRPr="00025734" w:rsidRDefault="00E26F6C" w:rsidP="008D301E">
      <w:pPr>
        <w:pStyle w:val="Brdtextblank"/>
        <w:rPr>
          <w:rFonts w:ascii="Times New Roman" w:hAnsi="Times New Roman" w:cs="Times New Roman"/>
          <w:w w:val="100"/>
          <w:sz w:val="19"/>
          <w:szCs w:val="19"/>
        </w:rPr>
      </w:pPr>
      <w:r w:rsidRPr="00025734">
        <w:rPr>
          <w:rFonts w:ascii="Times New Roman" w:hAnsi="Times New Roman"/>
          <w:sz w:val="19"/>
          <w:szCs w:val="19"/>
        </w:rPr>
        <w:t>Inspecția Loteriilor și Jocurilor de Noroc prevede</w:t>
      </w:r>
      <w:r w:rsidRPr="00025734">
        <w:rPr>
          <w:rFonts w:ascii="Times New Roman" w:hAnsi="Times New Roman" w:cs="Times New Roman"/>
          <w:w w:val="100"/>
          <w:sz w:val="19"/>
          <w:szCs w:val="19"/>
          <w:vertAlign w:val="superscript"/>
        </w:rPr>
        <w:footnoteReference w:id="1"/>
      </w:r>
      <w:r w:rsidRPr="00025734">
        <w:rPr>
          <w:rFonts w:ascii="Times New Roman" w:hAnsi="Times New Roman"/>
          <w:sz w:val="19"/>
          <w:szCs w:val="19"/>
        </w:rPr>
        <w:t xml:space="preserve"> următoarele în conformitate cu capitolul 16 articolul 3, articolul 5, articolul 8 alineatul (4) și articolul 10 alineatul (1) din Legea privind jocurile de noroc (2018:1475) și adoptă următoarele orientări generale.</w:t>
      </w:r>
    </w:p>
    <w:p w:rsidR="00E26F6C" w:rsidRPr="00025734" w:rsidRDefault="00E26F6C" w:rsidP="008D301E">
      <w:pPr>
        <w:pStyle w:val="Rubrik2"/>
        <w:keepLines/>
        <w:rPr>
          <w:rFonts w:ascii="Times New Roman" w:hAnsi="Times New Roman" w:cs="Times New Roman"/>
          <w:w w:val="100"/>
          <w:sz w:val="21"/>
          <w:szCs w:val="21"/>
        </w:rPr>
      </w:pPr>
      <w:r w:rsidRPr="00025734">
        <w:rPr>
          <w:rFonts w:ascii="Times New Roman" w:hAnsi="Times New Roman"/>
          <w:sz w:val="21"/>
          <w:szCs w:val="21"/>
        </w:rPr>
        <w:t>Domeniul de aplicare</w:t>
      </w:r>
    </w:p>
    <w:p w:rsidR="00E26F6C" w:rsidRPr="00025734" w:rsidRDefault="00E26F6C" w:rsidP="008D301E">
      <w:pPr>
        <w:pStyle w:val="Brdtexthalv"/>
        <w:rPr>
          <w:rFonts w:ascii="Times New Roman" w:hAnsi="Times New Roman" w:cs="Times New Roman"/>
          <w:w w:val="100"/>
          <w:sz w:val="19"/>
          <w:szCs w:val="19"/>
        </w:rPr>
      </w:pPr>
      <w:r w:rsidRPr="00025734">
        <w:rPr>
          <w:rFonts w:ascii="Times New Roman" w:hAnsi="Times New Roman"/>
          <w:b/>
          <w:sz w:val="19"/>
          <w:szCs w:val="19"/>
        </w:rPr>
        <w:t>Articolul 1</w:t>
      </w:r>
      <w:r w:rsidRPr="00025734">
        <w:rPr>
          <w:rFonts w:ascii="Times New Roman" w:hAnsi="Times New Roman"/>
          <w:sz w:val="19"/>
          <w:szCs w:val="19"/>
        </w:rPr>
        <w:t xml:space="preserve"> Prezentele regulamente și orientări generale se aplică persoanelor care dețin o licență pentru furnizarea de jocuri de noroc în conformitate cu </w:t>
      </w:r>
      <w:bookmarkStart w:id="0" w:name="_GoBack"/>
      <w:bookmarkEnd w:id="0"/>
      <w:r w:rsidRPr="00025734">
        <w:rPr>
          <w:rFonts w:ascii="Times New Roman" w:hAnsi="Times New Roman"/>
          <w:sz w:val="19"/>
          <w:szCs w:val="19"/>
        </w:rPr>
        <w:t xml:space="preserve">capitolele 7 și 8 din Legea privind jocurile de noroc (2018:1138). </w:t>
      </w:r>
    </w:p>
    <w:p w:rsidR="00E26F6C" w:rsidRPr="00025734" w:rsidRDefault="00E26F6C" w:rsidP="008D301E">
      <w:pPr>
        <w:pStyle w:val="Rubrik2"/>
        <w:keepLines/>
        <w:rPr>
          <w:rFonts w:ascii="Times New Roman" w:hAnsi="Times New Roman" w:cs="Times New Roman"/>
          <w:w w:val="100"/>
          <w:sz w:val="21"/>
          <w:szCs w:val="21"/>
        </w:rPr>
      </w:pPr>
      <w:r w:rsidRPr="00025734">
        <w:rPr>
          <w:rFonts w:ascii="Times New Roman" w:hAnsi="Times New Roman"/>
          <w:sz w:val="21"/>
          <w:szCs w:val="21"/>
        </w:rPr>
        <w:t>Termenii utilizați în regulamente</w:t>
      </w:r>
    </w:p>
    <w:p w:rsidR="00E26F6C" w:rsidRPr="00025734" w:rsidRDefault="00E26F6C" w:rsidP="008D301E">
      <w:pPr>
        <w:pStyle w:val="Brdtexthalv"/>
        <w:rPr>
          <w:rFonts w:ascii="Times New Roman" w:hAnsi="Times New Roman" w:cs="Times New Roman"/>
          <w:w w:val="100"/>
          <w:sz w:val="19"/>
          <w:szCs w:val="19"/>
        </w:rPr>
      </w:pPr>
      <w:r w:rsidRPr="00025734">
        <w:rPr>
          <w:rFonts w:ascii="Times New Roman" w:hAnsi="Times New Roman"/>
          <w:b/>
          <w:sz w:val="19"/>
          <w:szCs w:val="19"/>
        </w:rPr>
        <w:t>Articolul</w:t>
      </w:r>
      <w:r w:rsidRPr="00025734">
        <w:rPr>
          <w:rFonts w:ascii="Times New Roman" w:hAnsi="Times New Roman"/>
          <w:sz w:val="19"/>
          <w:szCs w:val="19"/>
        </w:rPr>
        <w:t> </w:t>
      </w:r>
      <w:r w:rsidRPr="00025734">
        <w:rPr>
          <w:rFonts w:ascii="Times New Roman" w:hAnsi="Times New Roman"/>
          <w:b/>
          <w:bCs/>
          <w:sz w:val="19"/>
          <w:szCs w:val="19"/>
        </w:rPr>
        <w:t>2</w:t>
      </w:r>
      <w:r w:rsidRPr="00025734">
        <w:rPr>
          <w:rFonts w:ascii="Times New Roman" w:hAnsi="Times New Roman"/>
          <w:sz w:val="19"/>
          <w:szCs w:val="19"/>
        </w:rPr>
        <w:t xml:space="preserve"> Termenii și expresiile utilizate în prezentele regulamente au aceeași semnificație ca cea din Legea privind jocurile de noroc (2018:1138) și din Regulamentul privind jocurile de noroc (2018:1475).</w:t>
      </w:r>
    </w:p>
    <w:p w:rsidR="00E26F6C" w:rsidRPr="00025734" w:rsidRDefault="00E26F6C" w:rsidP="008D301E">
      <w:pPr>
        <w:pStyle w:val="Rubrik2"/>
        <w:keepLines/>
        <w:rPr>
          <w:rFonts w:ascii="Times New Roman" w:hAnsi="Times New Roman" w:cs="Times New Roman"/>
          <w:w w:val="100"/>
          <w:sz w:val="21"/>
          <w:szCs w:val="21"/>
        </w:rPr>
      </w:pPr>
      <w:r w:rsidRPr="00025734">
        <w:rPr>
          <w:rFonts w:ascii="Times New Roman" w:hAnsi="Times New Roman"/>
          <w:sz w:val="21"/>
          <w:szCs w:val="21"/>
        </w:rPr>
        <w:t>Jocurile de cazino</w:t>
      </w:r>
    </w:p>
    <w:p w:rsidR="00E26F6C" w:rsidRPr="00025734" w:rsidRDefault="00E26F6C" w:rsidP="008D301E">
      <w:pPr>
        <w:pStyle w:val="Brdtexthalv"/>
        <w:keepNext/>
        <w:keepLines/>
        <w:rPr>
          <w:rFonts w:ascii="Times New Roman" w:hAnsi="Times New Roman" w:cs="Times New Roman"/>
          <w:w w:val="100"/>
          <w:sz w:val="19"/>
          <w:szCs w:val="19"/>
        </w:rPr>
      </w:pPr>
      <w:r w:rsidRPr="00025734">
        <w:rPr>
          <w:rFonts w:ascii="Times New Roman" w:hAnsi="Times New Roman"/>
          <w:b/>
          <w:sz w:val="19"/>
          <w:szCs w:val="19"/>
        </w:rPr>
        <w:t>Articolul 3</w:t>
      </w:r>
      <w:r w:rsidRPr="00025734">
        <w:rPr>
          <w:rFonts w:ascii="Times New Roman" w:hAnsi="Times New Roman"/>
          <w:sz w:val="19"/>
          <w:szCs w:val="19"/>
        </w:rPr>
        <w:t xml:space="preserve"> Pentru următoarele jocuri de cazino pot fi acordate licențe în conformitate cu capitolul 7 articolul 1 din Legea privind jocurile de noroc (2018:1138):</w:t>
      </w:r>
    </w:p>
    <w:p w:rsidR="00E26F6C" w:rsidRPr="00025734" w:rsidRDefault="00E26F6C" w:rsidP="0098460E">
      <w:pPr>
        <w:pStyle w:val="brdtextfyrkant"/>
        <w:numPr>
          <w:ilvl w:val="0"/>
          <w:numId w:val="1"/>
        </w:numPr>
        <w:tabs>
          <w:tab w:val="clear" w:pos="3060"/>
          <w:tab w:val="left" w:pos="426"/>
        </w:tabs>
        <w:ind w:left="0" w:firstLine="142"/>
        <w:rPr>
          <w:rFonts w:ascii="Times New Roman" w:hAnsi="Times New Roman" w:cs="Times New Roman"/>
          <w:w w:val="100"/>
          <w:sz w:val="19"/>
          <w:szCs w:val="19"/>
        </w:rPr>
      </w:pPr>
      <w:r w:rsidRPr="00025734">
        <w:rPr>
          <w:rFonts w:ascii="Times New Roman" w:hAnsi="Times New Roman"/>
          <w:sz w:val="19"/>
          <w:szCs w:val="19"/>
        </w:rPr>
        <w:t xml:space="preserve">1. ruleta; </w:t>
      </w:r>
    </w:p>
    <w:p w:rsidR="00E26F6C" w:rsidRPr="00025734" w:rsidRDefault="00E26F6C" w:rsidP="0098460E">
      <w:pPr>
        <w:pStyle w:val="brdtextfyrkant"/>
        <w:numPr>
          <w:ilvl w:val="0"/>
          <w:numId w:val="1"/>
        </w:numPr>
        <w:tabs>
          <w:tab w:val="clear" w:pos="3060"/>
          <w:tab w:val="left" w:pos="426"/>
        </w:tabs>
        <w:ind w:left="0" w:firstLine="142"/>
        <w:rPr>
          <w:rFonts w:ascii="Times New Roman" w:hAnsi="Times New Roman" w:cs="Times New Roman"/>
          <w:w w:val="100"/>
          <w:sz w:val="19"/>
          <w:szCs w:val="19"/>
        </w:rPr>
      </w:pPr>
      <w:proofErr w:type="spellStart"/>
      <w:r w:rsidRPr="00025734">
        <w:rPr>
          <w:rFonts w:ascii="Times New Roman" w:hAnsi="Times New Roman"/>
          <w:sz w:val="19"/>
          <w:szCs w:val="19"/>
        </w:rPr>
        <w:t>baccarat</w:t>
      </w:r>
      <w:proofErr w:type="spellEnd"/>
      <w:r w:rsidRPr="00025734">
        <w:rPr>
          <w:rFonts w:ascii="Times New Roman" w:hAnsi="Times New Roman"/>
          <w:sz w:val="19"/>
          <w:szCs w:val="19"/>
        </w:rPr>
        <w:t xml:space="preserve">; </w:t>
      </w:r>
    </w:p>
    <w:p w:rsidR="00E26F6C" w:rsidRPr="00025734" w:rsidRDefault="00E26F6C" w:rsidP="0098460E">
      <w:pPr>
        <w:pStyle w:val="brdtextfyrkant"/>
        <w:numPr>
          <w:ilvl w:val="0"/>
          <w:numId w:val="1"/>
        </w:numPr>
        <w:tabs>
          <w:tab w:val="clear" w:pos="3060"/>
          <w:tab w:val="left" w:pos="426"/>
        </w:tabs>
        <w:ind w:left="0" w:firstLine="142"/>
        <w:rPr>
          <w:rFonts w:ascii="Times New Roman" w:hAnsi="Times New Roman" w:cs="Times New Roman"/>
          <w:w w:val="100"/>
          <w:sz w:val="19"/>
          <w:szCs w:val="19"/>
        </w:rPr>
      </w:pPr>
      <w:proofErr w:type="spellStart"/>
      <w:r w:rsidRPr="00025734">
        <w:rPr>
          <w:rFonts w:ascii="Times New Roman" w:hAnsi="Times New Roman"/>
          <w:sz w:val="19"/>
          <w:szCs w:val="19"/>
        </w:rPr>
        <w:t>punto</w:t>
      </w:r>
      <w:proofErr w:type="spellEnd"/>
      <w:r w:rsidRPr="00025734">
        <w:rPr>
          <w:rFonts w:ascii="Times New Roman" w:hAnsi="Times New Roman"/>
          <w:sz w:val="19"/>
          <w:szCs w:val="19"/>
        </w:rPr>
        <w:t xml:space="preserve"> banco; </w:t>
      </w:r>
    </w:p>
    <w:p w:rsidR="00E26F6C" w:rsidRPr="00025734" w:rsidRDefault="00E26F6C" w:rsidP="0098460E">
      <w:pPr>
        <w:pStyle w:val="brdtextfyrkant"/>
        <w:numPr>
          <w:ilvl w:val="0"/>
          <w:numId w:val="1"/>
        </w:numPr>
        <w:tabs>
          <w:tab w:val="clear" w:pos="3060"/>
          <w:tab w:val="left" w:pos="426"/>
        </w:tabs>
        <w:ind w:left="0" w:firstLine="142"/>
        <w:rPr>
          <w:rFonts w:ascii="Times New Roman" w:hAnsi="Times New Roman" w:cs="Times New Roman"/>
          <w:w w:val="100"/>
          <w:sz w:val="19"/>
          <w:szCs w:val="19"/>
        </w:rPr>
      </w:pPr>
      <w:proofErr w:type="spellStart"/>
      <w:r w:rsidRPr="00025734">
        <w:rPr>
          <w:rFonts w:ascii="Times New Roman" w:hAnsi="Times New Roman"/>
          <w:sz w:val="19"/>
          <w:szCs w:val="19"/>
        </w:rPr>
        <w:t>blackjack</w:t>
      </w:r>
      <w:proofErr w:type="spellEnd"/>
      <w:r w:rsidRPr="00025734">
        <w:rPr>
          <w:rFonts w:ascii="Times New Roman" w:hAnsi="Times New Roman"/>
          <w:sz w:val="19"/>
          <w:szCs w:val="19"/>
        </w:rPr>
        <w:t xml:space="preserve">; </w:t>
      </w:r>
    </w:p>
    <w:p w:rsidR="00E26F6C" w:rsidRPr="00025734" w:rsidRDefault="00E26F6C" w:rsidP="0098460E">
      <w:pPr>
        <w:pStyle w:val="brdtextfyrkant"/>
        <w:numPr>
          <w:ilvl w:val="0"/>
          <w:numId w:val="1"/>
        </w:numPr>
        <w:tabs>
          <w:tab w:val="clear" w:pos="3060"/>
          <w:tab w:val="left" w:pos="426"/>
        </w:tabs>
        <w:ind w:left="0" w:firstLine="142"/>
        <w:rPr>
          <w:rFonts w:ascii="Times New Roman" w:hAnsi="Times New Roman" w:cs="Times New Roman"/>
          <w:w w:val="100"/>
          <w:sz w:val="19"/>
          <w:szCs w:val="19"/>
        </w:rPr>
      </w:pPr>
      <w:r w:rsidRPr="00025734">
        <w:rPr>
          <w:rFonts w:ascii="Times New Roman" w:hAnsi="Times New Roman"/>
          <w:sz w:val="19"/>
          <w:szCs w:val="19"/>
        </w:rPr>
        <w:t>poker; și</w:t>
      </w:r>
    </w:p>
    <w:p w:rsidR="00E26F6C" w:rsidRPr="00025734" w:rsidRDefault="00E26F6C" w:rsidP="0098460E">
      <w:pPr>
        <w:pStyle w:val="brdtextfyrkant"/>
        <w:numPr>
          <w:ilvl w:val="0"/>
          <w:numId w:val="1"/>
        </w:numPr>
        <w:tabs>
          <w:tab w:val="clear" w:pos="3060"/>
          <w:tab w:val="left" w:pos="426"/>
        </w:tabs>
        <w:ind w:left="0" w:firstLine="142"/>
        <w:rPr>
          <w:rFonts w:ascii="Times New Roman" w:hAnsi="Times New Roman" w:cs="Times New Roman"/>
          <w:w w:val="100"/>
          <w:sz w:val="19"/>
          <w:szCs w:val="19"/>
        </w:rPr>
      </w:pPr>
      <w:r w:rsidRPr="00025734">
        <w:rPr>
          <w:rFonts w:ascii="Times New Roman" w:hAnsi="Times New Roman"/>
          <w:sz w:val="19"/>
          <w:szCs w:val="19"/>
        </w:rPr>
        <w:t>zaruri.</w:t>
      </w:r>
    </w:p>
    <w:p w:rsidR="00E26F6C" w:rsidRPr="00025734" w:rsidRDefault="00E26F6C" w:rsidP="008D301E">
      <w:pPr>
        <w:pStyle w:val="Rubrik2"/>
        <w:keepLines/>
        <w:rPr>
          <w:rFonts w:ascii="Times New Roman" w:hAnsi="Times New Roman" w:cs="Times New Roman"/>
          <w:w w:val="100"/>
          <w:sz w:val="21"/>
          <w:szCs w:val="21"/>
        </w:rPr>
      </w:pPr>
      <w:r w:rsidRPr="00025734">
        <w:rPr>
          <w:rFonts w:ascii="Times New Roman" w:hAnsi="Times New Roman"/>
          <w:sz w:val="21"/>
          <w:szCs w:val="21"/>
        </w:rPr>
        <w:lastRenderedPageBreak/>
        <w:t>Contul de joc</w:t>
      </w:r>
    </w:p>
    <w:p w:rsidR="00E26F6C" w:rsidRPr="00025734" w:rsidRDefault="00E26F6C" w:rsidP="008D301E">
      <w:pPr>
        <w:pStyle w:val="Brdtexthalv"/>
        <w:keepNext/>
        <w:keepLines/>
        <w:rPr>
          <w:rFonts w:ascii="Times New Roman" w:hAnsi="Times New Roman" w:cs="Times New Roman"/>
          <w:w w:val="100"/>
          <w:sz w:val="19"/>
          <w:szCs w:val="19"/>
        </w:rPr>
      </w:pPr>
      <w:r w:rsidRPr="00025734">
        <w:rPr>
          <w:rFonts w:ascii="Times New Roman" w:hAnsi="Times New Roman"/>
          <w:b/>
          <w:sz w:val="19"/>
          <w:szCs w:val="19"/>
        </w:rPr>
        <w:t>Articolul 4</w:t>
      </w:r>
      <w:r w:rsidRPr="00025734">
        <w:rPr>
          <w:rFonts w:ascii="Times New Roman" w:hAnsi="Times New Roman"/>
          <w:sz w:val="19"/>
          <w:szCs w:val="19"/>
        </w:rPr>
        <w:t xml:space="preserve"> Un jucător poate avea doar un cont de joc.</w:t>
      </w:r>
    </w:p>
    <w:p w:rsidR="00E26F6C" w:rsidRPr="00025734" w:rsidRDefault="00E26F6C" w:rsidP="008D301E">
      <w:pPr>
        <w:pStyle w:val="brdtextfyrkant"/>
        <w:rPr>
          <w:rFonts w:ascii="Times New Roman" w:hAnsi="Times New Roman" w:cs="Times New Roman"/>
          <w:w w:val="100"/>
          <w:sz w:val="19"/>
          <w:szCs w:val="19"/>
        </w:rPr>
      </w:pPr>
      <w:r w:rsidRPr="00025734">
        <w:rPr>
          <w:rFonts w:ascii="Times New Roman" w:hAnsi="Times New Roman"/>
          <w:sz w:val="19"/>
          <w:szCs w:val="19"/>
        </w:rPr>
        <w:t>Primul paragraf nu se aplică titularilor de licență care furnizează jocuri de noroc pe adrese web diferite. În acest caz, un jucător poate avea mai multe conturi de joc înregistrate la un titular de licență, cu condiția ca titularul de licență:</w:t>
      </w:r>
    </w:p>
    <w:p w:rsidR="00E26F6C" w:rsidRPr="00025734" w:rsidRDefault="00E26F6C" w:rsidP="008D301E">
      <w:pPr>
        <w:pStyle w:val="brdtextfyrkant"/>
        <w:rPr>
          <w:rFonts w:ascii="Times New Roman" w:hAnsi="Times New Roman" w:cs="Times New Roman"/>
          <w:w w:val="100"/>
          <w:sz w:val="19"/>
          <w:szCs w:val="19"/>
        </w:rPr>
      </w:pPr>
      <w:r w:rsidRPr="00025734">
        <w:rPr>
          <w:rFonts w:ascii="Times New Roman" w:hAnsi="Times New Roman"/>
          <w:sz w:val="19"/>
          <w:szCs w:val="19"/>
        </w:rPr>
        <w:t>1. să poată identifica și defini conturile separate de joc ale jucătorului;</w:t>
      </w:r>
    </w:p>
    <w:p w:rsidR="00E26F6C" w:rsidRPr="00025734" w:rsidRDefault="00E26F6C" w:rsidP="008D301E">
      <w:pPr>
        <w:pStyle w:val="brdtextfyrkant"/>
        <w:rPr>
          <w:rFonts w:ascii="Times New Roman" w:hAnsi="Times New Roman" w:cs="Times New Roman"/>
          <w:w w:val="100"/>
          <w:sz w:val="19"/>
          <w:szCs w:val="19"/>
        </w:rPr>
      </w:pPr>
      <w:r w:rsidRPr="00025734">
        <w:rPr>
          <w:rFonts w:ascii="Times New Roman" w:hAnsi="Times New Roman"/>
          <w:sz w:val="19"/>
          <w:szCs w:val="19"/>
        </w:rPr>
        <w:t>2. să se asigure că jucătorul este exclus din toate jocurile titularului de licență în cazul în care acesta alege să se autoexcludă în conformitate cu capitolul 14 articolul 11 din Legea privind jocurile de noroc (2018:1138), dacă jucătorul nu alege în mod activ să se excludă doar de la unul sau mai multe jocuri specifice; și</w:t>
      </w:r>
    </w:p>
    <w:p w:rsidR="00E26F6C" w:rsidRPr="00025734" w:rsidRDefault="00E26F6C" w:rsidP="008D301E">
      <w:pPr>
        <w:pStyle w:val="brdtextfyrkant"/>
        <w:rPr>
          <w:rFonts w:ascii="Times New Roman" w:hAnsi="Times New Roman" w:cs="Times New Roman"/>
          <w:w w:val="100"/>
          <w:sz w:val="19"/>
          <w:szCs w:val="19"/>
        </w:rPr>
      </w:pPr>
      <w:r w:rsidRPr="00025734">
        <w:rPr>
          <w:rFonts w:ascii="Times New Roman" w:hAnsi="Times New Roman"/>
          <w:sz w:val="19"/>
          <w:szCs w:val="19"/>
        </w:rPr>
        <w:t xml:space="preserve">3. să poată observa comportamentul și tranzacțiile jucătorului din toate conturile separate ale acestuia. </w:t>
      </w:r>
    </w:p>
    <w:p w:rsidR="00E26F6C" w:rsidRPr="00025734" w:rsidRDefault="00E26F6C" w:rsidP="008D301E">
      <w:pPr>
        <w:pStyle w:val="Rubrik2"/>
        <w:keepLines/>
        <w:rPr>
          <w:rFonts w:ascii="Times New Roman" w:hAnsi="Times New Roman" w:cs="Times New Roman"/>
          <w:w w:val="100"/>
          <w:sz w:val="21"/>
          <w:szCs w:val="21"/>
        </w:rPr>
      </w:pPr>
      <w:r w:rsidRPr="00025734">
        <w:rPr>
          <w:rFonts w:ascii="Times New Roman" w:hAnsi="Times New Roman"/>
          <w:sz w:val="21"/>
          <w:szCs w:val="21"/>
        </w:rPr>
        <w:t>Conturi de joc temporare</w:t>
      </w:r>
    </w:p>
    <w:p w:rsidR="00E26F6C" w:rsidRPr="00025734" w:rsidRDefault="00E26F6C" w:rsidP="008D301E">
      <w:pPr>
        <w:pStyle w:val="Brdtexthalv"/>
        <w:rPr>
          <w:rFonts w:ascii="Times New Roman" w:hAnsi="Times New Roman" w:cs="Times New Roman"/>
          <w:w w:val="100"/>
          <w:sz w:val="19"/>
          <w:szCs w:val="19"/>
        </w:rPr>
      </w:pPr>
      <w:r w:rsidRPr="00025734">
        <w:rPr>
          <w:rFonts w:ascii="Times New Roman" w:hAnsi="Times New Roman"/>
          <w:b/>
          <w:sz w:val="19"/>
          <w:szCs w:val="19"/>
        </w:rPr>
        <w:t>Articolul 5</w:t>
      </w:r>
      <w:r w:rsidRPr="00025734">
        <w:rPr>
          <w:rFonts w:ascii="Times New Roman" w:hAnsi="Times New Roman"/>
          <w:sz w:val="19"/>
          <w:szCs w:val="19"/>
        </w:rPr>
        <w:t xml:space="preserve"> Un jucător nu trebuie să poată depune mai mult de 1/4 din cuantumul de bază într-un cont de joc temporar. </w:t>
      </w:r>
    </w:p>
    <w:p w:rsidR="00E26F6C" w:rsidRPr="00025734" w:rsidRDefault="00E26F6C" w:rsidP="008D301E">
      <w:pPr>
        <w:pStyle w:val="Brdtextblank"/>
        <w:rPr>
          <w:rFonts w:ascii="Times New Roman" w:hAnsi="Times New Roman" w:cs="Times New Roman"/>
          <w:w w:val="100"/>
          <w:sz w:val="19"/>
          <w:szCs w:val="19"/>
        </w:rPr>
      </w:pPr>
      <w:r w:rsidRPr="00025734">
        <w:rPr>
          <w:rFonts w:ascii="Times New Roman" w:hAnsi="Times New Roman"/>
          <w:b/>
          <w:sz w:val="19"/>
          <w:szCs w:val="19"/>
        </w:rPr>
        <w:t>Articolul 6</w:t>
      </w:r>
      <w:r w:rsidRPr="00025734">
        <w:rPr>
          <w:rFonts w:ascii="Times New Roman" w:hAnsi="Times New Roman"/>
          <w:sz w:val="19"/>
          <w:szCs w:val="19"/>
        </w:rPr>
        <w:t xml:space="preserve"> Un jucător care are un cont de joc temporar trebuie să fie notificat ca, în termen de 15 zile de la înregistrare, să furnizeze documentația care confirmă informațiile furnizate la înregistrare.</w:t>
      </w:r>
    </w:p>
    <w:p w:rsidR="00E26F6C" w:rsidRPr="00025734" w:rsidRDefault="00E26F6C" w:rsidP="008D301E">
      <w:pPr>
        <w:pStyle w:val="brdtextfyrkant"/>
        <w:rPr>
          <w:rFonts w:ascii="Times New Roman" w:hAnsi="Times New Roman" w:cs="Times New Roman"/>
          <w:w w:val="100"/>
          <w:sz w:val="19"/>
          <w:szCs w:val="19"/>
        </w:rPr>
      </w:pPr>
      <w:r w:rsidRPr="00025734">
        <w:rPr>
          <w:rFonts w:ascii="Times New Roman" w:hAnsi="Times New Roman"/>
          <w:sz w:val="19"/>
          <w:szCs w:val="19"/>
        </w:rPr>
        <w:t>Un cont de joc temporar poate fi utilizat pentru joc maximum 30 de zile.</w:t>
      </w:r>
    </w:p>
    <w:p w:rsidR="00E26F6C" w:rsidRPr="00025734" w:rsidRDefault="00E26F6C" w:rsidP="008D301E">
      <w:pPr>
        <w:pStyle w:val="Rubrik2"/>
        <w:keepLines/>
        <w:rPr>
          <w:rFonts w:ascii="Times New Roman" w:hAnsi="Times New Roman" w:cs="Times New Roman"/>
          <w:w w:val="100"/>
          <w:sz w:val="21"/>
          <w:szCs w:val="21"/>
        </w:rPr>
      </w:pPr>
      <w:r w:rsidRPr="00025734">
        <w:rPr>
          <w:rFonts w:ascii="Times New Roman" w:hAnsi="Times New Roman"/>
          <w:sz w:val="21"/>
          <w:szCs w:val="21"/>
        </w:rPr>
        <w:t>Informații pentru jucători</w:t>
      </w:r>
    </w:p>
    <w:p w:rsidR="00E26F6C" w:rsidRPr="00025734" w:rsidRDefault="00E26F6C" w:rsidP="008D301E">
      <w:pPr>
        <w:pStyle w:val="Brdtexthalv"/>
        <w:rPr>
          <w:rFonts w:ascii="Times New Roman" w:hAnsi="Times New Roman" w:cs="Times New Roman"/>
          <w:w w:val="100"/>
          <w:sz w:val="19"/>
          <w:szCs w:val="19"/>
        </w:rPr>
      </w:pPr>
      <w:r w:rsidRPr="00025734">
        <w:rPr>
          <w:rFonts w:ascii="Times New Roman" w:hAnsi="Times New Roman"/>
          <w:b/>
          <w:sz w:val="19"/>
          <w:szCs w:val="19"/>
        </w:rPr>
        <w:t>Articolul 7</w:t>
      </w:r>
      <w:r w:rsidRPr="00025734">
        <w:rPr>
          <w:rFonts w:ascii="Times New Roman" w:hAnsi="Times New Roman"/>
          <w:sz w:val="19"/>
          <w:szCs w:val="19"/>
        </w:rPr>
        <w:t xml:space="preserve"> În conformitate cu capitolul 14 articolul 4 din Legea privind jocurile de noroc (2018:1138), următoarele informații trebuie să fie ușor accesibile jucătorilor atunci când titularii de licență oferă jocuri de noroc:</w:t>
      </w:r>
    </w:p>
    <w:p w:rsidR="00E26F6C" w:rsidRPr="00025734" w:rsidRDefault="00E26F6C" w:rsidP="008D301E">
      <w:pPr>
        <w:pStyle w:val="brdtextfyrkant"/>
        <w:rPr>
          <w:rFonts w:ascii="Times New Roman" w:hAnsi="Times New Roman" w:cs="Times New Roman"/>
          <w:w w:val="100"/>
          <w:sz w:val="19"/>
          <w:szCs w:val="19"/>
        </w:rPr>
      </w:pPr>
      <w:r w:rsidRPr="00025734">
        <w:rPr>
          <w:rFonts w:ascii="Times New Roman" w:hAnsi="Times New Roman"/>
          <w:sz w:val="19"/>
          <w:szCs w:val="19"/>
        </w:rPr>
        <w:t>1. numele, numărul organizației, numărul de telefon și adresa de e-mail ale titularului de licență;</w:t>
      </w:r>
    </w:p>
    <w:p w:rsidR="00E26F6C" w:rsidRPr="00025734" w:rsidRDefault="00E26F6C" w:rsidP="008D301E">
      <w:pPr>
        <w:pStyle w:val="brdtextfyrkant"/>
        <w:rPr>
          <w:rFonts w:ascii="Times New Roman" w:hAnsi="Times New Roman" w:cs="Times New Roman"/>
          <w:w w:val="100"/>
          <w:sz w:val="19"/>
          <w:szCs w:val="19"/>
        </w:rPr>
      </w:pPr>
      <w:r w:rsidRPr="00025734">
        <w:rPr>
          <w:rFonts w:ascii="Times New Roman" w:hAnsi="Times New Roman"/>
          <w:sz w:val="19"/>
          <w:szCs w:val="19"/>
        </w:rPr>
        <w:t>2. perioada de valabilitate a licenței;</w:t>
      </w:r>
    </w:p>
    <w:p w:rsidR="00E26F6C" w:rsidRPr="00025734" w:rsidRDefault="00E26F6C" w:rsidP="008D301E">
      <w:pPr>
        <w:pStyle w:val="brdtextfyrkant"/>
        <w:rPr>
          <w:rFonts w:ascii="Times New Roman" w:hAnsi="Times New Roman" w:cs="Times New Roman"/>
          <w:w w:val="100"/>
          <w:sz w:val="19"/>
          <w:szCs w:val="19"/>
        </w:rPr>
      </w:pPr>
      <w:r w:rsidRPr="00025734">
        <w:rPr>
          <w:rFonts w:ascii="Times New Roman" w:hAnsi="Times New Roman"/>
          <w:sz w:val="19"/>
          <w:szCs w:val="19"/>
        </w:rPr>
        <w:t xml:space="preserve">3. riscurile care pot fi asociate cu jocurile pentru bani; </w:t>
      </w:r>
    </w:p>
    <w:p w:rsidR="00E26F6C" w:rsidRPr="00025734" w:rsidRDefault="00E26F6C" w:rsidP="008D301E">
      <w:pPr>
        <w:pStyle w:val="brdtextfyrkant"/>
        <w:rPr>
          <w:rFonts w:ascii="Times New Roman" w:hAnsi="Times New Roman" w:cs="Times New Roman"/>
          <w:w w:val="100"/>
          <w:sz w:val="19"/>
          <w:szCs w:val="19"/>
        </w:rPr>
      </w:pPr>
      <w:r w:rsidRPr="00025734">
        <w:rPr>
          <w:rFonts w:ascii="Times New Roman" w:hAnsi="Times New Roman"/>
          <w:sz w:val="19"/>
          <w:szCs w:val="19"/>
        </w:rPr>
        <w:t xml:space="preserve">4. datele de contact către un centru de suport independent de activitatea de jocuri de noroc pentru probleme legate de jocurile de noroc care poate oferi asistență pe baza condițiilor suedeze; </w:t>
      </w:r>
    </w:p>
    <w:p w:rsidR="00E26F6C" w:rsidRPr="00025734" w:rsidRDefault="00E26F6C" w:rsidP="008D301E">
      <w:pPr>
        <w:pStyle w:val="brdtextfyrkant"/>
        <w:rPr>
          <w:rFonts w:ascii="Times New Roman" w:hAnsi="Times New Roman" w:cs="Times New Roman"/>
          <w:w w:val="100"/>
          <w:sz w:val="19"/>
          <w:szCs w:val="19"/>
        </w:rPr>
      </w:pPr>
      <w:r w:rsidRPr="00025734">
        <w:rPr>
          <w:rFonts w:ascii="Times New Roman" w:hAnsi="Times New Roman"/>
          <w:sz w:val="19"/>
          <w:szCs w:val="19"/>
        </w:rPr>
        <w:t>5. faptul că Autoritatea suedeză de reglementare în domeniul jocurilor de noroc este autoritatea de licențiere și supraveghere;</w:t>
      </w:r>
    </w:p>
    <w:p w:rsidR="00E26F6C" w:rsidRPr="00025734" w:rsidRDefault="00E26F6C" w:rsidP="008D301E">
      <w:pPr>
        <w:pStyle w:val="brdtextfyrkant"/>
        <w:rPr>
          <w:rFonts w:ascii="Times New Roman" w:hAnsi="Times New Roman" w:cs="Times New Roman"/>
          <w:w w:val="100"/>
          <w:sz w:val="19"/>
          <w:szCs w:val="19"/>
        </w:rPr>
      </w:pPr>
      <w:r w:rsidRPr="00025734">
        <w:rPr>
          <w:rFonts w:ascii="Times New Roman" w:hAnsi="Times New Roman"/>
          <w:sz w:val="19"/>
          <w:szCs w:val="19"/>
        </w:rPr>
        <w:t>6. pariurile sau echivalentul pentru jocul vizat; și</w:t>
      </w:r>
    </w:p>
    <w:p w:rsidR="00E26F6C" w:rsidRPr="00025734" w:rsidRDefault="00E26F6C" w:rsidP="008D301E">
      <w:pPr>
        <w:pStyle w:val="brdtextfyrkant"/>
        <w:rPr>
          <w:rFonts w:ascii="Times New Roman" w:hAnsi="Times New Roman" w:cs="Times New Roman"/>
          <w:w w:val="100"/>
          <w:sz w:val="19"/>
          <w:szCs w:val="19"/>
        </w:rPr>
      </w:pPr>
      <w:r w:rsidRPr="00025734">
        <w:rPr>
          <w:rFonts w:ascii="Times New Roman" w:hAnsi="Times New Roman"/>
          <w:sz w:val="19"/>
          <w:szCs w:val="19"/>
        </w:rPr>
        <w:t>7. eventual alte costuri de participare la jocul vizat.</w:t>
      </w:r>
    </w:p>
    <w:p w:rsidR="00E26F6C" w:rsidRPr="00025734" w:rsidRDefault="00E26F6C" w:rsidP="008D301E">
      <w:pPr>
        <w:pStyle w:val="Rubrik4"/>
        <w:keepLines/>
        <w:widowControl/>
        <w:ind w:left="1120"/>
        <w:rPr>
          <w:rFonts w:ascii="Times New Roman" w:hAnsi="Times New Roman" w:cs="Times New Roman"/>
          <w:w w:val="100"/>
          <w:sz w:val="19"/>
          <w:szCs w:val="19"/>
        </w:rPr>
      </w:pPr>
      <w:r w:rsidRPr="00025734">
        <w:rPr>
          <w:rFonts w:ascii="Times New Roman" w:hAnsi="Times New Roman"/>
          <w:sz w:val="19"/>
          <w:szCs w:val="19"/>
        </w:rPr>
        <w:t>Orientări generale:</w:t>
      </w:r>
    </w:p>
    <w:p w:rsidR="00E26F6C" w:rsidRPr="00025734" w:rsidRDefault="00E26F6C" w:rsidP="008D301E">
      <w:pPr>
        <w:pStyle w:val="Brdtexthalv"/>
        <w:ind w:left="1120"/>
        <w:rPr>
          <w:rFonts w:ascii="Times New Roman" w:hAnsi="Times New Roman" w:cs="Times New Roman"/>
          <w:w w:val="100"/>
          <w:sz w:val="19"/>
          <w:szCs w:val="19"/>
        </w:rPr>
      </w:pPr>
      <w:r w:rsidRPr="00025734">
        <w:rPr>
          <w:rFonts w:ascii="Times New Roman" w:hAnsi="Times New Roman"/>
          <w:sz w:val="19"/>
          <w:szCs w:val="19"/>
        </w:rPr>
        <w:t xml:space="preserve">Un centru de suport independent poate fi, de exemplu, </w:t>
      </w:r>
      <w:proofErr w:type="spellStart"/>
      <w:r w:rsidRPr="00025734">
        <w:rPr>
          <w:rFonts w:ascii="Times New Roman" w:hAnsi="Times New Roman"/>
          <w:sz w:val="19"/>
          <w:szCs w:val="19"/>
        </w:rPr>
        <w:t>Stödlinjen</w:t>
      </w:r>
      <w:proofErr w:type="spellEnd"/>
      <w:r w:rsidRPr="00025734">
        <w:rPr>
          <w:rFonts w:ascii="Times New Roman" w:hAnsi="Times New Roman"/>
          <w:sz w:val="19"/>
          <w:szCs w:val="19"/>
        </w:rPr>
        <w:t xml:space="preserve">. </w:t>
      </w:r>
    </w:p>
    <w:p w:rsidR="00E26F6C" w:rsidRPr="00025734" w:rsidRDefault="00E26F6C" w:rsidP="008D301E">
      <w:pPr>
        <w:pStyle w:val="Brdtextblank"/>
        <w:rPr>
          <w:rFonts w:ascii="Times New Roman" w:hAnsi="Times New Roman" w:cs="Times New Roman"/>
          <w:w w:val="100"/>
          <w:sz w:val="19"/>
          <w:szCs w:val="19"/>
        </w:rPr>
      </w:pPr>
      <w:r w:rsidRPr="00025734">
        <w:rPr>
          <w:rFonts w:ascii="Times New Roman" w:hAnsi="Times New Roman"/>
          <w:b/>
          <w:sz w:val="19"/>
          <w:szCs w:val="19"/>
        </w:rPr>
        <w:t>Articolul 8</w:t>
      </w:r>
      <w:r w:rsidRPr="00025734">
        <w:rPr>
          <w:rFonts w:ascii="Times New Roman" w:hAnsi="Times New Roman"/>
          <w:sz w:val="19"/>
          <w:szCs w:val="19"/>
        </w:rPr>
        <w:t xml:space="preserve"> Informațiile furnizate la articolul 7 alineatul (1) și 4 trebuie să fie clar vizibile pe pagina de pornire a titularului de licență, alături de logoul Autorității suedeze de reglementare în domeniul jocurilor de noroc cu un link la pagina web a autorității și cu un link la condițiile de utilizare.</w:t>
      </w:r>
    </w:p>
    <w:p w:rsidR="00E26F6C" w:rsidRPr="00025734" w:rsidRDefault="00E26F6C" w:rsidP="008D301E">
      <w:pPr>
        <w:pStyle w:val="Brdtextblank"/>
        <w:rPr>
          <w:rFonts w:ascii="Times New Roman" w:hAnsi="Times New Roman" w:cs="Times New Roman"/>
          <w:w w:val="100"/>
          <w:sz w:val="19"/>
          <w:szCs w:val="19"/>
        </w:rPr>
      </w:pPr>
      <w:r w:rsidRPr="00025734">
        <w:rPr>
          <w:rFonts w:ascii="Times New Roman" w:hAnsi="Times New Roman"/>
          <w:b/>
          <w:sz w:val="19"/>
          <w:szCs w:val="19"/>
        </w:rPr>
        <w:lastRenderedPageBreak/>
        <w:t>Articolul 9</w:t>
      </w:r>
      <w:r w:rsidRPr="00025734">
        <w:rPr>
          <w:rFonts w:ascii="Times New Roman" w:hAnsi="Times New Roman"/>
          <w:sz w:val="19"/>
          <w:szCs w:val="19"/>
        </w:rPr>
        <w:t xml:space="preserve"> În cazul modificării condițiilor de utilizare aplicabile, și dacă modificările nu sunt nesemnificative, jucătorul trebuie să fie informat despre aceste modificări înainte ca acestea să devină aplicabile. </w:t>
      </w:r>
    </w:p>
    <w:p w:rsidR="00E26F6C" w:rsidRPr="00025734" w:rsidRDefault="00E26F6C" w:rsidP="008D301E">
      <w:pPr>
        <w:pStyle w:val="Rubrik4"/>
        <w:keepLines/>
        <w:widowControl/>
        <w:ind w:left="1120"/>
        <w:rPr>
          <w:rFonts w:ascii="Times New Roman" w:hAnsi="Times New Roman" w:cs="Times New Roman"/>
          <w:w w:val="100"/>
          <w:sz w:val="19"/>
          <w:szCs w:val="19"/>
        </w:rPr>
      </w:pPr>
      <w:r w:rsidRPr="00025734">
        <w:rPr>
          <w:rFonts w:ascii="Times New Roman" w:hAnsi="Times New Roman"/>
          <w:sz w:val="19"/>
          <w:szCs w:val="19"/>
        </w:rPr>
        <w:t xml:space="preserve">Orientări generale: </w:t>
      </w:r>
    </w:p>
    <w:p w:rsidR="00E26F6C" w:rsidRPr="00025734" w:rsidRDefault="00E26F6C" w:rsidP="008D301E">
      <w:pPr>
        <w:pStyle w:val="Brdtexthalv"/>
        <w:ind w:left="1120"/>
        <w:rPr>
          <w:rFonts w:ascii="Times New Roman" w:hAnsi="Times New Roman" w:cs="Times New Roman"/>
          <w:w w:val="100"/>
          <w:sz w:val="19"/>
          <w:szCs w:val="19"/>
        </w:rPr>
      </w:pPr>
      <w:r w:rsidRPr="00025734">
        <w:rPr>
          <w:rFonts w:ascii="Times New Roman" w:hAnsi="Times New Roman"/>
          <w:sz w:val="19"/>
          <w:szCs w:val="19"/>
        </w:rPr>
        <w:t>Modificările care sunt nesemnificative pot însemna, de exemplu, modificări ale unei greșeli de redactare.</w:t>
      </w:r>
    </w:p>
    <w:p w:rsidR="00E26F6C" w:rsidRPr="00025734" w:rsidRDefault="00E26F6C" w:rsidP="008D301E">
      <w:pPr>
        <w:pStyle w:val="brdtextfyrkant"/>
        <w:ind w:left="1120" w:firstLine="200"/>
        <w:rPr>
          <w:rFonts w:ascii="Times New Roman" w:hAnsi="Times New Roman" w:cs="Times New Roman"/>
          <w:b/>
          <w:bCs/>
          <w:w w:val="100"/>
          <w:sz w:val="19"/>
          <w:szCs w:val="19"/>
        </w:rPr>
      </w:pPr>
      <w:r w:rsidRPr="00025734">
        <w:rPr>
          <w:rFonts w:ascii="Times New Roman" w:hAnsi="Times New Roman"/>
          <w:sz w:val="19"/>
          <w:szCs w:val="19"/>
        </w:rPr>
        <w:t>Informațiile pentru jucători privind modificările condițiilor de utilizare pot fi furnizate, de exemplu, printr-o notificare scrisă sau prin aprobarea de către jucător a noilor condiții de utilizare în momentul conectării.</w:t>
      </w:r>
    </w:p>
    <w:p w:rsidR="00E26F6C" w:rsidRPr="00025734" w:rsidRDefault="00E26F6C" w:rsidP="008D301E">
      <w:pPr>
        <w:pStyle w:val="Rubrik2"/>
        <w:keepLines/>
        <w:rPr>
          <w:rFonts w:ascii="Times New Roman" w:hAnsi="Times New Roman" w:cs="Times New Roman"/>
          <w:w w:val="100"/>
          <w:sz w:val="21"/>
          <w:szCs w:val="21"/>
        </w:rPr>
      </w:pPr>
      <w:r w:rsidRPr="00025734">
        <w:rPr>
          <w:rFonts w:ascii="Times New Roman" w:hAnsi="Times New Roman"/>
          <w:sz w:val="21"/>
          <w:szCs w:val="21"/>
        </w:rPr>
        <w:t>Informații specific privind jocul de poker</w:t>
      </w:r>
    </w:p>
    <w:p w:rsidR="00E26F6C" w:rsidRPr="00025734" w:rsidRDefault="00E26F6C" w:rsidP="008D301E">
      <w:pPr>
        <w:pStyle w:val="Brdtexthalv"/>
        <w:keepNext/>
        <w:keepLines/>
        <w:rPr>
          <w:rFonts w:ascii="Times New Roman" w:hAnsi="Times New Roman" w:cs="Times New Roman"/>
          <w:w w:val="100"/>
          <w:sz w:val="19"/>
          <w:szCs w:val="19"/>
        </w:rPr>
      </w:pPr>
      <w:r w:rsidRPr="00025734">
        <w:rPr>
          <w:rFonts w:ascii="Times New Roman" w:hAnsi="Times New Roman"/>
          <w:b/>
          <w:sz w:val="19"/>
          <w:szCs w:val="19"/>
        </w:rPr>
        <w:t>Articolul 10</w:t>
      </w:r>
      <w:r w:rsidRPr="00025734">
        <w:rPr>
          <w:rFonts w:ascii="Times New Roman" w:hAnsi="Times New Roman"/>
          <w:sz w:val="19"/>
          <w:szCs w:val="19"/>
        </w:rPr>
        <w:t xml:space="preserve"> Un joc de poker în desfășurare trebuie să fie vizibil pentru toți jucătorii conectați. </w:t>
      </w:r>
    </w:p>
    <w:p w:rsidR="00E26F6C" w:rsidRPr="00025734" w:rsidRDefault="00E26F6C" w:rsidP="008D301E">
      <w:pPr>
        <w:pStyle w:val="brdtextfyrkant"/>
        <w:rPr>
          <w:rFonts w:ascii="Times New Roman" w:hAnsi="Times New Roman" w:cs="Times New Roman"/>
          <w:w w:val="100"/>
          <w:sz w:val="19"/>
          <w:szCs w:val="19"/>
        </w:rPr>
      </w:pPr>
      <w:r w:rsidRPr="00025734">
        <w:rPr>
          <w:rFonts w:ascii="Times New Roman" w:hAnsi="Times New Roman"/>
          <w:sz w:val="19"/>
          <w:szCs w:val="19"/>
        </w:rPr>
        <w:t>Primul paragraf nu se aplică dacă participarea la jocuri de poker necesită o înregistrare specială. În acest caz, jocul de poker în desfășurare este vizibil doar pentru jucătorii special înregistrați.</w:t>
      </w:r>
    </w:p>
    <w:p w:rsidR="00E26F6C" w:rsidRPr="00025734" w:rsidRDefault="00E26F6C" w:rsidP="008D301E">
      <w:pPr>
        <w:pStyle w:val="Brdtextblank"/>
        <w:rPr>
          <w:rFonts w:ascii="Times New Roman" w:hAnsi="Times New Roman" w:cs="Times New Roman"/>
          <w:w w:val="100"/>
          <w:sz w:val="19"/>
          <w:szCs w:val="19"/>
        </w:rPr>
      </w:pPr>
      <w:r w:rsidRPr="00025734">
        <w:rPr>
          <w:rFonts w:ascii="Times New Roman" w:hAnsi="Times New Roman"/>
          <w:b/>
          <w:sz w:val="19"/>
          <w:szCs w:val="19"/>
        </w:rPr>
        <w:t>Articolul 11</w:t>
      </w:r>
      <w:r w:rsidRPr="00025734">
        <w:rPr>
          <w:rFonts w:ascii="Times New Roman" w:hAnsi="Times New Roman"/>
          <w:sz w:val="19"/>
          <w:szCs w:val="19"/>
        </w:rPr>
        <w:t xml:space="preserve"> În conformitate cu capitolul 14 articolul 13 din Legea privind jocurile de noroc (2018:1138), titularul de licență trebuie să dispună de personal cel puțin pe durata în care jucătorii pot participa la jocul de poker. </w:t>
      </w:r>
    </w:p>
    <w:p w:rsidR="00E26F6C" w:rsidRPr="00025734" w:rsidRDefault="00E26F6C" w:rsidP="008D301E">
      <w:pPr>
        <w:pStyle w:val="Rubrik2"/>
        <w:keepLines/>
        <w:rPr>
          <w:rFonts w:ascii="Times New Roman" w:hAnsi="Times New Roman" w:cs="Times New Roman"/>
          <w:w w:val="100"/>
          <w:sz w:val="21"/>
          <w:szCs w:val="21"/>
        </w:rPr>
      </w:pPr>
      <w:r w:rsidRPr="00025734">
        <w:rPr>
          <w:rFonts w:ascii="Times New Roman" w:hAnsi="Times New Roman"/>
          <w:sz w:val="21"/>
          <w:szCs w:val="21"/>
        </w:rPr>
        <w:t>Informații pentru agențiile de joc</w:t>
      </w:r>
    </w:p>
    <w:p w:rsidR="00E26F6C" w:rsidRPr="00025734" w:rsidRDefault="00E26F6C" w:rsidP="008D301E">
      <w:pPr>
        <w:pStyle w:val="Brdtexthalv"/>
        <w:rPr>
          <w:rFonts w:ascii="Times New Roman" w:hAnsi="Times New Roman" w:cs="Times New Roman"/>
          <w:w w:val="100"/>
          <w:sz w:val="19"/>
          <w:szCs w:val="19"/>
        </w:rPr>
      </w:pPr>
      <w:r w:rsidRPr="00025734">
        <w:rPr>
          <w:rFonts w:ascii="Times New Roman" w:hAnsi="Times New Roman"/>
          <w:b/>
          <w:sz w:val="19"/>
          <w:szCs w:val="19"/>
        </w:rPr>
        <w:t>Articolul 12</w:t>
      </w:r>
      <w:r w:rsidRPr="00025734">
        <w:rPr>
          <w:rFonts w:ascii="Times New Roman" w:hAnsi="Times New Roman"/>
          <w:sz w:val="19"/>
          <w:szCs w:val="19"/>
        </w:rPr>
        <w:t xml:space="preserve"> Agențiile de joc trebuie să aibă cunoștințe în ceea ce privește părțile relevante ale Legii privind jocurile de noroc (2018:1138), ale Regulamentului privind jocurile de noroc (2018:1475), ale reglementărilor, ale orientărilor generale și ale condițiilor titularului de licență, precum și rutina și instrucțiunile interne ale titularului de licență legate de activitățile agenției de jocuri și care sunt relevante pentru aceasta.</w:t>
      </w:r>
    </w:p>
    <w:p w:rsidR="00E26F6C" w:rsidRPr="00025734" w:rsidRDefault="00E26F6C" w:rsidP="008D301E">
      <w:pPr>
        <w:pStyle w:val="Rubrik4"/>
        <w:keepLines/>
        <w:widowControl/>
        <w:ind w:left="1120"/>
        <w:rPr>
          <w:rFonts w:ascii="Times New Roman" w:hAnsi="Times New Roman" w:cs="Times New Roman"/>
          <w:w w:val="100"/>
          <w:sz w:val="19"/>
          <w:szCs w:val="19"/>
        </w:rPr>
      </w:pPr>
      <w:r w:rsidRPr="00025734">
        <w:rPr>
          <w:rFonts w:ascii="Times New Roman" w:hAnsi="Times New Roman"/>
          <w:sz w:val="19"/>
          <w:szCs w:val="19"/>
        </w:rPr>
        <w:t xml:space="preserve">Orientări generale: </w:t>
      </w:r>
    </w:p>
    <w:p w:rsidR="00E26F6C" w:rsidRPr="00025734" w:rsidRDefault="00E26F6C" w:rsidP="008D301E">
      <w:pPr>
        <w:pStyle w:val="Brdtexthalv"/>
        <w:ind w:left="1120"/>
        <w:rPr>
          <w:rFonts w:ascii="Times New Roman" w:hAnsi="Times New Roman" w:cs="Times New Roman"/>
          <w:w w:val="100"/>
          <w:sz w:val="19"/>
          <w:szCs w:val="19"/>
        </w:rPr>
      </w:pPr>
      <w:r w:rsidRPr="00025734">
        <w:rPr>
          <w:rFonts w:ascii="Times New Roman" w:hAnsi="Times New Roman"/>
          <w:sz w:val="19"/>
          <w:szCs w:val="19"/>
        </w:rPr>
        <w:t>Părțile relevante ale Legii privind jocurile de noroc, ale regulamentului și ale reglementărilor pot include, de exemplu, faptul că un jucător trebuie să aibă 18 ani pentru a juca, faptul că este interzisă acordarea de credite pentru jocurile de noroc, locul de unde un jucător poate obține informații și asistență privind autoevaluarea, autoexcluderea și alte chestiuni legate de jocurile sale de noroc.</w:t>
      </w:r>
    </w:p>
    <w:p w:rsidR="00E26F6C" w:rsidRPr="00025734" w:rsidRDefault="00E26F6C" w:rsidP="0098460E">
      <w:pPr>
        <w:pStyle w:val="Brdtextlinje"/>
        <w:numPr>
          <w:ilvl w:val="0"/>
          <w:numId w:val="3"/>
        </w:numPr>
        <w:tabs>
          <w:tab w:val="left" w:pos="426"/>
        </w:tabs>
        <w:ind w:left="0" w:firstLine="180"/>
        <w:rPr>
          <w:rFonts w:ascii="Times New Roman" w:hAnsi="Times New Roman" w:cs="Times New Roman"/>
          <w:w w:val="100"/>
          <w:sz w:val="19"/>
          <w:szCs w:val="19"/>
        </w:rPr>
      </w:pPr>
      <w:r w:rsidRPr="00025734">
        <w:rPr>
          <w:rFonts w:ascii="Times New Roman" w:hAnsi="Times New Roman"/>
          <w:sz w:val="19"/>
          <w:szCs w:val="19"/>
        </w:rPr>
        <w:t>Prezentul regulament intră în vigoare la 1 ianuarie 2019.</w:t>
      </w:r>
    </w:p>
    <w:p w:rsidR="00E26F6C" w:rsidRPr="00025734" w:rsidRDefault="00E26F6C" w:rsidP="0098460E">
      <w:pPr>
        <w:pStyle w:val="brdtextfyrkant"/>
        <w:numPr>
          <w:ilvl w:val="0"/>
          <w:numId w:val="3"/>
        </w:numPr>
        <w:tabs>
          <w:tab w:val="left" w:pos="426"/>
        </w:tabs>
        <w:ind w:left="0" w:firstLine="180"/>
        <w:rPr>
          <w:rFonts w:ascii="Times New Roman" w:hAnsi="Times New Roman" w:cs="Times New Roman"/>
          <w:w w:val="100"/>
          <w:sz w:val="19"/>
          <w:szCs w:val="19"/>
        </w:rPr>
      </w:pPr>
      <w:r w:rsidRPr="00025734">
        <w:rPr>
          <w:rFonts w:ascii="Times New Roman" w:hAnsi="Times New Roman"/>
          <w:sz w:val="19"/>
          <w:szCs w:val="19"/>
        </w:rPr>
        <w:t>Regulamentul se aplică și cererilor de licență care au fost depuse la Inspecția Loteriilor și Jocurilor de Noroc după 1 august 2018 și care vizează perioada ulterioară datei de 1 ianuarie 2019.</w:t>
      </w:r>
    </w:p>
    <w:p w:rsidR="00E26F6C" w:rsidRPr="00025734" w:rsidRDefault="00E26F6C" w:rsidP="008D301E">
      <w:pPr>
        <w:pStyle w:val="Brdtextblank"/>
        <w:rPr>
          <w:rFonts w:ascii="Times New Roman" w:hAnsi="Times New Roman" w:cs="Times New Roman"/>
          <w:w w:val="100"/>
          <w:sz w:val="19"/>
          <w:szCs w:val="19"/>
        </w:rPr>
      </w:pPr>
    </w:p>
    <w:p w:rsidR="00E26F6C" w:rsidRPr="00025734" w:rsidRDefault="00E26F6C" w:rsidP="008D301E">
      <w:pPr>
        <w:pStyle w:val="Brdtextblank"/>
        <w:rPr>
          <w:rFonts w:ascii="Times New Roman" w:hAnsi="Times New Roman" w:cs="Times New Roman"/>
          <w:w w:val="100"/>
          <w:sz w:val="19"/>
          <w:szCs w:val="19"/>
        </w:rPr>
      </w:pPr>
      <w:r w:rsidRPr="00025734">
        <w:rPr>
          <w:rFonts w:ascii="Times New Roman" w:hAnsi="Times New Roman"/>
          <w:sz w:val="19"/>
          <w:szCs w:val="19"/>
        </w:rPr>
        <w:t>În numele Inspecției Loteriilor și Jocurilor de Noroc</w:t>
      </w:r>
    </w:p>
    <w:p w:rsidR="00E26F6C" w:rsidRPr="00025734" w:rsidRDefault="00E26F6C" w:rsidP="008D301E">
      <w:pPr>
        <w:pStyle w:val="Brdtextblank"/>
        <w:rPr>
          <w:rFonts w:ascii="Times New Roman" w:hAnsi="Times New Roman" w:cs="Times New Roman"/>
          <w:w w:val="100"/>
          <w:sz w:val="19"/>
          <w:szCs w:val="19"/>
        </w:rPr>
      </w:pPr>
      <w:proofErr w:type="spellStart"/>
      <w:r w:rsidRPr="00025734">
        <w:rPr>
          <w:rFonts w:ascii="Times New Roman" w:hAnsi="Times New Roman"/>
          <w:sz w:val="19"/>
          <w:szCs w:val="19"/>
        </w:rPr>
        <w:lastRenderedPageBreak/>
        <w:t>CAMILLA</w:t>
      </w:r>
      <w:proofErr w:type="spellEnd"/>
      <w:r w:rsidRPr="00025734">
        <w:rPr>
          <w:rFonts w:ascii="Times New Roman" w:hAnsi="Times New Roman"/>
          <w:sz w:val="19"/>
          <w:szCs w:val="19"/>
        </w:rPr>
        <w:t xml:space="preserve"> ROSENBERG</w:t>
      </w:r>
    </w:p>
    <w:p w:rsidR="00E26F6C" w:rsidRPr="00025734" w:rsidRDefault="00E26F6C" w:rsidP="008D301E">
      <w:pPr>
        <w:pStyle w:val="BodyText"/>
        <w:jc w:val="center"/>
        <w:rPr>
          <w:rFonts w:ascii="Times New Roman" w:hAnsi="Times New Roman" w:cs="Times New Roman"/>
          <w:w w:val="100"/>
          <w:sz w:val="19"/>
          <w:szCs w:val="19"/>
        </w:rPr>
      </w:pPr>
      <w:r w:rsidRPr="00025734">
        <w:rPr>
          <w:rFonts w:ascii="Times New Roman" w:hAnsi="Times New Roman"/>
          <w:sz w:val="19"/>
          <w:szCs w:val="19"/>
        </w:rPr>
        <w:t xml:space="preserve">Johan </w:t>
      </w:r>
      <w:proofErr w:type="spellStart"/>
      <w:r w:rsidRPr="00025734">
        <w:rPr>
          <w:rFonts w:ascii="Times New Roman" w:hAnsi="Times New Roman"/>
          <w:sz w:val="19"/>
          <w:szCs w:val="19"/>
        </w:rPr>
        <w:t>Röhr</w:t>
      </w:r>
      <w:proofErr w:type="spellEnd"/>
    </w:p>
    <w:sectPr w:rsidR="00E26F6C" w:rsidRPr="00025734">
      <w:headerReference w:type="even" r:id="rId7"/>
      <w:headerReference w:type="default" r:id="rId8"/>
      <w:footerReference w:type="even" r:id="rId9"/>
      <w:footerReference w:type="default" r:id="rId10"/>
      <w:headerReference w:type="first" r:id="rId11"/>
      <w:footerReference w:type="first" r:id="rId12"/>
      <w:pgSz w:w="9354" w:h="13720"/>
      <w:pgMar w:top="680" w:right="2306" w:bottom="1302" w:left="1154" w:header="720" w:footer="720"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E1820" w:rsidRDefault="00BE1820">
      <w:pPr>
        <w:spacing w:after="0" w:line="240" w:lineRule="auto"/>
      </w:pPr>
      <w:r>
        <w:separator/>
      </w:r>
    </w:p>
  </w:endnote>
  <w:endnote w:type="continuationSeparator" w:id="0">
    <w:p w:rsidR="00BE1820" w:rsidRDefault="00BE18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Times">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6F6C" w:rsidRPr="00053DD8" w:rsidRDefault="00E26F6C">
    <w:pPr>
      <w:pStyle w:val="Footer"/>
      <w:tabs>
        <w:tab w:val="center" w:pos="12800"/>
        <w:tab w:val="right" w:pos="25600"/>
      </w:tabs>
      <w:jc w:val="left"/>
      <w:rPr>
        <w:rStyle w:val="Pagina"/>
        <w:rFonts w:ascii="Times New Roman" w:hAnsi="Times New Roman" w:cs="Times New Roman"/>
        <w:w w:val="100"/>
      </w:rPr>
    </w:pPr>
    <w:r w:rsidRPr="00053DD8">
      <w:rPr>
        <w:rStyle w:val="Pagina"/>
        <w:rFonts w:ascii="Times New Roman" w:hAnsi="Times New Roman" w:cs="Times New Roman"/>
      </w:rPr>
      <w:fldChar w:fldCharType="begin"/>
    </w:r>
    <w:r w:rsidRPr="00053DD8">
      <w:rPr>
        <w:rStyle w:val="Pagina"/>
        <w:rFonts w:ascii="Times New Roman" w:hAnsi="Times New Roman" w:cs="Times New Roman"/>
      </w:rPr>
      <w:instrText xml:space="preserve"> PAGE </w:instrText>
    </w:r>
    <w:r w:rsidRPr="00053DD8">
      <w:rPr>
        <w:rStyle w:val="Pagina"/>
        <w:rFonts w:ascii="Times New Roman" w:hAnsi="Times New Roman" w:cs="Times New Roman"/>
      </w:rPr>
      <w:fldChar w:fldCharType="separate"/>
    </w:r>
    <w:r w:rsidR="00025734">
      <w:rPr>
        <w:rStyle w:val="Pagina"/>
        <w:rFonts w:ascii="Times New Roman" w:hAnsi="Times New Roman" w:cs="Times New Roman"/>
        <w:noProof/>
      </w:rPr>
      <w:t>4</w:t>
    </w:r>
    <w:r w:rsidRPr="00053DD8">
      <w:rPr>
        <w:rStyle w:val="Pagina"/>
        <w:rFonts w:ascii="Times New Roman" w:hAnsi="Times New Roman" w:cs="Times New Roman"/>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6F6C" w:rsidRPr="00053DD8" w:rsidRDefault="00E26F6C">
    <w:pPr>
      <w:pStyle w:val="Footer"/>
      <w:tabs>
        <w:tab w:val="center" w:pos="12800"/>
        <w:tab w:val="right" w:pos="25600"/>
      </w:tabs>
      <w:rPr>
        <w:rStyle w:val="Pagina"/>
        <w:rFonts w:ascii="Times New Roman" w:hAnsi="Times New Roman" w:cs="Times New Roman"/>
        <w:w w:val="100"/>
      </w:rPr>
    </w:pPr>
    <w:r w:rsidRPr="00053DD8">
      <w:rPr>
        <w:rStyle w:val="Pagina"/>
        <w:rFonts w:ascii="Times New Roman" w:hAnsi="Times New Roman" w:cs="Times New Roman"/>
      </w:rPr>
      <w:fldChar w:fldCharType="begin"/>
    </w:r>
    <w:r w:rsidRPr="00053DD8">
      <w:rPr>
        <w:rStyle w:val="Pagina"/>
        <w:rFonts w:ascii="Times New Roman" w:hAnsi="Times New Roman" w:cs="Times New Roman"/>
      </w:rPr>
      <w:instrText xml:space="preserve"> PAGE </w:instrText>
    </w:r>
    <w:r w:rsidRPr="00053DD8">
      <w:rPr>
        <w:rStyle w:val="Pagina"/>
        <w:rFonts w:ascii="Times New Roman" w:hAnsi="Times New Roman" w:cs="Times New Roman"/>
      </w:rPr>
      <w:fldChar w:fldCharType="separate"/>
    </w:r>
    <w:r w:rsidR="00025734">
      <w:rPr>
        <w:rStyle w:val="Pagina"/>
        <w:rFonts w:ascii="Times New Roman" w:hAnsi="Times New Roman" w:cs="Times New Roman"/>
        <w:noProof/>
      </w:rPr>
      <w:t>3</w:t>
    </w:r>
    <w:r w:rsidRPr="00053DD8">
      <w:rPr>
        <w:rStyle w:val="Pagina"/>
        <w:rFonts w:ascii="Times New Roman" w:hAnsi="Times New Roman" w:cs="Times New Roman"/>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6F6C" w:rsidRPr="00053DD8" w:rsidRDefault="00E26F6C">
    <w:pPr>
      <w:pStyle w:val="Footer"/>
      <w:rPr>
        <w:rStyle w:val="Pagina"/>
        <w:rFonts w:ascii="Times New Roman" w:hAnsi="Times New Roman" w:cs="Times New Roman"/>
        <w:w w:val="100"/>
      </w:rPr>
    </w:pPr>
    <w:r w:rsidRPr="00053DD8">
      <w:rPr>
        <w:rStyle w:val="Pagina"/>
        <w:rFonts w:ascii="Times New Roman" w:hAnsi="Times New Roman" w:cs="Times New Roman"/>
      </w:rPr>
      <w:fldChar w:fldCharType="begin"/>
    </w:r>
    <w:r w:rsidRPr="00053DD8">
      <w:rPr>
        <w:rStyle w:val="Pagina"/>
        <w:rFonts w:ascii="Times New Roman" w:hAnsi="Times New Roman" w:cs="Times New Roman"/>
      </w:rPr>
      <w:instrText xml:space="preserve"> PAGE </w:instrText>
    </w:r>
    <w:r w:rsidRPr="00053DD8">
      <w:rPr>
        <w:rStyle w:val="Pagina"/>
        <w:rFonts w:ascii="Times New Roman" w:hAnsi="Times New Roman" w:cs="Times New Roman"/>
      </w:rPr>
      <w:fldChar w:fldCharType="separate"/>
    </w:r>
    <w:r w:rsidR="00025734">
      <w:rPr>
        <w:rStyle w:val="Pagina"/>
        <w:rFonts w:ascii="Times New Roman" w:hAnsi="Times New Roman" w:cs="Times New Roman"/>
        <w:noProof/>
      </w:rPr>
      <w:t>1</w:t>
    </w:r>
    <w:r w:rsidRPr="00053DD8">
      <w:rPr>
        <w:rStyle w:val="Pagina"/>
        <w:rFonts w:ascii="Times New Roman" w:hAnsi="Times New Roman" w:cs="Times New Roman"/>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E1820" w:rsidRDefault="00BE1820">
      <w:pPr>
        <w:spacing w:after="0" w:line="240" w:lineRule="auto"/>
      </w:pPr>
      <w:r>
        <w:separator/>
      </w:r>
    </w:p>
  </w:footnote>
  <w:footnote w:type="continuationSeparator" w:id="0">
    <w:p w:rsidR="00BE1820" w:rsidRDefault="00BE1820">
      <w:pPr>
        <w:spacing w:after="0" w:line="240" w:lineRule="auto"/>
      </w:pPr>
      <w:r>
        <w:continuationSeparator/>
      </w:r>
    </w:p>
  </w:footnote>
  <w:footnote w:id="1">
    <w:p w:rsidR="00E26F6C" w:rsidRPr="008D301E" w:rsidRDefault="00E26F6C">
      <w:pPr>
        <w:pStyle w:val="Fotnot"/>
        <w:rPr>
          <w:rFonts w:ascii="Times New Roman" w:hAnsi="Times New Roman" w:cs="Times New Roman"/>
          <w:w w:val="100"/>
          <w:sz w:val="17"/>
          <w:szCs w:val="17"/>
        </w:rPr>
      </w:pPr>
      <w:r>
        <w:rPr>
          <w:rFonts w:ascii="Times New Roman" w:hAnsi="Times New Roman" w:cs="Times New Roman"/>
          <w:vertAlign w:val="superscript"/>
        </w:rPr>
        <w:footnoteRef/>
      </w:r>
      <w:r>
        <w:rPr>
          <w:rFonts w:ascii="Times New Roman" w:hAnsi="Times New Roman"/>
          <w:sz w:val="17"/>
          <w:szCs w:val="17"/>
        </w:rPr>
        <w:t> A se vedea Directiva (UE) 2015/1535 a Parlamentului European și a Consiliului din 9 septembrie 2015 referitoare la procedura de furnizare de informații în domeniul reglementărilor tehnice și al normelor privind serviciile societății informaționale.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6F6C" w:rsidRPr="00053DD8" w:rsidRDefault="00E26F6C">
    <w:pPr>
      <w:widowControl w:val="0"/>
      <w:autoSpaceDE w:val="0"/>
      <w:autoSpaceDN w:val="0"/>
      <w:adjustRightInd w:val="0"/>
      <w:spacing w:after="0" w:line="240" w:lineRule="auto"/>
      <w:rPr>
        <w:rFonts w:ascii="Times New Roman" w:hAnsi="Times New Roman"/>
        <w:sz w:val="21"/>
        <w:szCs w:val="21"/>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6F6C" w:rsidRPr="00053DD8" w:rsidRDefault="00E26F6C" w:rsidP="00053DD8">
    <w:pPr>
      <w:pStyle w:val="Header"/>
      <w:tabs>
        <w:tab w:val="clear" w:pos="2680"/>
        <w:tab w:val="clear" w:pos="4860"/>
        <w:tab w:val="center" w:pos="3840"/>
        <w:tab w:val="right" w:pos="7680"/>
        <w:tab w:val="center" w:pos="14920"/>
        <w:tab w:val="right" w:pos="29840"/>
      </w:tabs>
      <w:suppressAutoHyphens/>
      <w:jc w:val="right"/>
      <w:rPr>
        <w:rFonts w:ascii="Times New Roman" w:hAnsi="Times New Roman" w:cs="Times New Roman"/>
        <w:w w:val="100"/>
        <w:sz w:val="21"/>
        <w:szCs w:val="21"/>
      </w:rPr>
    </w:pPr>
    <w:proofErr w:type="spellStart"/>
    <w:r>
      <w:rPr>
        <w:rFonts w:ascii="Times New Roman" w:hAnsi="Times New Roman"/>
        <w:sz w:val="21"/>
        <w:szCs w:val="21"/>
      </w:rPr>
      <w:t>LIFS</w:t>
    </w:r>
    <w:proofErr w:type="spellEnd"/>
    <w:r>
      <w:rPr>
        <w:rFonts w:ascii="Times New Roman" w:hAnsi="Times New Roman"/>
        <w:sz w:val="21"/>
        <w:szCs w:val="21"/>
      </w:rPr>
      <w:t xml:space="preserve"> 2018:5</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6F6C" w:rsidRPr="00053DD8" w:rsidRDefault="00E26F6C">
    <w:pPr>
      <w:widowControl w:val="0"/>
      <w:autoSpaceDE w:val="0"/>
      <w:autoSpaceDN w:val="0"/>
      <w:adjustRightInd w:val="0"/>
      <w:spacing w:after="0" w:line="240" w:lineRule="auto"/>
      <w:rPr>
        <w:rFonts w:ascii="Times New Roman" w:hAnsi="Times New Roman"/>
        <w:sz w:val="21"/>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866649F"/>
    <w:multiLevelType w:val="hybridMultilevel"/>
    <w:tmpl w:val="E0E679E8"/>
    <w:lvl w:ilvl="0" w:tplc="19A2DA46">
      <w:start w:val="1"/>
      <w:numFmt w:val="decimal"/>
      <w:lvlText w:val="%1."/>
      <w:lvlJc w:val="left"/>
      <w:pPr>
        <w:ind w:left="900" w:hanging="360"/>
      </w:pPr>
      <w:rPr>
        <w:rFonts w:hint="eastAsia"/>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
    <w:nsid w:val="76934A2F"/>
    <w:multiLevelType w:val="hybridMultilevel"/>
    <w:tmpl w:val="AEF8F8E4"/>
    <w:lvl w:ilvl="0" w:tplc="B67ADE9C">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
    <w:nsid w:val="78536144"/>
    <w:multiLevelType w:val="hybridMultilevel"/>
    <w:tmpl w:val="5B30D3E0"/>
    <w:lvl w:ilvl="0" w:tplc="19A2DA46">
      <w:start w:val="1"/>
      <w:numFmt w:val="decimal"/>
      <w:lvlText w:val="%1."/>
      <w:lvlJc w:val="left"/>
      <w:pPr>
        <w:ind w:left="900" w:hanging="360"/>
      </w:pPr>
      <w:rPr>
        <w:rFonts w:hint="eastAsia"/>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defaultTabStop w:val="720"/>
  <w:hyphenationZone w:val="425"/>
  <w:doNotHyphenateCaps/>
  <w:evenAndOddHeader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7169"/>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4140"/>
    <w:rsid w:val="00025734"/>
    <w:rsid w:val="00053DD8"/>
    <w:rsid w:val="000960E2"/>
    <w:rsid w:val="002D5004"/>
    <w:rsid w:val="006E526C"/>
    <w:rsid w:val="0072448A"/>
    <w:rsid w:val="008D301E"/>
    <w:rsid w:val="0098460E"/>
    <w:rsid w:val="00A54B11"/>
    <w:rsid w:val="00BE1820"/>
    <w:rsid w:val="00CC1652"/>
    <w:rsid w:val="00E04140"/>
    <w:rsid w:val="00E26F6C"/>
    <w:rsid w:val="00FD04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7169"/>
    <o:shapelayout v:ext="edit">
      <o:idmap v:ext="edit" data="1"/>
    </o:shapelayout>
  </w:shapeDefaults>
  <w:decimalSymbol w:val=","/>
  <w:listSeparator w:val=";"/>
  <w14:defaultImageDpi w14:val="0"/>
  <w15:docId w15:val="{3A890AE6-AC3F-4335-B892-22D21E436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ro-RO"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szCs w:val="22"/>
      <w:lang w:eastAsia="sv-S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Utgivare">
    <w:name w:val="Utgivare"/>
    <w:pPr>
      <w:widowControl w:val="0"/>
      <w:tabs>
        <w:tab w:val="left" w:pos="100"/>
      </w:tabs>
      <w:autoSpaceDE w:val="0"/>
      <w:autoSpaceDN w:val="0"/>
      <w:adjustRightInd w:val="0"/>
      <w:spacing w:before="180" w:line="160" w:lineRule="atLeast"/>
      <w:jc w:val="both"/>
    </w:pPr>
    <w:rPr>
      <w:rFonts w:ascii="Times" w:hAnsi="Times" w:cs="Times"/>
      <w:color w:val="000000"/>
      <w:w w:val="0"/>
      <w:sz w:val="16"/>
      <w:szCs w:val="16"/>
      <w:lang w:eastAsia="sv-SE"/>
    </w:rPr>
  </w:style>
  <w:style w:type="paragraph" w:customStyle="1" w:styleId="Fristende7cic">
    <w:name w:val="Fristående 7 cic"/>
    <w:uiPriority w:val="99"/>
    <w:pPr>
      <w:tabs>
        <w:tab w:val="left" w:pos="1980"/>
      </w:tabs>
      <w:autoSpaceDE w:val="0"/>
      <w:autoSpaceDN w:val="0"/>
      <w:adjustRightInd w:val="0"/>
      <w:spacing w:before="100" w:line="220" w:lineRule="atLeast"/>
      <w:ind w:left="1980" w:hanging="1980"/>
      <w:jc w:val="both"/>
    </w:pPr>
    <w:rPr>
      <w:rFonts w:ascii="Times" w:hAnsi="Times" w:cs="Times"/>
      <w:color w:val="000000"/>
      <w:w w:val="0"/>
      <w:sz w:val="18"/>
      <w:szCs w:val="18"/>
      <w:lang w:eastAsia="sv-SE"/>
    </w:rPr>
  </w:style>
  <w:style w:type="paragraph" w:customStyle="1" w:styleId="Brdtextnytt">
    <w:name w:val="Brödtext nytt"/>
    <w:uiPriority w:val="99"/>
    <w:pPr>
      <w:tabs>
        <w:tab w:val="left" w:pos="3060"/>
      </w:tabs>
      <w:autoSpaceDE w:val="0"/>
      <w:autoSpaceDN w:val="0"/>
      <w:adjustRightInd w:val="0"/>
      <w:spacing w:line="220" w:lineRule="atLeast"/>
      <w:ind w:firstLine="180"/>
      <w:jc w:val="both"/>
    </w:pPr>
    <w:rPr>
      <w:rFonts w:ascii="Times" w:hAnsi="Times" w:cs="Times"/>
      <w:color w:val="000000"/>
      <w:w w:val="0"/>
      <w:sz w:val="18"/>
      <w:szCs w:val="18"/>
      <w:lang w:eastAsia="sv-SE"/>
    </w:rPr>
  </w:style>
  <w:style w:type="paragraph" w:styleId="BodyText">
    <w:name w:val="Body Text"/>
    <w:basedOn w:val="Normal"/>
    <w:link w:val="BodyTextChar"/>
    <w:uiPriority w:val="99"/>
    <w:pPr>
      <w:tabs>
        <w:tab w:val="left" w:pos="2940"/>
      </w:tabs>
      <w:autoSpaceDE w:val="0"/>
      <w:autoSpaceDN w:val="0"/>
      <w:adjustRightInd w:val="0"/>
      <w:spacing w:after="0" w:line="220" w:lineRule="atLeast"/>
      <w:jc w:val="both"/>
    </w:pPr>
    <w:rPr>
      <w:rFonts w:ascii="Times" w:hAnsi="Times" w:cs="Times"/>
      <w:color w:val="000000"/>
      <w:w w:val="0"/>
      <w:sz w:val="18"/>
      <w:szCs w:val="18"/>
    </w:rPr>
  </w:style>
  <w:style w:type="character" w:customStyle="1" w:styleId="BodyTextChar">
    <w:name w:val="Body Text Char"/>
    <w:link w:val="BodyText"/>
    <w:uiPriority w:val="99"/>
    <w:semiHidden/>
  </w:style>
  <w:style w:type="paragraph" w:customStyle="1" w:styleId="Brdtextblank">
    <w:name w:val="Brödtext blank"/>
    <w:uiPriority w:val="99"/>
    <w:pPr>
      <w:tabs>
        <w:tab w:val="left" w:pos="3060"/>
      </w:tabs>
      <w:autoSpaceDE w:val="0"/>
      <w:autoSpaceDN w:val="0"/>
      <w:adjustRightInd w:val="0"/>
      <w:spacing w:before="220" w:line="220" w:lineRule="atLeast"/>
      <w:jc w:val="both"/>
    </w:pPr>
    <w:rPr>
      <w:rFonts w:ascii="Times" w:hAnsi="Times" w:cs="Times"/>
      <w:color w:val="000000"/>
      <w:w w:val="0"/>
      <w:sz w:val="18"/>
      <w:szCs w:val="18"/>
      <w:lang w:eastAsia="sv-SE"/>
    </w:rPr>
  </w:style>
  <w:style w:type="paragraph" w:customStyle="1" w:styleId="Brdtexthalv">
    <w:name w:val="Brödtext halv"/>
    <w:uiPriority w:val="99"/>
    <w:pPr>
      <w:autoSpaceDE w:val="0"/>
      <w:autoSpaceDN w:val="0"/>
      <w:adjustRightInd w:val="0"/>
      <w:spacing w:before="100" w:line="220" w:lineRule="atLeast"/>
      <w:jc w:val="both"/>
    </w:pPr>
    <w:rPr>
      <w:rFonts w:ascii="Times" w:hAnsi="Times" w:cs="Times"/>
      <w:color w:val="000000"/>
      <w:w w:val="0"/>
      <w:sz w:val="18"/>
      <w:szCs w:val="18"/>
      <w:lang w:eastAsia="sv-SE"/>
    </w:rPr>
  </w:style>
  <w:style w:type="paragraph" w:customStyle="1" w:styleId="Brdtextlinje">
    <w:name w:val="Brödtext linje"/>
    <w:uiPriority w:val="99"/>
    <w:pPr>
      <w:pBdr>
        <w:top w:val="single" w:sz="8" w:space="0" w:color="auto"/>
      </w:pBdr>
      <w:autoSpaceDE w:val="0"/>
      <w:autoSpaceDN w:val="0"/>
      <w:adjustRightInd w:val="0"/>
      <w:spacing w:line="220" w:lineRule="atLeast"/>
      <w:ind w:firstLine="180"/>
      <w:jc w:val="both"/>
    </w:pPr>
    <w:rPr>
      <w:rFonts w:ascii="Times" w:hAnsi="Times" w:cs="Times"/>
      <w:color w:val="000000"/>
      <w:w w:val="0"/>
      <w:sz w:val="18"/>
      <w:szCs w:val="18"/>
      <w:lang w:eastAsia="sv-SE"/>
    </w:rPr>
  </w:style>
  <w:style w:type="paragraph" w:customStyle="1" w:styleId="Fotnot">
    <w:name w:val="Fotnot"/>
    <w:uiPriority w:val="99"/>
    <w:pPr>
      <w:widowControl w:val="0"/>
      <w:tabs>
        <w:tab w:val="left" w:pos="100"/>
      </w:tabs>
      <w:autoSpaceDE w:val="0"/>
      <w:autoSpaceDN w:val="0"/>
      <w:adjustRightInd w:val="0"/>
      <w:spacing w:line="160" w:lineRule="atLeast"/>
      <w:jc w:val="both"/>
    </w:pPr>
    <w:rPr>
      <w:rFonts w:ascii="Times" w:hAnsi="Times" w:cs="Times"/>
      <w:color w:val="000000"/>
      <w:w w:val="0"/>
      <w:sz w:val="16"/>
      <w:szCs w:val="16"/>
      <w:lang w:eastAsia="sv-SE"/>
    </w:rPr>
  </w:style>
  <w:style w:type="paragraph" w:styleId="Footer">
    <w:name w:val="footer"/>
    <w:basedOn w:val="Normal"/>
    <w:link w:val="FooterChar"/>
    <w:uiPriority w:val="99"/>
    <w:pPr>
      <w:widowControl w:val="0"/>
      <w:tabs>
        <w:tab w:val="center" w:pos="3840"/>
        <w:tab w:val="right" w:pos="7680"/>
      </w:tabs>
      <w:autoSpaceDE w:val="0"/>
      <w:autoSpaceDN w:val="0"/>
      <w:adjustRightInd w:val="0"/>
      <w:spacing w:after="0" w:line="220" w:lineRule="atLeast"/>
      <w:jc w:val="right"/>
    </w:pPr>
    <w:rPr>
      <w:rFonts w:ascii="Times" w:hAnsi="Times" w:cs="Times"/>
      <w:color w:val="000000"/>
      <w:w w:val="0"/>
      <w:sz w:val="18"/>
      <w:szCs w:val="18"/>
    </w:rPr>
  </w:style>
  <w:style w:type="character" w:customStyle="1" w:styleId="FooterChar">
    <w:name w:val="Footer Char"/>
    <w:link w:val="Footer"/>
    <w:uiPriority w:val="99"/>
    <w:semiHidden/>
  </w:style>
  <w:style w:type="paragraph" w:styleId="Header">
    <w:name w:val="header"/>
    <w:aliases w:val="extra"/>
    <w:basedOn w:val="Normal"/>
    <w:link w:val="HeaderChar"/>
    <w:uiPriority w:val="99"/>
    <w:pPr>
      <w:widowControl w:val="0"/>
      <w:tabs>
        <w:tab w:val="left" w:pos="2680"/>
        <w:tab w:val="left" w:pos="4860"/>
      </w:tabs>
      <w:autoSpaceDE w:val="0"/>
      <w:autoSpaceDN w:val="0"/>
      <w:adjustRightInd w:val="0"/>
      <w:spacing w:after="0" w:line="240" w:lineRule="atLeast"/>
      <w:jc w:val="both"/>
    </w:pPr>
    <w:rPr>
      <w:rFonts w:ascii="Times" w:hAnsi="Times" w:cs="Times"/>
      <w:b/>
      <w:bCs/>
      <w:color w:val="000000"/>
      <w:w w:val="0"/>
      <w:sz w:val="20"/>
      <w:szCs w:val="20"/>
    </w:rPr>
  </w:style>
  <w:style w:type="character" w:customStyle="1" w:styleId="HeaderChar">
    <w:name w:val="Header Char"/>
    <w:aliases w:val="extra Char"/>
    <w:link w:val="Header"/>
    <w:uiPriority w:val="99"/>
    <w:semiHidden/>
  </w:style>
  <w:style w:type="paragraph" w:customStyle="1" w:styleId="Rubrik1">
    <w:name w:val="Rubrik1"/>
    <w:uiPriority w:val="99"/>
    <w:pPr>
      <w:widowControl w:val="0"/>
      <w:suppressAutoHyphens/>
      <w:autoSpaceDE w:val="0"/>
      <w:autoSpaceDN w:val="0"/>
      <w:adjustRightInd w:val="0"/>
      <w:spacing w:line="240" w:lineRule="atLeast"/>
      <w:ind w:right="240"/>
    </w:pPr>
    <w:rPr>
      <w:rFonts w:ascii="Times" w:hAnsi="Times" w:cs="Times"/>
      <w:b/>
      <w:bCs/>
      <w:color w:val="000000"/>
      <w:w w:val="0"/>
      <w:sz w:val="24"/>
      <w:szCs w:val="24"/>
      <w:lang w:eastAsia="sv-SE"/>
    </w:rPr>
  </w:style>
  <w:style w:type="paragraph" w:customStyle="1" w:styleId="Rubrik2engelsk">
    <w:name w:val="Rubrik2 engelsk"/>
    <w:uiPriority w:val="99"/>
    <w:pPr>
      <w:keepNext/>
      <w:widowControl w:val="0"/>
      <w:autoSpaceDE w:val="0"/>
      <w:autoSpaceDN w:val="0"/>
      <w:adjustRightInd w:val="0"/>
      <w:spacing w:before="320" w:line="200" w:lineRule="atLeast"/>
      <w:jc w:val="both"/>
    </w:pPr>
    <w:rPr>
      <w:rFonts w:ascii="Times" w:hAnsi="Times" w:cs="Times"/>
      <w:b/>
      <w:bCs/>
      <w:color w:val="000000"/>
      <w:w w:val="0"/>
      <w:lang w:eastAsia="sv-SE"/>
    </w:rPr>
  </w:style>
  <w:style w:type="paragraph" w:customStyle="1" w:styleId="Rubrik3">
    <w:name w:val="Rubrik3"/>
    <w:uiPriority w:val="99"/>
    <w:pPr>
      <w:keepNext/>
      <w:widowControl w:val="0"/>
      <w:suppressAutoHyphens/>
      <w:autoSpaceDE w:val="0"/>
      <w:autoSpaceDN w:val="0"/>
      <w:adjustRightInd w:val="0"/>
      <w:spacing w:before="360" w:line="220" w:lineRule="atLeast"/>
    </w:pPr>
    <w:rPr>
      <w:rFonts w:ascii="Times" w:hAnsi="Times" w:cs="Times"/>
      <w:b/>
      <w:bCs/>
      <w:color w:val="000000"/>
      <w:w w:val="0"/>
      <w:sz w:val="18"/>
      <w:szCs w:val="18"/>
      <w:lang w:eastAsia="sv-SE"/>
    </w:rPr>
  </w:style>
  <w:style w:type="paragraph" w:customStyle="1" w:styleId="Rubrik30">
    <w:name w:val="Rubrik30"/>
    <w:uiPriority w:val="99"/>
    <w:pPr>
      <w:keepNext/>
      <w:widowControl w:val="0"/>
      <w:suppressAutoHyphens/>
      <w:autoSpaceDE w:val="0"/>
      <w:autoSpaceDN w:val="0"/>
      <w:adjustRightInd w:val="0"/>
      <w:spacing w:before="100" w:line="220" w:lineRule="atLeast"/>
    </w:pPr>
    <w:rPr>
      <w:rFonts w:ascii="Times" w:hAnsi="Times" w:cs="Times"/>
      <w:b/>
      <w:bCs/>
      <w:color w:val="000000"/>
      <w:w w:val="0"/>
      <w:sz w:val="18"/>
      <w:szCs w:val="18"/>
      <w:lang w:eastAsia="sv-SE"/>
    </w:rPr>
  </w:style>
  <w:style w:type="paragraph" w:customStyle="1" w:styleId="Kantrubrik">
    <w:name w:val="Kantrubrik"/>
    <w:uiPriority w:val="99"/>
    <w:pPr>
      <w:widowControl w:val="0"/>
      <w:suppressAutoHyphens/>
      <w:autoSpaceDE w:val="0"/>
      <w:autoSpaceDN w:val="0"/>
      <w:adjustRightInd w:val="0"/>
      <w:spacing w:line="280" w:lineRule="atLeast"/>
    </w:pPr>
    <w:rPr>
      <w:rFonts w:ascii="Times" w:hAnsi="Times" w:cs="Times"/>
      <w:b/>
      <w:bCs/>
      <w:color w:val="000000"/>
      <w:w w:val="0"/>
      <w:sz w:val="22"/>
      <w:szCs w:val="22"/>
      <w:lang w:eastAsia="sv-SE"/>
    </w:rPr>
  </w:style>
  <w:style w:type="paragraph" w:customStyle="1" w:styleId="Rubrik4">
    <w:name w:val="Rubrik4"/>
    <w:uiPriority w:val="99"/>
    <w:pPr>
      <w:keepNext/>
      <w:widowControl w:val="0"/>
      <w:suppressAutoHyphens/>
      <w:autoSpaceDE w:val="0"/>
      <w:autoSpaceDN w:val="0"/>
      <w:adjustRightInd w:val="0"/>
      <w:spacing w:before="360" w:line="220" w:lineRule="atLeast"/>
    </w:pPr>
    <w:rPr>
      <w:rFonts w:ascii="Times" w:hAnsi="Times" w:cs="Times"/>
      <w:i/>
      <w:iCs/>
      <w:color w:val="000000"/>
      <w:w w:val="0"/>
      <w:sz w:val="18"/>
      <w:szCs w:val="18"/>
      <w:lang w:eastAsia="sv-SE"/>
    </w:rPr>
  </w:style>
  <w:style w:type="paragraph" w:customStyle="1" w:styleId="Rubrik40">
    <w:name w:val="Rubrik40"/>
    <w:uiPriority w:val="99"/>
    <w:pPr>
      <w:keepNext/>
      <w:widowControl w:val="0"/>
      <w:suppressAutoHyphens/>
      <w:autoSpaceDE w:val="0"/>
      <w:autoSpaceDN w:val="0"/>
      <w:adjustRightInd w:val="0"/>
      <w:spacing w:before="100" w:line="220" w:lineRule="atLeast"/>
    </w:pPr>
    <w:rPr>
      <w:rFonts w:ascii="Times" w:hAnsi="Times" w:cs="Times"/>
      <w:i/>
      <w:iCs/>
      <w:color w:val="000000"/>
      <w:w w:val="0"/>
      <w:sz w:val="18"/>
      <w:szCs w:val="18"/>
      <w:lang w:eastAsia="sv-SE"/>
    </w:rPr>
  </w:style>
  <w:style w:type="paragraph" w:customStyle="1" w:styleId="Rubrik400utanluftver">
    <w:name w:val="Rubrik400 utan luft över"/>
    <w:uiPriority w:val="99"/>
    <w:pPr>
      <w:keepNext/>
      <w:widowControl w:val="0"/>
      <w:suppressAutoHyphens/>
      <w:autoSpaceDE w:val="0"/>
      <w:autoSpaceDN w:val="0"/>
      <w:adjustRightInd w:val="0"/>
      <w:spacing w:line="220" w:lineRule="atLeast"/>
    </w:pPr>
    <w:rPr>
      <w:rFonts w:ascii="Times" w:hAnsi="Times" w:cs="Times"/>
      <w:i/>
      <w:iCs/>
      <w:color w:val="000000"/>
      <w:w w:val="0"/>
      <w:sz w:val="18"/>
      <w:szCs w:val="18"/>
      <w:lang w:eastAsia="sv-SE"/>
    </w:rPr>
  </w:style>
  <w:style w:type="paragraph" w:customStyle="1" w:styleId="Rubrik5">
    <w:name w:val="Rubrik5"/>
    <w:uiPriority w:val="99"/>
    <w:pPr>
      <w:keepNext/>
      <w:widowControl w:val="0"/>
      <w:suppressAutoHyphens/>
      <w:autoSpaceDE w:val="0"/>
      <w:autoSpaceDN w:val="0"/>
      <w:adjustRightInd w:val="0"/>
      <w:spacing w:before="360" w:line="220" w:lineRule="atLeast"/>
    </w:pPr>
    <w:rPr>
      <w:rFonts w:ascii="Times" w:hAnsi="Times" w:cs="Times"/>
      <w:color w:val="000000"/>
      <w:w w:val="0"/>
      <w:sz w:val="18"/>
      <w:szCs w:val="18"/>
      <w:lang w:eastAsia="sv-SE"/>
    </w:rPr>
  </w:style>
  <w:style w:type="paragraph" w:customStyle="1" w:styleId="Rubrik50">
    <w:name w:val="Rubrik50"/>
    <w:uiPriority w:val="99"/>
    <w:pPr>
      <w:keepNext/>
      <w:widowControl w:val="0"/>
      <w:suppressAutoHyphens/>
      <w:autoSpaceDE w:val="0"/>
      <w:autoSpaceDN w:val="0"/>
      <w:adjustRightInd w:val="0"/>
      <w:spacing w:before="100" w:line="220" w:lineRule="atLeast"/>
    </w:pPr>
    <w:rPr>
      <w:rFonts w:ascii="Times" w:hAnsi="Times" w:cs="Times"/>
      <w:color w:val="000000"/>
      <w:w w:val="0"/>
      <w:sz w:val="18"/>
      <w:szCs w:val="18"/>
      <w:lang w:eastAsia="sv-SE"/>
    </w:rPr>
  </w:style>
  <w:style w:type="paragraph" w:customStyle="1" w:styleId="Strecklinjeunder">
    <w:name w:val="Strecklinje under"/>
    <w:uiPriority w:val="99"/>
    <w:pPr>
      <w:pBdr>
        <w:bottom w:val="single" w:sz="8" w:space="0" w:color="auto"/>
      </w:pBdr>
      <w:tabs>
        <w:tab w:val="left" w:pos="3060"/>
      </w:tabs>
      <w:autoSpaceDE w:val="0"/>
      <w:autoSpaceDN w:val="0"/>
      <w:adjustRightInd w:val="0"/>
      <w:spacing w:line="220" w:lineRule="atLeast"/>
      <w:jc w:val="both"/>
    </w:pPr>
    <w:rPr>
      <w:rFonts w:ascii="Times" w:hAnsi="Times" w:cs="Times"/>
      <w:color w:val="000000"/>
      <w:w w:val="0"/>
      <w:sz w:val="18"/>
      <w:szCs w:val="18"/>
      <w:lang w:eastAsia="sv-SE"/>
    </w:rPr>
  </w:style>
  <w:style w:type="paragraph" w:customStyle="1" w:styleId="Strecklinjever">
    <w:name w:val="Strecklinje över"/>
    <w:uiPriority w:val="99"/>
    <w:pPr>
      <w:pBdr>
        <w:top w:val="single" w:sz="8" w:space="0" w:color="auto"/>
      </w:pBdr>
      <w:tabs>
        <w:tab w:val="left" w:pos="2560"/>
        <w:tab w:val="left" w:pos="4600"/>
      </w:tabs>
      <w:autoSpaceDE w:val="0"/>
      <w:autoSpaceDN w:val="0"/>
      <w:adjustRightInd w:val="0"/>
      <w:spacing w:line="220" w:lineRule="atLeast"/>
      <w:jc w:val="both"/>
    </w:pPr>
    <w:rPr>
      <w:rFonts w:ascii="Times" w:hAnsi="Times" w:cs="Times"/>
      <w:color w:val="000000"/>
      <w:w w:val="0"/>
      <w:sz w:val="18"/>
      <w:szCs w:val="18"/>
      <w:lang w:eastAsia="sv-SE"/>
    </w:rPr>
  </w:style>
  <w:style w:type="paragraph" w:customStyle="1" w:styleId="Tabellfotnot">
    <w:name w:val="Tabellfotnot"/>
    <w:uiPriority w:val="99"/>
    <w:pPr>
      <w:widowControl w:val="0"/>
      <w:tabs>
        <w:tab w:val="left" w:pos="560"/>
      </w:tabs>
      <w:autoSpaceDE w:val="0"/>
      <w:autoSpaceDN w:val="0"/>
      <w:adjustRightInd w:val="0"/>
      <w:spacing w:line="160" w:lineRule="atLeast"/>
      <w:jc w:val="both"/>
    </w:pPr>
    <w:rPr>
      <w:rFonts w:ascii="Times" w:hAnsi="Times" w:cs="Times"/>
      <w:color w:val="000000"/>
      <w:w w:val="0"/>
      <w:sz w:val="16"/>
      <w:szCs w:val="16"/>
      <w:lang w:eastAsia="sv-SE"/>
    </w:rPr>
  </w:style>
  <w:style w:type="paragraph" w:customStyle="1" w:styleId="Tabelltext">
    <w:name w:val="Tabelltext"/>
    <w:uiPriority w:val="99"/>
    <w:pPr>
      <w:widowControl w:val="0"/>
      <w:autoSpaceDE w:val="0"/>
      <w:autoSpaceDN w:val="0"/>
      <w:adjustRightInd w:val="0"/>
      <w:spacing w:line="160" w:lineRule="atLeast"/>
      <w:jc w:val="both"/>
    </w:pPr>
    <w:rPr>
      <w:rFonts w:ascii="Times" w:hAnsi="Times" w:cs="Times"/>
      <w:color w:val="000000"/>
      <w:w w:val="0"/>
      <w:sz w:val="16"/>
      <w:szCs w:val="16"/>
      <w:lang w:eastAsia="sv-SE"/>
    </w:rPr>
  </w:style>
  <w:style w:type="paragraph" w:customStyle="1" w:styleId="Tabelltitel">
    <w:name w:val="Tabelltitel"/>
    <w:uiPriority w:val="99"/>
    <w:pPr>
      <w:keepNext/>
      <w:pageBreakBefore/>
      <w:widowControl w:val="0"/>
      <w:suppressAutoHyphens/>
      <w:autoSpaceDE w:val="0"/>
      <w:autoSpaceDN w:val="0"/>
      <w:adjustRightInd w:val="0"/>
      <w:spacing w:before="180" w:line="180" w:lineRule="atLeast"/>
    </w:pPr>
    <w:rPr>
      <w:rFonts w:ascii="Times" w:hAnsi="Times" w:cs="Times"/>
      <w:b/>
      <w:bCs/>
      <w:color w:val="000000"/>
      <w:w w:val="0"/>
      <w:sz w:val="18"/>
      <w:szCs w:val="18"/>
      <w:lang w:eastAsia="sv-SE"/>
    </w:rPr>
  </w:style>
  <w:style w:type="paragraph" w:customStyle="1" w:styleId="Text">
    <w:name w:val="Text"/>
    <w:uiPriority w:val="99"/>
    <w:pPr>
      <w:widowControl w:val="0"/>
      <w:tabs>
        <w:tab w:val="left" w:pos="760"/>
      </w:tabs>
      <w:autoSpaceDE w:val="0"/>
      <w:autoSpaceDN w:val="0"/>
      <w:adjustRightInd w:val="0"/>
      <w:spacing w:before="120" w:line="180" w:lineRule="atLeast"/>
      <w:jc w:val="both"/>
    </w:pPr>
    <w:rPr>
      <w:rFonts w:ascii="Times" w:hAnsi="Times" w:cs="Times"/>
      <w:color w:val="000000"/>
      <w:w w:val="0"/>
      <w:sz w:val="14"/>
      <w:szCs w:val="14"/>
      <w:lang w:eastAsia="sv-SE"/>
    </w:rPr>
  </w:style>
  <w:style w:type="paragraph" w:customStyle="1" w:styleId="brdtextfyrkant">
    <w:name w:val="brödtext fyrkant"/>
    <w:uiPriority w:val="99"/>
    <w:pPr>
      <w:tabs>
        <w:tab w:val="left" w:pos="3060"/>
      </w:tabs>
      <w:autoSpaceDE w:val="0"/>
      <w:autoSpaceDN w:val="0"/>
      <w:adjustRightInd w:val="0"/>
      <w:spacing w:line="220" w:lineRule="atLeast"/>
      <w:ind w:firstLine="180"/>
      <w:jc w:val="both"/>
    </w:pPr>
    <w:rPr>
      <w:rFonts w:ascii="Times" w:hAnsi="Times" w:cs="Times"/>
      <w:color w:val="000000"/>
      <w:w w:val="0"/>
      <w:sz w:val="18"/>
      <w:szCs w:val="18"/>
      <w:lang w:eastAsia="sv-SE"/>
    </w:rPr>
  </w:style>
  <w:style w:type="paragraph" w:customStyle="1" w:styleId="upprkninga-z">
    <w:name w:val="uppräkning a-z"/>
    <w:uiPriority w:val="99"/>
    <w:pPr>
      <w:tabs>
        <w:tab w:val="left" w:pos="280"/>
      </w:tabs>
      <w:autoSpaceDE w:val="0"/>
      <w:autoSpaceDN w:val="0"/>
      <w:adjustRightInd w:val="0"/>
      <w:spacing w:line="220" w:lineRule="atLeast"/>
      <w:ind w:left="280" w:hanging="280"/>
      <w:jc w:val="both"/>
    </w:pPr>
    <w:rPr>
      <w:rFonts w:ascii="Times" w:hAnsi="Times" w:cs="Times"/>
      <w:color w:val="000000"/>
      <w:w w:val="0"/>
      <w:sz w:val="18"/>
      <w:szCs w:val="18"/>
      <w:lang w:eastAsia="sv-SE"/>
    </w:rPr>
  </w:style>
  <w:style w:type="paragraph" w:customStyle="1" w:styleId="upprkninga-zstart">
    <w:name w:val="uppräkning a-z start"/>
    <w:uiPriority w:val="99"/>
    <w:pPr>
      <w:tabs>
        <w:tab w:val="left" w:pos="280"/>
      </w:tabs>
      <w:autoSpaceDE w:val="0"/>
      <w:autoSpaceDN w:val="0"/>
      <w:adjustRightInd w:val="0"/>
      <w:spacing w:before="100" w:line="220" w:lineRule="atLeast"/>
      <w:ind w:left="280" w:hanging="280"/>
      <w:jc w:val="both"/>
    </w:pPr>
    <w:rPr>
      <w:rFonts w:ascii="Times" w:hAnsi="Times" w:cs="Times"/>
      <w:color w:val="000000"/>
      <w:w w:val="0"/>
      <w:sz w:val="18"/>
      <w:szCs w:val="18"/>
      <w:lang w:eastAsia="sv-SE"/>
    </w:rPr>
  </w:style>
  <w:style w:type="paragraph" w:customStyle="1" w:styleId="upprkningstreck">
    <w:name w:val="uppräkning streck"/>
    <w:uiPriority w:val="99"/>
    <w:pPr>
      <w:tabs>
        <w:tab w:val="left" w:pos="560"/>
      </w:tabs>
      <w:autoSpaceDE w:val="0"/>
      <w:autoSpaceDN w:val="0"/>
      <w:adjustRightInd w:val="0"/>
      <w:spacing w:line="220" w:lineRule="atLeast"/>
      <w:ind w:left="560" w:hanging="280"/>
      <w:jc w:val="both"/>
    </w:pPr>
    <w:rPr>
      <w:rFonts w:ascii="Times" w:hAnsi="Times" w:cs="Times"/>
      <w:color w:val="000000"/>
      <w:w w:val="0"/>
      <w:sz w:val="18"/>
      <w:szCs w:val="18"/>
      <w:lang w:eastAsia="sv-SE"/>
    </w:rPr>
  </w:style>
  <w:style w:type="paragraph" w:customStyle="1" w:styleId="Rubrik2">
    <w:name w:val="Rubrik2"/>
    <w:uiPriority w:val="99"/>
    <w:pPr>
      <w:keepNext/>
      <w:suppressAutoHyphens/>
      <w:autoSpaceDE w:val="0"/>
      <w:autoSpaceDN w:val="0"/>
      <w:adjustRightInd w:val="0"/>
      <w:spacing w:before="360" w:line="220" w:lineRule="atLeast"/>
    </w:pPr>
    <w:rPr>
      <w:rFonts w:ascii="Times" w:hAnsi="Times" w:cs="Times"/>
      <w:b/>
      <w:bCs/>
      <w:color w:val="000000"/>
      <w:w w:val="0"/>
      <w:lang w:eastAsia="sv-SE"/>
    </w:rPr>
  </w:style>
  <w:style w:type="character" w:customStyle="1" w:styleId="Bilaga">
    <w:name w:val="Bilaga"/>
    <w:uiPriority w:val="99"/>
    <w:rPr>
      <w:sz w:val="14"/>
      <w:szCs w:val="14"/>
    </w:rPr>
  </w:style>
  <w:style w:type="character" w:customStyle="1" w:styleId="Kursiv">
    <w:name w:val="Kursiv"/>
    <w:uiPriority w:val="99"/>
    <w:rPr>
      <w:rFonts w:ascii="Times" w:hAnsi="Times" w:cs="Times"/>
      <w:i/>
      <w:iCs/>
      <w:color w:val="000000"/>
      <w:u w:val="none"/>
      <w:vertAlign w:val="baseline"/>
    </w:rPr>
  </w:style>
  <w:style w:type="character" w:customStyle="1" w:styleId="Arkisar">
    <w:name w:val="Arkisar"/>
    <w:uiPriority w:val="99"/>
    <w:rPr>
      <w:sz w:val="14"/>
      <w:szCs w:val="14"/>
    </w:rPr>
  </w:style>
  <w:style w:type="character" w:customStyle="1" w:styleId="UnderISSN-nummer">
    <w:name w:val="Under ISSN-nummer"/>
    <w:uiPriority w:val="99"/>
    <w:rPr>
      <w:rFonts w:ascii="Times" w:hAnsi="Times" w:cs="Times"/>
      <w:color w:val="000000"/>
      <w:spacing w:val="0"/>
      <w:sz w:val="15"/>
      <w:szCs w:val="15"/>
      <w:u w:val="none"/>
      <w:vertAlign w:val="baseline"/>
    </w:rPr>
  </w:style>
  <w:style w:type="character" w:customStyle="1" w:styleId="Svfrfattnhalvfet">
    <w:name w:val="Sv.författn. halvfet"/>
    <w:uiPriority w:val="99"/>
    <w:rPr>
      <w:rFonts w:ascii="Times" w:hAnsi="Times" w:cs="Times"/>
      <w:b/>
      <w:bCs/>
      <w:color w:val="000000"/>
      <w:spacing w:val="0"/>
      <w:sz w:val="36"/>
      <w:szCs w:val="36"/>
      <w:u w:val="none"/>
      <w:vertAlign w:val="baseline"/>
    </w:rPr>
  </w:style>
  <w:style w:type="character" w:customStyle="1" w:styleId="Tryckort">
    <w:name w:val="Tryckort"/>
    <w:uiPriority w:val="99"/>
    <w:rPr>
      <w:rFonts w:ascii="Times" w:hAnsi="Times" w:cs="Times"/>
      <w:color w:val="000000"/>
      <w:spacing w:val="0"/>
      <w:sz w:val="11"/>
      <w:szCs w:val="11"/>
      <w:u w:val="none"/>
      <w:vertAlign w:val="baseline"/>
    </w:rPr>
  </w:style>
  <w:style w:type="character" w:styleId="Emphasis">
    <w:name w:val="Emphasis"/>
    <w:uiPriority w:val="99"/>
    <w:qFormat/>
    <w:rPr>
      <w:i/>
      <w:iCs/>
    </w:rPr>
  </w:style>
  <w:style w:type="character" w:customStyle="1" w:styleId="Ekvationsvariabler">
    <w:name w:val="Ekvationsvariabler"/>
    <w:uiPriority w:val="99"/>
    <w:rPr>
      <w:i/>
      <w:iCs/>
    </w:rPr>
  </w:style>
  <w:style w:type="character" w:customStyle="1" w:styleId="Halvfet">
    <w:name w:val="Halvfet"/>
    <w:uiPriority w:val="99"/>
    <w:rPr>
      <w:rFonts w:ascii="Times" w:hAnsi="Times" w:cs="Times"/>
      <w:b/>
      <w:bCs/>
      <w:color w:val="000000"/>
      <w:u w:val="none"/>
      <w:vertAlign w:val="baseline"/>
    </w:rPr>
  </w:style>
  <w:style w:type="character" w:customStyle="1" w:styleId="Pagina">
    <w:name w:val="Pagina"/>
    <w:uiPriority w:val="99"/>
    <w:rPr>
      <w:rFonts w:ascii="Times" w:hAnsi="Times" w:cs="Times"/>
      <w:color w:val="000000"/>
      <w:spacing w:val="0"/>
      <w:sz w:val="19"/>
      <w:szCs w:val="19"/>
      <w:u w:val="none"/>
      <w:vertAlign w:val="baseline"/>
    </w:rPr>
  </w:style>
  <w:style w:type="character" w:customStyle="1" w:styleId="Utkom">
    <w:name w:val="Utkom"/>
    <w:uiPriority w:val="99"/>
    <w:rPr>
      <w:rFonts w:ascii="Times" w:hAnsi="Times" w:cs="Times"/>
      <w:color w:val="000000"/>
      <w:spacing w:val="0"/>
      <w:sz w:val="17"/>
      <w:szCs w:val="17"/>
      <w:u w:val="none"/>
      <w:vertAlign w:val="baseline"/>
    </w:rPr>
  </w:style>
  <w:style w:type="paragraph" w:styleId="PlainText">
    <w:name w:val="Plain Text"/>
    <w:basedOn w:val="Normal"/>
    <w:link w:val="PlainTextChar"/>
    <w:uiPriority w:val="99"/>
    <w:unhideWhenUsed/>
    <w:rsid w:val="00CC1652"/>
    <w:pPr>
      <w:spacing w:after="0" w:line="240" w:lineRule="auto"/>
    </w:pPr>
    <w:rPr>
      <w:rFonts w:ascii="Consolas" w:hAnsi="Consolas"/>
      <w:sz w:val="21"/>
      <w:szCs w:val="21"/>
      <w:lang w:eastAsia="en-US"/>
    </w:rPr>
  </w:style>
  <w:style w:type="character" w:customStyle="1" w:styleId="PlainTextChar">
    <w:name w:val="Plain Text Char"/>
    <w:basedOn w:val="DefaultParagraphFont"/>
    <w:link w:val="PlainText"/>
    <w:uiPriority w:val="99"/>
    <w:rsid w:val="00CC1652"/>
    <w:rPr>
      <w:rFonts w:ascii="Consolas" w:hAnsi="Consolas"/>
      <w:sz w:val="21"/>
      <w:szCs w:val="21"/>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9535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952</Words>
  <Characters>5238</Characters>
  <Application>Microsoft Office Word</Application>
  <DocSecurity>0</DocSecurity>
  <Lines>43</Lines>
  <Paragraphs>12</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
      <vt:lpstr/>
    </vt:vector>
  </TitlesOfParts>
  <Company/>
  <LinksUpToDate>false</LinksUpToDate>
  <CharactersWithSpaces>6178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rkuser1</dc:creator>
  <cp:keywords/>
  <dc:description/>
  <cp:lastModifiedBy>CIUDIN, Elena</cp:lastModifiedBy>
  <cp:revision>4</cp:revision>
  <dcterms:created xsi:type="dcterms:W3CDTF">2018-11-09T14:25:00Z</dcterms:created>
  <dcterms:modified xsi:type="dcterms:W3CDTF">2018-11-22T10:28:00Z</dcterms:modified>
</cp:coreProperties>
</file>