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D52" w:rsidRPr="00F16955" w:rsidRDefault="00243D52" w:rsidP="00243D52">
      <w:pPr>
        <w:jc w:val="center"/>
        <w:textAlignment w:val="baseline"/>
        <w:rPr>
          <w:rFonts w:ascii="Courier New" w:hAnsi="Courier New"/>
          <w:lang w:val="da-DK"/>
        </w:rPr>
      </w:pPr>
      <w:r>
        <w:rPr>
          <w:rFonts w:ascii="Courier New" w:hAnsi="Courier New"/>
          <w:lang w:val="da-DK"/>
        </w:rPr>
        <w:t>1. ------IND- 2018 0446 B-- ET</w:t>
      </w:r>
      <w:bookmarkStart w:id="0" w:name="_GoBack"/>
      <w:bookmarkEnd w:id="0"/>
      <w:r>
        <w:rPr>
          <w:rFonts w:ascii="Courier New" w:hAnsi="Courier New"/>
          <w:lang w:val="da-DK"/>
        </w:rPr>
        <w:t>- ------ 20181031 --- --- FINAL</w:t>
      </w:r>
    </w:p>
    <w:p w:rsidR="007207F5" w:rsidRPr="00A70EAF"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A70EAF" w:rsidTr="007207F5">
        <w:trPr>
          <w:tblCellSpacing w:w="15" w:type="dxa"/>
        </w:trPr>
        <w:tc>
          <w:tcPr>
            <w:tcW w:w="1000" w:type="pct"/>
            <w:vAlign w:val="center"/>
            <w:hideMark/>
          </w:tcPr>
          <w:p w:rsidR="007207F5" w:rsidRPr="00A70EAF" w:rsidRDefault="00243D52" w:rsidP="007207F5">
            <w:pPr>
              <w:spacing w:after="0" w:line="240" w:lineRule="auto"/>
              <w:jc w:val="center"/>
              <w:rPr>
                <w:rFonts w:ascii="Times New Roman" w:eastAsia="Times New Roman" w:hAnsi="Times New Roman" w:cs="Times New Roman"/>
                <w:sz w:val="24"/>
                <w:szCs w:val="24"/>
              </w:rPr>
            </w:pPr>
            <w:hyperlink r:id="rId6" w:anchor="end">
              <w:r w:rsidR="00470715" w:rsidRPr="00A70EAF">
                <w:rPr>
                  <w:rFonts w:ascii="Times New Roman" w:hAnsi="Times New Roman"/>
                  <w:color w:val="0000FF"/>
                  <w:sz w:val="24"/>
                  <w:u w:val="single"/>
                </w:rPr>
                <w:t>lõpp</w:t>
              </w:r>
            </w:hyperlink>
          </w:p>
        </w:tc>
        <w:tc>
          <w:tcPr>
            <w:tcW w:w="50" w:type="pct"/>
            <w:vAlign w:val="center"/>
            <w:hideMark/>
          </w:tcPr>
          <w:p w:rsidR="007207F5" w:rsidRPr="00A70EAF"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A70EAF" w:rsidRDefault="00243D52" w:rsidP="007207F5">
            <w:pPr>
              <w:spacing w:after="0" w:line="240" w:lineRule="auto"/>
              <w:jc w:val="center"/>
              <w:rPr>
                <w:rFonts w:ascii="Times New Roman" w:eastAsia="Times New Roman" w:hAnsi="Times New Roman" w:cs="Times New Roman"/>
                <w:sz w:val="24"/>
                <w:szCs w:val="24"/>
              </w:rPr>
            </w:pPr>
            <w:hyperlink r:id="rId7" w:anchor="hit1">
              <w:r w:rsidR="00470715" w:rsidRPr="00A70EAF">
                <w:rPr>
                  <w:rFonts w:ascii="Times New Roman" w:hAnsi="Times New Roman"/>
                  <w:color w:val="0000FF"/>
                  <w:sz w:val="24"/>
                  <w:u w:val="single"/>
                </w:rPr>
                <w:t>esimene sõna</w:t>
              </w:r>
            </w:hyperlink>
          </w:p>
        </w:tc>
        <w:tc>
          <w:tcPr>
            <w:tcW w:w="1000" w:type="pct"/>
            <w:vAlign w:val="center"/>
            <w:hideMark/>
          </w:tcPr>
          <w:p w:rsidR="007207F5" w:rsidRPr="00A70EAF" w:rsidRDefault="00243D52" w:rsidP="007207F5">
            <w:pPr>
              <w:spacing w:after="0" w:line="240" w:lineRule="auto"/>
              <w:jc w:val="center"/>
              <w:rPr>
                <w:rFonts w:ascii="Times New Roman" w:eastAsia="Times New Roman" w:hAnsi="Times New Roman" w:cs="Times New Roman"/>
                <w:sz w:val="24"/>
                <w:szCs w:val="24"/>
              </w:rPr>
            </w:pPr>
            <w:hyperlink r:id="rId8" w:anchor="end">
              <w:r w:rsidR="00470715" w:rsidRPr="00A70EAF">
                <w:rPr>
                  <w:rFonts w:ascii="Times New Roman" w:hAnsi="Times New Roman"/>
                  <w:color w:val="0000FF"/>
                  <w:sz w:val="24"/>
                  <w:u w:val="single"/>
                </w:rPr>
                <w:t>viimane sõna</w:t>
              </w:r>
            </w:hyperlink>
          </w:p>
        </w:tc>
        <w:tc>
          <w:tcPr>
            <w:tcW w:w="50" w:type="pct"/>
            <w:vAlign w:val="center"/>
            <w:hideMark/>
          </w:tcPr>
          <w:p w:rsidR="007207F5" w:rsidRPr="00A70EAF"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A70EAF"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A70EAF">
              <w:rPr>
                <w:rFonts w:ascii="Times New Roman" w:hAnsi="Times New Roman"/>
                <w:b/>
                <w:color w:val="FF0000"/>
                <w:sz w:val="27"/>
              </w:rPr>
              <w:t>Avaldamise kuupäev: 05.17.2019</w:t>
            </w:r>
          </w:p>
          <w:p w:rsidR="007207F5" w:rsidRPr="00A70EAF"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70EAF">
              <w:rPr>
                <w:rFonts w:ascii="Times New Roman" w:hAnsi="Times New Roman"/>
                <w:b/>
                <w:color w:val="FF0000"/>
                <w:sz w:val="27"/>
              </w:rPr>
              <w:t>Numac: 2019012059</w:t>
            </w:r>
          </w:p>
        </w:tc>
      </w:tr>
    </w:tbl>
    <w:p w:rsidR="007207F5" w:rsidRPr="00A70EAF" w:rsidRDefault="007207F5" w:rsidP="007207F5">
      <w:pPr>
        <w:spacing w:after="0" w:line="240" w:lineRule="auto"/>
        <w:jc w:val="center"/>
        <w:rPr>
          <w:rFonts w:ascii="Times New Roman" w:eastAsia="Times New Roman" w:hAnsi="Times New Roman" w:cs="Times New Roman"/>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A70EAF" w:rsidTr="007207F5">
        <w:trPr>
          <w:tblCellSpacing w:w="15" w:type="dxa"/>
          <w:jc w:val="center"/>
        </w:trPr>
        <w:tc>
          <w:tcPr>
            <w:tcW w:w="5000" w:type="pct"/>
            <w:vAlign w:val="center"/>
            <w:hideMark/>
          </w:tcPr>
          <w:p w:rsidR="007207F5" w:rsidRPr="00A70EAF" w:rsidRDefault="007207F5" w:rsidP="007207F5">
            <w:pPr>
              <w:spacing w:after="0" w:line="240" w:lineRule="auto"/>
              <w:jc w:val="center"/>
              <w:rPr>
                <w:rFonts w:ascii="Times New Roman" w:eastAsia="Times New Roman" w:hAnsi="Times New Roman" w:cs="Times New Roman"/>
                <w:sz w:val="24"/>
                <w:szCs w:val="24"/>
              </w:rPr>
            </w:pPr>
            <w:r w:rsidRPr="00A70EAF">
              <w:rPr>
                <w:rFonts w:ascii="Times New Roman" w:hAnsi="Times New Roman"/>
                <w:sz w:val="24"/>
              </w:rPr>
              <w:t>RAHVATERVISE, TOIDUAHELA OHUTUSE JA KESKKONNA FÖDERAALNE TALITUS</w:t>
            </w:r>
          </w:p>
        </w:tc>
      </w:tr>
    </w:tbl>
    <w:p w:rsidR="007207F5" w:rsidRPr="00A70EAF"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A70EAF">
        <w:rPr>
          <w:rFonts w:ascii="Times New Roman" w:hAnsi="Times New Roman"/>
          <w:b/>
          <w:color w:val="000000"/>
          <w:sz w:val="27"/>
          <w:u w:val="single"/>
        </w:rPr>
        <w:t>13. APRILL 2019 – Kuninglik määrus, milles käsitletakse sigarettide, isevalmistatavate sigarettide tubaka ja vesipiibutubaka standardpakendeid</w:t>
      </w:r>
    </w:p>
    <w:p w:rsidR="009C2279" w:rsidRPr="00A70EAF" w:rsidRDefault="009C2279" w:rsidP="007207F5">
      <w:pPr>
        <w:spacing w:after="0" w:line="240" w:lineRule="auto"/>
        <w:rPr>
          <w:rFonts w:ascii="Times New Roman" w:eastAsia="Times New Roman" w:hAnsi="Times New Roman" w:cs="Times New Roman"/>
          <w:color w:val="000000"/>
          <w:sz w:val="27"/>
          <w:szCs w:val="27"/>
        </w:rPr>
      </w:pPr>
    </w:p>
    <w:p w:rsidR="009C2279" w:rsidRPr="00A70EAF" w:rsidRDefault="009C2279" w:rsidP="007207F5">
      <w:pPr>
        <w:spacing w:after="0" w:line="240" w:lineRule="auto"/>
        <w:rPr>
          <w:rFonts w:ascii="Times New Roman" w:eastAsia="Times New Roman" w:hAnsi="Times New Roman" w:cs="Times New Roman"/>
          <w:color w:val="000000"/>
          <w:sz w:val="27"/>
          <w:szCs w:val="27"/>
        </w:rPr>
      </w:pP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ARUANNE KUNINGALE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Kuninglik Kõrgus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Kõnealuse kuningliku dekreedi eelnõu eesmärk on võtta Belgias kasutusele standardpakend.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Belgia ratifitseeris Maailma Terviseorganisatsiooni (WHO) tubaka tarbimise leviku vähendamise raamkonventsiooni 2005. aasta novembris ja see jõustus 31. jaanuaril 2006. Raamkonventsiooni artiklis 11 on sätestatud tubakapakendite märgistamise ranged eeskirjad. Seda artiklit käsitlevates suunistes antakse konkreetne soovitus võtta kasutusele standardpakend: „Konventsiooniosalised peaksid kaaluma meetmete võtmist, et piirata logode, värvide, kaubamärgi kujutiste või reklaamtekstide kasutamist pakenditel, välja arvatud kaubamärgi tavaliste standardvärvi tähtedega trükitud nimi ja toote nimi (neutraalne pakend), või keelata nende kasutamine. See võib muuta terviseohu hoiatused ja sõnumid silmatorkavamaks ja tõhusamaks, sest pakendi vorm ei juhi tarbijate tähelepanu kõrvale ega lase toimida disainitehnikal, mida tubakatööstuses kasutatakse, et panna uskuma, nagu oleksid teatavad tooted vähem kahjulikud kui teised.“.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3. aprilli 2014. aasta direktiiviga 2014/40/EL tubaka- ja seonduvate toodete tootmist, esitlemist ja müüki käsitlevate liikmesriikide õigus- ja haldusnormide ühtlustamise kohta ning millega tunnistatakse kehtetuks direktiiv 2001/37/EÜ ei kehtesta standardpakendit, kuid lubatakse liikmesriikidel, kes seda soovivad, see oma territooriumil kehtestada (artikli 24 lõige 2).</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Neutraalse paketi kasutuselevõtu eesmärk on</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 vähendada pakendi atraktiivsust ja kaubamärgi tähtsust;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 parandada tubakatoodete pakenditele teksti või pildina lisatud tervisehoiatuste tõhusust;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 vähendada tubaka ohtlikkust käsitleva väärinfo jõudmist tarbijateni.</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lastRenderedPageBreak/>
        <w:t>See meede on juba kasutusele võetud Austraalias, Ühendkuningriigis, Norras ja Prantsusmaal, kus selle tõhusus on juba tõestatud.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Austraalia puhul on erinevad rakendamisjärgsed uuringud näidanud positiivset mõju pakendi atraktiivsuse vähendamisel, pakendite avalikus ruumis nähtavuse vähendamisel, suitsetajate loobumissoovi suurendamisel ja tarbimise vähendamisel. Samal ajal ei leidnud tõestust negatiivne majanduslik mõju, eriti seoses müüja kliendi teenindamisele kulunud ajaga. Lõpuks ei täheldatud ka ebaseadusliku kaubanduse kasvu.</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Mis puudutab Prantsusmaad, siis on Prantsuse narkootikumide ja narkomaania vaatluskeskuse viimases aastaaruandes esitatud eri andmed üldiselt positiivsed ja näitavad tubaka müügi vähenemist, mida ei kompenseeri piiriülese kaubanduse kasv, suurenenud huvi suitsetamisest loobumise abiteenuste vastu ning vähenenud tarbimist noorte hulgas, mida kinnitas ARAMISe uuring, mis osutab samal ajal tubaka maine tugevale halvenemisele selles sihtrühmas (rohkem teavet: www.ofdt.fr).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Ühendkuningriigi kohta on olemas igakuine uuring (</w:t>
      </w:r>
      <w:r w:rsidRPr="00A70EAF">
        <w:rPr>
          <w:rFonts w:ascii="Times New Roman" w:hAnsi="Times New Roman"/>
          <w:i/>
          <w:color w:val="000000"/>
          <w:sz w:val="27"/>
        </w:rPr>
        <w:t>smoking toolkit study</w:t>
      </w:r>
      <w:r w:rsidRPr="00A70EAF">
        <w:rPr>
          <w:rFonts w:ascii="Times New Roman" w:hAnsi="Times New Roman"/>
          <w:color w:val="000000"/>
          <w:sz w:val="27"/>
        </w:rPr>
        <w:t>), mis võimaldab jälgida suitsetamise levimuse muutumist ja ka suitsetamisest loobuda aitamisega seotud kriteeriume ja millest järeldub, et pärast standardpakendi kasutuselevõttu on levimuse vähenemine kiirenenud. Ka on positiivselt arenenud selles uuringus analüüsitud loobumiskatsed ja tegeliku loobumise juhtumid.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Meetme on vastu võtnud ka Ungari, Iirimaa ja Sloveenia.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Seega on Belgia rakendanud Maailma Terviseorganisatsiooni tubakatoodete tarbimise piiramist käsitleva raamkonventsiooni artikli 11 alusel, milles on sätestatud, et „konventsiooniosalised peaksid uute pakendamis- ja märgistamismeetmete kindlaksmääramisel võtma arvesse olemasolevaid andmeid ja teiste osaliste kogemusi ning püüdma rakendada võimalikult tõhusaid meetmeid“, suunised, et teha kindlaks, kas standardpakendi kasutuselevõtt on proportsionaalne meede.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Kättesaadavatest andmetest ja teiste osaliste kogemustest ilmnevad kindlad tõendid, mis toetavad standardpakendi kehtestamist. Järeldused meetme tõhususe ja proportsionaalsuse kohta on üldistatavad. See tähendab, et need on Belgia jaoks asjakohased. See peab paika seda enam, et tubakatoodete pakendid on Belgias ja teistes riikides (eriti ELis) sarnased, mis näitab, et tarbijad reageerivad sellele tootele ühtemoodi. Belgia eriuuringud kinnitavad seda hüpoteesi</w:t>
      </w:r>
      <w:r w:rsidRPr="00A70EAF">
        <w:rPr>
          <w:rFonts w:ascii="Times New Roman" w:hAnsi="Times New Roman"/>
          <w:color w:val="000000"/>
          <w:sz w:val="27"/>
          <w:vertAlign w:val="superscript"/>
        </w:rPr>
        <w:t>(1)(2)(3)</w:t>
      </w:r>
      <w:r w:rsidRPr="00A70EAF">
        <w:rPr>
          <w:rFonts w:ascii="Times New Roman" w:hAnsi="Times New Roman"/>
          <w:color w:val="000000"/>
          <w:sz w:val="27"/>
        </w:rPr>
        <w:t>. Pealegi tunnistab kõrgem tervishoiunõukogu oma 2015. aasta oktoobris avaldatud arvamuses 9265 selle meetme tõhusust ja soovitab seda rakendada: „Austraalias tehtud uuringute ja kasutatava praktika kohaselt on neutraalsete pakendite kasutuselevõtt osutunud tõhusaks. Kõrgem tervishoiunõukogu soovitab teistes riikides juba kasutusele võetud meetmeid, sealhulgas tubakatoodete reklaamimise täielik keelamine või sigarettide neutraalsete pakendite kasutuselevõtt“.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Õiguslike aspektide tasandil on riiklikud institutsioonid praegu tagasi lükanud erinevad hagid</w:t>
      </w:r>
      <w:r w:rsidRPr="00A70EAF">
        <w:rPr>
          <w:rFonts w:ascii="Times New Roman" w:hAnsi="Times New Roman"/>
          <w:color w:val="000000"/>
          <w:sz w:val="27"/>
          <w:vertAlign w:val="superscript"/>
        </w:rPr>
        <w:t>(4)</w:t>
      </w:r>
      <w:r w:rsidRPr="00A70EAF">
        <w:rPr>
          <w:rFonts w:ascii="Times New Roman" w:hAnsi="Times New Roman"/>
          <w:color w:val="000000"/>
          <w:sz w:val="27"/>
        </w:rPr>
        <w:t xml:space="preserve">, mille tubakatööstus on esitanud neutraalset pakendit kehtestavate õigusaktide vastu Prantsusmaal, Ühendkuningriigis ja Austraalias. Tööstusharu peamised väited </w:t>
      </w:r>
      <w:r w:rsidRPr="00A70EAF">
        <w:rPr>
          <w:rFonts w:ascii="Times New Roman" w:hAnsi="Times New Roman"/>
          <w:color w:val="000000"/>
          <w:sz w:val="27"/>
        </w:rPr>
        <w:lastRenderedPageBreak/>
        <w:t>puudutasid omandiõiguse eiramist, kaubamärgiseaduse rikkumist ja neutraalset pakendit kehtestavate õigusaktide ebaproportsionaalsust.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Samuti lükati tagasi hagi</w:t>
      </w:r>
      <w:r w:rsidRPr="00A70EAF">
        <w:rPr>
          <w:rFonts w:ascii="Times New Roman" w:hAnsi="Times New Roman"/>
          <w:color w:val="000000"/>
          <w:sz w:val="27"/>
          <w:vertAlign w:val="superscript"/>
        </w:rPr>
        <w:t>(5)</w:t>
      </w:r>
      <w:r w:rsidRPr="00A70EAF">
        <w:rPr>
          <w:rFonts w:ascii="Times New Roman" w:hAnsi="Times New Roman"/>
          <w:color w:val="000000"/>
          <w:sz w:val="27"/>
        </w:rPr>
        <w:t>, mille tubakatootjad esitasid Euroopa Liidu kohtule direktiivi 2014/40/EL vastu. Selles hagis väitis tööstusharu, et komisjonil ei olnud õigust lisada tubakat käsitlevasse direktiivi 2014/40/EL viidet neutraalsele pakendile. Euroopa Liidu Kohus märgib oma otsuses järgmist: „direktiivi 2014/40 artikli 24 lõiget 2 tuleb tõlgendada nii, et liikmesriikidel on õigus säilitada või kehtestada lisanõudeid tubakatoodete pakendite nende aspektide kohta, mida selle direktiiviga ei ole ühtlustatud“ ja „selle küsimuse analüüsi käigus ei ole ilmnenud asjaolusid, mis mõjutaksid selle sätte õiguspärasust“.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WTO tasandil</w:t>
      </w:r>
      <w:r w:rsidRPr="00A70EAF">
        <w:rPr>
          <w:rFonts w:ascii="Times New Roman" w:hAnsi="Times New Roman"/>
          <w:color w:val="000000"/>
          <w:sz w:val="27"/>
          <w:vertAlign w:val="superscript"/>
        </w:rPr>
        <w:t>(6)</w:t>
      </w:r>
      <w:r w:rsidRPr="00A70EAF">
        <w:rPr>
          <w:rFonts w:ascii="Times New Roman" w:hAnsi="Times New Roman"/>
          <w:color w:val="000000"/>
          <w:sz w:val="27"/>
        </w:rPr>
        <w:t xml:space="preserve"> lükkas WTO vaekogu tagasi Kuuba, Dominikaani Vabariigi ja Hondurase kaebused neutraalse paketi kehtestamise kohta Austraalias. Vaekogu leidis, et kaebuse esitajad ei suutnud tõendada, et Austraalia meetmed on vastuolus rahvusvahelise õigusega ja takistavad rahvusvahelist kaubandust. Samuti lükkasid WTO eksperdid tagasi väite, et neutraalsed pakendid ei vähenda tubaka tarbimist.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Vastupidi, nad rõhutasid, et need kaubamärgita pakendid koos muude meetmetega, nagu hoiatused tubakaohtude eest, võivad aidata vähendada tubaka tarbimist ja aidata seega saavutada rahvatervise eesmärke.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Kuningliku dekreedi eelnõuga nähakse ette sigarettide, isevalmistatavate sigarettide tubaka ja vesipiibutubaka neutraalse pakendi kasutuselevõtt.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Lisaks kehtestatakse neutraalne pakend ka sigaretihülsside, isevalmistatavate sigarettide paberi ja filtrite pakenditele, kui nende kaubanimede tuntus põhineb peamiselt tubakatootel, eesmärgiga vältida seda, et tubakatootjad teevad reklaami nende hülsside, isevalmistatavate sigarettide paberi ja filtrite pakendite abil. Mis puudutab konkreetselt kuningliku dekreedi artiklit 7, nähtub sellest, et sigaretipaberile, sigaretihülssidele ja isevalmistatavate sigarettide tubakale ei tohi lisada mingit teksti.</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Lõpetuseks paar sõna üleminekuaja kohta.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Kuningliku dekreedi artiklis 13 määratakse kuningliku dekreedi jõustumise kuupäevaks 1. jaanuar 2020. Kuid selleks, et jaemüüjad saaksid juba enne 1. jaanuari 2020 kauplustes olevaid varusid turustada, kehtestatakse artiklis 13 jaemüüjatele täiendav üheaastane üleminekuaeg. Praktikas peavad kõik kuningliku dekreedi nõuetele mittevastavad pakendid olema eemaldatud kogu logistikaahelast 1. jaanuariks 2020, välja arvatud pakendid, mis on alles jaemüüjate ladudes. Jaemüüjad võivad neid müüa kuni 31. detsembrini 2020.</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Meil on au,</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Kuninglik Kõrgus,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Teie majesteet,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olla väga aupaklikud ja väga ustavad teenrid,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rahvatervise 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 DE BLOCK</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majandusminister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lastRenderedPageBreak/>
        <w:t>K. PEETERS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keskklassiminister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D. DUCARME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_______</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Märkused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Van Hal, G., „Flemish adolescents' perceptions of cigarette plain packaging: a qualitative study with focus group discussions“, BMJ Open, Antwerpen, 2012.</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Riiklik vähivastane koalitsioon Coalition Nationale contre le Cancer, „Que pensent les jeunes Belges à propos du nouveau paquet de cigarettes neutre australien?“ (Mida arvavad noored belglased Austraalia uuest neutraalsest sigaretipakendist?), Brüssel, 2012.</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(3) Vähivastane sihtasutus Fondation contre le Cancer, „Position des jeunes vis-à-vis de la cigarettes et des publicités pour le tabac“ (Noorte seisukoht sigarettide ja tubakareklaami suhtes). Brüssel, 2015.</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 xml:space="preserve">(4) Tubaka ja tikkude tootmise ettevõte JT International SA, ettevõte Philip Morris France SA jt. Riiginõukogu, 23. detsember. 2016; JT Int'l SA </w:t>
      </w:r>
      <w:r w:rsidRPr="00A70EAF">
        <w:rPr>
          <w:rFonts w:ascii="Times New Roman" w:hAnsi="Times New Roman"/>
          <w:i/>
          <w:color w:val="000000"/>
          <w:sz w:val="27"/>
        </w:rPr>
        <w:t>vs</w:t>
      </w:r>
      <w:r w:rsidRPr="00A70EAF">
        <w:rPr>
          <w:rFonts w:ascii="Times New Roman" w:hAnsi="Times New Roman"/>
          <w:color w:val="000000"/>
          <w:sz w:val="27"/>
        </w:rPr>
        <w:t xml:space="preserve">. Commonwealth (Tobacco Plain Packaging Case) [2012] HCA 43; British American tobacco UK ltd &amp; others </w:t>
      </w:r>
      <w:r w:rsidRPr="00A70EAF">
        <w:rPr>
          <w:rFonts w:ascii="Times New Roman" w:hAnsi="Times New Roman"/>
          <w:i/>
          <w:color w:val="000000"/>
          <w:sz w:val="27"/>
        </w:rPr>
        <w:t>vs.</w:t>
      </w:r>
      <w:r w:rsidRPr="00A70EAF">
        <w:rPr>
          <w:rFonts w:ascii="Times New Roman" w:hAnsi="Times New Roman"/>
          <w:color w:val="000000"/>
          <w:sz w:val="27"/>
        </w:rPr>
        <w:t xml:space="preserve"> the secretary of state for health EWCA Civ 1182, 30. november 2016.</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 xml:space="preserve">(5) Philip Morris Brands SARL jt </w:t>
      </w:r>
      <w:r w:rsidRPr="00A70EAF">
        <w:rPr>
          <w:rFonts w:ascii="Times New Roman" w:hAnsi="Times New Roman"/>
          <w:i/>
          <w:color w:val="000000"/>
          <w:sz w:val="27"/>
        </w:rPr>
        <w:t>vs</w:t>
      </w:r>
      <w:r w:rsidRPr="00A70EAF">
        <w:rPr>
          <w:rFonts w:ascii="Times New Roman" w:hAnsi="Times New Roman"/>
          <w:color w:val="000000"/>
          <w:sz w:val="27"/>
        </w:rPr>
        <w:t>. Secretary of State for Health; 4. mai 2016, kohtuasi C-547/14.</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(6) https://www.wto.org/french/tratop_f/dispu_f/cases_f/ds458_f.htm</w:t>
      </w:r>
    </w:p>
    <w:p w:rsidR="009C2279" w:rsidRPr="00A70EAF" w:rsidRDefault="009C2279" w:rsidP="002F0E9D">
      <w:pPr>
        <w:spacing w:after="0" w:line="240" w:lineRule="auto"/>
        <w:jc w:val="both"/>
        <w:rPr>
          <w:rFonts w:ascii="Times New Roman" w:eastAsia="Times New Roman" w:hAnsi="Times New Roman" w:cs="Times New Roman"/>
          <w:color w:val="000000"/>
          <w:sz w:val="27"/>
          <w:szCs w:val="27"/>
        </w:rPr>
      </w:pP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13. APRILL 2019 – Kuninglik määrus, milles käsitletakse sigarettide, isevalmistatavate sigarettide tubaka ja vesipiibutubaka standardpakendeid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PHILIPPE, belglaste kuningas,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tervitades kõiki praegusi ja tulevasi alamaid,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võttes arvesse 24. jaanuari 1977. aasta seaduse (milles käsitletakse tarbijate tervise kaitsmist seoses toiduainete ja muude toodetega) artikli 6 lõike 1 punkti a, mida muudeti 22. märtsi 1989. aasta seadusega,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võttes arvesse 7. septembri 2018. aasta teatist komisjonile, mis esitati Euroopa Parlamendi ja nõukogu 9. septembri 2015. aasta direktiivi 2015/1535/EL (millega nähakse ette tehnilistest eeskirjadest ning infoühiskonna teenuste eeskirjadest teatamise kord) artikli 5 lõike 1 kohaselt,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võttes arvesse finantsinspektori 20. septembri 2018. aasta arvamust,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võttes arvesse riiginõukogu 11. märtsi 2019. aasta arvamust 65.367/3 vastavalt riiginõukogu käsitlevate seaduste (koordineeritud 12. jaanuaril 1973) artikli 84 § 1 lõike 1 punktile</w:t>
      </w:r>
      <w:r w:rsidRPr="00A70EAF">
        <w:t> </w:t>
      </w:r>
      <w:r w:rsidRPr="00A70EAF">
        <w:rPr>
          <w:rFonts w:ascii="Times New Roman" w:hAnsi="Times New Roman"/>
          <w:color w:val="000000"/>
          <w:sz w:val="27"/>
        </w:rPr>
        <w:t>2,</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võttes arvesse majandusministri, rahvatervise ministri ning keskklassiministri ettepanekut,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on otsustanud sätestada järgmist: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PEATÜKK – Kohaldamisala ja mõisted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jagu. – Kohaldamisala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1. Käesoleva määrusega võetakse osaliselt üle Euroopa Parlamendi ja nõukogu 3. aprilli 2014. aasta direktiiv 2014/40/EL tubaka- ja seonduvate toodete tootmist, esitlemist ja müüki käsitlevate liikmesriikide õigus- ja haldusnormide ühtlustamise kohta ning millega tunnistatakse kehtetuks direktiiv 2001/37/EÜ.</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2. Käesolevat määrust kohaldatakse sigarettidele, isevalmistatavate sigarettide tubakale, vesipiibutubakale, sigaretihülssidele, sigaretipaberitele ja isevalmistatavate sigarettide paberitele ning selles sätestatakse nii kõnealuste toodete värv kui ka nende pakendil esitatavad elemendid.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jagu. – Mõisted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3. Käesolevas määruses kasutatakse järgmisi mõisteid: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„tubakas“ – tubakataimede lehed ja muud looduslikud töödeldud või töötlemata osad, sealhulgas paisutatud või taastatud tubakas;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„tubakapõhine toode“ – toode, mida on võimalik tarbida ning mis koosneb kas või osaliselt geneetiliselt muundamata või geneetiliselt muundatud tubakast;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3) „isevalmistatavate sigarettide tubakas“ – tubakas, mida tarbijad või jaemüügiettevõtted saavad kasutada sigarettide valmistamiseks;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4) „sigaret“ – tubakarull, mida saab tarbida põlemisprotsessi abil ja mis on täpsemalt määratletud tubakatoodete maksusüsteemi käsitleva 3. aprilli 1997. aasta seaduse artiklis 5;</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5) „vesipiibutubakas“ – tubakatoode, mida saab tarbida vesipiibu abil. Käesolevas määruses loetakse vesipiibutubakas suitsetatavaks tubakaks. Kui toodet saab kasutada nii vesipiibus kui ka isevalmistatavate sigarettide tubakana, loetakse see isevalmistatavate sigarettide tubakaks;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6) „välispakend“ – mis tahes pakend, mille sees tubaka- või seonduv toode turule lastakse ja mis sisaldab tarbijapakendit või tarbijapakendite kogumit; läbipaistvaid pakkematerjale ei loeta välispakendiks;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7) „tarbijapakend“ – kõige väiksem turulelastava tubaka- või tubakapõhise toote üksikpakend;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8).„kaubanimi“ – kuni kolmest sõnast koosnev kombinatsioon, mis võimaldab tubakapõhiseid tooteid üksteisest eristada;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9) „läbipaistev pakkematerjal“ – tsellofaanist pakkematerjal, millel puudub värvitoon ja/või mis tahes motiiv või muu element (edaspidi „pakkematerjal“);</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10) „jaemüüja“ – mis tahes müügikoht, kus tubakatooted turule lastakse, sealhulgas füüsilise isiku poolt;</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11) „ministeerium“ – rahvatervise ministeerium.</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PEATÜKK – Sigarettide, isevalmistatavate sigarettide tubaka ja vesipiibutubaka tarbijapakendite ja välispakendite välimus ja sisu</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jagu. – Seos 5. veebruari 2016. aasta kuningliku määrusega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4. Tarbijapakendid ja välispakendid peavad vastavama tubakatoodete tootmist ja turule laskmist käsitleva 5. veebruari 2016. aasta kuningliku määruse sätetele.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jagu. – Üldsätted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5. Lõige 1. Tarbijapakendid ja välispakendid peavad olema ühes värvitoonis. Tarbijapakendite sisemuse puhul võib tootja valida kahe värvitooni vahel.</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Värvitoonid määrab kindlaks 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6. Lõige 1. Lisaks tubakapõhisele tootele tohib tarbijapakendis sisalduda ainult pakendi osaks olev vooderdis.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Vooderdise värvi ja omadused määrab kindlaks 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7. Lõige 1. Keelatud on mis tahes tehnikad, mis kahjustavad tarbijapakendite, välispakendite või pakkematerjali neutraalsust ja ühtsust, eeskätt need, millega püütakse neile anda konkreetsed auditiivsed, lõhna- või visuaalsed omadused.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Minister võib kehtestada peamiste keelatud tehnikate loetelu.</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Samuti on keelatud kõik reklaamid või muud elemendid tarbijapakendi sees, välispakendil või pakkematerjalil.</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8. Lõige 1. Sigarettide ja isevalmistatavate sigarettide tubaka paber või sigaretihülsid peavad olema ühte värvi. Filtrite ümbrise puhul võib tootja valida kahe värvitooni vahel.</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Lõikes 1 osutatud värvitoonid määrab kindlaks 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9. Lõige 1. Tarbijapakendite, välispakendite ning ümbriste välis- ja sisepinnad peavad olema siledad ning tarbijapakendid ja välispakendid risttahukakujulised, siledad ja lamedad.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Minister võib kehtestada paragrahvis 1 osutatud pindade täiendavad omadused.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3. jagu. – Isevalmistatavate sigarettide tubaka tarbijapakendid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10. Lõige 1. Kui isevalmistatavate sigarettide tubaka tarbijapakend on varustatud nn keelega, mis võimaldab pakendit taassulgeda, on keel:</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ilma igasuguse märgistuseta;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läbipaistev ja värvitu.</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Lõikes 1 sätestatust on lubatud teha erand omaduste puhul, mis on vajalikud üksnes silindri kinnitamiseks või tarbijapakendi või välispakendi avamiseks ja sulgemiseks.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3. Silindri- või risttahukakujuline isevalmistatavate sigarettide tubaka tarbijapakend võib sisaldada hõbedast värvi alumiiniumkatet, millel puudub värvinüanss ning tekst. See kate on sisepakendi osa.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4. Minister võib sätestada lõikes 2 osutatud omadused.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5. Minister võib kehtestada lõikes 3 osutatud alumiiniumkatte täiendavad omadused.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3. PEATÜKK – Tarbijapakendil esitatud teave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11. Lõige 1. Tarbijapakendil või välispakendil esitatakse loetaval ja ühtsel viisil ainult järgmine teave: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kaubanimi;</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tootja nimi, postiaadress, e-post ja telefoninumber;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3) pakendis sisalduvate sigarettide arv või isevalmistatavate sigarettide tubaka või vesipiibutubaka kogus grammides;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4) maksumärk;</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5) terviseohu hoiatused, mis on ette nähtud 5. veebruari 2016. aasta kuningliku määrusega tubakatoodete tootmise ja turule laskmise kohta;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6) muud õiguslikult kohustuslikud elemendid.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Tarbijapakendid ja välispakendid võivad kanda vöötkoode.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3. Kaubanime ei tohi esitada tarbijapakendi või välispakendi sisemuses.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4. Minister määrab kindlaks lõigetes 1 ja 2 osutatud teabe tarbijapakenditel või välispakenditel esitamise asukoha ja nende trükkimise viisi ja omadused.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4. PEATÜKK – Sigaretihülsside, isevalmistatavate sigarettide paberi ja filtrite pakendid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12. Artikleid 5, 6, 7, 8, 9, 10 ja artikli 11 lõike 1 punkte 1 ja 2 ning lõikeid 2–4 kohaldatakse sigaretihülsside tarbijapakendite, isevalmistatavate sigarettide tubaka paberi tarbijapakendite ning filtreid sisaldavate tarbijapakendite suhtes, kui nende kaubanimi on eelkõige tuntud tubakapõhise toote kaubanimena.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5. PEATÜKK – Lõppsätted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1. jagu. – Karistused</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13. Lõige 1. Keelatud on turule lasta tooteid, mis ei vasta käesoleva määruse sätetele. Sellised tooted loetakse kahjulikeks 24. jaanuari 1977. aasta seaduse, milles käsitletakse tarbijate tervise kaitset seoses toiduainete ja muude toodetega, artikli 18 tähenduses.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Lõige 2. Käesoleva määruse sätete rikkumisi uuritakse, nende eest võetakse vastutusele ja antakse kohtu alla ning karistatakse kooskõlas eespool nimetatud 24. jaanuari 1977. aasta seaduse sätetega.</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2. jagu. – Jõustumine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14. Käesolev määrus jõustub 1. jaanuaril 2020, v.a jaemüüjate jaoks, kelle puhul see määrus jõustub 1. jaanuaril 2021.</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3. jagu. – Täitmine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Artikkel 15. Käesoleva määruse täitmise eest vastutavad oma haldusalas pädevad majandusminister, rahvatervise minister ja keskklassiminister.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Koostatud Brüsselis 13. aprillil 2019.</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PHILIPPE</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Kuninga nimel</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rahvatervise 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 DE BLOCK</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majandusminister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 PEETERS</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keskklassiminister</w:t>
      </w:r>
    </w:p>
    <w:p w:rsidR="009C2279" w:rsidRPr="00A70EAF" w:rsidRDefault="007207F5" w:rsidP="002F0E9D">
      <w:pPr>
        <w:spacing w:after="0" w:line="240" w:lineRule="auto"/>
        <w:jc w:val="both"/>
        <w:rPr>
          <w:rFonts w:ascii="Times New Roman" w:eastAsia="Times New Roman" w:hAnsi="Times New Roman" w:cs="Times New Roman"/>
          <w:color w:val="000000"/>
          <w:sz w:val="27"/>
          <w:szCs w:val="27"/>
        </w:rPr>
      </w:pPr>
      <w:r w:rsidRPr="00A70EAF">
        <w:rPr>
          <w:rFonts w:ascii="Times New Roman" w:hAnsi="Times New Roman"/>
          <w:color w:val="000000"/>
          <w:sz w:val="27"/>
        </w:rPr>
        <w:t>D. DUCARME</w:t>
      </w:r>
    </w:p>
    <w:p w:rsidR="009C2279" w:rsidRPr="00A70EAF" w:rsidRDefault="009C2279" w:rsidP="007207F5">
      <w:pPr>
        <w:spacing w:after="0" w:line="240" w:lineRule="auto"/>
        <w:rPr>
          <w:rFonts w:ascii="Times New Roman" w:eastAsia="Times New Roman" w:hAnsi="Times New Roman" w:cs="Times New Roman"/>
          <w:color w:val="000000"/>
          <w:sz w:val="27"/>
          <w:szCs w:val="27"/>
        </w:rPr>
      </w:pPr>
    </w:p>
    <w:p w:rsidR="007207F5" w:rsidRPr="00A70EAF"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A70EAF" w:rsidTr="007207F5">
        <w:trPr>
          <w:tblCellSpacing w:w="15" w:type="dxa"/>
        </w:trPr>
        <w:tc>
          <w:tcPr>
            <w:tcW w:w="1000" w:type="pct"/>
            <w:vAlign w:val="center"/>
            <w:hideMark/>
          </w:tcPr>
          <w:p w:rsidR="007207F5" w:rsidRPr="00A70EAF" w:rsidRDefault="00243D52" w:rsidP="007207F5">
            <w:pPr>
              <w:spacing w:after="0" w:line="240" w:lineRule="auto"/>
              <w:jc w:val="center"/>
              <w:rPr>
                <w:rFonts w:ascii="Times New Roman" w:eastAsia="Times New Roman" w:hAnsi="Times New Roman" w:cs="Times New Roman"/>
                <w:sz w:val="24"/>
                <w:szCs w:val="24"/>
              </w:rPr>
            </w:pPr>
            <w:hyperlink r:id="rId9" w:anchor="top">
              <w:r w:rsidR="00470715" w:rsidRPr="00A70EAF">
                <w:rPr>
                  <w:rFonts w:ascii="Times New Roman" w:hAnsi="Times New Roman"/>
                  <w:color w:val="0000FF"/>
                  <w:sz w:val="24"/>
                  <w:u w:val="single"/>
                </w:rPr>
                <w:t>algus</w:t>
              </w:r>
            </w:hyperlink>
          </w:p>
        </w:tc>
        <w:tc>
          <w:tcPr>
            <w:tcW w:w="50" w:type="pct"/>
            <w:vAlign w:val="center"/>
            <w:hideMark/>
          </w:tcPr>
          <w:p w:rsidR="007207F5" w:rsidRPr="00A70EAF"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A70EAF" w:rsidRDefault="00243D52" w:rsidP="007207F5">
            <w:pPr>
              <w:spacing w:after="0" w:line="240" w:lineRule="auto"/>
              <w:jc w:val="center"/>
              <w:rPr>
                <w:rFonts w:ascii="Times New Roman" w:eastAsia="Times New Roman" w:hAnsi="Times New Roman" w:cs="Times New Roman"/>
                <w:sz w:val="24"/>
                <w:szCs w:val="24"/>
              </w:rPr>
            </w:pPr>
            <w:hyperlink r:id="rId10" w:anchor="hit1">
              <w:r w:rsidR="00470715" w:rsidRPr="00A70EAF">
                <w:rPr>
                  <w:rFonts w:ascii="Times New Roman" w:hAnsi="Times New Roman"/>
                  <w:color w:val="0000FF"/>
                  <w:sz w:val="24"/>
                  <w:u w:val="single"/>
                </w:rPr>
                <w:t>esimene sõna</w:t>
              </w:r>
            </w:hyperlink>
          </w:p>
        </w:tc>
        <w:tc>
          <w:tcPr>
            <w:tcW w:w="1000" w:type="pct"/>
            <w:vAlign w:val="center"/>
            <w:hideMark/>
          </w:tcPr>
          <w:p w:rsidR="007207F5" w:rsidRPr="00A70EAF" w:rsidRDefault="00243D52" w:rsidP="007207F5">
            <w:pPr>
              <w:spacing w:after="0" w:line="240" w:lineRule="auto"/>
              <w:jc w:val="center"/>
              <w:rPr>
                <w:rFonts w:ascii="Times New Roman" w:eastAsia="Times New Roman" w:hAnsi="Times New Roman" w:cs="Times New Roman"/>
                <w:sz w:val="24"/>
                <w:szCs w:val="24"/>
              </w:rPr>
            </w:pPr>
            <w:hyperlink r:id="rId11" w:anchor="hit0">
              <w:r w:rsidR="00470715" w:rsidRPr="00A70EAF">
                <w:rPr>
                  <w:rFonts w:ascii="Times New Roman" w:hAnsi="Times New Roman"/>
                  <w:color w:val="0000FF"/>
                  <w:sz w:val="24"/>
                  <w:u w:val="single"/>
                </w:rPr>
                <w:t>viimane sõna</w:t>
              </w:r>
            </w:hyperlink>
          </w:p>
        </w:tc>
        <w:tc>
          <w:tcPr>
            <w:tcW w:w="50" w:type="pct"/>
            <w:vAlign w:val="center"/>
            <w:hideMark/>
          </w:tcPr>
          <w:p w:rsidR="007207F5" w:rsidRPr="00A70EAF"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A70EAF"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A70EAF">
              <w:rPr>
                <w:rFonts w:ascii="Times New Roman" w:hAnsi="Times New Roman"/>
                <w:b/>
                <w:color w:val="FF0000"/>
                <w:sz w:val="27"/>
              </w:rPr>
              <w:t>Avaldamise kuupäev: 05.17.2019</w:t>
            </w:r>
          </w:p>
          <w:p w:rsidR="007207F5" w:rsidRPr="00A70EAF"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70EAF">
              <w:rPr>
                <w:rFonts w:ascii="Times New Roman" w:hAnsi="Times New Roman"/>
                <w:b/>
                <w:color w:val="FF0000"/>
                <w:sz w:val="27"/>
              </w:rPr>
              <w:t>Numac: 2019012059</w:t>
            </w:r>
          </w:p>
        </w:tc>
      </w:tr>
    </w:tbl>
    <w:p w:rsidR="00A97B31" w:rsidRPr="00A70EAF" w:rsidRDefault="00A97B31"/>
    <w:sectPr w:rsidR="00A97B31" w:rsidRPr="00A70EAF"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518" w:rsidRDefault="004F3518" w:rsidP="00CA6C25">
      <w:pPr>
        <w:spacing w:after="0" w:line="240" w:lineRule="auto"/>
      </w:pPr>
      <w:r>
        <w:separator/>
      </w:r>
    </w:p>
  </w:endnote>
  <w:endnote w:type="continuationSeparator" w:id="0">
    <w:p w:rsidR="004F3518" w:rsidRDefault="004F3518"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518" w:rsidRDefault="004F3518" w:rsidP="00CA6C25">
      <w:pPr>
        <w:spacing w:after="0" w:line="240" w:lineRule="auto"/>
      </w:pPr>
      <w:r>
        <w:separator/>
      </w:r>
    </w:p>
  </w:footnote>
  <w:footnote w:type="continuationSeparator" w:id="0">
    <w:p w:rsidR="004F3518" w:rsidRDefault="004F3518"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243D52"/>
    <w:rsid w:val="002715FE"/>
    <w:rsid w:val="002B4F80"/>
    <w:rsid w:val="002F0E9D"/>
    <w:rsid w:val="00324B0C"/>
    <w:rsid w:val="00470715"/>
    <w:rsid w:val="004F3518"/>
    <w:rsid w:val="00550C1A"/>
    <w:rsid w:val="00566A2E"/>
    <w:rsid w:val="006F0EF7"/>
    <w:rsid w:val="007207F5"/>
    <w:rsid w:val="008D5D77"/>
    <w:rsid w:val="00926C01"/>
    <w:rsid w:val="009C2279"/>
    <w:rsid w:val="00A70EAF"/>
    <w:rsid w:val="00A97B31"/>
    <w:rsid w:val="00CA6C25"/>
    <w:rsid w:val="00D111D5"/>
    <w:rsid w:val="00E127F4"/>
    <w:rsid w:val="00E87A36"/>
    <w:rsid w:val="00F24892"/>
    <w:rsid w:val="00F9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t-EE" w:eastAsia="et-EE" w:bidi="et-E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et-EE" w:eastAsia="et-EE"/>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2092</Words>
  <Characters>16719</Characters>
  <Application>Microsoft Office Word</Application>
  <DocSecurity>0</DocSecurity>
  <Lines>796</Lines>
  <Paragraphs>648</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18163</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8</cp:revision>
  <dcterms:created xsi:type="dcterms:W3CDTF">2019-07-26T09:15:00Z</dcterms:created>
  <dcterms:modified xsi:type="dcterms:W3CDTF">2019-11-04T15:28:00Z</dcterms:modified>
</cp:coreProperties>
</file>