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E9" w:rsidRPr="000D03D2" w:rsidRDefault="008532E9" w:rsidP="008532E9">
      <w:pPr>
        <w:pStyle w:val="NurText"/>
        <w:rPr>
          <w:rFonts w:ascii="Courier New" w:hAnsi="Courier New" w:cs="Courier New"/>
          <w:sz w:val="20"/>
          <w:szCs w:val="20"/>
        </w:rPr>
      </w:pPr>
      <w:bookmarkStart w:id="0" w:name="_GoBack"/>
      <w:r w:rsidRPr="000D03D2">
        <w:rPr>
          <w:rFonts w:ascii="Courier New" w:hAnsi="Courier New"/>
          <w:sz w:val="20"/>
          <w:szCs w:val="20"/>
          <w:lang w:val="da-DK"/>
        </w:rPr>
        <w:t>1. ------IND- 2018 0098 PL- DE- ------ 20190515 --- --- FINAL</w:t>
      </w:r>
    </w:p>
    <w:bookmarkEnd w:id="0"/>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Gesetz</w:t>
      </w:r>
    </w:p>
    <w:p w:rsidR="00B64935" w:rsidRPr="00C04BE5" w:rsidRDefault="00B64935" w:rsidP="00B64935">
      <w:pPr>
        <w:pStyle w:val="DATAAKTUdatauchwalenialubwydaniaaktu"/>
      </w:pPr>
      <w:r>
        <w:t>vom 5. Juli 2018</w:t>
      </w:r>
    </w:p>
    <w:p w:rsidR="00B64935" w:rsidRPr="00C04BE5" w:rsidRDefault="00B64935" w:rsidP="00B64935">
      <w:pPr>
        <w:pStyle w:val="TYTUAKTUprzedmiotregulacjiustawylubrozporzdzenia"/>
      </w:pPr>
      <w:r>
        <w:t>zur Änderung des Gesetzes über ein System zur Überwachung und Kontrolle der Kraftstoffqualität und zur Änderung des Gesetzes über die polnische Steuerverwaltung</w:t>
      </w:r>
      <w:r w:rsidRPr="00C04BE5">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Artikel 1.</w:t>
      </w:r>
      <w:r>
        <w:t> Das Gesetz vom 25. August 2006 über ein System zur Überwachung und Kontrolle der Kraftstoffqualität (polnisches Gesetzblatt von 2018 Pos. 427 und 650) wird wie folgt geändert:</w:t>
      </w:r>
    </w:p>
    <w:p w:rsidR="00B64935" w:rsidRPr="00C04BE5" w:rsidRDefault="00B64935" w:rsidP="00B64935">
      <w:pPr>
        <w:pStyle w:val="PKTpunkt"/>
        <w:keepNext/>
      </w:pPr>
      <w:r>
        <w:t>1)</w:t>
      </w:r>
      <w:r>
        <w:tab/>
        <w:t>in Artikel 1 erhält Absatz 2 folgenden Wortlaut:</w:t>
      </w:r>
    </w:p>
    <w:p w:rsidR="00B64935" w:rsidRPr="00C04BE5" w:rsidRDefault="00B64935" w:rsidP="00B64935">
      <w:pPr>
        <w:pStyle w:val="ZUSTzmustartykuempunktem"/>
        <w:keepNext/>
      </w:pPr>
      <w:r>
        <w:t>„2. Das Gesetz legt weiterhin Regeln für die Kontrolle der Qualität von Festbrennstoffen fest, die in Verkehr gebracht oder die den Zollverfahren für das Inverkehrbringen unterliegen, sofern diese Brennstoffe für folgende Zwecke bestimmt sind:</w:t>
      </w:r>
    </w:p>
    <w:p w:rsidR="00B64935" w:rsidRPr="00C04BE5" w:rsidRDefault="00B64935" w:rsidP="00B64935">
      <w:pPr>
        <w:pStyle w:val="ZPKTzmpktartykuempunktem"/>
      </w:pPr>
      <w:r>
        <w:t>1)</w:t>
      </w:r>
      <w:r>
        <w:tab/>
        <w:t>private Haushalte;</w:t>
      </w:r>
    </w:p>
    <w:p w:rsidR="00B64935" w:rsidRPr="00C04BE5" w:rsidRDefault="00B64935" w:rsidP="00B64935">
      <w:pPr>
        <w:pStyle w:val="ZPKTzmpktartykuempunktem"/>
      </w:pPr>
      <w:r>
        <w:t>2)</w:t>
      </w:r>
      <w:r>
        <w:tab/>
        <w:t>Feuerungsanlagen mit einer thermischen Nennleistung von unter 1 MW.“;</w:t>
      </w:r>
    </w:p>
    <w:p w:rsidR="00B64935" w:rsidRPr="00C04BE5" w:rsidRDefault="00B64935" w:rsidP="00B64935">
      <w:pPr>
        <w:pStyle w:val="PKTpunkt"/>
        <w:keepNext/>
      </w:pPr>
      <w:r>
        <w:t>2)</w:t>
      </w:r>
      <w:r>
        <w:tab/>
        <w:t>in Artikel 2 Absatz 1:</w:t>
      </w:r>
    </w:p>
    <w:p w:rsidR="00B64935" w:rsidRPr="00C04BE5" w:rsidRDefault="00B64935" w:rsidP="00B64935">
      <w:pPr>
        <w:pStyle w:val="LITlitera"/>
        <w:keepNext/>
      </w:pPr>
      <w:r>
        <w:t>a)</w:t>
      </w:r>
      <w:r>
        <w:tab/>
        <w:t>wird Nummer 1 wie folgt gefasst:</w:t>
      </w:r>
    </w:p>
    <w:p w:rsidR="00B64935" w:rsidRPr="00C04BE5" w:rsidRDefault="00B64935" w:rsidP="00B64935">
      <w:pPr>
        <w:pStyle w:val="ZLITPKTzmpktliter"/>
        <w:keepNext/>
      </w:pPr>
      <w:r>
        <w:t>„1)</w:t>
      </w:r>
      <w:r>
        <w:tab/>
        <w:t>Unternehmer – der Unternehmer im Sinne des Gesetzes vom 6. März 2018 über das Unternehmensrecht (polnisches Gesetzblatt von Pos. 646, 1479, 1629 und 1633), der in folgendem Bereich tätig ist:</w:t>
      </w:r>
    </w:p>
    <w:p w:rsidR="00B64935" w:rsidRPr="00C04BE5" w:rsidRDefault="00B64935" w:rsidP="00B64935">
      <w:pPr>
        <w:pStyle w:val="ZLITLITwPKTzmlitwpktliter"/>
      </w:pPr>
      <w:r>
        <w:t>a)</w:t>
      </w:r>
      <w:r>
        <w:tab/>
        <w:t>Erzeugung, Beförderung, Speicherung oder Inverkehrbringen von Brennstoffen oder</w:t>
      </w:r>
    </w:p>
    <w:p w:rsidR="00B64935" w:rsidRPr="00C04BE5" w:rsidRDefault="00B64935" w:rsidP="00B64935">
      <w:pPr>
        <w:pStyle w:val="ZLITLITwPKTzmlitwpktliter"/>
      </w:pPr>
      <w:r>
        <w:t>b)</w:t>
      </w:r>
      <w:r>
        <w:tab/>
        <w:t>Inverkehrbringen von Festbrennstoffen;“,</w:t>
      </w:r>
    </w:p>
    <w:p w:rsidR="00B64935" w:rsidRPr="00C04BE5" w:rsidRDefault="00B64935" w:rsidP="00B64935">
      <w:pPr>
        <w:pStyle w:val="LITlitera"/>
        <w:keepNext/>
      </w:pPr>
      <w:r>
        <w:t>b)</w:t>
      </w:r>
      <w:r>
        <w:tab/>
        <w:t>wird Nummer 4a wie folgt gefasst:</w:t>
      </w:r>
    </w:p>
    <w:p w:rsidR="00B64935" w:rsidRPr="00C04BE5" w:rsidRDefault="00B64935" w:rsidP="00B64935">
      <w:pPr>
        <w:pStyle w:val="ZLITPKTzmpktliter"/>
        <w:keepNext/>
      </w:pPr>
      <w:r>
        <w:t>„4a)</w:t>
      </w:r>
      <w:r>
        <w:tab/>
        <w:t>Festbrennstoffe:</w:t>
      </w:r>
    </w:p>
    <w:p w:rsidR="00B64935" w:rsidRPr="00C04BE5" w:rsidRDefault="00B64935" w:rsidP="00B64935">
      <w:pPr>
        <w:pStyle w:val="ZLITLITwPKTzmlitwpktliter"/>
      </w:pPr>
      <w:r>
        <w:t>a)</w:t>
      </w:r>
      <w:r>
        <w:tab/>
        <w:t>Steinkohle, Steinkohlenbriketts oder Pellets mit einem Steinkohleanteil von mindestens 85 %,</w:t>
      </w:r>
    </w:p>
    <w:p w:rsidR="00B64935" w:rsidRPr="00C04BE5" w:rsidRDefault="00B64935" w:rsidP="00B64935">
      <w:pPr>
        <w:pStyle w:val="ZLITLITwPKTzmlitwpktliter"/>
      </w:pPr>
      <w:r>
        <w:t>b)</w:t>
      </w:r>
      <w:r>
        <w:tab/>
        <w:t>feste Produkte, die bei der thermischen Behandlung von Steinkohle bzw. Braunkohle gewonnen werden und zum Verbrennen bestimmt sind,</w:t>
      </w:r>
    </w:p>
    <w:p w:rsidR="00B64935" w:rsidRPr="00C04BE5" w:rsidRDefault="00B64935" w:rsidP="00B64935">
      <w:pPr>
        <w:pStyle w:val="ZLITLITwPKTzmlitwpktliter"/>
      </w:pPr>
      <w:r>
        <w:t>c)</w:t>
      </w:r>
      <w:r>
        <w:tab/>
        <w:t>aus Bäumen und Sträuchern hergestellte Biomasse und pflanzliche Biomasse aus der Landwirtschaft,</w:t>
      </w:r>
    </w:p>
    <w:p w:rsidR="00B64935" w:rsidRPr="00C04BE5" w:rsidRDefault="00B64935" w:rsidP="00B64935">
      <w:pPr>
        <w:pStyle w:val="ZLITLITwPKTzmlitwpktliter"/>
      </w:pPr>
      <w:r>
        <w:t>d)</w:t>
      </w:r>
      <w:r>
        <w:tab/>
        <w:t>Torf,</w:t>
      </w:r>
    </w:p>
    <w:p w:rsidR="00B64935" w:rsidRPr="00C04BE5" w:rsidRDefault="00B64935" w:rsidP="00B64935">
      <w:pPr>
        <w:pStyle w:val="ZLITLITwPKTzmlitwpktliter"/>
      </w:pPr>
      <w:r>
        <w:t>e)</w:t>
      </w:r>
      <w:r>
        <w:tab/>
        <w:t>Kohlenschlämme, Flotationskonzentrate,</w:t>
      </w:r>
    </w:p>
    <w:p w:rsidR="00B64935" w:rsidRPr="00C04BE5" w:rsidRDefault="00B64935" w:rsidP="00B64935">
      <w:pPr>
        <w:pStyle w:val="ZLITLITwPKTzmlitwpktliter"/>
      </w:pPr>
      <w:r>
        <w:t>f)</w:t>
      </w:r>
      <w:r>
        <w:tab/>
        <w:t>Braunkohle,</w:t>
      </w:r>
    </w:p>
    <w:p w:rsidR="00B64935" w:rsidRPr="00C04BE5" w:rsidRDefault="00B64935" w:rsidP="00B64935">
      <w:pPr>
        <w:pStyle w:val="ZLITLITwPKTzmlitwpktliter"/>
      </w:pPr>
      <w:r>
        <w:t>g)</w:t>
      </w:r>
      <w:r>
        <w:tab/>
        <w:t>Mischung beliebiger Brennstoffe der Buchstaben a–f mit oder ohne Zusatz anderer Stoffe, mit einem Steinkohleanteil von weniger als 85 %;“,</w:t>
      </w:r>
    </w:p>
    <w:p w:rsidR="00B64935" w:rsidRPr="00C04BE5" w:rsidRDefault="00B64935" w:rsidP="00B64935">
      <w:pPr>
        <w:pStyle w:val="LITlitera"/>
        <w:keepNext/>
      </w:pPr>
      <w:r>
        <w:lastRenderedPageBreak/>
        <w:t>c)</w:t>
      </w:r>
      <w:r>
        <w:tab/>
        <w:t>wird nach Nummer 4a die folgende Nummer 4b eingefügt:</w:t>
      </w:r>
    </w:p>
    <w:p w:rsidR="00B64935" w:rsidRPr="00C04BE5" w:rsidRDefault="00B64935" w:rsidP="00FA59B1">
      <w:pPr>
        <w:pStyle w:val="ZLITPKTzmpktliter"/>
        <w:spacing w:before="120"/>
        <w:ind w:left="1264" w:hanging="482"/>
      </w:pPr>
      <w:r>
        <w:t>„4b)</w:t>
      </w:r>
      <w:r>
        <w:tab/>
        <w:t>unsortierter Festbrennstoff – der Festbrennstoff nach Nummer 4a Buchstaben a, b und e–g, der nicht angereichert wurde, oder ein Kohlengemisch unterschiedlicher Körnung, das den Qualitätsanforderungen in den gemäß Artikel 3a Absatz 2 erlassenen Bestimmungen nicht genügt;“,</w:t>
      </w:r>
    </w:p>
    <w:p w:rsidR="00B64935" w:rsidRPr="00C04BE5" w:rsidRDefault="00B64935" w:rsidP="00FA59B1">
      <w:pPr>
        <w:pStyle w:val="LITlitera"/>
        <w:keepNext/>
        <w:spacing w:before="160"/>
        <w:ind w:left="777" w:hanging="357"/>
      </w:pPr>
      <w:r>
        <w:t>d)</w:t>
      </w:r>
      <w:r>
        <w:tab/>
        <w:t>wird nach Nummer 14 die folgende Nummer 14a eingefügt:</w:t>
      </w:r>
    </w:p>
    <w:p w:rsidR="00B64935" w:rsidRPr="00C04BE5" w:rsidRDefault="00B64935" w:rsidP="00FA59B1">
      <w:pPr>
        <w:pStyle w:val="ZLITPKTzmpktliter"/>
        <w:spacing w:before="120"/>
        <w:ind w:left="1264" w:hanging="482"/>
      </w:pPr>
      <w:r>
        <w:t>„14a)</w:t>
      </w:r>
      <w:r>
        <w:tab/>
        <w:t>Inverkehrbringen von Festbrennstoffen – der Verkauf oder eine andere Form der Abgabe von Festbrennstoffen auf dem Hoheitsgebiet der Republik Polen für den Zweck nach Artikel 1 Absatz 2;“,</w:t>
      </w:r>
    </w:p>
    <w:p w:rsidR="00B64935" w:rsidRPr="00C04BE5" w:rsidRDefault="00B64935" w:rsidP="00FA59B1">
      <w:pPr>
        <w:pStyle w:val="LITlitera"/>
        <w:keepNext/>
        <w:spacing w:before="160"/>
        <w:ind w:left="777" w:hanging="357"/>
      </w:pPr>
      <w:r>
        <w:t>e)</w:t>
      </w:r>
      <w:r>
        <w:tab/>
        <w:t>wird Nummer 20 wie folgt gefasst:</w:t>
      </w:r>
    </w:p>
    <w:p w:rsidR="00B64935" w:rsidRPr="00C04BE5" w:rsidRDefault="00B64935" w:rsidP="00B64935">
      <w:pPr>
        <w:pStyle w:val="ZLITPKTzmpktliter"/>
      </w:pPr>
      <w:r>
        <w:t>„20)</w:t>
      </w:r>
      <w:r>
        <w:tab/>
        <w:t>akkreditiertes Labor – eine von Unternehmen, die im Bereich der Erzeugung, Speicherung und des Inverkehrbringens von Festbrennstoffen tätig sind, unabhängige Laboreinrichtung für die Durchführung von Qualitätsprüfungen von Brennstoffen und Festbrennstoffen, die nach den Vorgaben im Gesetz vom 13. April 2016 über Systeme der Konformitätsbewertung und Marktüberwachung (polnisches Gesetzblatt von 2017 Pos. 1398 sowie von 2018 Pos. 650 und 1338) akkreditiert wurde;“,</w:t>
      </w:r>
    </w:p>
    <w:p w:rsidR="00B64935" w:rsidRPr="00C04BE5" w:rsidRDefault="00B64935" w:rsidP="00FA59B1">
      <w:pPr>
        <w:pStyle w:val="LITlitera"/>
        <w:keepNext/>
        <w:spacing w:before="160"/>
        <w:ind w:left="777" w:hanging="357"/>
      </w:pPr>
      <w:r>
        <w:t>f)</w:t>
      </w:r>
      <w:r>
        <w:tab/>
        <w:t>wird nach Nummer 21 die folgende Nummer 21a eingefügt:</w:t>
      </w:r>
    </w:p>
    <w:p w:rsidR="00B64935" w:rsidRPr="00C04BE5" w:rsidRDefault="00B64935" w:rsidP="00FA59B1">
      <w:pPr>
        <w:pStyle w:val="ZLITPKTzmpktliter"/>
        <w:spacing w:before="120"/>
        <w:ind w:left="1264" w:hanging="482"/>
      </w:pPr>
      <w:r>
        <w:t>„21a)</w:t>
      </w:r>
      <w:r>
        <w:tab/>
        <w:t>Festbrennstoffprobe – zur Untersuchung entnommener Festbrennstoff;“;</w:t>
      </w:r>
    </w:p>
    <w:p w:rsidR="00B64935" w:rsidRPr="00C04BE5" w:rsidRDefault="00B64935" w:rsidP="00F20555">
      <w:pPr>
        <w:pStyle w:val="PKTpunkt"/>
        <w:keepNext/>
        <w:spacing w:before="160"/>
      </w:pPr>
      <w:r>
        <w:t>3)</w:t>
      </w:r>
      <w:r>
        <w:tab/>
        <w:t>in Artikel 3a:</w:t>
      </w:r>
    </w:p>
    <w:p w:rsidR="00B64935" w:rsidRPr="00C04BE5" w:rsidRDefault="00B64935" w:rsidP="00F20555">
      <w:pPr>
        <w:pStyle w:val="LITlitera"/>
        <w:keepNext/>
        <w:ind w:left="777" w:hanging="357"/>
      </w:pPr>
      <w:r>
        <w:t>a)</w:t>
      </w:r>
      <w:r>
        <w:tab/>
        <w:t>werden die Absätze 1 und 2 wie folgt gefasst:</w:t>
      </w:r>
    </w:p>
    <w:p w:rsidR="00B64935" w:rsidRPr="00C04BE5" w:rsidRDefault="00B64935" w:rsidP="00F20555">
      <w:pPr>
        <w:pStyle w:val="ZLITUSTzmustliter"/>
        <w:spacing w:before="120"/>
        <w:ind w:left="782" w:firstLine="482"/>
      </w:pPr>
      <w:r>
        <w:t>„1. Mit Blick auf den Umweltschutz, die menschliche Gesundheit und die Interessen der Verbraucher genügen die in Artikel 2 Absatz 1 Nummer 4a Buchstaben a und b genannten Festbrennstoffe, die in Verkehr gebracht werden oder dem Zollverfahren für das zweckgebundene Inverkehrbringen laut Artikel 1 Absatz 2 unterliegen, den für diese Brennstoffart festgelegten Qualitätsanforderungen.</w:t>
      </w:r>
    </w:p>
    <w:p w:rsidR="00B64935" w:rsidRPr="00C04BE5" w:rsidRDefault="00B64935" w:rsidP="00F20555">
      <w:pPr>
        <w:pStyle w:val="ZLITUSTzmustliter"/>
        <w:spacing w:before="120"/>
        <w:ind w:left="782" w:firstLine="482"/>
      </w:pPr>
      <w:r>
        <w:t xml:space="preserve">2. Der Energieminister legt per Verordnung Qualitätsanforderungen für die Festbrennstoffe nach Artikel 2 Absatz 1 Nummer 4a Buchstaben a und b mit der Zweckbestimmung gemäß Artikel 1 Absatz 2 sowie die zulässigen Abweichungen von diesen Anforderungen fest, wobei er dem Stand der Technik in diesem Bereich, basierend auf Untersuchungen dieser Brennstoffe und den Erfahrungen mit deren Einsatz, und insbesondere der Verbesserung der </w:t>
      </w:r>
      <w:proofErr w:type="spellStart"/>
      <w:r>
        <w:t>Luftgüte</w:t>
      </w:r>
      <w:proofErr w:type="spellEnd"/>
      <w:r>
        <w:t xml:space="preserve"> und der Reduzierung der Emission von Treibhausgasen und anderen Stoffen Rechnung trägt.“,</w:t>
      </w:r>
    </w:p>
    <w:p w:rsidR="00B64935" w:rsidRPr="00C04BE5" w:rsidRDefault="00B64935" w:rsidP="00F20555">
      <w:pPr>
        <w:pStyle w:val="LITlitera"/>
        <w:keepNext/>
        <w:ind w:left="777" w:hanging="357"/>
      </w:pPr>
      <w:r>
        <w:t>b)</w:t>
      </w:r>
      <w:r>
        <w:tab/>
        <w:t>wird nach Absatz 2 folgender Absatz 2a eingefügt:</w:t>
      </w:r>
    </w:p>
    <w:p w:rsidR="00B64935" w:rsidRPr="00C04BE5" w:rsidRDefault="00B64935" w:rsidP="00F20555">
      <w:pPr>
        <w:pStyle w:val="ZLITUSTzmustliter"/>
        <w:spacing w:before="120"/>
        <w:ind w:left="782" w:firstLine="482"/>
      </w:pPr>
      <w:r>
        <w:t>„2a. Der Energieminister prüft im Einvernehmen mit dem Umweltminister und dem Wirtschaftsminister mindestens alle 2 Jahre die Qualitätsanforderungen in den gemäß Absatz 2 erlassenen Bestimmungen mit dem Ziel, die Auswirkungen von deren Umsetzung auf den Umweltschutz, die menschliche Gesundheit und die Interessen der Verbraucher zu beurteilen. Auf der Grundlage der Ergebnisse dieser Überprüfung können die Anforderungen geändert werden.“;</w:t>
      </w:r>
    </w:p>
    <w:p w:rsidR="00B64935" w:rsidRPr="00C04BE5" w:rsidRDefault="00B64935" w:rsidP="00F20555">
      <w:pPr>
        <w:pStyle w:val="PKTpunkt"/>
        <w:keepNext/>
        <w:spacing w:before="160"/>
      </w:pPr>
      <w:r>
        <w:t>4)</w:t>
      </w:r>
      <w:r>
        <w:tab/>
        <w:t>werden nach Artikel 6 die folgenden Artikel 6a–6e eingefügt:</w:t>
      </w:r>
    </w:p>
    <w:p w:rsidR="00B64935" w:rsidRPr="00C04BE5" w:rsidRDefault="00B64935" w:rsidP="00F20555">
      <w:pPr>
        <w:pStyle w:val="ZARTzmartartykuempunktem"/>
        <w:ind w:firstLine="482"/>
      </w:pPr>
      <w:r>
        <w:t>„Artikel 6a. Wenn auf dem Markt außerordentliche Ereignisse eintreten, durch die die Bedingungen für die Versorgung mit Festbrennstoffen geändert werden und die Qualitätsanforderungen nicht eingehalten werden können oder die die Energieversorgungssicherheit der Republik Polen gefährden, kann der Energieminister per Verordnung für eine befristete Dauer von höchstens 60 Tagen unter Berücksichtigung der Verbraucherinteressen und zur Sicherstellung der Energieversorgungssicherheit auf die Anwendung der Anforderungen in den gemäß Artikel 3a Absatz 2 erlassenen Bestimmungen verzichten.</w:t>
      </w:r>
    </w:p>
    <w:p w:rsidR="00B64935" w:rsidRPr="00C04BE5" w:rsidRDefault="00B64935" w:rsidP="00F20555">
      <w:pPr>
        <w:pStyle w:val="ZARTzmartartykuempunktem"/>
        <w:keepNext/>
        <w:ind w:firstLine="482"/>
      </w:pPr>
      <w:r>
        <w:t>Artikel 6b. 1. Wirtschaftsteilnehmer, die Festbrennstoffe mit einer anderen als in Artikel 1 Absatz 2 genannten Zweckbestimmung kaufen, übermitteln dem Unternehmer, der Festbrennstoffe und Festbrennstoffe für die in Artikel 1 Absatz 2 genannten Zwecke in Verkehr bringt, folgende Unterlagen:</w:t>
      </w:r>
    </w:p>
    <w:p w:rsidR="00B64935" w:rsidRPr="00C04BE5" w:rsidRDefault="00B64935" w:rsidP="00F20555">
      <w:pPr>
        <w:pStyle w:val="ZPKTzmpktartykuempunktem"/>
        <w:ind w:left="902" w:hanging="482"/>
      </w:pPr>
      <w:r>
        <w:t>1)</w:t>
      </w:r>
      <w:r>
        <w:tab/>
        <w:t>eine Kopie des von der Behörde nach Absatz 3 ausgestellten Nachweises darüber, dass der Wirtschaftsteilnehmer, der Festbrennstoffe kauft, eine andere als in Artikel 1 Absatz 2 Nummer 2 genannte Feuerungsanlage, die mit Festbrennstoffen befeuert wird, betreibt oder</w:t>
      </w:r>
    </w:p>
    <w:p w:rsidR="00B64935" w:rsidRPr="00C04BE5" w:rsidRDefault="00B64935" w:rsidP="00F20555">
      <w:pPr>
        <w:pStyle w:val="ZPKTzmpktartykuempunktem"/>
        <w:ind w:left="902" w:hanging="482"/>
      </w:pPr>
      <w:r>
        <w:t>2)</w:t>
      </w:r>
      <w:r>
        <w:tab/>
        <w:t>eine Kopie des Nachweises über die Ausübung einer wirtschaftlichen Tätigkeit im Bereich des Verkaufs von Festbrennstoffen.</w:t>
      </w:r>
    </w:p>
    <w:p w:rsidR="00B64935" w:rsidRPr="00C04BE5" w:rsidRDefault="00B64935" w:rsidP="00F20555">
      <w:pPr>
        <w:pStyle w:val="ZUSTzmustartykuempunktem"/>
        <w:spacing w:before="160"/>
        <w:ind w:firstLine="482"/>
      </w:pPr>
      <w:r>
        <w:t xml:space="preserve">2. Unternehmer, die Festbrennstoffe für die Zwecke in Artikel 1 Absatz 2 und andere als die in Artikel 1 Absatz 2 genannten Zwecke in Verkehr bringen, müssen eine Kopie der Nachweise und Unterlagen nach Absatz 1 </w:t>
      </w:r>
      <w:r>
        <w:lastRenderedPageBreak/>
        <w:t>sowie eine Kopie der Mehrwertsteuerrechnungen, die den Käufern von Festbrennstoffen ausgestellt worden sind, über einen Zeitraum von fünf Jahren ab dem Tag ihrer Übermittlung aufbewahren.</w:t>
      </w:r>
    </w:p>
    <w:p w:rsidR="00B64935" w:rsidRPr="00C04BE5" w:rsidRDefault="00B64935" w:rsidP="00DF0F33">
      <w:pPr>
        <w:pStyle w:val="ZUSTzmustartykuempunktem"/>
        <w:spacing w:before="78" w:after="52"/>
        <w:ind w:firstLine="482"/>
      </w:pPr>
      <w:r>
        <w:t>3. Der Nachweis nach Absatz 1 Nummer 1 wird auf Antrag des Betreibers einer anderen als in Artikel 1 Absatz 2 Nummer 2 genannten Feuerungsanlage, die mit Festbrennstoffen befeuert wird, von der Umweltschutzbehörde, die eine Genehmigung nach Artikel 181 Absatz 1 Nummer 1 bzw. 2 des Gesetzes vom 27. April 2001 über das Umweltrecht (polnisches Gesetzblatt von 2018 Pos. 799 mit späteren Änderungen</w:t>
      </w:r>
      <w:r w:rsidR="00F20555" w:rsidRPr="00C04BE5">
        <w:rPr>
          <w:rStyle w:val="IGindeksgrny"/>
        </w:rPr>
        <w:footnoteReference w:id="3"/>
      </w:r>
      <w:r>
        <w:rPr>
          <w:rStyle w:val="IGindeksgrny"/>
        </w:rPr>
        <w:t>)</w:t>
      </w:r>
      <w:r>
        <w:t>) ausgestellt oder die Meldung nach Artikel 152 Absatz 1 des zuvor genannten Gesetzes entgegengenommen hat, ausgestellt.</w:t>
      </w:r>
    </w:p>
    <w:p w:rsidR="00B64935" w:rsidRPr="00C04BE5" w:rsidRDefault="00B64935" w:rsidP="00DF0F33">
      <w:pPr>
        <w:pStyle w:val="ZUSTzmustartykuempunktem"/>
        <w:spacing w:before="52" w:after="52"/>
      </w:pPr>
      <w:r>
        <w:t>4. Der Nachweis nach Absatz 1 Nummer 1 hat eine Gültigkeit von einem Jahr ab dem Ausstellungsdatum.</w:t>
      </w:r>
    </w:p>
    <w:p w:rsidR="00B64935" w:rsidRPr="00C04BE5" w:rsidRDefault="00B64935" w:rsidP="00DF0F33">
      <w:pPr>
        <w:pStyle w:val="ZARTzmartartykuempunktem"/>
        <w:spacing w:before="78" w:after="52"/>
      </w:pPr>
      <w:r>
        <w:t>Artikel 6c. 1. Zum Zeitpunkt des Inverkehrbringens des Festbrennstoffs nach Artikel 2 Absatz 1 Nummer 4a Buchstaben a und b stellt der Unternehmer ein Dokument aus, in dem bestätigt wird, dass der Festbrennstoff den Qualitätsanforderungen in den gemäß Artikel 3a Absatz 2 erlassenen Bestimmungen genügt (im Folgenden: „Qualitätsbescheinigung“).</w:t>
      </w:r>
    </w:p>
    <w:p w:rsidR="00B64935" w:rsidRPr="00C04BE5" w:rsidRDefault="00B64935" w:rsidP="00DF0F33">
      <w:pPr>
        <w:pStyle w:val="ZUSTzmustartykuempunktem"/>
        <w:spacing w:before="52" w:after="52"/>
      </w:pPr>
      <w:r>
        <w:t>2. Eine vom Unternehmer, der Festbrennstoffe in Verkehr bringt, beglaubigte Kopie der Qualitätsbescheinigung wird jedem Käufer von Festbrennstoffen ausgehändigt.</w:t>
      </w:r>
    </w:p>
    <w:p w:rsidR="00B64935" w:rsidRPr="00C04BE5" w:rsidRDefault="00B64935" w:rsidP="00DF0F33">
      <w:pPr>
        <w:pStyle w:val="ZUSTzmustartykuempunktem"/>
        <w:spacing w:before="52" w:after="52"/>
      </w:pPr>
      <w:r>
        <w:t>3. Der Unternehmer nach Absatz 1 bewahrt die Qualitätsbescheinigungen über einen Zeitraum von zwei Jahren ab Ausstellungsdatum auf.</w:t>
      </w:r>
    </w:p>
    <w:p w:rsidR="00B64935" w:rsidRPr="00C04BE5" w:rsidRDefault="00B64935" w:rsidP="00DF0F33">
      <w:pPr>
        <w:pStyle w:val="ZARTzmartartykuempunktem"/>
        <w:keepNext/>
        <w:spacing w:before="78" w:after="52"/>
      </w:pPr>
      <w:r>
        <w:t>Artikel 6d. Die Qualitätsbescheinigung enthält folgende Angaben:</w:t>
      </w:r>
    </w:p>
    <w:p w:rsidR="00B64935" w:rsidRPr="00C04BE5" w:rsidRDefault="00B64935" w:rsidP="00DF0F33">
      <w:pPr>
        <w:pStyle w:val="ZPKTzmpktartykuempunktem"/>
        <w:spacing w:before="52" w:after="52"/>
      </w:pPr>
      <w:r>
        <w:t>1)</w:t>
      </w:r>
      <w:r>
        <w:tab/>
        <w:t>die Bezeichnung des die Qualitätsbescheinigung ausstellenden Unternehmers und die Adresse seines Sitzes;</w:t>
      </w:r>
    </w:p>
    <w:p w:rsidR="00B64935" w:rsidRPr="00C04BE5" w:rsidRDefault="00B64935" w:rsidP="00DF0F33">
      <w:pPr>
        <w:pStyle w:val="ZPKTzmpktartykuempunktem"/>
        <w:spacing w:before="52" w:after="52"/>
      </w:pPr>
      <w:r>
        <w:t>2)</w:t>
      </w:r>
      <w:r>
        <w:tab/>
        <w:t>die Steueridentifikationsnummer des die Qualitätsbescheinigung ausstellenden Unternehmers und die Erfassungsnummer im nationalen Gewerberegister REGON (falls vorhanden) oder die Erfassungsnummer des Unternehmers in den einschlägigen Registern im Ausland;</w:t>
      </w:r>
    </w:p>
    <w:p w:rsidR="00B64935" w:rsidRPr="00C04BE5" w:rsidRDefault="00B64935" w:rsidP="00DF0F33">
      <w:pPr>
        <w:pStyle w:val="ZPKTzmpktartykuempunktem"/>
        <w:spacing w:before="52" w:after="52"/>
      </w:pPr>
      <w:r>
        <w:t>3)</w:t>
      </w:r>
      <w:r>
        <w:tab/>
        <w:t>die individuelle Nummer der Qualitätsbescheinigung;</w:t>
      </w:r>
    </w:p>
    <w:p w:rsidR="00B64935" w:rsidRPr="00C04BE5" w:rsidRDefault="00B64935" w:rsidP="00DF0F33">
      <w:pPr>
        <w:pStyle w:val="ZPKTzmpktartykuempunktem"/>
        <w:spacing w:before="52" w:after="52"/>
      </w:pPr>
      <w:r>
        <w:t>4)</w:t>
      </w:r>
      <w:r>
        <w:tab/>
        <w:t>die Art des Festbrennstoffs, für den die Qualitätsbescheinigung ausgestellt wird;</w:t>
      </w:r>
    </w:p>
    <w:p w:rsidR="00B64935" w:rsidRPr="00C04BE5" w:rsidRDefault="00B64935" w:rsidP="00DF0F33">
      <w:pPr>
        <w:pStyle w:val="ZPKTzmpktartykuempunktem"/>
        <w:spacing w:before="52" w:after="52"/>
      </w:pPr>
      <w:r>
        <w:t>5)</w:t>
      </w:r>
      <w:r>
        <w:tab/>
        <w:t>das Zertifizierungssystem oder ein anderes Dokument für die Anerkennung, dass die betreffende Festbrennstoffart, für die die Qualitätsbescheinigung ausgestellt wird, den Qualitätsanforderungen in den gemäß Artikel 3a Absatz 2 genannten Bestimmungen genügt;</w:t>
      </w:r>
    </w:p>
    <w:p w:rsidR="00B64935" w:rsidRPr="00C04BE5" w:rsidRDefault="00B64935" w:rsidP="00DF0F33">
      <w:pPr>
        <w:pStyle w:val="ZPKTzmpktartykuempunktem"/>
        <w:spacing w:before="52" w:after="52"/>
      </w:pPr>
      <w:r>
        <w:t>6)</w:t>
      </w:r>
      <w:r>
        <w:tab/>
        <w:t>die Parameterwerte des Festbrennstoffs, für den die Qualitätsbescheinigung ausgestellt wird, die in den gemäß Artikel 3a Absatz 2 genannten Bestimmungen festgelegt sind;</w:t>
      </w:r>
    </w:p>
    <w:p w:rsidR="00B64935" w:rsidRPr="00C04BE5" w:rsidRDefault="00B64935" w:rsidP="00DF0F33">
      <w:pPr>
        <w:pStyle w:val="ZPKTzmpktartykuempunktem"/>
        <w:spacing w:before="52" w:after="52"/>
      </w:pPr>
      <w:r>
        <w:t>7)</w:t>
      </w:r>
      <w:r>
        <w:tab/>
        <w:t>Angaben zu den Qualitätsanforderungen für den Festbrennstoff, für den die Qualitätsbescheinigung ausgestellt wird, die in den gemäß Artikel 3a Absatz 2 erlassenen Bestimmungen festgelegt sind;</w:t>
      </w:r>
    </w:p>
    <w:p w:rsidR="00B64935" w:rsidRPr="00C04BE5" w:rsidRDefault="00B64935" w:rsidP="00DF0F33">
      <w:pPr>
        <w:pStyle w:val="ZPKTzmpktartykuempunktem"/>
        <w:spacing w:before="52" w:after="52"/>
      </w:pPr>
      <w:r>
        <w:t>8)</w:t>
      </w:r>
      <w:r>
        <w:tab/>
        <w:t>eine Erklärung des die Qualitätsbescheinigung ausstellenden Unternehmers, dass der Festbrennstoff, für den die Qualitätsbescheinigung ausgestellt wird, die Qualitätsanforderungen in den gemäß Artikel 3a Absatz 2 erlassenen Bestimmungen erfüllt;</w:t>
      </w:r>
    </w:p>
    <w:p w:rsidR="00B64935" w:rsidRPr="00C04BE5" w:rsidRDefault="00B64935" w:rsidP="00DF0F33">
      <w:pPr>
        <w:pStyle w:val="ZPKTzmpktartykuempunktem"/>
        <w:spacing w:before="52" w:after="52"/>
      </w:pPr>
      <w:r>
        <w:t>9)</w:t>
      </w:r>
      <w:r>
        <w:tab/>
        <w:t>Ort und Datum der Ausstellung der Qualitätsbescheinigung;</w:t>
      </w:r>
    </w:p>
    <w:p w:rsidR="00B64935" w:rsidRPr="00C04BE5" w:rsidRDefault="00B64935" w:rsidP="00DF0F33">
      <w:pPr>
        <w:pStyle w:val="ZPKTzmpktartykuempunktem"/>
        <w:spacing w:before="52" w:after="52"/>
      </w:pPr>
      <w:r>
        <w:t>10)</w:t>
      </w:r>
      <w:r>
        <w:tab/>
        <w:t>Unterschrift des die Qualitätsbescheinigung ausstellenden Unternehmers oder seines Bevollmächtigten.</w:t>
      </w:r>
    </w:p>
    <w:p w:rsidR="00B64935" w:rsidRPr="00C04BE5" w:rsidRDefault="00B64935" w:rsidP="00DF0F33">
      <w:pPr>
        <w:pStyle w:val="ZARTzmartartykuempunktem"/>
        <w:spacing w:before="78" w:after="52"/>
      </w:pPr>
      <w:r>
        <w:t>Artikel 6e. Der Energieminister legt per Verordnung das Muster einer Qualitätsbescheinigung fest und trägt dabei der Notwendigkeit Rechnung, dass die ausgestellten Qualitätsbescheinigungen vollständig, einheitlich und lesbar sein müssen.“;</w:t>
      </w:r>
    </w:p>
    <w:p w:rsidR="00B64935" w:rsidRPr="00C04BE5" w:rsidRDefault="00B64935" w:rsidP="00DF0F33">
      <w:pPr>
        <w:pStyle w:val="PKTpunkt"/>
        <w:keepNext/>
        <w:spacing w:before="78" w:after="52"/>
      </w:pPr>
      <w:r>
        <w:t>5)</w:t>
      </w:r>
      <w:r>
        <w:tab/>
        <w:t>in Artikel 7:</w:t>
      </w:r>
    </w:p>
    <w:p w:rsidR="00B64935" w:rsidRPr="00C04BE5" w:rsidRDefault="00B64935" w:rsidP="00DF0F33">
      <w:pPr>
        <w:pStyle w:val="LITlitera"/>
        <w:keepNext/>
        <w:spacing w:before="78" w:after="52"/>
      </w:pPr>
      <w:r>
        <w:t>a)</w:t>
      </w:r>
      <w:r>
        <w:tab/>
        <w:t>wird nach Absatz 7 der folgende Absatz 7a eingefügt:</w:t>
      </w:r>
    </w:p>
    <w:p w:rsidR="00B64935" w:rsidRPr="00C04BE5" w:rsidRDefault="00B64935" w:rsidP="00DF0F33">
      <w:pPr>
        <w:pStyle w:val="ZLITUSTzmustliter"/>
        <w:keepNext/>
        <w:spacing w:before="52" w:after="52"/>
      </w:pPr>
      <w:r>
        <w:t>„7a. Das Inverkehrbringen folgender Festbrennstoffe ist untersagt:</w:t>
      </w:r>
    </w:p>
    <w:p w:rsidR="00B64935" w:rsidRPr="00C04BE5" w:rsidRDefault="00B64935" w:rsidP="00DF0F33">
      <w:pPr>
        <w:pStyle w:val="ZLITPKTzmpktliter"/>
        <w:spacing w:before="52" w:after="52"/>
      </w:pPr>
      <w:r>
        <w:t>1)</w:t>
      </w:r>
      <w:r>
        <w:tab/>
        <w:t>die in Artikel 2 Absatz 1 Nummer 4a Buchstaben e und g genannten Festbrennstoffe;</w:t>
      </w:r>
    </w:p>
    <w:p w:rsidR="00B64935" w:rsidRPr="00C04BE5" w:rsidRDefault="00B64935" w:rsidP="00DF0F33">
      <w:pPr>
        <w:pStyle w:val="ZLITPKTzmpktliter"/>
        <w:spacing w:before="52" w:after="52"/>
      </w:pPr>
      <w:r>
        <w:t>2)</w:t>
      </w:r>
      <w:r>
        <w:tab/>
        <w:t>die in Artikel 2 Absatz 1 Nummer 4a Buchstabe f genannten Festbrennstoffe;</w:t>
      </w:r>
    </w:p>
    <w:p w:rsidR="00B64935" w:rsidRPr="00C04BE5" w:rsidRDefault="00B64935" w:rsidP="00DF0F33">
      <w:pPr>
        <w:pStyle w:val="ZLITPKTzmpktliter"/>
        <w:spacing w:before="52" w:after="52"/>
      </w:pPr>
      <w:r>
        <w:t>3)</w:t>
      </w:r>
      <w:r>
        <w:tab/>
        <w:t>die den Qualitätsanforderungen in den gemäß Artikel 3a Absatz 2 erlassenen Bestimmungen nicht genügen;</w:t>
      </w:r>
    </w:p>
    <w:p w:rsidR="00B64935" w:rsidRPr="00C04BE5" w:rsidRDefault="00B64935" w:rsidP="00DF0F33">
      <w:pPr>
        <w:pStyle w:val="ZLITPKTzmpktliter"/>
        <w:spacing w:before="52" w:after="52"/>
      </w:pPr>
      <w:r>
        <w:t>4)</w:t>
      </w:r>
      <w:r>
        <w:tab/>
        <w:t>unsortierte Festbrennstoffe;</w:t>
      </w:r>
    </w:p>
    <w:p w:rsidR="00B64935" w:rsidRPr="00C04BE5" w:rsidRDefault="00B64935" w:rsidP="00DF0F33">
      <w:pPr>
        <w:pStyle w:val="ZLITPKTzmpktliter"/>
        <w:spacing w:before="52" w:after="52"/>
      </w:pPr>
      <w:r>
        <w:t>5)</w:t>
      </w:r>
      <w:r>
        <w:tab/>
        <w:t>für die keine Qualitätsbescheinigung ausgestellt wurde.“,</w:t>
      </w:r>
    </w:p>
    <w:p w:rsidR="00B64935" w:rsidRPr="00C04BE5" w:rsidRDefault="00B64935" w:rsidP="00DF0F33">
      <w:pPr>
        <w:pStyle w:val="LITlitera"/>
        <w:keepNext/>
        <w:spacing w:before="78" w:after="52"/>
      </w:pPr>
      <w:r>
        <w:t>b)</w:t>
      </w:r>
      <w:r>
        <w:tab/>
        <w:t>wird Absatz 8 wie folgt gefasst:</w:t>
      </w:r>
    </w:p>
    <w:p w:rsidR="00B64935" w:rsidRPr="00C04BE5" w:rsidRDefault="00B64935" w:rsidP="00DF0F33">
      <w:pPr>
        <w:pStyle w:val="ZLITUSTzmustliter"/>
        <w:keepNext/>
        <w:spacing w:before="52" w:after="52"/>
      </w:pPr>
      <w:r>
        <w:t>„8. Folgende Festbrennstoffe mit dem Verwendungszweck nach Artikel 1 Absatz 2 dürfen das Zollverfahren zwecks Inverkehrbringen nicht durchlaufen:</w:t>
      </w:r>
    </w:p>
    <w:p w:rsidR="00B64935" w:rsidRPr="00C04BE5" w:rsidRDefault="00B64935" w:rsidP="00DF0F33">
      <w:pPr>
        <w:pStyle w:val="ZLITPKTzmpktliter"/>
        <w:spacing w:before="52" w:after="52"/>
      </w:pPr>
      <w:r>
        <w:t>1)</w:t>
      </w:r>
      <w:r>
        <w:tab/>
        <w:t>die in Artikel 2 Absatz 1 Nummer 4a Buchstaben e und g genannten Festbrennstoffe,</w:t>
      </w:r>
    </w:p>
    <w:p w:rsidR="00B64935" w:rsidRPr="00C04BE5" w:rsidRDefault="00B64935" w:rsidP="00DF0F33">
      <w:pPr>
        <w:pStyle w:val="ZLITPKTzmpktliter"/>
        <w:spacing w:before="52" w:after="52"/>
      </w:pPr>
      <w:r>
        <w:t>2)</w:t>
      </w:r>
      <w:r>
        <w:tab/>
        <w:t>die in Artikel 2 Absatz 1 Nummer 4a Buchstabe f genannten Festbrennstoffe,</w:t>
      </w:r>
    </w:p>
    <w:p w:rsidR="00B64935" w:rsidRPr="00C04BE5" w:rsidRDefault="00B64935" w:rsidP="00DF0F33">
      <w:pPr>
        <w:pStyle w:val="ZLITPKTzmpktliter"/>
        <w:spacing w:before="52" w:after="52"/>
      </w:pPr>
      <w:r>
        <w:t>3)</w:t>
      </w:r>
      <w:r>
        <w:tab/>
        <w:t>die den Qualitätsanforderungen in den gemäß Artikel 3a Absatz 2 erlassenen Bestimmungen nicht genügen,</w:t>
      </w:r>
    </w:p>
    <w:p w:rsidR="00B64935" w:rsidRPr="00C04BE5" w:rsidRDefault="00B64935" w:rsidP="00DF0F33">
      <w:pPr>
        <w:pStyle w:val="ZLITPKTzmpktliter"/>
        <w:keepNext/>
        <w:spacing w:before="52" w:after="52"/>
      </w:pPr>
      <w:r>
        <w:t>4)</w:t>
      </w:r>
      <w:r>
        <w:tab/>
        <w:t>unsortierte Festbrennstoffe</w:t>
      </w:r>
    </w:p>
    <w:p w:rsidR="00B64935" w:rsidRPr="00C04BE5" w:rsidRDefault="00B64935" w:rsidP="00DF0F33">
      <w:pPr>
        <w:pStyle w:val="ZLITCZWSPPKTzmczciwsppktliter"/>
        <w:spacing w:before="52" w:after="52"/>
      </w:pPr>
      <w:r>
        <w:t>– die aus einem Drittland im Sinne des Artikels 4 Nummer 2 des Gesetzes vom 19. März 2004 über das Zollrecht (polnisches Gesetzblatt von 2018 Pos. 167 und 1544) in das Hoheitsgebiet der Republik Polen eingeführt wurden.“,</w:t>
      </w:r>
    </w:p>
    <w:p w:rsidR="00B64935" w:rsidRPr="00C04BE5" w:rsidRDefault="00B64935" w:rsidP="00B64935">
      <w:pPr>
        <w:pStyle w:val="LITlitera"/>
        <w:keepNext/>
      </w:pPr>
      <w:r>
        <w:t>c)</w:t>
      </w:r>
      <w:r>
        <w:tab/>
        <w:t>wird Absatz 9 mit folgendem Wortlaut eingefügt:</w:t>
      </w:r>
    </w:p>
    <w:p w:rsidR="00B64935" w:rsidRPr="00C04BE5" w:rsidRDefault="00B64935" w:rsidP="00B64935">
      <w:pPr>
        <w:pStyle w:val="ZLITUSTzmustliter"/>
      </w:pPr>
      <w:r>
        <w:t>„9. Für die Zollanmeldung zwecks Anwendung des Verfahrens für das Inverkehrbringen von Festbrennstoffen ist eine Erklärung über die Zweckbestimmung des betreffenden Brennstoffs vorzulegen.“;</w:t>
      </w:r>
    </w:p>
    <w:p w:rsidR="00B64935" w:rsidRPr="00C04BE5" w:rsidRDefault="00B64935" w:rsidP="00B64935">
      <w:pPr>
        <w:pStyle w:val="PKTpunkt"/>
        <w:keepNext/>
      </w:pPr>
      <w:r>
        <w:t>6)</w:t>
      </w:r>
      <w:r>
        <w:tab/>
        <w:t>in Artikel 12 Absatz 2:</w:t>
      </w:r>
    </w:p>
    <w:p w:rsidR="00B64935" w:rsidRPr="00C04BE5" w:rsidRDefault="00B64935" w:rsidP="00B64935">
      <w:pPr>
        <w:pStyle w:val="LITlitera"/>
        <w:keepNext/>
      </w:pPr>
      <w:r>
        <w:t>a)</w:t>
      </w:r>
      <w:r>
        <w:tab/>
        <w:t>wird Nummer 1 Buchstabe d wie folgt gefasst:</w:t>
      </w:r>
    </w:p>
    <w:p w:rsidR="00B64935" w:rsidRPr="00C04BE5" w:rsidRDefault="00B64935" w:rsidP="00B64935">
      <w:pPr>
        <w:pStyle w:val="ZLITLITzmlitliter"/>
      </w:pPr>
      <w:r>
        <w:t>„d)</w:t>
      </w:r>
      <w:r>
        <w:tab/>
        <w:t>Unternehmer, die auf dem Gebiet des Inverkehrbringens von Festbrennstoffen tätig sind“,</w:t>
      </w:r>
    </w:p>
    <w:p w:rsidR="00B64935" w:rsidRPr="00C04BE5" w:rsidRDefault="00B64935" w:rsidP="00B64935">
      <w:pPr>
        <w:pStyle w:val="LITlitera"/>
        <w:keepNext/>
      </w:pPr>
      <w:r>
        <w:t>b)</w:t>
      </w:r>
      <w:r>
        <w:tab/>
        <w:t>wird Nummer 7 wie folgt gefasst:</w:t>
      </w:r>
    </w:p>
    <w:p w:rsidR="00B64935" w:rsidRPr="00C04BE5" w:rsidRDefault="00B64935" w:rsidP="00B64935">
      <w:pPr>
        <w:pStyle w:val="ZLITPKTzmpktliter"/>
      </w:pPr>
      <w:r>
        <w:t>„7)</w:t>
      </w:r>
      <w:r>
        <w:tab/>
        <w:t>Festlegung der Mindestzahl an Unternehmern, die Brennstoffe herstellen, Brennstoffe speichern oder Festbrennstoffe in Verkehr bringen, bei denen eine Kontrolle der Qualität der Brennstoffe bzw. Festbrennstoffe durchgeführt wird;“,</w:t>
      </w:r>
    </w:p>
    <w:p w:rsidR="00B64935" w:rsidRPr="00C04BE5" w:rsidRDefault="00B64935" w:rsidP="00B64935">
      <w:pPr>
        <w:pStyle w:val="LITlitera"/>
        <w:keepNext/>
      </w:pPr>
      <w:r>
        <w:t>c)</w:t>
      </w:r>
      <w:r>
        <w:tab/>
        <w:t>wird Nummer 12 wie folgt gefasst:</w:t>
      </w:r>
    </w:p>
    <w:p w:rsidR="00B64935" w:rsidRPr="00C04BE5" w:rsidRDefault="00B64935" w:rsidP="00B64935">
      <w:pPr>
        <w:pStyle w:val="ZLITPKTzmpktliter"/>
      </w:pPr>
      <w:r>
        <w:t>„12)</w:t>
      </w:r>
      <w:r>
        <w:tab/>
        <w:t>Festlegung des Verfahrens der Untersuchung von Proben, der Proben von Festbrennstoffen und der Kopien der Qualitätsbescheinigung, damit Unternehmer, Tankstellen, Betriebstankstellen, Brennstofflager und Landwirte, die flüssige Biobrennstoffe für den Eigenverbrauch herstellen, während der Untersuchungen nicht identifiziert werden können;“;</w:t>
      </w:r>
    </w:p>
    <w:p w:rsidR="00B64935" w:rsidRPr="00C04BE5" w:rsidRDefault="00B64935" w:rsidP="00B64935">
      <w:pPr>
        <w:pStyle w:val="PKTpunkt"/>
        <w:keepNext/>
      </w:pPr>
      <w:r>
        <w:t>7)</w:t>
      </w:r>
      <w:r>
        <w:tab/>
        <w:t>Artikel 13 erhält folgenden Wortlaut:</w:t>
      </w:r>
    </w:p>
    <w:p w:rsidR="00B64935" w:rsidRPr="00C04BE5" w:rsidRDefault="00B64935" w:rsidP="00B64935">
      <w:pPr>
        <w:pStyle w:val="ZARTzmartartykuempunktem"/>
      </w:pPr>
      <w:r>
        <w:t>„Artikel 13. Der Betreiber kann für die Kontrolle neben der Mindestzahl, die gemäß Artikel 12 Absatz 2 Nummern 6–10 festgelegt ist, weitere Tankstellen, Betriebstankstellen, Brennstofflager und Unternehmer sowie Landwirte, die flüssige Biobrennstoffe für den Eigenverbrauch herstellen, bestimmen, wenn Informationen über die mangelhafte Qualität von Brennstoffen oder Festbrennstoffen vorliegen oder wenn Umstände vorliegen, die darauf hindeuten, dass die Qualität von Brennstoffen oder Festbrennstoffen mangelhaft sein könnte.“;</w:t>
      </w:r>
    </w:p>
    <w:p w:rsidR="00B64935" w:rsidRPr="00C04BE5" w:rsidRDefault="00B64935" w:rsidP="00B64935">
      <w:pPr>
        <w:pStyle w:val="PKTpunkt"/>
        <w:keepNext/>
      </w:pPr>
      <w:r>
        <w:t>8)</w:t>
      </w:r>
      <w:r>
        <w:tab/>
        <w:t>in Artikel 16:</w:t>
      </w:r>
    </w:p>
    <w:p w:rsidR="00B64935" w:rsidRPr="00C04BE5" w:rsidRDefault="00B64935" w:rsidP="00B64935">
      <w:pPr>
        <w:pStyle w:val="LITlitera"/>
        <w:keepNext/>
      </w:pPr>
      <w:r>
        <w:t>a)</w:t>
      </w:r>
      <w:r>
        <w:tab/>
        <w:t>wird Absatz 1 wie folgt gefasst:</w:t>
      </w:r>
    </w:p>
    <w:p w:rsidR="00B64935" w:rsidRPr="00C04BE5" w:rsidRDefault="00B64935" w:rsidP="00B64935">
      <w:pPr>
        <w:pStyle w:val="ZLITUSTzmustliter"/>
      </w:pPr>
      <w:r>
        <w:t xml:space="preserve">„1. Kontrollen der Qualität von Brennstoffen und Festbrennstoffen bei Unternehmern sowie von flüssigen Biobrennstoffen bei Landwirten, die diese für den Eigenverbrauch herstellen, sowie Kontrollen der Erfüllung der Verpflichtungen nach Artikel 9a, Artikel 9b Absätze 1–3 und Artikel 9c werden vom Inspektor vorgenommen, nachdem er sich ausgewiesen und eine Befugnis zur Durchführung von Kontrollen, die vom </w:t>
      </w:r>
      <w:proofErr w:type="spellStart"/>
      <w:r>
        <w:t>Woiwodschaftsinspektor</w:t>
      </w:r>
      <w:proofErr w:type="spellEnd"/>
      <w:r>
        <w:t xml:space="preserve"> der Handelsaufsicht ausgestellt wurde, vorgelegt hat.“,</w:t>
      </w:r>
    </w:p>
    <w:p w:rsidR="00B64935" w:rsidRPr="00C04BE5" w:rsidRDefault="00B64935" w:rsidP="00B64935">
      <w:pPr>
        <w:pStyle w:val="LITlitera"/>
        <w:keepNext/>
      </w:pPr>
      <w:r>
        <w:t>b)</w:t>
      </w:r>
      <w:r>
        <w:tab/>
        <w:t>wird nach Absatz 4 folgender Absatz 4a eingefügt:</w:t>
      </w:r>
    </w:p>
    <w:p w:rsidR="00B64935" w:rsidRPr="00C04BE5" w:rsidRDefault="00B64935" w:rsidP="00B64935">
      <w:pPr>
        <w:pStyle w:val="ZLITUSTzmustliter"/>
      </w:pPr>
      <w:r>
        <w:t>„4a. Die Proben von Festbrennstoffen werden von Förderbändern, aus Becherelevatoren, Eisenbahnwagen, Fahrzeugen oder der Aufschüttung des aus Wagen, Fahrzeugen, Schiffen oder Frachtern entladenen Brennstoffs oder von Halden oder aus Einzelverpackungen entnommen.“,</w:t>
      </w:r>
    </w:p>
    <w:p w:rsidR="00B64935" w:rsidRPr="00C04BE5" w:rsidRDefault="00B64935" w:rsidP="00B64935">
      <w:pPr>
        <w:pStyle w:val="LITlitera"/>
        <w:keepNext/>
      </w:pPr>
      <w:r>
        <w:t>c)</w:t>
      </w:r>
      <w:r>
        <w:tab/>
        <w:t>wird Absatz 5 wie folgt gefasst:</w:t>
      </w:r>
    </w:p>
    <w:p w:rsidR="00B64935" w:rsidRPr="00C04BE5" w:rsidRDefault="00B64935" w:rsidP="00B64935">
      <w:pPr>
        <w:pStyle w:val="ZLITUSTzmustliter"/>
      </w:pPr>
      <w:r>
        <w:t>„5. Der Inspektor kann bei der Kontrolle die Vorlage von Dokumenten über die Herkunft und Qualität des untersuchten Brennstoffs bzw. Festbrennstoffs verlangen.“,</w:t>
      </w:r>
    </w:p>
    <w:p w:rsidR="00B64935" w:rsidRPr="00C04BE5" w:rsidRDefault="00B64935" w:rsidP="00B64935">
      <w:pPr>
        <w:pStyle w:val="LITlitera"/>
        <w:keepNext/>
      </w:pPr>
      <w:r>
        <w:t>d)</w:t>
      </w:r>
      <w:r>
        <w:tab/>
        <w:t>in Absatz 5a wird in Nummer 2 der Punkt durch ein Semikolon ersetzt und die folgende Nummer 3 eingefügt:</w:t>
      </w:r>
    </w:p>
    <w:p w:rsidR="00B64935" w:rsidRPr="00C04BE5" w:rsidRDefault="00B64935" w:rsidP="00B64935">
      <w:pPr>
        <w:pStyle w:val="ZLITPKTzmpktliter"/>
      </w:pPr>
      <w:r>
        <w:t>„3)</w:t>
      </w:r>
      <w:r>
        <w:tab/>
        <w:t>Kopie der Unterlagen nach Artikel 6b Absätzen 1 und 2.“;</w:t>
      </w:r>
    </w:p>
    <w:p w:rsidR="00B64935" w:rsidRPr="00C04BE5" w:rsidRDefault="00B64935" w:rsidP="00B64935">
      <w:pPr>
        <w:pStyle w:val="PKTpunkt"/>
        <w:keepNext/>
      </w:pPr>
      <w:r>
        <w:t>9)</w:t>
      </w:r>
      <w:r>
        <w:tab/>
        <w:t>Artikel 17 erhält folgenden Wortlaut:</w:t>
      </w:r>
    </w:p>
    <w:p w:rsidR="00B64935" w:rsidRPr="00C04BE5" w:rsidRDefault="00B64935" w:rsidP="00B64935">
      <w:pPr>
        <w:pStyle w:val="ZARTzmartartykuempunktem"/>
      </w:pPr>
      <w:r>
        <w:t>„Artikel 17. 1. Während der Kontrolle nimmt der Inspektor zwei Proben bzw. zwei Festbrennstoffproben.</w:t>
      </w:r>
    </w:p>
    <w:p w:rsidR="00B64935" w:rsidRPr="00C04BE5" w:rsidRDefault="00B64935" w:rsidP="00B64935">
      <w:pPr>
        <w:pStyle w:val="ZUSTzmustartykuempunktem"/>
      </w:pPr>
      <w:r>
        <w:t>2. Der Inspektor kennzeichnet die Proben bzw. Festbrennstoffproben nach den Vorgaben des Betreibers.</w:t>
      </w:r>
    </w:p>
    <w:p w:rsidR="00B64935" w:rsidRPr="00C04BE5" w:rsidRDefault="00B64935" w:rsidP="00B64935">
      <w:pPr>
        <w:pStyle w:val="ZUSTzmustartykuempunktem"/>
      </w:pPr>
      <w:r>
        <w:t>3. Eine Festbrennstoffprobe wird zusammen mit der Qualitätsbescheinigung zur labortechnischen Untersuchung übergeben, die vom Inspektor nach den Vorgaben des Betreibers gekennzeichnet sind.“;</w:t>
      </w:r>
    </w:p>
    <w:p w:rsidR="00B64935" w:rsidRPr="00C04BE5" w:rsidRDefault="00B64935" w:rsidP="00B64935">
      <w:pPr>
        <w:pStyle w:val="PKTpunkt"/>
        <w:keepNext/>
      </w:pPr>
      <w:r>
        <w:t>10)</w:t>
      </w:r>
      <w:r>
        <w:tab/>
        <w:t>nach Artikel 18 wird folgender Artikel 18a eingefügt:</w:t>
      </w:r>
    </w:p>
    <w:p w:rsidR="00B64935" w:rsidRPr="00C04BE5" w:rsidRDefault="00B64935" w:rsidP="00B64935">
      <w:pPr>
        <w:pStyle w:val="ZARTzmartartykuempunktem"/>
      </w:pPr>
      <w:r>
        <w:t>„Artikel 18a. 1. Für die Entnahme von Festbrennstoffproben kann der Betreiber einen Vertrag mit einer akkreditierten Laboreinrichtung oder einer anderen akkreditierten Stelle abschließen, wenn für deren Probenahme besondere Fachkenntnisse oder Spezialausrüstung vonnöten sind.</w:t>
      </w:r>
    </w:p>
    <w:p w:rsidR="00B64935" w:rsidRPr="00C04BE5" w:rsidRDefault="00B64935" w:rsidP="00B64935">
      <w:pPr>
        <w:pStyle w:val="ZUSTzmustartykuempunktem"/>
      </w:pPr>
      <w:r>
        <w:t>2. In dem Fall nach Absatz 1 werden Proben der Festbrennstoffe von dem Mitarbeiter einer akkreditierten Laboreinrichtung oder einer anderen akkreditierten Stelle, mit der ein Vertrag über die Probenahme abgeschlossen wurde, in Anwesenheit des Inspektors genommen.“;</w:t>
      </w:r>
    </w:p>
    <w:p w:rsidR="00B64935" w:rsidRPr="00C04BE5" w:rsidRDefault="00B64935" w:rsidP="00B64935">
      <w:pPr>
        <w:pStyle w:val="PKTpunkt"/>
        <w:keepNext/>
      </w:pPr>
      <w:r>
        <w:t>11)</w:t>
      </w:r>
      <w:r>
        <w:tab/>
        <w:t>Artikel 19b wird wie folgt gefasst:</w:t>
      </w:r>
    </w:p>
    <w:p w:rsidR="00B64935" w:rsidRPr="00C04BE5" w:rsidRDefault="00B64935" w:rsidP="00B64935">
      <w:pPr>
        <w:pStyle w:val="ZARTzmartartykuempunktem"/>
      </w:pPr>
      <w:r>
        <w:t>„Artikel 19b. Der Energieminister legt per Verordnung das Verfahren der Probenahme von den Festbrennstoffen nach Artikel 2 Absatz 1 Nummer 4a Buchstaben a und b fest und trägt dabei dem Stand der Technik und den in einschlägigen Normen festgelegten Verfahren Rechnung.“;</w:t>
      </w:r>
    </w:p>
    <w:p w:rsidR="00B64935" w:rsidRPr="00C04BE5" w:rsidRDefault="00B64935" w:rsidP="00B64935">
      <w:pPr>
        <w:pStyle w:val="PKTpunkt"/>
        <w:keepNext/>
      </w:pPr>
      <w:r>
        <w:t>12)</w:t>
      </w:r>
      <w:r>
        <w:tab/>
        <w:t>in Artikel 20:</w:t>
      </w:r>
    </w:p>
    <w:p w:rsidR="00B64935" w:rsidRPr="00C04BE5" w:rsidRDefault="00B64935" w:rsidP="00B64935">
      <w:pPr>
        <w:pStyle w:val="LITlitera"/>
        <w:keepNext/>
      </w:pPr>
      <w:r>
        <w:t>a)</w:t>
      </w:r>
      <w:r>
        <w:tab/>
        <w:t>wird Absatz 1 wie folgt gefasst:</w:t>
      </w:r>
    </w:p>
    <w:p w:rsidR="00B64935" w:rsidRPr="00C04BE5" w:rsidRDefault="00B64935" w:rsidP="00B64935">
      <w:pPr>
        <w:pStyle w:val="ZLITUSTzmustliter"/>
      </w:pPr>
      <w:r>
        <w:t>„1. Nach Abschluss der in Artikel 17, Artikel 18 Absatz 2 und Artikel 18a Absatz 2 genannten Tätigkeiten erstellt der Inspektor ein Protokoll über die Entnahme der Proben bzw. Festbrennstoffproben.“,</w:t>
      </w:r>
    </w:p>
    <w:p w:rsidR="00B64935" w:rsidRPr="00C04BE5" w:rsidRDefault="00B64935" w:rsidP="00B64935">
      <w:pPr>
        <w:pStyle w:val="LITlitera"/>
        <w:keepNext/>
      </w:pPr>
      <w:r>
        <w:t>b)</w:t>
      </w:r>
      <w:r>
        <w:tab/>
        <w:t>Absatz 2:</w:t>
      </w:r>
    </w:p>
    <w:p w:rsidR="00B64935" w:rsidRPr="00C04BE5" w:rsidRDefault="00B64935" w:rsidP="00B64935">
      <w:pPr>
        <w:pStyle w:val="TIRtiret"/>
        <w:keepNext/>
      </w:pPr>
      <w:r>
        <w:t>–</w:t>
      </w:r>
      <w:r>
        <w:tab/>
        <w:t>werden die Nummern 5–7 wie folgt gefasst:</w:t>
      </w:r>
    </w:p>
    <w:p w:rsidR="00B64935" w:rsidRPr="00C04BE5" w:rsidRDefault="00B64935" w:rsidP="00B64935">
      <w:pPr>
        <w:pStyle w:val="ZTIRPKTzmpkttiret"/>
      </w:pPr>
      <w:r>
        <w:t>„5)</w:t>
      </w:r>
      <w:r>
        <w:tab/>
        <w:t>Datum der Entnahme der Proben bzw. Festbrennstoffproben;</w:t>
      </w:r>
    </w:p>
    <w:p w:rsidR="00B64935" w:rsidRPr="00C04BE5" w:rsidRDefault="00B64935" w:rsidP="00B64935">
      <w:pPr>
        <w:pStyle w:val="ZTIRPKTzmpkttiret"/>
      </w:pPr>
      <w:r>
        <w:t>6)</w:t>
      </w:r>
      <w:r>
        <w:tab/>
        <w:t>Angabe der Entnahmestelle der Proben bzw. Festbrennstoffproben;</w:t>
      </w:r>
    </w:p>
    <w:p w:rsidR="00B64935" w:rsidRPr="00C04BE5" w:rsidRDefault="00B64935" w:rsidP="00B64935">
      <w:pPr>
        <w:pStyle w:val="ZTIRPKTzmpkttiret"/>
      </w:pPr>
      <w:r>
        <w:t>7)</w:t>
      </w:r>
      <w:r>
        <w:tab/>
        <w:t>Beschreibung des Entnahmeverfahrens der Proben bzw. Festbrennstoffproben;“,</w:t>
      </w:r>
    </w:p>
    <w:p w:rsidR="00B64935" w:rsidRPr="00C04BE5" w:rsidRDefault="00B64935" w:rsidP="00B64935">
      <w:pPr>
        <w:pStyle w:val="TIRtiret"/>
        <w:keepNext/>
      </w:pPr>
      <w:r>
        <w:t>–</w:t>
      </w:r>
      <w:r>
        <w:tab/>
        <w:t>wird nach Nummer 8 die folgende Nummer 8a eingefügt:</w:t>
      </w:r>
    </w:p>
    <w:p w:rsidR="00B64935" w:rsidRPr="00C04BE5" w:rsidRDefault="00B64935" w:rsidP="00B64935">
      <w:pPr>
        <w:pStyle w:val="ZTIRPKTzmpkttiret"/>
      </w:pPr>
      <w:r>
        <w:t>„8a)</w:t>
      </w:r>
      <w:r>
        <w:tab/>
        <w:t>Angaben zur Menge der vom Unternehmer in Verkehr gebrachten Festbrennstoffe mit den jeweiligen Qualitätsanforderungen, von denen Proben genommen wurden;“,</w:t>
      </w:r>
    </w:p>
    <w:p w:rsidR="00B64935" w:rsidRPr="00C04BE5" w:rsidRDefault="00B64935" w:rsidP="00B64935">
      <w:pPr>
        <w:pStyle w:val="TIRtiret"/>
        <w:keepNext/>
      </w:pPr>
      <w:r>
        <w:t>–</w:t>
      </w:r>
      <w:r>
        <w:tab/>
        <w:t>werden die Nummern 9–11 wie folgt gefasst:</w:t>
      </w:r>
    </w:p>
    <w:p w:rsidR="00B64935" w:rsidRPr="00C04BE5" w:rsidRDefault="00B64935" w:rsidP="00B64935">
      <w:pPr>
        <w:pStyle w:val="ZTIRPKTzmpkttiret"/>
      </w:pPr>
      <w:r>
        <w:t>„9)</w:t>
      </w:r>
      <w:r>
        <w:tab/>
        <w:t>die im Besitz des Unternehmers befindlichen Angaben über die Herkunft und Qualität des untersuchten Brennstoffs bzw. Festbrennstoffs;</w:t>
      </w:r>
    </w:p>
    <w:p w:rsidR="00B64935" w:rsidRPr="00C04BE5" w:rsidRDefault="00B64935" w:rsidP="00B64935">
      <w:pPr>
        <w:pStyle w:val="ZTIRPKTzmpkttiret"/>
      </w:pPr>
      <w:r>
        <w:t>10)</w:t>
      </w:r>
      <w:r>
        <w:tab/>
        <w:t>Angabe der Art des angebotenen Brennstoffs bzw. Festbrennstoffs, von dem Proben genommen wurden, sowie Menge des entnommenen Brennstoffs bzw. Festbrennstoffs;</w:t>
      </w:r>
    </w:p>
    <w:p w:rsidR="00B64935" w:rsidRPr="00C04BE5" w:rsidRDefault="00B64935" w:rsidP="00B64935">
      <w:pPr>
        <w:pStyle w:val="ZTIRPKTzmpkttiret"/>
      </w:pPr>
      <w:r>
        <w:t>11)</w:t>
      </w:r>
      <w:r>
        <w:tab/>
        <w:t>Name, Vorname und Funktionsbezeichnung des Inspektors, der die Proben bzw. Festbrennstoffproben genommen hat;“,</w:t>
      </w:r>
    </w:p>
    <w:p w:rsidR="00B64935" w:rsidRPr="00C04BE5" w:rsidRDefault="00B64935" w:rsidP="00B64935">
      <w:pPr>
        <w:pStyle w:val="TIRtiret"/>
        <w:keepNext/>
      </w:pPr>
      <w:r>
        <w:t>‒</w:t>
      </w:r>
      <w:r>
        <w:tab/>
        <w:t>wird Nummer 12 Buchstabe b wie folgt gefasst:</w:t>
      </w:r>
    </w:p>
    <w:p w:rsidR="00B64935" w:rsidRPr="00C04BE5" w:rsidRDefault="00B64935" w:rsidP="00B64935">
      <w:pPr>
        <w:pStyle w:val="ZTIRLITzmlittiret"/>
      </w:pPr>
      <w:r>
        <w:t>„b)</w:t>
      </w:r>
      <w:r>
        <w:tab/>
        <w:t>des Inspektors, der die Proben bzw. Festbrennstoffproben genommen hat.“,</w:t>
      </w:r>
    </w:p>
    <w:p w:rsidR="00B64935" w:rsidRPr="00C04BE5" w:rsidRDefault="00B64935" w:rsidP="00B64935">
      <w:pPr>
        <w:pStyle w:val="LITlitera"/>
        <w:keepNext/>
      </w:pPr>
      <w:r>
        <w:t>c)</w:t>
      </w:r>
      <w:r>
        <w:tab/>
        <w:t>wird Absatz 4 wie folgt gefasst:</w:t>
      </w:r>
    </w:p>
    <w:p w:rsidR="00B64935" w:rsidRPr="00C04BE5" w:rsidRDefault="00B64935" w:rsidP="00B64935">
      <w:pPr>
        <w:pStyle w:val="ZLITUSTzmustliter"/>
      </w:pPr>
      <w:r>
        <w:t>„4. Verweigert der kontrollierte Unternehmer oder Landwirt, der flüssige Biobrennstoffe für den Eigenverbrauch herstellt, bzw. dessen Bevollmächtigter die Unterzeichnung des Protokolls, steht das der Übergabe der Proben bzw. Festbrennstoffproben zur Untersuchung nicht entgegen.“;</w:t>
      </w:r>
    </w:p>
    <w:p w:rsidR="00B64935" w:rsidRPr="00C04BE5" w:rsidRDefault="00B64935" w:rsidP="00B64935">
      <w:pPr>
        <w:pStyle w:val="PKTpunkt"/>
        <w:keepNext/>
      </w:pPr>
      <w:r>
        <w:t>13)</w:t>
      </w:r>
      <w:r>
        <w:tab/>
        <w:t>in Artikel 21:</w:t>
      </w:r>
    </w:p>
    <w:p w:rsidR="00B64935" w:rsidRPr="00C04BE5" w:rsidRDefault="00B64935" w:rsidP="00B64935">
      <w:pPr>
        <w:pStyle w:val="LITlitera"/>
        <w:keepNext/>
      </w:pPr>
      <w:r>
        <w:t>a)</w:t>
      </w:r>
      <w:r>
        <w:tab/>
        <w:t>wird die Einführung zur Aufzählung wie folgt gefasst:</w:t>
      </w:r>
    </w:p>
    <w:p w:rsidR="00B64935" w:rsidRPr="00C04BE5" w:rsidRDefault="00B64935" w:rsidP="00B64935">
      <w:pPr>
        <w:pStyle w:val="ZLITFRAGzmlitfragmentunpzdanialiter"/>
      </w:pPr>
      <w:r>
        <w:t>„Für den internen Gebrauch durch die Handelsaufsicht erstellt der Inspektor zudem ein Protokoll über die Entnahme der Proben bzw. Festbrennstoffproben, das folgende Angaben enthält:“,</w:t>
      </w:r>
    </w:p>
    <w:p w:rsidR="00B64935" w:rsidRPr="00C04BE5" w:rsidRDefault="00B64935" w:rsidP="00B64935">
      <w:pPr>
        <w:pStyle w:val="LITlitera"/>
        <w:keepNext/>
      </w:pPr>
      <w:r>
        <w:t>b)</w:t>
      </w:r>
      <w:r>
        <w:tab/>
        <w:t>werden die Nummern 3 und 4 wie folgt gefasst:</w:t>
      </w:r>
    </w:p>
    <w:p w:rsidR="00B64935" w:rsidRPr="00C04BE5" w:rsidRDefault="00B64935" w:rsidP="00B64935">
      <w:pPr>
        <w:pStyle w:val="ZLITPKTzmpktliter"/>
      </w:pPr>
      <w:r>
        <w:t>„3)</w:t>
      </w:r>
      <w:r>
        <w:tab/>
        <w:t>Angaben zur Kennzeichnung der Proben bzw. Festbrennstoffproben sowie Qualitätsbescheinigungen, damit die Unternehmer, Tankstellen, Betriebstankstellen, Brennstofflager und Landwirte, die flüssige Biobrennstoffe für den Eigenverbrauch herstellen, bei denen die zum akkreditierten Labor übergebenen Proben bzw. Festbrennstoffproben genommen wurden, nicht identifiziert werden können;</w:t>
      </w:r>
    </w:p>
    <w:p w:rsidR="00B64935" w:rsidRPr="00C04BE5" w:rsidRDefault="00B64935" w:rsidP="00B64935">
      <w:pPr>
        <w:pStyle w:val="ZLITPKTzmpktliter"/>
      </w:pPr>
      <w:r>
        <w:t>4)</w:t>
      </w:r>
      <w:r>
        <w:tab/>
        <w:t>Unterschrift des Inspektors, der die Proben bzw. Festbrennstoffproben genommen hat.“;</w:t>
      </w:r>
    </w:p>
    <w:p w:rsidR="00B64935" w:rsidRPr="00C04BE5" w:rsidRDefault="00B64935" w:rsidP="00B64935">
      <w:pPr>
        <w:pStyle w:val="PKTpunkt"/>
        <w:keepNext/>
      </w:pPr>
      <w:r>
        <w:t>14)</w:t>
      </w:r>
      <w:r>
        <w:tab/>
        <w:t>in Artikel 22:</w:t>
      </w:r>
    </w:p>
    <w:p w:rsidR="00B64935" w:rsidRPr="00C04BE5" w:rsidRDefault="00B64935" w:rsidP="00B64935">
      <w:pPr>
        <w:pStyle w:val="LITlitera"/>
        <w:keepNext/>
      </w:pPr>
      <w:r>
        <w:t>a)</w:t>
      </w:r>
      <w:r>
        <w:tab/>
        <w:t>werden die Absätze 1–4 wie folgt gefasst:</w:t>
      </w:r>
    </w:p>
    <w:p w:rsidR="00B64935" w:rsidRPr="00C04BE5" w:rsidRDefault="00B64935" w:rsidP="00B64935">
      <w:pPr>
        <w:pStyle w:val="ZLITUSTzmustliter"/>
      </w:pPr>
      <w:r>
        <w:t>„1. Der Inspektor oder ein befugter Mitarbeiter der Handelsaufsicht übergibt dem befugten Mitarbeiter des akkreditierten Labors unverzüglich die entnommenen Proben bzw. Festbrennstoffproben in einer Form, die keinerlei Änderung der Qualität und der typischen Eigenschaften des Brennstoffs bzw. Festbrennstoffs zulässt.</w:t>
      </w:r>
    </w:p>
    <w:p w:rsidR="00B64935" w:rsidRPr="00C04BE5" w:rsidRDefault="00B64935" w:rsidP="00B64935">
      <w:pPr>
        <w:pStyle w:val="ZLITUSTzmustliter"/>
      </w:pPr>
      <w:r>
        <w:t>2. Eine der Proben bzw. Festbrennstoffproben stellt eine Kontrollprobe dar, die andere ist für die Untersuchung bestimmt.</w:t>
      </w:r>
    </w:p>
    <w:p w:rsidR="00B64935" w:rsidRPr="00C04BE5" w:rsidRDefault="00B64935" w:rsidP="00B64935">
      <w:pPr>
        <w:pStyle w:val="ZLITUSTzmustliter"/>
      </w:pPr>
      <w:r>
        <w:t>3. Die Vorschrift in Absatz 1 gilt nicht für die Probenahme von komprimiertem Erdgas (CNG) und den zugehörigen Kontrollproben sowie für die Entnahme von Festbrennstoffproben und den zugehörigen Kontrollproben, die während der Kontrolle von dem Mitarbeiter eines akkreditierten Labors untersucht werden.</w:t>
      </w:r>
    </w:p>
    <w:p w:rsidR="00B64935" w:rsidRPr="00C04BE5" w:rsidRDefault="00B64935" w:rsidP="00B64935">
      <w:pPr>
        <w:pStyle w:val="ZLITUSTzmustliter"/>
      </w:pPr>
      <w:r>
        <w:t>4. Die Untersuchung der entnommenen Proben bzw. Festbrennstoffproben und der Kontrollproben erfolgt in einem akkreditierten Labor. Die Proben von komprimiertem Erdgas (CNG) und die zugehörigen Kontrollproben sowie die Festbrennstoffproben und die zugehörigen Kontrollproben können auch während der Kontrolle von dem Mitarbeiter eines akkreditierten Labors untersucht werden.“,</w:t>
      </w:r>
    </w:p>
    <w:p w:rsidR="00B64935" w:rsidRPr="00C04BE5" w:rsidRDefault="00B64935" w:rsidP="00B64935">
      <w:pPr>
        <w:pStyle w:val="LITlitera"/>
        <w:keepNext/>
      </w:pPr>
      <w:r>
        <w:t>b)</w:t>
      </w:r>
      <w:r>
        <w:tab/>
        <w:t>wird Absatz 6 wie folgt gefasst:</w:t>
      </w:r>
    </w:p>
    <w:p w:rsidR="00B64935" w:rsidRPr="00C04BE5" w:rsidRDefault="00B64935" w:rsidP="00B64935">
      <w:pPr>
        <w:pStyle w:val="ZLITUSTzmustliter"/>
      </w:pPr>
      <w:r>
        <w:t>„6. Der in Absatz 5 genannte Antrag ist in schriftlicher Form innerhalb einer Frist von sieben Tagen ab Übergabe des Protokolls samt den Ergebnissen der Untersuchung der Proben an den kontrollierten Unternehmer einzureichen.“,</w:t>
      </w:r>
    </w:p>
    <w:p w:rsidR="00B64935" w:rsidRPr="00C04BE5" w:rsidRDefault="00B64935" w:rsidP="00B64935">
      <w:pPr>
        <w:pStyle w:val="LITlitera"/>
        <w:keepNext/>
      </w:pPr>
      <w:r>
        <w:t>c)</w:t>
      </w:r>
      <w:r>
        <w:tab/>
        <w:t>werden nach Absatz 7 die folgenden Absätze 7a und 7b eingefügt:</w:t>
      </w:r>
    </w:p>
    <w:p w:rsidR="00B64935" w:rsidRPr="00C04BE5" w:rsidRDefault="00B64935" w:rsidP="00B64935">
      <w:pPr>
        <w:pStyle w:val="ZLITUSTzmustliter"/>
        <w:keepNext/>
      </w:pPr>
      <w:r>
        <w:t>„7a. Die Untersuchung der Kontrollprobe erfolgt von Amts wegen, wenn die Untersuchung der Festbrennstoffproben Folgendes ergeben hat:</w:t>
      </w:r>
    </w:p>
    <w:p w:rsidR="00B64935" w:rsidRPr="00C04BE5" w:rsidRDefault="00B64935" w:rsidP="00B64935">
      <w:pPr>
        <w:pStyle w:val="ZLITPKTzmpktliter"/>
      </w:pPr>
      <w:r>
        <w:t>1)</w:t>
      </w:r>
      <w:r>
        <w:tab/>
        <w:t>der Festbrennstoff genügt nicht den Qualitätsanforderungen in den gemäß Artikel 3a Absatz 2 erlassenen Bestimmungen oder</w:t>
      </w:r>
    </w:p>
    <w:p w:rsidR="00B64935" w:rsidRPr="00C04BE5" w:rsidRDefault="00B64935" w:rsidP="00B64935">
      <w:pPr>
        <w:pStyle w:val="ZLITPKTzmpktliter"/>
      </w:pPr>
      <w:r>
        <w:t>2)</w:t>
      </w:r>
      <w:r>
        <w:tab/>
        <w:t>die Parameterwerte des Festbrennstoffs stimmen nicht mit den in der Qualitätsbescheinigung angegebenen Parametern überein.</w:t>
      </w:r>
    </w:p>
    <w:p w:rsidR="00B64935" w:rsidRPr="00C04BE5" w:rsidRDefault="00B64935" w:rsidP="00B64935">
      <w:pPr>
        <w:pStyle w:val="ZLITUSTzmustliter"/>
      </w:pPr>
      <w:r>
        <w:t>7b. Die Prüfung der Übereinstimmung der Parameterwerte der Festbrennstoffprobe bzw. der Kontrollprobe des Festbrennstoffs laut Qualitätsbescheinigung erfolgt unter Berücksichtigung der zulässigen Abweichungen von den Werten der Qualitätsparameter der Festbrennstoffe, die in den gemäß Artikel 3a Absatz 2 erlassenen Bestimmungen festgelegt sind.“,</w:t>
      </w:r>
    </w:p>
    <w:p w:rsidR="00B64935" w:rsidRPr="00C04BE5" w:rsidRDefault="00B64935" w:rsidP="00B64935">
      <w:pPr>
        <w:pStyle w:val="LITlitera"/>
        <w:keepNext/>
      </w:pPr>
      <w:r>
        <w:t>d)</w:t>
      </w:r>
      <w:r>
        <w:tab/>
        <w:t>wird folgender Absatz 9 eingefügt:</w:t>
      </w:r>
    </w:p>
    <w:p w:rsidR="00B64935" w:rsidRPr="00C04BE5" w:rsidRDefault="00B64935" w:rsidP="00B64935">
      <w:pPr>
        <w:pStyle w:val="ZLITUSTzmustliter"/>
      </w:pPr>
      <w:r>
        <w:t>„9. Die Ergebnisse der Untersuchung der beim Unternehmer, der Festbrennstoffe in Verkehr bringt, entnommenen Festbrennstoffproben werden auf die Menge des Festbrennstoffs nach Artikel 20 Absatz 2 Nummer 8a übertragen.“;</w:t>
      </w:r>
    </w:p>
    <w:p w:rsidR="00B64935" w:rsidRPr="00C04BE5" w:rsidRDefault="00B64935" w:rsidP="00B64935">
      <w:pPr>
        <w:pStyle w:val="PKTpunkt"/>
        <w:keepNext/>
      </w:pPr>
      <w:r>
        <w:t>15)</w:t>
      </w:r>
      <w:r>
        <w:tab/>
        <w:t>in Artikel 24:</w:t>
      </w:r>
    </w:p>
    <w:p w:rsidR="00B64935" w:rsidRPr="00C04BE5" w:rsidRDefault="00B64935" w:rsidP="00B64935">
      <w:pPr>
        <w:pStyle w:val="LITlitera"/>
        <w:keepNext/>
      </w:pPr>
      <w:r>
        <w:t>a)</w:t>
      </w:r>
      <w:r>
        <w:tab/>
        <w:t>wird nach Absatz 1 der folgende Absatz 1a eingefügt:</w:t>
      </w:r>
    </w:p>
    <w:p w:rsidR="00B64935" w:rsidRPr="00C04BE5" w:rsidRDefault="00B64935" w:rsidP="00B64935">
      <w:pPr>
        <w:pStyle w:val="ZLITUSTzmustliter"/>
      </w:pPr>
      <w:r>
        <w:t>„1a. Haben die Untersuchungen ergeben, dass der Festbrennstoff den Qualitätsanforderungen in den gemäß Artikel 3a Absatz 2 erlassenen Bestimmungen nicht genügt oder dass die Parameterwerte des Festbrennstoffs nicht mit den in der Qualitätsbescheinigung angegebenen Parametern übereinstimmen, wird der kontrollierte Unternehmer vom Betreiber per Beschluss dazu verpflichtet, die Kosten im Zusammenhang mit der Untersuchung der Festbrennstoffprobe und der Kontrollprobe sowie die Kosten für die Probenahme zu bezahlen.“,</w:t>
      </w:r>
    </w:p>
    <w:p w:rsidR="00B64935" w:rsidRPr="00C04BE5" w:rsidRDefault="00B64935" w:rsidP="00B64935">
      <w:pPr>
        <w:pStyle w:val="LITlitera"/>
        <w:keepNext/>
      </w:pPr>
      <w:r>
        <w:t>b)</w:t>
      </w:r>
      <w:r>
        <w:tab/>
        <w:t>wird nach Absatz 4 folgender Absatz 4a eingefügt:</w:t>
      </w:r>
    </w:p>
    <w:p w:rsidR="00B64935" w:rsidRPr="00C04BE5" w:rsidRDefault="00B64935" w:rsidP="00B64935">
      <w:pPr>
        <w:pStyle w:val="ZLITUSTzmustliter"/>
      </w:pPr>
      <w:r>
        <w:t>„4a. Der Betreiber legt die Höhe der Geldforderung nach Absatz 1a auf der Grundlage der Rechnung des Leiters der akkreditierten Laboreinrichtung oder einer anderen akkreditierten Stelle, die Festbrennstoffproben genommen haben, und der Rechnung des Leiters der akkreditierten Laboreinrichtung, die die Festbrennstoffprobe und die zugehörige Kontrollprobe untersucht hat, fest.“,</w:t>
      </w:r>
    </w:p>
    <w:p w:rsidR="00B64935" w:rsidRPr="00C04BE5" w:rsidRDefault="00B64935" w:rsidP="00B64935">
      <w:pPr>
        <w:pStyle w:val="LITlitera"/>
        <w:keepNext/>
      </w:pPr>
      <w:r>
        <w:t>c)</w:t>
      </w:r>
      <w:r>
        <w:tab/>
        <w:t>werden die Absätze 5–7 wie folgt gefasst:</w:t>
      </w:r>
    </w:p>
    <w:p w:rsidR="00B64935" w:rsidRPr="00C04BE5" w:rsidRDefault="00B64935" w:rsidP="00B64935">
      <w:pPr>
        <w:pStyle w:val="ZLITUSTzmustliter"/>
      </w:pPr>
      <w:r>
        <w:t>„5. Der kontrollierte Unternehmer ist verpflichtet, die Geldforderung gemäß den Absätzen 1 und 1a auf das Konto des Amtes für Kartellrecht und Verbraucherschutz einzuzahlen.</w:t>
      </w:r>
    </w:p>
    <w:p w:rsidR="00B64935" w:rsidRPr="00C04BE5" w:rsidRDefault="00B64935" w:rsidP="00B64935">
      <w:pPr>
        <w:pStyle w:val="ZLITUSTzmustliter"/>
      </w:pPr>
      <w:r>
        <w:t>6. Die Einnahmen aus den Geldforderungen gemäß den Absätzen 1 und 1a stellen Einnahmen des Staatshaushalts dar.</w:t>
      </w:r>
    </w:p>
    <w:p w:rsidR="00B64935" w:rsidRPr="00C04BE5" w:rsidRDefault="00B64935" w:rsidP="00B64935">
      <w:pPr>
        <w:pStyle w:val="ZLITUSTzmustliter"/>
      </w:pPr>
      <w:r>
        <w:t>7. Die Geldforderungen nach den Absätzen 1 und 1a werden gemäß den Bestimmungen über das Verwaltungsvollstreckungsverfahren eingezogen.“;</w:t>
      </w:r>
    </w:p>
    <w:p w:rsidR="00B64935" w:rsidRPr="00C04BE5" w:rsidRDefault="00B64935" w:rsidP="00B64935">
      <w:pPr>
        <w:pStyle w:val="PKTpunkt"/>
        <w:keepNext/>
      </w:pPr>
      <w:r>
        <w:t>16)</w:t>
      </w:r>
      <w:r>
        <w:tab/>
        <w:t xml:space="preserve">in Artikel 25 </w:t>
      </w:r>
      <w:proofErr w:type="gramStart"/>
      <w:r>
        <w:t>Absatz</w:t>
      </w:r>
      <w:proofErr w:type="gramEnd"/>
      <w:r>
        <w:t> 1 werden die Nummern 1 und 2 wie folgt gefasst:</w:t>
      </w:r>
    </w:p>
    <w:p w:rsidR="00B64935" w:rsidRPr="00C04BE5" w:rsidRDefault="00B64935" w:rsidP="00B64935">
      <w:pPr>
        <w:pStyle w:val="ZPKTzmpktartykuempunktem"/>
      </w:pPr>
      <w:r>
        <w:t>„1)</w:t>
      </w:r>
      <w:r>
        <w:tab/>
        <w:t>die für Untersuchungszwecke entnommenen Proben bzw. Festbrennstoffproben – aufgrund des Vertrages mit dem Betreiber;</w:t>
      </w:r>
    </w:p>
    <w:p w:rsidR="00B64935" w:rsidRPr="00C04BE5" w:rsidRDefault="00B64935" w:rsidP="00B64935">
      <w:pPr>
        <w:pStyle w:val="ZPKTzmpktartykuempunktem"/>
      </w:pPr>
      <w:r>
        <w:t>2)</w:t>
      </w:r>
      <w:r>
        <w:tab/>
        <w:t>die Kontrollproben von komprimiertem Erdgas (CNG) oder die Kontrollproben von Festbrennstoffen – aufgrund des Vertrags mit dem Betreiber;“;</w:t>
      </w:r>
    </w:p>
    <w:p w:rsidR="00B64935" w:rsidRPr="00C04BE5" w:rsidRDefault="00B64935" w:rsidP="00B64935">
      <w:pPr>
        <w:pStyle w:val="PKTpunkt"/>
        <w:keepNext/>
      </w:pPr>
      <w:r>
        <w:t>17)</w:t>
      </w:r>
      <w:r>
        <w:tab/>
        <w:t>Artikel 26b wird wie folgt gefasst:</w:t>
      </w:r>
    </w:p>
    <w:p w:rsidR="00B64935" w:rsidRPr="00C04BE5" w:rsidRDefault="00B64935" w:rsidP="00B64935">
      <w:pPr>
        <w:pStyle w:val="ZARTzmartartykuempunktem"/>
      </w:pPr>
      <w:r>
        <w:t>„Artikel 26b. Der Energieminister legt per Verordnung das Qualitätsprüfverfahren für die Festbrennstoffe nach Artikel 2 Absatz 1 Nummer 4a Buchstaben a und b fest und trägt dabei dem Stand der Technik und den in einschlägigen Normen festgelegten Verfahren Rechnung.“;</w:t>
      </w:r>
    </w:p>
    <w:p w:rsidR="00B64935" w:rsidRPr="00C04BE5" w:rsidRDefault="00B64935" w:rsidP="00B64935">
      <w:pPr>
        <w:pStyle w:val="PKTpunkt"/>
        <w:keepNext/>
      </w:pPr>
      <w:r>
        <w:t>18)</w:t>
      </w:r>
      <w:r>
        <w:tab/>
        <w:t>in Artikel 27 werden die Absätze 1 und 2 wie folgt gefasst:</w:t>
      </w:r>
    </w:p>
    <w:p w:rsidR="00B64935" w:rsidRPr="00C04BE5" w:rsidRDefault="00B64935" w:rsidP="00B64935">
      <w:pPr>
        <w:pStyle w:val="ZUSTzmustartykuempunktem"/>
      </w:pPr>
      <w:r>
        <w:t xml:space="preserve">„1. Der Leiter der akkreditierten Laboreinrichtung ist verpflichtet, dem zuständigen </w:t>
      </w:r>
      <w:proofErr w:type="spellStart"/>
      <w:r>
        <w:t>Woiwodschaftsinspektor</w:t>
      </w:r>
      <w:proofErr w:type="spellEnd"/>
      <w:r>
        <w:t xml:space="preserve"> der Handelsaufsicht und dem Betreiber nach Abschluss der Untersuchungen das Protokoll mit den Ergebnissen der untersuchten Proben und der Festbrennstoffproben samt deren Analyse umgehend zu übermitteln.</w:t>
      </w:r>
    </w:p>
    <w:p w:rsidR="00B64935" w:rsidRPr="00C04BE5" w:rsidRDefault="00B64935" w:rsidP="00B64935">
      <w:pPr>
        <w:pStyle w:val="ZUSTzmustartykuempunktem"/>
      </w:pPr>
      <w:r>
        <w:t xml:space="preserve">2. Die Probenrückstände, die Rückstände der Festbrennstoffproben und die Kontrollproben der Brennstoffe und der Festbrennstoffe, die nicht untersucht worden sind, werden auf Antrag des </w:t>
      </w:r>
      <w:proofErr w:type="spellStart"/>
      <w:r>
        <w:t>Woiwodschaftsinspektors</w:t>
      </w:r>
      <w:proofErr w:type="spellEnd"/>
      <w:r>
        <w:t xml:space="preserve"> der Handelsaufsicht von dem akkreditierten Labor, das die Untersuchung durchführt, als Ausschuss vernichtet.“;</w:t>
      </w:r>
    </w:p>
    <w:p w:rsidR="00B64935" w:rsidRPr="00C04BE5" w:rsidRDefault="00B64935" w:rsidP="0056056E">
      <w:pPr>
        <w:pStyle w:val="PKTpunkt"/>
        <w:spacing w:before="160"/>
      </w:pPr>
      <w:r>
        <w:t>19)</w:t>
      </w:r>
      <w:r>
        <w:tab/>
        <w:t>Artikel 28a wird gestrichen;</w:t>
      </w:r>
    </w:p>
    <w:p w:rsidR="00B64935" w:rsidRPr="00C04BE5" w:rsidRDefault="00B64935" w:rsidP="0056056E">
      <w:pPr>
        <w:pStyle w:val="PKTpunkt"/>
        <w:keepNext/>
        <w:spacing w:before="160"/>
      </w:pPr>
      <w:r>
        <w:t>20)</w:t>
      </w:r>
      <w:r>
        <w:tab/>
        <w:t>in Artikel 34a wird Absatz 1 wie folgt gefasst:</w:t>
      </w:r>
    </w:p>
    <w:p w:rsidR="00B64935" w:rsidRPr="00C04BE5" w:rsidRDefault="00B64935" w:rsidP="00B64935">
      <w:pPr>
        <w:pStyle w:val="ZUSTzmustartykuempunktem"/>
      </w:pPr>
      <w:r>
        <w:t>„1. Wer Festbrennstoffe entgegen den Bestimmungen in Artikel 7 Absatz 7a Nummern 1–3 in Verkehr bringt, wird mit Geldstrafe von 50 000 PLN bis 500 000 PLN oder mit Freiheitsstrafe von bis zu drei Jahren bestraft.“;</w:t>
      </w:r>
    </w:p>
    <w:p w:rsidR="00B64935" w:rsidRPr="00C04BE5" w:rsidRDefault="00B64935" w:rsidP="0056056E">
      <w:pPr>
        <w:pStyle w:val="PKTpunkt"/>
        <w:keepNext/>
        <w:spacing w:before="160"/>
      </w:pPr>
      <w:r>
        <w:t>21)</w:t>
      </w:r>
      <w:r>
        <w:tab/>
        <w:t>in Artikel 35a Nummer 8 wird der Punkt durch ein Semikolon ersetzt und die folgenden Nummern 9 und 10 werden eingefügt:</w:t>
      </w:r>
    </w:p>
    <w:p w:rsidR="00B64935" w:rsidRPr="00C04BE5" w:rsidRDefault="00B64935" w:rsidP="00B64935">
      <w:pPr>
        <w:pStyle w:val="ZPKTzmpktartykuempunktem"/>
        <w:keepNext/>
      </w:pPr>
      <w:r>
        <w:t>„9)</w:t>
      </w:r>
      <w:r>
        <w:tab/>
        <w:t>Unternehmer, der Festbrennstoffe in Verkehr bringt und der, obwohl er dazu verpflichtet ist:</w:t>
      </w:r>
    </w:p>
    <w:p w:rsidR="00B64935" w:rsidRPr="00C04BE5" w:rsidRDefault="00B64935" w:rsidP="00B64935">
      <w:pPr>
        <w:pStyle w:val="ZLITwPKTzmlitwpktartykuempunktem"/>
      </w:pPr>
      <w:r>
        <w:t>a)</w:t>
      </w:r>
      <w:r>
        <w:tab/>
        <w:t>keine Qualitätsbescheinigung ausstellt oder</w:t>
      </w:r>
    </w:p>
    <w:p w:rsidR="00B64935" w:rsidRPr="00C04BE5" w:rsidRDefault="00B64935" w:rsidP="00B64935">
      <w:pPr>
        <w:pStyle w:val="ZLITwPKTzmlitwpktartykuempunktem"/>
      </w:pPr>
      <w:r>
        <w:t>b)</w:t>
      </w:r>
      <w:r>
        <w:tab/>
        <w:t>eine Qualitätsbescheinigung ausstellt, in der die Qualitätsparameter des Festbrennstoffs nicht mit den tatsächlichen Werten übereinstimmen, oder</w:t>
      </w:r>
    </w:p>
    <w:p w:rsidR="00B64935" w:rsidRPr="00C04BE5" w:rsidRDefault="00B64935" w:rsidP="00B64935">
      <w:pPr>
        <w:pStyle w:val="ZLITwPKTzmlitwpktartykuempunktem"/>
      </w:pPr>
      <w:r>
        <w:t>c)</w:t>
      </w:r>
      <w:r>
        <w:tab/>
        <w:t>dem Wirtschaftsteilnehmer, der Festbrennstoff kauft, die Kopie der Qualitätsbescheinigung nicht aushändigt;</w:t>
      </w:r>
    </w:p>
    <w:p w:rsidR="00B64935" w:rsidRPr="00C04BE5" w:rsidRDefault="00B64935" w:rsidP="00B64935">
      <w:pPr>
        <w:pStyle w:val="ZPKTzmpktartykuempunktem"/>
      </w:pPr>
      <w:r>
        <w:t>10)</w:t>
      </w:r>
      <w:r>
        <w:tab/>
        <w:t>Unternehmer, der Festbrennstoffe für die Zwecke nach Artikel 1 Absatz 2 sowie für andere als in Artikel 1 Absatz 2 genannte Zwecke in Verkehr bringt und der eine Kopie der Unterlagen nach Artikel 6b Absatz 1 nicht aufbewahrt, obwohl er dazu verpflichtet ist.“;</w:t>
      </w:r>
    </w:p>
    <w:p w:rsidR="00B64935" w:rsidRPr="00C04BE5" w:rsidRDefault="00B64935" w:rsidP="0056056E">
      <w:pPr>
        <w:pStyle w:val="PKTpunkt"/>
        <w:keepNext/>
        <w:spacing w:before="160"/>
      </w:pPr>
      <w:r>
        <w:t>22)</w:t>
      </w:r>
      <w:r>
        <w:tab/>
        <w:t>in Artikel 35c wird der folgende Absatz 5 eingefügt:</w:t>
      </w:r>
    </w:p>
    <w:p w:rsidR="00B64935" w:rsidRPr="00C04BE5" w:rsidRDefault="00B64935" w:rsidP="00B64935">
      <w:pPr>
        <w:pStyle w:val="ZUSTzmustartykuempunktem"/>
        <w:keepNext/>
      </w:pPr>
      <w:r>
        <w:t>„5. Die Höhe der Geldbuße für die in Artikel 35a Nummer 9 und 10 genannten Fälle beträgt:</w:t>
      </w:r>
    </w:p>
    <w:p w:rsidR="00B64935" w:rsidRPr="00C04BE5" w:rsidRDefault="00B64935" w:rsidP="00B64935">
      <w:pPr>
        <w:pStyle w:val="ZPKTzmpktartykuempunktem"/>
      </w:pPr>
      <w:r>
        <w:t>1)</w:t>
      </w:r>
      <w:r>
        <w:tab/>
        <w:t>zwischen 10 000 PLN und 25 000 PLN – wenn der Wert des in Verkehr gebrachten Festbrennstoffs nicht höher ist als 200 000 PLN;</w:t>
      </w:r>
    </w:p>
    <w:p w:rsidR="00B64935" w:rsidRPr="00C04BE5" w:rsidRDefault="00B64935" w:rsidP="00B64935">
      <w:pPr>
        <w:pStyle w:val="ZPKTzmpktartykuempunktem"/>
      </w:pPr>
      <w:r>
        <w:t>2)</w:t>
      </w:r>
      <w:r>
        <w:tab/>
        <w:t>zwischen 25 001 PLN und 100 000 PLN – wenn der Wert des in Verkehr gebrachten Festbrennstoffs höher ist als 200 000 PLN.“;</w:t>
      </w:r>
    </w:p>
    <w:p w:rsidR="00B64935" w:rsidRPr="00C04BE5" w:rsidRDefault="00B64935" w:rsidP="0056056E">
      <w:pPr>
        <w:pStyle w:val="PKTpunkt"/>
        <w:keepNext/>
        <w:spacing w:before="160"/>
      </w:pPr>
      <w:r>
        <w:t>23)</w:t>
      </w:r>
      <w:r>
        <w:tab/>
        <w:t>in Artikel 35d:</w:t>
      </w:r>
    </w:p>
    <w:p w:rsidR="00B64935" w:rsidRPr="00C04BE5" w:rsidRDefault="00B64935" w:rsidP="00B64935">
      <w:pPr>
        <w:pStyle w:val="LITlitera"/>
        <w:keepNext/>
      </w:pPr>
      <w:r>
        <w:t>a)</w:t>
      </w:r>
      <w:r>
        <w:tab/>
        <w:t>in Absatz 1 wird Nummer 1 wie folgt gefasst:</w:t>
      </w:r>
    </w:p>
    <w:p w:rsidR="00B64935" w:rsidRPr="00C04BE5" w:rsidRDefault="00B64935" w:rsidP="00B64935">
      <w:pPr>
        <w:pStyle w:val="ZLITPKTzmpktliter"/>
      </w:pPr>
      <w:r>
        <w:t>„1)</w:t>
      </w:r>
      <w:r>
        <w:tab/>
        <w:t xml:space="preserve">den Unternehmern gemäß Artikel 35a Nummern 1–6, 9 und 10 erfolgt durch den </w:t>
      </w:r>
      <w:proofErr w:type="spellStart"/>
      <w:r>
        <w:t>Woiwodschaftsinspektor</w:t>
      </w:r>
      <w:proofErr w:type="spellEnd"/>
      <w:r>
        <w:t xml:space="preserve"> der Handelsaufsicht, der aufgrund des Ortes zuständig ist, an dem die Kontrolle durchgeführt wird,“,</w:t>
      </w:r>
    </w:p>
    <w:p w:rsidR="00B64935" w:rsidRPr="00C04BE5" w:rsidRDefault="00B64935" w:rsidP="00B64935">
      <w:pPr>
        <w:pStyle w:val="LITlitera"/>
        <w:keepNext/>
      </w:pPr>
      <w:r>
        <w:t>b)</w:t>
      </w:r>
      <w:r>
        <w:tab/>
        <w:t>wird der folgende Absatz 4 eingefügt:</w:t>
      </w:r>
    </w:p>
    <w:p w:rsidR="00B64935" w:rsidRPr="00C04BE5" w:rsidRDefault="00B64935" w:rsidP="00B64935">
      <w:pPr>
        <w:pStyle w:val="ZLITUSTzmustliter"/>
      </w:pPr>
      <w:r>
        <w:t xml:space="preserve">„4. Der </w:t>
      </w:r>
      <w:proofErr w:type="spellStart"/>
      <w:r>
        <w:t>Woiwodschaftsinspektor</w:t>
      </w:r>
      <w:proofErr w:type="spellEnd"/>
      <w:r>
        <w:t xml:space="preserve"> der Handelsaufsicht berücksichtigt bei der Festsetzung der Höhe der in Artikel 35c Absatz 5 genannten Geldbuße die derzeit ausgeübte wirtschaftliche Tätigkeit des Unternehmers, der den Verstoß begangen hat, die Höhe der Umsätze aus dieser Tätigkeit und den Wert der Festbrennstoffe, die von dem Unternehmer in dem Jahr vor der Durchführung der Kontrolle in Verkehr gebracht wurden.“.</w:t>
      </w:r>
    </w:p>
    <w:p w:rsidR="00B64935" w:rsidRPr="00C04BE5" w:rsidRDefault="00B64935" w:rsidP="0056056E">
      <w:pPr>
        <w:pStyle w:val="ARTartustawynprozporzdzenia"/>
        <w:keepNext/>
        <w:spacing w:before="200"/>
      </w:pPr>
      <w:r>
        <w:rPr>
          <w:rStyle w:val="Ppogrubienie"/>
        </w:rPr>
        <w:t>Artikel 2.</w:t>
      </w:r>
      <w:r>
        <w:t> Im Gesetz vom 16. November 2016 über die Polnische Steuerverwaltung (polnisches Gesetzblatt von 2018 Pos. 508 mit späteren Änderungen</w:t>
      </w:r>
      <w:r w:rsidR="0056056E" w:rsidRPr="00C04BE5">
        <w:rPr>
          <w:rStyle w:val="IGindeksgrny"/>
        </w:rPr>
        <w:footnoteReference w:id="4"/>
      </w:r>
      <w:r>
        <w:rPr>
          <w:rStyle w:val="IGindeksgrny"/>
        </w:rPr>
        <w:t>)</w:t>
      </w:r>
      <w:r>
        <w:t>) wird Artikel 2 Absatz 2 Nummer 3 wie folgt gefasst:</w:t>
      </w:r>
    </w:p>
    <w:p w:rsidR="00B64935" w:rsidRPr="00C04BE5" w:rsidRDefault="00B64935" w:rsidP="00B64935">
      <w:pPr>
        <w:pStyle w:val="ZPKTzmpktartykuempunktem"/>
      </w:pPr>
      <w:r>
        <w:t>„3)</w:t>
      </w:r>
      <w:r>
        <w:tab/>
        <w:t>Aufgaben, die sich aus dem Anwendungsverbot des Zollverfahrens für das Inverkehrbringen der Festbrennstoffe gemäß Artikel 7 Absatz 8 des Gesetzes vom 25. August 2006 über ein System zur Überwachung und Kontrolle der Kraftstoffqualität (polnisches Gesetzblatt von 2018 Pos. 427, 650 und </w:t>
      </w:r>
      <w:sdt>
        <w:sdtPr>
          <w:alias w:val="Nummer der Position"/>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ergeben;“.</w:t>
      </w:r>
    </w:p>
    <w:p w:rsidR="00B64935" w:rsidRPr="00C04BE5" w:rsidRDefault="00B64935" w:rsidP="0056056E">
      <w:pPr>
        <w:pStyle w:val="ARTartustawynprozporzdzenia"/>
        <w:spacing w:before="200"/>
      </w:pPr>
      <w:r>
        <w:rPr>
          <w:rStyle w:val="Ppogrubienie"/>
        </w:rPr>
        <w:t>Artikel 3.</w:t>
      </w:r>
      <w:r>
        <w:t> Die Überprüfung nach Artikel 3a Absatz 2a des in Artikel 1 geänderten Gesetzes erfolgt erstmalig spätestens zwei Jahre nach dem Inkrafttreten der gemäß Artikel 3a Absatz 2 des Gesetzes erlassenen Bestimmungen in dem von diesem Gesetz vorgegebenen Wortlaut.</w:t>
      </w:r>
    </w:p>
    <w:p w:rsidR="00B64935" w:rsidRPr="00C04BE5" w:rsidRDefault="00B64935" w:rsidP="00B64935">
      <w:pPr>
        <w:pStyle w:val="ARTartustawynprozporzdzenia"/>
        <w:keepNext/>
      </w:pPr>
      <w:r>
        <w:rPr>
          <w:rStyle w:val="Ppogrubienie"/>
        </w:rPr>
        <w:t>Artikel 4.</w:t>
      </w:r>
      <w:r>
        <w:t> 1. Für den Zeitraum 2018–2027 werden folgende jährlichen Aufwendungsobergrenzen des Staatshaushalts für die Wahrnehmung der Aufgaben im Bereich der Kontrolle durch den Leiter des Amtes für Kartellrecht und Verbraucherschutz im Zusammenhang mit den finanziellen Auswirkungen des Gesetzes festgelegt:</w:t>
      </w:r>
    </w:p>
    <w:p w:rsidR="00B64935" w:rsidRPr="00C04BE5" w:rsidRDefault="00B64935" w:rsidP="00B64935">
      <w:pPr>
        <w:pStyle w:val="PKTpunkt"/>
      </w:pPr>
      <w:r>
        <w:t>1)</w:t>
      </w:r>
      <w:r>
        <w:tab/>
        <w:t>2018 – 0,00 PLN;</w:t>
      </w:r>
    </w:p>
    <w:p w:rsidR="00B64935" w:rsidRPr="00C04BE5" w:rsidRDefault="00B64935" w:rsidP="00B64935">
      <w:pPr>
        <w:pStyle w:val="PKTpunkt"/>
      </w:pPr>
      <w:r>
        <w:t>2)</w:t>
      </w:r>
      <w:r>
        <w:tab/>
        <w:t>2019 – 3 310 000 PLN;</w:t>
      </w:r>
    </w:p>
    <w:p w:rsidR="00B64935" w:rsidRPr="00C04BE5" w:rsidRDefault="00B64935" w:rsidP="00B64935">
      <w:pPr>
        <w:pStyle w:val="PKTpunkt"/>
      </w:pPr>
      <w:r>
        <w:t>3)</w:t>
      </w:r>
      <w:r>
        <w:tab/>
        <w:t>2020 – 3 190 000 PLN;</w:t>
      </w:r>
    </w:p>
    <w:p w:rsidR="00B64935" w:rsidRPr="00C04BE5" w:rsidRDefault="00B64935" w:rsidP="00B64935">
      <w:pPr>
        <w:pStyle w:val="PKTpunkt"/>
      </w:pPr>
      <w:r>
        <w:t>4)</w:t>
      </w:r>
      <w:r>
        <w:tab/>
        <w:t>2021 – 3 270 000 PLN;</w:t>
      </w:r>
    </w:p>
    <w:p w:rsidR="00B64935" w:rsidRPr="00C04BE5" w:rsidRDefault="00B64935" w:rsidP="00B64935">
      <w:pPr>
        <w:pStyle w:val="PKTpunkt"/>
      </w:pPr>
      <w:r>
        <w:t>5)</w:t>
      </w:r>
      <w:r>
        <w:tab/>
        <w:t>2022 – 3 350 000 PLN;</w:t>
      </w:r>
    </w:p>
    <w:p w:rsidR="00B64935" w:rsidRPr="00C04BE5" w:rsidRDefault="00B64935" w:rsidP="00B64935">
      <w:pPr>
        <w:pStyle w:val="PKTpunkt"/>
      </w:pPr>
      <w:r>
        <w:t>6)</w:t>
      </w:r>
      <w:r>
        <w:tab/>
        <w:t>2023 – 3 430 000 PLN;</w:t>
      </w:r>
    </w:p>
    <w:p w:rsidR="00B64935" w:rsidRPr="00C04BE5" w:rsidRDefault="00B64935" w:rsidP="00B64935">
      <w:pPr>
        <w:pStyle w:val="PKTpunkt"/>
      </w:pPr>
      <w:r>
        <w:t>7)</w:t>
      </w:r>
      <w:r>
        <w:tab/>
        <w:t>2024 – 3 520 000 PLN;</w:t>
      </w:r>
    </w:p>
    <w:p w:rsidR="00B64935" w:rsidRPr="00C04BE5" w:rsidRDefault="00B64935" w:rsidP="00B64935">
      <w:pPr>
        <w:pStyle w:val="PKTpunkt"/>
      </w:pPr>
      <w:r>
        <w:t>8)</w:t>
      </w:r>
      <w:r>
        <w:tab/>
        <w:t>2025 – 3 610 000 PLN;</w:t>
      </w:r>
    </w:p>
    <w:p w:rsidR="00B64935" w:rsidRPr="00C04BE5" w:rsidRDefault="00B64935" w:rsidP="00B64935">
      <w:pPr>
        <w:pStyle w:val="PKTpunkt"/>
      </w:pPr>
      <w:r>
        <w:t>9)</w:t>
      </w:r>
      <w:r>
        <w:tab/>
        <w:t>2026 – 3 700 000 PLN;</w:t>
      </w:r>
    </w:p>
    <w:p w:rsidR="00B64935" w:rsidRPr="00C04BE5" w:rsidRDefault="00B64935" w:rsidP="00B64935">
      <w:pPr>
        <w:pStyle w:val="PKTpunkt"/>
      </w:pPr>
      <w:r>
        <w:t>10)</w:t>
      </w:r>
      <w:r>
        <w:tab/>
        <w:t>2027 – 3 790 000 PLN.</w:t>
      </w:r>
    </w:p>
    <w:p w:rsidR="00B64935" w:rsidRPr="00C04BE5" w:rsidRDefault="00B64935" w:rsidP="00B64935">
      <w:pPr>
        <w:pStyle w:val="USTustnpkodeksu"/>
        <w:keepNext/>
      </w:pPr>
      <w:r>
        <w:t xml:space="preserve">2. Für den Zeitraum 2018–2027 werden folgende jährlichen Aufwendungsobergrenzen des Staatshaushalts für die Wahrnehmung der Aufgaben im Bereich der Kontrolle durch die </w:t>
      </w:r>
      <w:proofErr w:type="spellStart"/>
      <w:r>
        <w:t>Woiwodschaftsinspektoren</w:t>
      </w:r>
      <w:proofErr w:type="spellEnd"/>
      <w:r>
        <w:t xml:space="preserve"> der Handelsaufsicht im Zusammenhang mit den finanziellen Auswirkungen des Gesetzes festgelegt:</w:t>
      </w:r>
    </w:p>
    <w:p w:rsidR="00B64935" w:rsidRPr="00C04BE5" w:rsidRDefault="00B64935" w:rsidP="00B64935">
      <w:pPr>
        <w:pStyle w:val="PKTpunkt"/>
      </w:pPr>
      <w:r>
        <w:t>1)</w:t>
      </w:r>
      <w:r>
        <w:tab/>
        <w:t>2018 – 0,00 PLN;</w:t>
      </w:r>
    </w:p>
    <w:p w:rsidR="00B64935" w:rsidRPr="00C04BE5" w:rsidRDefault="00B64935" w:rsidP="00B64935">
      <w:pPr>
        <w:pStyle w:val="PKTpunkt"/>
      </w:pPr>
      <w:r>
        <w:t>2)</w:t>
      </w:r>
      <w:r>
        <w:tab/>
        <w:t>2019 – 2 710 000 PLN;</w:t>
      </w:r>
    </w:p>
    <w:p w:rsidR="00B64935" w:rsidRPr="00C04BE5" w:rsidRDefault="00B64935" w:rsidP="00B64935">
      <w:pPr>
        <w:pStyle w:val="PKTpunkt"/>
      </w:pPr>
      <w:r>
        <w:t>3)</w:t>
      </w:r>
      <w:r>
        <w:tab/>
        <w:t>2020 – 2 520 000 PLN;</w:t>
      </w:r>
    </w:p>
    <w:p w:rsidR="00B64935" w:rsidRPr="00C04BE5" w:rsidRDefault="00B64935" w:rsidP="00B64935">
      <w:pPr>
        <w:pStyle w:val="PKTpunkt"/>
      </w:pPr>
      <w:r>
        <w:t>4)</w:t>
      </w:r>
      <w:r>
        <w:tab/>
        <w:t>2021 – 2 580 000 PLN;</w:t>
      </w:r>
    </w:p>
    <w:p w:rsidR="00B64935" w:rsidRPr="00C04BE5" w:rsidRDefault="00B64935" w:rsidP="00B64935">
      <w:pPr>
        <w:pStyle w:val="PKTpunkt"/>
      </w:pPr>
      <w:r>
        <w:t>5)</w:t>
      </w:r>
      <w:r>
        <w:tab/>
        <w:t>2022 – 2 650 000 PLN;</w:t>
      </w:r>
    </w:p>
    <w:p w:rsidR="00B64935" w:rsidRPr="00C04BE5" w:rsidRDefault="00B64935" w:rsidP="00B64935">
      <w:pPr>
        <w:pStyle w:val="PKTpunkt"/>
      </w:pPr>
      <w:r>
        <w:t>6)</w:t>
      </w:r>
      <w:r>
        <w:tab/>
        <w:t>2023 – 2 710 000 PLN;</w:t>
      </w:r>
    </w:p>
    <w:p w:rsidR="00B64935" w:rsidRPr="00C04BE5" w:rsidRDefault="00B64935" w:rsidP="00B64935">
      <w:pPr>
        <w:pStyle w:val="PKTpunkt"/>
      </w:pPr>
      <w:r>
        <w:t>7)</w:t>
      </w:r>
      <w:r>
        <w:tab/>
        <w:t>2024 – 2 780 000 PLN;</w:t>
      </w:r>
    </w:p>
    <w:p w:rsidR="00B64935" w:rsidRPr="00C04BE5" w:rsidRDefault="00B64935" w:rsidP="00B64935">
      <w:pPr>
        <w:pStyle w:val="PKTpunkt"/>
      </w:pPr>
      <w:r>
        <w:t>8)</w:t>
      </w:r>
      <w:r>
        <w:tab/>
        <w:t>2025 – 2 850 000 PLN;</w:t>
      </w:r>
    </w:p>
    <w:p w:rsidR="00B64935" w:rsidRPr="00C04BE5" w:rsidRDefault="00B64935" w:rsidP="00B64935">
      <w:pPr>
        <w:pStyle w:val="PKTpunkt"/>
      </w:pPr>
      <w:r>
        <w:t>9)</w:t>
      </w:r>
      <w:r>
        <w:tab/>
        <w:t>2026 – 2 920 000 PLN;</w:t>
      </w:r>
    </w:p>
    <w:p w:rsidR="00B64935" w:rsidRPr="00C04BE5" w:rsidRDefault="00B64935" w:rsidP="00B64935">
      <w:pPr>
        <w:pStyle w:val="PKTpunkt"/>
      </w:pPr>
      <w:r>
        <w:t>10)</w:t>
      </w:r>
      <w:r>
        <w:tab/>
        <w:t>2027 – 2 990 000 PLN.</w:t>
      </w:r>
    </w:p>
    <w:p w:rsidR="00B64935" w:rsidRPr="00C04BE5" w:rsidRDefault="00B64935" w:rsidP="00B64935">
      <w:pPr>
        <w:pStyle w:val="USTustnpkodeksu"/>
        <w:keepNext/>
      </w:pPr>
      <w:r>
        <w:t>3. Für den Zeitraum 2018–2027 werden folgende jährlichen Aufwendungsobergrenzen des Staatshaushalts für die Wahrnehmung der Aufgaben im Bereich der Kontrolle durch die Behörden der Steuerverwaltung im Zusammenhang mit den finanziellen Auswirkungen des Gesetzes festgelegt:</w:t>
      </w:r>
    </w:p>
    <w:p w:rsidR="00B64935" w:rsidRPr="00C04BE5" w:rsidRDefault="00B64935" w:rsidP="00B64935">
      <w:pPr>
        <w:pStyle w:val="PKTpunkt"/>
      </w:pPr>
      <w:r>
        <w:t>1)</w:t>
      </w:r>
      <w:r>
        <w:tab/>
        <w:t>2018 – 0,00 PLN;</w:t>
      </w:r>
    </w:p>
    <w:p w:rsidR="00B64935" w:rsidRPr="00C04BE5" w:rsidRDefault="00B64935" w:rsidP="00B64935">
      <w:pPr>
        <w:pStyle w:val="PKTpunkt"/>
      </w:pPr>
      <w:r>
        <w:t>2)</w:t>
      </w:r>
      <w:r>
        <w:tab/>
        <w:t>2019 – 2 410 000 PLN;</w:t>
      </w:r>
    </w:p>
    <w:p w:rsidR="00B64935" w:rsidRPr="00C04BE5" w:rsidRDefault="00B64935" w:rsidP="00B64935">
      <w:pPr>
        <w:pStyle w:val="PKTpunkt"/>
      </w:pPr>
      <w:r>
        <w:t>3)</w:t>
      </w:r>
      <w:r>
        <w:tab/>
        <w:t>2020 – 2 280 000 PLN;</w:t>
      </w:r>
    </w:p>
    <w:p w:rsidR="00B64935" w:rsidRPr="00C04BE5" w:rsidRDefault="00B64935" w:rsidP="00B64935">
      <w:pPr>
        <w:pStyle w:val="PKTpunkt"/>
      </w:pPr>
      <w:r>
        <w:t>4)</w:t>
      </w:r>
      <w:r>
        <w:tab/>
        <w:t>2021 – 2 340 000 PLN;</w:t>
      </w:r>
    </w:p>
    <w:p w:rsidR="00B64935" w:rsidRPr="00C04BE5" w:rsidRDefault="00B64935" w:rsidP="00B64935">
      <w:pPr>
        <w:pStyle w:val="PKTpunkt"/>
      </w:pPr>
      <w:r>
        <w:t>5)</w:t>
      </w:r>
      <w:r>
        <w:tab/>
        <w:t>2022 – 2 400 000 PLN;</w:t>
      </w:r>
    </w:p>
    <w:p w:rsidR="00B64935" w:rsidRPr="00C04BE5" w:rsidRDefault="00B64935" w:rsidP="00B64935">
      <w:pPr>
        <w:pStyle w:val="PKTpunkt"/>
      </w:pPr>
      <w:r>
        <w:t>6)</w:t>
      </w:r>
      <w:r>
        <w:tab/>
        <w:t>2023 – 2 460 000 PLN;</w:t>
      </w:r>
    </w:p>
    <w:p w:rsidR="00B64935" w:rsidRPr="00C04BE5" w:rsidRDefault="00B64935" w:rsidP="00B64935">
      <w:pPr>
        <w:pStyle w:val="PKTpunkt"/>
      </w:pPr>
      <w:r>
        <w:t>7)</w:t>
      </w:r>
      <w:r>
        <w:tab/>
        <w:t>2024 – 2 520 000 PLN;</w:t>
      </w:r>
    </w:p>
    <w:p w:rsidR="00B64935" w:rsidRPr="00C04BE5" w:rsidRDefault="00B64935" w:rsidP="00B64935">
      <w:pPr>
        <w:pStyle w:val="PKTpunkt"/>
      </w:pPr>
      <w:r>
        <w:t>8)</w:t>
      </w:r>
      <w:r>
        <w:tab/>
        <w:t>2025 – 2 580 000 PLN;</w:t>
      </w:r>
    </w:p>
    <w:p w:rsidR="00B64935" w:rsidRPr="00C04BE5" w:rsidRDefault="00B64935" w:rsidP="00B64935">
      <w:pPr>
        <w:pStyle w:val="PKTpunkt"/>
      </w:pPr>
      <w:r>
        <w:t>9)</w:t>
      </w:r>
      <w:r>
        <w:tab/>
        <w:t>2026 – 2 650 000 PLN;</w:t>
      </w:r>
    </w:p>
    <w:p w:rsidR="00B64935" w:rsidRPr="00C04BE5" w:rsidRDefault="00B64935" w:rsidP="00B64935">
      <w:pPr>
        <w:pStyle w:val="PKTpunkt"/>
      </w:pPr>
      <w:r>
        <w:t>10)</w:t>
      </w:r>
      <w:r>
        <w:tab/>
        <w:t>2027 – 2 710 000 PLN.</w:t>
      </w:r>
    </w:p>
    <w:p w:rsidR="00B64935" w:rsidRPr="00C04BE5" w:rsidRDefault="00B64935" w:rsidP="00B64935">
      <w:pPr>
        <w:pStyle w:val="USTustnpkodeksu"/>
      </w:pPr>
      <w:r>
        <w:t>4. Bei Überschreitung oder drohender Überschreitung der für das jeweilige Haushaltsjahr angenommenen maximalen Aufwendungsobergrenze werden Korrekturmechanismen eingeführt, mit denen die Ausgaben im Zusammenhang mit der Kontrolle der Qualität der Festbrennstoffe, die in Verkehr gebracht werden oder die dem Zollverfahren zwecks Inverkehrbringen unterliegen, gedeckelt werden.</w:t>
      </w:r>
    </w:p>
    <w:p w:rsidR="00B64935" w:rsidRPr="00C04BE5" w:rsidRDefault="00B64935" w:rsidP="00B64935">
      <w:pPr>
        <w:pStyle w:val="USTustnpkodeksu"/>
      </w:pPr>
      <w:r>
        <w:t>5. Der Leiter des Amtes für Kartellrecht und Verbraucherschutz überwacht die Aufwendungsobergrenzen nach Absatz 1 und wendet gegebenenfalls den in Absatz 4 genannten Korrekturmechanismus an.</w:t>
      </w:r>
    </w:p>
    <w:p w:rsidR="00B64935" w:rsidRPr="00C04BE5" w:rsidRDefault="00B64935" w:rsidP="00B64935">
      <w:pPr>
        <w:pStyle w:val="USTustnpkodeksu"/>
      </w:pPr>
      <w:r>
        <w:t>6. Der zuständige Woiwode überwacht die Aufwendungsobergrenzen nach Absatz 2 und wendet gegebenenfalls den in Absatz 4 genannten Korrekturmechanismus an.</w:t>
      </w:r>
    </w:p>
    <w:p w:rsidR="00B64935" w:rsidRPr="00C04BE5" w:rsidRDefault="00B64935" w:rsidP="00B64935">
      <w:pPr>
        <w:pStyle w:val="USTustnpkodeksu"/>
      </w:pPr>
      <w:r>
        <w:t>7. Der Minister für öffentliche Finanzen überwacht die Aufwendungsobergrenzen nach Absatz 3 und wendet gegebenenfalls den in Absatz 4 genannten Korrekturmechanismus an.</w:t>
      </w:r>
    </w:p>
    <w:p w:rsidR="00B64935" w:rsidRPr="00C04BE5" w:rsidRDefault="00B64935" w:rsidP="00B64935">
      <w:pPr>
        <w:pStyle w:val="ARTartustawynprozporzdzenia"/>
      </w:pPr>
      <w:r>
        <w:rPr>
          <w:rStyle w:val="Ppogrubienie"/>
        </w:rPr>
        <w:t>Artikel 5.</w:t>
      </w:r>
      <w:r>
        <w:t> Das Gesetz tritt 14 Tage nach seiner Veröffentlichung in Kraft, mit Ausnahme von Artikel 7 Absatz 7a Nummer 2 und Absatz 8 Nummer 2 des Gesetzes laut Artikel 1 in dem von diesem Gesetz vorgegebenen Wortlaut, die am 1. Juni 2020 in Kraft treten.</w:t>
      </w:r>
    </w:p>
    <w:p w:rsidR="00B64935" w:rsidRPr="00C04BE5" w:rsidRDefault="009043F4" w:rsidP="008E0704">
      <w:pPr>
        <w:pStyle w:val="NAZORGWYDnazwaorganuwydajcegoprojektowanyakt"/>
      </w:pPr>
      <w:r>
        <w:t xml:space="preserve">Der Präsident der Republik Polen: </w:t>
      </w:r>
      <w:r>
        <w:rPr>
          <w:rStyle w:val="Kkursywa"/>
        </w:rPr>
        <w:t>A. Duda</w:t>
      </w:r>
    </w:p>
    <w:sectPr w:rsidR="00B64935" w:rsidRPr="00C04BE5" w:rsidSect="00F80E63">
      <w:headerReference w:type="default" r:id="rId11"/>
      <w:headerReference w:type="first" r:id="rId12"/>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35" w:rsidRDefault="00B64935" w:rsidP="00A86DFB">
      <w:pPr>
        <w:pStyle w:val="RCLNormalny"/>
      </w:pPr>
      <w:r>
        <w:separator/>
      </w:r>
    </w:p>
  </w:endnote>
  <w:endnote w:type="continuationSeparator" w:id="0">
    <w:p w:rsidR="00B64935" w:rsidRDefault="00B64935" w:rsidP="00A86DFB">
      <w:pPr>
        <w:pStyle w:val="RCLNormalny"/>
      </w:pPr>
      <w:r>
        <w:continuationSeparator/>
      </w:r>
    </w:p>
  </w:endnote>
  <w:endnote w:type="continuationNotice" w:id="1">
    <w:p w:rsidR="00B64935" w:rsidRDefault="00B64935"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35" w:rsidRDefault="00B64935" w:rsidP="00702C1B">
      <w:pPr>
        <w:pStyle w:val="RCLNormalny"/>
      </w:pPr>
      <w:r>
        <w:separator/>
      </w:r>
    </w:p>
  </w:footnote>
  <w:footnote w:type="continuationSeparator" w:id="0">
    <w:p w:rsidR="00B64935" w:rsidRDefault="00B64935" w:rsidP="00702C1B">
      <w:pPr>
        <w:pStyle w:val="RCLNormalny"/>
      </w:pPr>
      <w:r>
        <w:separator/>
      </w:r>
    </w:p>
  </w:footnote>
  <w:footnote w:type="continuationNotice" w:id="1">
    <w:p w:rsidR="00B64935" w:rsidRDefault="00B64935"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 xml:space="preserve">Dieses Gesetz wurde der Europäischen Kommission am 14. März 2018 unter der Nummer 2018/98/PL gemäß § 4 der Verordnung des Ministerrates vom 23. Dezember 2002 über die Funktionsweise des nationalen </w:t>
      </w:r>
      <w:proofErr w:type="spellStart"/>
      <w:r>
        <w:t>Notifizierungssystems</w:t>
      </w:r>
      <w:proofErr w:type="spellEnd"/>
      <w:r>
        <w:t xml:space="preserve"> von Normen und Rechtsakten (polnisches Gesetzblatt Pos. 2039 sowie von 2004 Pos. 597) </w:t>
      </w:r>
      <w:proofErr w:type="spellStart"/>
      <w:r>
        <w:t>notifiziert</w:t>
      </w:r>
      <w:proofErr w:type="spellEnd"/>
      <w:r>
        <w:t>, mit der die Richtlinie (EU) 2015/1535 des Europäischen Parlaments und des Rates vom 9. September 2015 über ein Informationsverfahren auf dem Gebiet der technischen Vorschriften und der Vorschriften für die Dienste der Informationsgesellschaft (kodifizierter Text) (Amtsblatt EU L 241 vom 17.9.2015, Seite 1) umgesetzt wird.</w:t>
      </w:r>
    </w:p>
  </w:footnote>
  <w:footnote w:id="3">
    <w:p w:rsidR="00F20555" w:rsidRDefault="00F20555" w:rsidP="00F20555">
      <w:pPr>
        <w:pStyle w:val="ODNONIKtreodnonika"/>
      </w:pPr>
      <w:r>
        <w:rPr>
          <w:rStyle w:val="IGindeksgrny"/>
        </w:rPr>
        <w:footnoteRef/>
      </w:r>
      <w:r>
        <w:rPr>
          <w:rStyle w:val="IGindeksgrny"/>
        </w:rPr>
        <w:t>)</w:t>
      </w:r>
      <w:r>
        <w:tab/>
        <w:t>Die Änderungen der einheitlichen Fassung des oben genannten Gesetzes wurden im polnischen Gesetzblatt von 2018 Pos. 1356, 1479, 1564, 1590, 1592 und 1648 bekannt gegeben.</w:t>
      </w:r>
    </w:p>
  </w:footnote>
  <w:footnote w:id="4">
    <w:p w:rsidR="0056056E" w:rsidRDefault="0056056E" w:rsidP="0056056E">
      <w:pPr>
        <w:pStyle w:val="ODNONIKtreodnonika"/>
      </w:pPr>
      <w:r>
        <w:rPr>
          <w:rStyle w:val="IGindeksgrny"/>
        </w:rPr>
        <w:footnoteRef/>
      </w:r>
      <w:r>
        <w:rPr>
          <w:rStyle w:val="IGindeksgrny"/>
        </w:rPr>
        <w:t>)</w:t>
      </w:r>
      <w:r>
        <w:tab/>
        <w:t>Die Änderungen der einheitlichen Fassung des oben genannten Gesetzes wurden im polnischen Gesetzblatt von 2018 Pos. 650, 723, 1000, 1039, 1499, 1544 und 1577 bekannt gegeben.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proofErr w:type="spellStart"/>
    <w:r w:rsidR="000D03D2">
      <w:t>Dziennik</w:t>
    </w:r>
    <w:proofErr w:type="spellEnd"/>
    <w:r w:rsidR="000D03D2">
      <w:t xml:space="preserve"> </w:t>
    </w:r>
    <w:proofErr w:type="spellStart"/>
    <w:r w:rsidR="000D03D2">
      <w:t>Ustaw</w:t>
    </w:r>
    <w:proofErr w:type="spellEnd"/>
    <w:r>
      <w:fldChar w:fldCharType="end"/>
    </w:r>
    <w:r>
      <w:tab/>
      <w:t xml:space="preserve">– </w:t>
    </w:r>
    <w:r>
      <w:fldChar w:fldCharType="begin"/>
    </w:r>
    <w:r w:rsidRPr="00F80E63">
      <w:instrText xml:space="preserve"> PAGE  \* MERGEFORMAT </w:instrText>
    </w:r>
    <w:r>
      <w:fldChar w:fldCharType="separate"/>
    </w:r>
    <w:r w:rsidR="000D03D2">
      <w:rPr>
        <w:noProof/>
      </w:rPr>
      <w:t>9</w:t>
    </w:r>
    <w:r>
      <w:fldChar w:fldCharType="end"/>
    </w:r>
    <w:r>
      <w:t xml:space="preserve"> –</w:t>
    </w:r>
    <w:r>
      <w:tab/>
      <w:t xml:space="preserve">Pos. </w:t>
    </w:r>
    <w:sdt>
      <w:sdtPr>
        <w:alias w:val="Position"/>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63" w:rsidRPr="00F80E63" w:rsidRDefault="00F80E63" w:rsidP="008E0704">
    <w:pPr>
      <w:pStyle w:val="RCLTytuDU1"/>
    </w:pPr>
    <w:r>
      <w:rPr>
        <w:noProof/>
        <w:lang w:eastAsia="zh-CN"/>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GESETZBLATT</w:t>
    </w:r>
  </w:p>
  <w:p w:rsidR="00F80E63" w:rsidRPr="00F80E63" w:rsidRDefault="00F80E63" w:rsidP="008E0704">
    <w:pPr>
      <w:pStyle w:val="RCLTytuDU2"/>
    </w:pPr>
    <w:r>
      <w:t>DER REPUBLIK POLEN</w:t>
    </w:r>
  </w:p>
  <w:p w:rsidR="00F80E63" w:rsidRPr="00F80E63" w:rsidRDefault="00F80E63" w:rsidP="008E0704">
    <w:pPr>
      <w:pStyle w:val="RCLDataogoszeniaaktu"/>
    </w:pPr>
    <w:r>
      <w:t xml:space="preserve">Warschau, den </w:t>
    </w:r>
    <w:sdt>
      <w:sdtPr>
        <w:alias w:val="Datum der Veröffentlichung"/>
        <w:tag w:val="Data ogłoszenia"/>
        <w:id w:val="726718705"/>
        <w:date>
          <w:dateFormat w:val="d MMMM yyyy"/>
          <w:lid w:val="de-DE"/>
          <w:storeMappedDataAs w:val="dateTime"/>
          <w:calendar w:val="gregorian"/>
        </w:date>
      </w:sdtPr>
      <w:sdtEndPr/>
      <w:sdtContent>
        <w:r w:rsidR="009A6EA5">
          <w:t xml:space="preserve">28 </w:t>
        </w:r>
        <w:proofErr w:type="spellStart"/>
        <w:r w:rsidR="009A6EA5">
          <w:t>sierpnia</w:t>
        </w:r>
        <w:proofErr w:type="spellEnd"/>
        <w:r w:rsidR="009A6EA5">
          <w:t xml:space="preserve"> 2018</w:t>
        </w:r>
      </w:sdtContent>
    </w:sdt>
  </w:p>
  <w:p w:rsidR="00F80E63" w:rsidRPr="00F80E63" w:rsidRDefault="00F80E63" w:rsidP="008E0704">
    <w:pPr>
      <w:pStyle w:val="RCLPozycjaaktu"/>
    </w:pPr>
    <w:r>
      <w:t xml:space="preserve">Pos. </w:t>
    </w:r>
    <w:sdt>
      <w:sdtPr>
        <w:alias w:val="Position"/>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8240AE"/>
    <w:lvl w:ilvl="0">
      <w:start w:val="1"/>
      <w:numFmt w:val="decimal"/>
      <w:lvlText w:val="%1."/>
      <w:lvlJc w:val="left"/>
      <w:pPr>
        <w:tabs>
          <w:tab w:val="num" w:pos="1492"/>
        </w:tabs>
        <w:ind w:left="1492" w:hanging="360"/>
      </w:pPr>
    </w:lvl>
  </w:abstractNum>
  <w:abstractNum w:abstractNumId="1">
    <w:nsid w:val="FFFFFF7D"/>
    <w:multiLevelType w:val="singleLevel"/>
    <w:tmpl w:val="5E86BDA0"/>
    <w:lvl w:ilvl="0">
      <w:start w:val="1"/>
      <w:numFmt w:val="decimal"/>
      <w:lvlText w:val="%1."/>
      <w:lvlJc w:val="left"/>
      <w:pPr>
        <w:tabs>
          <w:tab w:val="num" w:pos="1209"/>
        </w:tabs>
        <w:ind w:left="1209" w:hanging="360"/>
      </w:pPr>
    </w:lvl>
  </w:abstractNum>
  <w:abstractNum w:abstractNumId="2">
    <w:nsid w:val="FFFFFF7E"/>
    <w:multiLevelType w:val="singleLevel"/>
    <w:tmpl w:val="8070AF9A"/>
    <w:lvl w:ilvl="0">
      <w:start w:val="1"/>
      <w:numFmt w:val="decimal"/>
      <w:lvlText w:val="%1."/>
      <w:lvlJc w:val="left"/>
      <w:pPr>
        <w:tabs>
          <w:tab w:val="num" w:pos="926"/>
        </w:tabs>
        <w:ind w:left="926" w:hanging="360"/>
      </w:pPr>
    </w:lvl>
  </w:abstractNum>
  <w:abstractNum w:abstractNumId="3">
    <w:nsid w:val="FFFFFF7F"/>
    <w:multiLevelType w:val="singleLevel"/>
    <w:tmpl w:val="F0EC1150"/>
    <w:lvl w:ilvl="0">
      <w:start w:val="1"/>
      <w:numFmt w:val="decimal"/>
      <w:lvlText w:val="%1."/>
      <w:lvlJc w:val="left"/>
      <w:pPr>
        <w:tabs>
          <w:tab w:val="num" w:pos="643"/>
        </w:tabs>
        <w:ind w:left="643" w:hanging="360"/>
      </w:pPr>
    </w:lvl>
  </w:abstractNum>
  <w:abstractNum w:abstractNumId="4">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54C6CC"/>
    <w:lvl w:ilvl="0">
      <w:start w:val="1"/>
      <w:numFmt w:val="decimal"/>
      <w:lvlText w:val="%1."/>
      <w:lvlJc w:val="left"/>
      <w:pPr>
        <w:tabs>
          <w:tab w:val="num" w:pos="360"/>
        </w:tabs>
        <w:ind w:left="360" w:hanging="360"/>
      </w:pPr>
    </w:lvl>
  </w:abstractNum>
  <w:abstractNum w:abstractNumId="9">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03D2"/>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2BE7"/>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255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pl-PL" w:bidi="ar-SA"/>
      </w:rPr>
    </w:rPrDefault>
    <w:pPrDefault>
      <w:pPr>
        <w:spacing w:line="240" w:lineRule="atLeast"/>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Standard">
    <w:name w:val="Normal"/>
    <w:semiHidden/>
    <w:qFormat/>
    <w:rsid w:val="00B64935"/>
  </w:style>
  <w:style w:type="paragraph" w:styleId="berschrift1">
    <w:name w:val="heading 1"/>
    <w:basedOn w:val="Standard"/>
    <w:next w:val="Standard"/>
    <w:link w:val="berschrift1Zchn"/>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unotenzeichen">
    <w:name w:val="footnote reference"/>
    <w:uiPriority w:val="99"/>
    <w:semiHidden/>
    <w:rsid w:val="00B64935"/>
    <w:rPr>
      <w:rFonts w:cs="Times New Roman"/>
      <w:vertAlign w:val="superscript"/>
    </w:rPr>
  </w:style>
  <w:style w:type="paragraph" w:styleId="Kopfzeile">
    <w:name w:val="header"/>
    <w:basedOn w:val="Standard"/>
    <w:link w:val="KopfzeileZchn"/>
    <w:uiPriority w:val="99"/>
    <w:semiHidden/>
    <w:rsid w:val="00B64935"/>
    <w:pPr>
      <w:tabs>
        <w:tab w:val="center" w:pos="4536"/>
        <w:tab w:val="right" w:pos="9356"/>
      </w:tabs>
      <w:suppressAutoHyphens/>
      <w:spacing w:before="170"/>
    </w:pPr>
    <w:rPr>
      <w:kern w:val="1"/>
      <w:szCs w:val="24"/>
      <w:lang w:eastAsia="ar-SA"/>
    </w:rPr>
  </w:style>
  <w:style w:type="character" w:customStyle="1" w:styleId="KopfzeileZchn">
    <w:name w:val="Kopfzeile Zchn"/>
    <w:link w:val="Kopfzeile"/>
    <w:uiPriority w:val="99"/>
    <w:semiHidden/>
    <w:rsid w:val="006A170E"/>
    <w:rPr>
      <w:kern w:val="1"/>
      <w:szCs w:val="24"/>
      <w:lang w:eastAsia="ar-SA"/>
    </w:rPr>
  </w:style>
  <w:style w:type="paragraph" w:styleId="Fuzeile">
    <w:name w:val="footer"/>
    <w:basedOn w:val="Standard"/>
    <w:link w:val="FuzeileZchn"/>
    <w:uiPriority w:val="99"/>
    <w:semiHidden/>
    <w:rsid w:val="00B64935"/>
    <w:pPr>
      <w:tabs>
        <w:tab w:val="center" w:pos="4536"/>
        <w:tab w:val="right" w:pos="9072"/>
      </w:tabs>
      <w:suppressAutoHyphens/>
    </w:pPr>
    <w:rPr>
      <w:kern w:val="1"/>
      <w:szCs w:val="24"/>
      <w:lang w:eastAsia="ar-SA"/>
    </w:rPr>
  </w:style>
  <w:style w:type="character" w:customStyle="1" w:styleId="FuzeileZchn">
    <w:name w:val="Fußzeile Zchn"/>
    <w:link w:val="Fuzeile"/>
    <w:uiPriority w:val="99"/>
    <w:semiHidden/>
    <w:rsid w:val="00060076"/>
    <w:rPr>
      <w:kern w:val="1"/>
      <w:szCs w:val="24"/>
      <w:lang w:eastAsia="ar-SA"/>
    </w:rPr>
  </w:style>
  <w:style w:type="paragraph" w:styleId="Sprechblasentext">
    <w:name w:val="Balloon Text"/>
    <w:basedOn w:val="RCLNormalny"/>
    <w:link w:val="SprechblasentextZchn"/>
    <w:uiPriority w:val="99"/>
    <w:semiHidden/>
    <w:rsid w:val="00B64935"/>
    <w:pPr>
      <w:suppressAutoHyphens/>
    </w:pPr>
    <w:rPr>
      <w:rFonts w:ascii="Tahoma" w:eastAsia="Times New Roman" w:hAnsi="Tahoma" w:cs="Tahoma"/>
      <w:kern w:val="1"/>
      <w:szCs w:val="16"/>
      <w:lang w:eastAsia="ar-SA"/>
    </w:rPr>
  </w:style>
  <w:style w:type="character" w:customStyle="1" w:styleId="SprechblasentextZchn">
    <w:name w:val="Sprechblasentext Zchn"/>
    <w:link w:val="Sprechblasentext"/>
    <w:uiPriority w:val="99"/>
    <w:semiHidden/>
    <w:rsid w:val="00C25BE3"/>
    <w:rPr>
      <w:rFonts w:ascii="Tahoma" w:hAnsi="Tahoma" w:cs="Tahoma"/>
      <w:bCs/>
      <w:kern w:val="1"/>
      <w:szCs w:val="16"/>
      <w:lang w:eastAsia="ar-SA"/>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berschrift1Zchn">
    <w:name w:val="Überschrift 1 Zchn"/>
    <w:basedOn w:val="Absatz-Standardschriftart"/>
    <w:link w:val="berschrift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KeinLeerraum">
    <w:name w:val="No Spacing"/>
    <w:uiPriority w:val="99"/>
    <w:semiHidden/>
    <w:rsid w:val="00B64935"/>
    <w:pPr>
      <w:widowControl w:val="0"/>
      <w:suppressAutoHyphens/>
    </w:pPr>
    <w:rPr>
      <w:kern w:val="1"/>
      <w:lang w:eastAsia="ar-SA"/>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unotentext">
    <w:name w:val="footnote text"/>
    <w:basedOn w:val="ODNONIKtreodnonika"/>
    <w:link w:val="FunotentextZchn"/>
    <w:uiPriority w:val="99"/>
    <w:semiHidden/>
    <w:qFormat/>
    <w:locked/>
    <w:rsid w:val="00295A6F"/>
    <w:rPr>
      <w:rFonts w:eastAsia="Times New Roman" w:cs="Times New Roman"/>
      <w:szCs w:val="24"/>
    </w:rPr>
  </w:style>
  <w:style w:type="character" w:customStyle="1" w:styleId="FunotentextZchn">
    <w:name w:val="Fußnotentext Zchn"/>
    <w:basedOn w:val="Absatz-Standardschriftart"/>
    <w:link w:val="Funoten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Kommentarzeichen">
    <w:name w:val="annotation reference"/>
    <w:basedOn w:val="Absatz-Standardschriftart"/>
    <w:uiPriority w:val="99"/>
    <w:semiHidden/>
    <w:rsid w:val="00B64935"/>
    <w:rPr>
      <w:sz w:val="16"/>
      <w:szCs w:val="16"/>
    </w:rPr>
  </w:style>
  <w:style w:type="paragraph" w:styleId="Kommentartext">
    <w:name w:val="annotation text"/>
    <w:basedOn w:val="RCLNormalny"/>
    <w:link w:val="KommentartextZchn"/>
    <w:uiPriority w:val="99"/>
    <w:semiHidden/>
    <w:rsid w:val="00B64935"/>
    <w:rPr>
      <w:rFonts w:eastAsia="Times New Roman"/>
      <w:szCs w:val="24"/>
    </w:rPr>
  </w:style>
  <w:style w:type="character" w:customStyle="1" w:styleId="KommentartextZchn">
    <w:name w:val="Kommentartext Zchn"/>
    <w:basedOn w:val="Absatz-Standardschriftart"/>
    <w:link w:val="Kommentartext"/>
    <w:uiPriority w:val="99"/>
    <w:semiHidden/>
    <w:rsid w:val="00C25BE3"/>
    <w:rPr>
      <w:rFonts w:ascii="Times New Roman" w:hAnsi="Times New Roman"/>
      <w:bCs/>
      <w:kern w:val="95"/>
      <w:szCs w:val="24"/>
    </w:rPr>
  </w:style>
  <w:style w:type="paragraph" w:styleId="Kommentarthema">
    <w:name w:val="annotation subject"/>
    <w:basedOn w:val="Kommentartext"/>
    <w:next w:val="Kommentartext"/>
    <w:link w:val="KommentarthemaZchn"/>
    <w:uiPriority w:val="99"/>
    <w:semiHidden/>
    <w:rsid w:val="00B64935"/>
    <w:rPr>
      <w:b/>
      <w:bCs w:val="0"/>
    </w:rPr>
  </w:style>
  <w:style w:type="character" w:customStyle="1" w:styleId="KommentarthemaZchn">
    <w:name w:val="Kommentarthema Zchn"/>
    <w:basedOn w:val="KommentartextZchn"/>
    <w:link w:val="Kommentarthema"/>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Absatz-Standardschriftart"/>
    <w:uiPriority w:val="2"/>
    <w:qFormat/>
    <w:rsid w:val="00B64935"/>
    <w:rPr>
      <w:b w:val="0"/>
      <w:i w:val="0"/>
      <w:vanish w:val="0"/>
      <w:spacing w:val="0"/>
      <w:vertAlign w:val="superscript"/>
    </w:rPr>
  </w:style>
  <w:style w:type="character" w:customStyle="1" w:styleId="IDindeksdolny">
    <w:name w:val="_ID_ – indeks dolny"/>
    <w:basedOn w:val="Absatz-Standardschriftart"/>
    <w:uiPriority w:val="3"/>
    <w:qFormat/>
    <w:rsid w:val="00B64935"/>
    <w:rPr>
      <w:b w:val="0"/>
      <w:i w:val="0"/>
      <w:vanish w:val="0"/>
      <w:spacing w:val="0"/>
      <w:vertAlign w:val="subscript"/>
    </w:rPr>
  </w:style>
  <w:style w:type="character" w:customStyle="1" w:styleId="IDPindeksdolnyipogrubienie">
    <w:name w:val="_ID_P_ – indeks dolny i pogrubienie"/>
    <w:basedOn w:val="Absatz-Standardschriftart"/>
    <w:uiPriority w:val="3"/>
    <w:qFormat/>
    <w:rsid w:val="00B64935"/>
    <w:rPr>
      <w:b/>
      <w:vanish w:val="0"/>
      <w:spacing w:val="0"/>
      <w:vertAlign w:val="subscript"/>
    </w:rPr>
  </w:style>
  <w:style w:type="character" w:customStyle="1" w:styleId="IDKindeksdolnyikursywa">
    <w:name w:val="_ID_K_ – indeks dolny i kursywa"/>
    <w:basedOn w:val="Absatz-Standardschriftart"/>
    <w:uiPriority w:val="3"/>
    <w:qFormat/>
    <w:rsid w:val="00B64935"/>
    <w:rPr>
      <w:i/>
      <w:vanish w:val="0"/>
      <w:spacing w:val="0"/>
      <w:vertAlign w:val="subscript"/>
    </w:rPr>
  </w:style>
  <w:style w:type="character" w:customStyle="1" w:styleId="IGPindeksgrnyipogrubienie">
    <w:name w:val="_IG_P_ – indeks górny i pogrubienie"/>
    <w:basedOn w:val="Absatz-Standardschriftart"/>
    <w:uiPriority w:val="2"/>
    <w:qFormat/>
    <w:rsid w:val="00B64935"/>
    <w:rPr>
      <w:b/>
      <w:vanish w:val="0"/>
      <w:spacing w:val="0"/>
      <w:vertAlign w:val="superscript"/>
    </w:rPr>
  </w:style>
  <w:style w:type="character" w:customStyle="1" w:styleId="IGKindeksgrnyikursywa">
    <w:name w:val="_IG_K_ – indeks górny i kursywa"/>
    <w:basedOn w:val="Absatz-Standardschriftart"/>
    <w:uiPriority w:val="2"/>
    <w:qFormat/>
    <w:rsid w:val="00B64935"/>
    <w:rPr>
      <w:i/>
      <w:vanish w:val="0"/>
      <w:spacing w:val="0"/>
      <w:vertAlign w:val="superscript"/>
    </w:rPr>
  </w:style>
  <w:style w:type="character" w:customStyle="1" w:styleId="IGPKindeksgrnyipogrubieniekursywa">
    <w:name w:val="_IG_P_K_ – indeks górny i pogrubienie kursywa"/>
    <w:basedOn w:val="Absatz-Standardschriftart"/>
    <w:uiPriority w:val="2"/>
    <w:qFormat/>
    <w:rsid w:val="00B64935"/>
    <w:rPr>
      <w:b/>
      <w:i/>
      <w:vanish w:val="0"/>
      <w:spacing w:val="0"/>
      <w:vertAlign w:val="superscript"/>
    </w:rPr>
  </w:style>
  <w:style w:type="character" w:customStyle="1" w:styleId="IDPKindeksdolnyipogrugieniekursywa">
    <w:name w:val="_ID_P_K_ – indeks dolny i pogrugienie kursywa"/>
    <w:basedOn w:val="Absatz-Standardschriftart"/>
    <w:uiPriority w:val="3"/>
    <w:qFormat/>
    <w:rsid w:val="00B64935"/>
    <w:rPr>
      <w:b/>
      <w:i/>
      <w:vanish w:val="0"/>
      <w:spacing w:val="0"/>
      <w:vertAlign w:val="subscript"/>
    </w:rPr>
  </w:style>
  <w:style w:type="character" w:customStyle="1" w:styleId="Ppogrubienie">
    <w:name w:val="_P_ – pogrubienie"/>
    <w:basedOn w:val="Absatz-Standardschriftart"/>
    <w:uiPriority w:val="1"/>
    <w:qFormat/>
    <w:rsid w:val="00B64935"/>
    <w:rPr>
      <w:b/>
    </w:rPr>
  </w:style>
  <w:style w:type="character" w:customStyle="1" w:styleId="Kkursywa">
    <w:name w:val="_K_ – kursywa"/>
    <w:basedOn w:val="Absatz-Standardschriftart"/>
    <w:uiPriority w:val="1"/>
    <w:qFormat/>
    <w:rsid w:val="00B64935"/>
    <w:rPr>
      <w:i/>
    </w:rPr>
  </w:style>
  <w:style w:type="character" w:customStyle="1" w:styleId="PKpogrubieniekursywa">
    <w:name w:val="_P_K_ – pogrubienie kursywa"/>
    <w:basedOn w:val="Absatz-Standardschriftart"/>
    <w:uiPriority w:val="1"/>
    <w:qFormat/>
    <w:rsid w:val="00B64935"/>
    <w:rPr>
      <w:b/>
      <w:i/>
    </w:rPr>
  </w:style>
  <w:style w:type="character" w:customStyle="1" w:styleId="TEKSTOZNACZONYWDOKUMENCIERDOWYMJAKOUKRYTY">
    <w:name w:val="_TEKST_OZNACZONY_W_DOKUMENCIE_ŹRÓDŁOWYM_JAKO_UKRYTY_"/>
    <w:basedOn w:val="Absatz-Standardschriftart"/>
    <w:uiPriority w:val="4"/>
    <w:unhideWhenUsed/>
    <w:qFormat/>
    <w:rsid w:val="00B64935"/>
    <w:rPr>
      <w:vanish w:val="0"/>
      <w:color w:val="FF0000"/>
      <w:u w:val="single" w:color="FF0000"/>
    </w:rPr>
  </w:style>
  <w:style w:type="character" w:customStyle="1" w:styleId="BEZWERSALIKW">
    <w:name w:val="_BEZ_WERSALIKÓW_"/>
    <w:basedOn w:val="Absatz-Standardschriftart"/>
    <w:uiPriority w:val="4"/>
    <w:qFormat/>
    <w:rsid w:val="00B64935"/>
    <w:rPr>
      <w:caps/>
    </w:rPr>
  </w:style>
  <w:style w:type="character" w:customStyle="1" w:styleId="IIGPindeksgrnyindeksugrnegoipogrubienie">
    <w:name w:val="_IIG_P_ – indeks górny indeksu górnego i pogrubienie"/>
    <w:basedOn w:val="Absatz-Standardschriftar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ar-SA"/>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tzhaltertext">
    <w:name w:val="Placeholder Text"/>
    <w:basedOn w:val="Absatz-Standardschriftar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Absatz-Standardschriftar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Absatz-Standardschriftar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NormaleTabelle"/>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KopfzeileZchn"/>
    <w:link w:val="RCLOTJNagwek"/>
    <w:rsid w:val="00677218"/>
    <w:rPr>
      <w:rFonts w:ascii="Times New Roman" w:eastAsiaTheme="minorEastAsia" w:hAnsi="Times New Roman"/>
      <w:kern w:val="95"/>
      <w:szCs w:val="22"/>
      <w:lang w:eastAsia="ar-SA"/>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KopfzeileZchn"/>
    <w:link w:val="RCLNagwek"/>
    <w:rsid w:val="003F04AF"/>
    <w:rPr>
      <w:rFonts w:ascii="Times New Roman" w:eastAsiaTheme="minorEastAsia" w:hAnsi="Times New Roman"/>
      <w:bCs/>
      <w:kern w:val="95"/>
      <w:szCs w:val="22"/>
      <w:lang w:eastAsia="ar-SA"/>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ntext">
    <w:name w:val="endnote text"/>
    <w:basedOn w:val="ODNONIKtreodnonika"/>
    <w:link w:val="EndnotentextZchn"/>
    <w:uiPriority w:val="99"/>
    <w:semiHidden/>
    <w:rsid w:val="00B64935"/>
    <w:pPr>
      <w:spacing w:line="240" w:lineRule="auto"/>
    </w:pPr>
  </w:style>
  <w:style w:type="character" w:customStyle="1" w:styleId="EndnotentextZchn">
    <w:name w:val="Endnotentext Zchn"/>
    <w:basedOn w:val="Absatz-Standardschriftart"/>
    <w:link w:val="Endnotentext"/>
    <w:uiPriority w:val="99"/>
    <w:semiHidden/>
    <w:rsid w:val="00C25BE3"/>
    <w:rPr>
      <w:rFonts w:ascii="Times New Roman" w:eastAsiaTheme="minorEastAsia" w:hAnsi="Times New Roman" w:cs="Arial"/>
      <w:bCs/>
      <w:kern w:val="95"/>
      <w:sz w:val="18"/>
    </w:rPr>
  </w:style>
  <w:style w:type="character" w:styleId="Endnotenzeichen">
    <w:name w:val="endnote reference"/>
    <w:basedOn w:val="Absatz-Standardschriftart"/>
    <w:uiPriority w:val="99"/>
    <w:semiHidden/>
    <w:rsid w:val="00B64935"/>
    <w:rPr>
      <w:vertAlign w:val="superscript"/>
    </w:rPr>
  </w:style>
  <w:style w:type="paragraph" w:styleId="Umschlagadresse">
    <w:name w:val="envelope address"/>
    <w:basedOn w:val="Standard"/>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Absatz-Standardschriftar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Standard"/>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Standard"/>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Absatz-Standardschriftar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Absatz-Standardschriftart"/>
    <w:uiPriority w:val="99"/>
    <w:semiHidden/>
    <w:rsid w:val="00B64935"/>
    <w:rPr>
      <w:color w:val="0000FF" w:themeColor="hyperlink"/>
      <w:u w:val="single"/>
    </w:rPr>
  </w:style>
  <w:style w:type="paragraph" w:styleId="NurText">
    <w:name w:val="Plain Text"/>
    <w:basedOn w:val="Standard"/>
    <w:link w:val="NurTextZchn"/>
    <w:uiPriority w:val="99"/>
    <w:unhideWhenUsed/>
    <w:rsid w:val="008532E9"/>
    <w:pPr>
      <w:spacing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rsid w:val="008532E9"/>
    <w:rPr>
      <w:rFonts w:ascii="Consolas" w:hAnsi="Consolas"/>
      <w:sz w:val="21"/>
      <w:szCs w:val="21"/>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pl-PL" w:bidi="ar-SA"/>
      </w:rPr>
    </w:rPrDefault>
    <w:pPrDefault>
      <w:pPr>
        <w:spacing w:line="240" w:lineRule="atLeast"/>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Standard">
    <w:name w:val="Normal"/>
    <w:semiHidden/>
    <w:qFormat/>
    <w:rsid w:val="00B64935"/>
  </w:style>
  <w:style w:type="paragraph" w:styleId="berschrift1">
    <w:name w:val="heading 1"/>
    <w:basedOn w:val="Standard"/>
    <w:next w:val="Standard"/>
    <w:link w:val="berschrift1Zchn"/>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unotenzeichen">
    <w:name w:val="footnote reference"/>
    <w:uiPriority w:val="99"/>
    <w:semiHidden/>
    <w:rsid w:val="00B64935"/>
    <w:rPr>
      <w:rFonts w:cs="Times New Roman"/>
      <w:vertAlign w:val="superscript"/>
    </w:rPr>
  </w:style>
  <w:style w:type="paragraph" w:styleId="Kopfzeile">
    <w:name w:val="header"/>
    <w:basedOn w:val="Standard"/>
    <w:link w:val="KopfzeileZchn"/>
    <w:uiPriority w:val="99"/>
    <w:semiHidden/>
    <w:rsid w:val="00B64935"/>
    <w:pPr>
      <w:tabs>
        <w:tab w:val="center" w:pos="4536"/>
        <w:tab w:val="right" w:pos="9356"/>
      </w:tabs>
      <w:suppressAutoHyphens/>
      <w:spacing w:before="170"/>
    </w:pPr>
    <w:rPr>
      <w:kern w:val="1"/>
      <w:szCs w:val="24"/>
      <w:lang w:eastAsia="ar-SA"/>
    </w:rPr>
  </w:style>
  <w:style w:type="character" w:customStyle="1" w:styleId="KopfzeileZchn">
    <w:name w:val="Kopfzeile Zchn"/>
    <w:link w:val="Kopfzeile"/>
    <w:uiPriority w:val="99"/>
    <w:semiHidden/>
    <w:rsid w:val="006A170E"/>
    <w:rPr>
      <w:kern w:val="1"/>
      <w:szCs w:val="24"/>
      <w:lang w:eastAsia="ar-SA"/>
    </w:rPr>
  </w:style>
  <w:style w:type="paragraph" w:styleId="Fuzeile">
    <w:name w:val="footer"/>
    <w:basedOn w:val="Standard"/>
    <w:link w:val="FuzeileZchn"/>
    <w:uiPriority w:val="99"/>
    <w:semiHidden/>
    <w:rsid w:val="00B64935"/>
    <w:pPr>
      <w:tabs>
        <w:tab w:val="center" w:pos="4536"/>
        <w:tab w:val="right" w:pos="9072"/>
      </w:tabs>
      <w:suppressAutoHyphens/>
    </w:pPr>
    <w:rPr>
      <w:kern w:val="1"/>
      <w:szCs w:val="24"/>
      <w:lang w:eastAsia="ar-SA"/>
    </w:rPr>
  </w:style>
  <w:style w:type="character" w:customStyle="1" w:styleId="FuzeileZchn">
    <w:name w:val="Fußzeile Zchn"/>
    <w:link w:val="Fuzeile"/>
    <w:uiPriority w:val="99"/>
    <w:semiHidden/>
    <w:rsid w:val="00060076"/>
    <w:rPr>
      <w:kern w:val="1"/>
      <w:szCs w:val="24"/>
      <w:lang w:eastAsia="ar-SA"/>
    </w:rPr>
  </w:style>
  <w:style w:type="paragraph" w:styleId="Sprechblasentext">
    <w:name w:val="Balloon Text"/>
    <w:basedOn w:val="RCLNormalny"/>
    <w:link w:val="SprechblasentextZchn"/>
    <w:uiPriority w:val="99"/>
    <w:semiHidden/>
    <w:rsid w:val="00B64935"/>
    <w:pPr>
      <w:suppressAutoHyphens/>
    </w:pPr>
    <w:rPr>
      <w:rFonts w:ascii="Tahoma" w:eastAsia="Times New Roman" w:hAnsi="Tahoma" w:cs="Tahoma"/>
      <w:kern w:val="1"/>
      <w:szCs w:val="16"/>
      <w:lang w:eastAsia="ar-SA"/>
    </w:rPr>
  </w:style>
  <w:style w:type="character" w:customStyle="1" w:styleId="SprechblasentextZchn">
    <w:name w:val="Sprechblasentext Zchn"/>
    <w:link w:val="Sprechblasentext"/>
    <w:uiPriority w:val="99"/>
    <w:semiHidden/>
    <w:rsid w:val="00C25BE3"/>
    <w:rPr>
      <w:rFonts w:ascii="Tahoma" w:hAnsi="Tahoma" w:cs="Tahoma"/>
      <w:bCs/>
      <w:kern w:val="1"/>
      <w:szCs w:val="16"/>
      <w:lang w:eastAsia="ar-SA"/>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berschrift1Zchn">
    <w:name w:val="Überschrift 1 Zchn"/>
    <w:basedOn w:val="Absatz-Standardschriftart"/>
    <w:link w:val="berschrift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KeinLeerraum">
    <w:name w:val="No Spacing"/>
    <w:uiPriority w:val="99"/>
    <w:semiHidden/>
    <w:rsid w:val="00B64935"/>
    <w:pPr>
      <w:widowControl w:val="0"/>
      <w:suppressAutoHyphens/>
    </w:pPr>
    <w:rPr>
      <w:kern w:val="1"/>
      <w:lang w:eastAsia="ar-SA"/>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unotentext">
    <w:name w:val="footnote text"/>
    <w:basedOn w:val="ODNONIKtreodnonika"/>
    <w:link w:val="FunotentextZchn"/>
    <w:uiPriority w:val="99"/>
    <w:semiHidden/>
    <w:qFormat/>
    <w:locked/>
    <w:rsid w:val="00295A6F"/>
    <w:rPr>
      <w:rFonts w:eastAsia="Times New Roman" w:cs="Times New Roman"/>
      <w:szCs w:val="24"/>
    </w:rPr>
  </w:style>
  <w:style w:type="character" w:customStyle="1" w:styleId="FunotentextZchn">
    <w:name w:val="Fußnotentext Zchn"/>
    <w:basedOn w:val="Absatz-Standardschriftart"/>
    <w:link w:val="Funoten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Kommentarzeichen">
    <w:name w:val="annotation reference"/>
    <w:basedOn w:val="Absatz-Standardschriftart"/>
    <w:uiPriority w:val="99"/>
    <w:semiHidden/>
    <w:rsid w:val="00B64935"/>
    <w:rPr>
      <w:sz w:val="16"/>
      <w:szCs w:val="16"/>
    </w:rPr>
  </w:style>
  <w:style w:type="paragraph" w:styleId="Kommentartext">
    <w:name w:val="annotation text"/>
    <w:basedOn w:val="RCLNormalny"/>
    <w:link w:val="KommentartextZchn"/>
    <w:uiPriority w:val="99"/>
    <w:semiHidden/>
    <w:rsid w:val="00B64935"/>
    <w:rPr>
      <w:rFonts w:eastAsia="Times New Roman"/>
      <w:szCs w:val="24"/>
    </w:rPr>
  </w:style>
  <w:style w:type="character" w:customStyle="1" w:styleId="KommentartextZchn">
    <w:name w:val="Kommentartext Zchn"/>
    <w:basedOn w:val="Absatz-Standardschriftart"/>
    <w:link w:val="Kommentartext"/>
    <w:uiPriority w:val="99"/>
    <w:semiHidden/>
    <w:rsid w:val="00C25BE3"/>
    <w:rPr>
      <w:rFonts w:ascii="Times New Roman" w:hAnsi="Times New Roman"/>
      <w:bCs/>
      <w:kern w:val="95"/>
      <w:szCs w:val="24"/>
    </w:rPr>
  </w:style>
  <w:style w:type="paragraph" w:styleId="Kommentarthema">
    <w:name w:val="annotation subject"/>
    <w:basedOn w:val="Kommentartext"/>
    <w:next w:val="Kommentartext"/>
    <w:link w:val="KommentarthemaZchn"/>
    <w:uiPriority w:val="99"/>
    <w:semiHidden/>
    <w:rsid w:val="00B64935"/>
    <w:rPr>
      <w:b/>
      <w:bCs w:val="0"/>
    </w:rPr>
  </w:style>
  <w:style w:type="character" w:customStyle="1" w:styleId="KommentarthemaZchn">
    <w:name w:val="Kommentarthema Zchn"/>
    <w:basedOn w:val="KommentartextZchn"/>
    <w:link w:val="Kommentarthema"/>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Absatz-Standardschriftart"/>
    <w:uiPriority w:val="2"/>
    <w:qFormat/>
    <w:rsid w:val="00B64935"/>
    <w:rPr>
      <w:b w:val="0"/>
      <w:i w:val="0"/>
      <w:vanish w:val="0"/>
      <w:spacing w:val="0"/>
      <w:vertAlign w:val="superscript"/>
    </w:rPr>
  </w:style>
  <w:style w:type="character" w:customStyle="1" w:styleId="IDindeksdolny">
    <w:name w:val="_ID_ – indeks dolny"/>
    <w:basedOn w:val="Absatz-Standardschriftart"/>
    <w:uiPriority w:val="3"/>
    <w:qFormat/>
    <w:rsid w:val="00B64935"/>
    <w:rPr>
      <w:b w:val="0"/>
      <w:i w:val="0"/>
      <w:vanish w:val="0"/>
      <w:spacing w:val="0"/>
      <w:vertAlign w:val="subscript"/>
    </w:rPr>
  </w:style>
  <w:style w:type="character" w:customStyle="1" w:styleId="IDPindeksdolnyipogrubienie">
    <w:name w:val="_ID_P_ – indeks dolny i pogrubienie"/>
    <w:basedOn w:val="Absatz-Standardschriftart"/>
    <w:uiPriority w:val="3"/>
    <w:qFormat/>
    <w:rsid w:val="00B64935"/>
    <w:rPr>
      <w:b/>
      <w:vanish w:val="0"/>
      <w:spacing w:val="0"/>
      <w:vertAlign w:val="subscript"/>
    </w:rPr>
  </w:style>
  <w:style w:type="character" w:customStyle="1" w:styleId="IDKindeksdolnyikursywa">
    <w:name w:val="_ID_K_ – indeks dolny i kursywa"/>
    <w:basedOn w:val="Absatz-Standardschriftart"/>
    <w:uiPriority w:val="3"/>
    <w:qFormat/>
    <w:rsid w:val="00B64935"/>
    <w:rPr>
      <w:i/>
      <w:vanish w:val="0"/>
      <w:spacing w:val="0"/>
      <w:vertAlign w:val="subscript"/>
    </w:rPr>
  </w:style>
  <w:style w:type="character" w:customStyle="1" w:styleId="IGPindeksgrnyipogrubienie">
    <w:name w:val="_IG_P_ – indeks górny i pogrubienie"/>
    <w:basedOn w:val="Absatz-Standardschriftart"/>
    <w:uiPriority w:val="2"/>
    <w:qFormat/>
    <w:rsid w:val="00B64935"/>
    <w:rPr>
      <w:b/>
      <w:vanish w:val="0"/>
      <w:spacing w:val="0"/>
      <w:vertAlign w:val="superscript"/>
    </w:rPr>
  </w:style>
  <w:style w:type="character" w:customStyle="1" w:styleId="IGKindeksgrnyikursywa">
    <w:name w:val="_IG_K_ – indeks górny i kursywa"/>
    <w:basedOn w:val="Absatz-Standardschriftart"/>
    <w:uiPriority w:val="2"/>
    <w:qFormat/>
    <w:rsid w:val="00B64935"/>
    <w:rPr>
      <w:i/>
      <w:vanish w:val="0"/>
      <w:spacing w:val="0"/>
      <w:vertAlign w:val="superscript"/>
    </w:rPr>
  </w:style>
  <w:style w:type="character" w:customStyle="1" w:styleId="IGPKindeksgrnyipogrubieniekursywa">
    <w:name w:val="_IG_P_K_ – indeks górny i pogrubienie kursywa"/>
    <w:basedOn w:val="Absatz-Standardschriftart"/>
    <w:uiPriority w:val="2"/>
    <w:qFormat/>
    <w:rsid w:val="00B64935"/>
    <w:rPr>
      <w:b/>
      <w:i/>
      <w:vanish w:val="0"/>
      <w:spacing w:val="0"/>
      <w:vertAlign w:val="superscript"/>
    </w:rPr>
  </w:style>
  <w:style w:type="character" w:customStyle="1" w:styleId="IDPKindeksdolnyipogrugieniekursywa">
    <w:name w:val="_ID_P_K_ – indeks dolny i pogrugienie kursywa"/>
    <w:basedOn w:val="Absatz-Standardschriftart"/>
    <w:uiPriority w:val="3"/>
    <w:qFormat/>
    <w:rsid w:val="00B64935"/>
    <w:rPr>
      <w:b/>
      <w:i/>
      <w:vanish w:val="0"/>
      <w:spacing w:val="0"/>
      <w:vertAlign w:val="subscript"/>
    </w:rPr>
  </w:style>
  <w:style w:type="character" w:customStyle="1" w:styleId="Ppogrubienie">
    <w:name w:val="_P_ – pogrubienie"/>
    <w:basedOn w:val="Absatz-Standardschriftart"/>
    <w:uiPriority w:val="1"/>
    <w:qFormat/>
    <w:rsid w:val="00B64935"/>
    <w:rPr>
      <w:b/>
    </w:rPr>
  </w:style>
  <w:style w:type="character" w:customStyle="1" w:styleId="Kkursywa">
    <w:name w:val="_K_ – kursywa"/>
    <w:basedOn w:val="Absatz-Standardschriftart"/>
    <w:uiPriority w:val="1"/>
    <w:qFormat/>
    <w:rsid w:val="00B64935"/>
    <w:rPr>
      <w:i/>
    </w:rPr>
  </w:style>
  <w:style w:type="character" w:customStyle="1" w:styleId="PKpogrubieniekursywa">
    <w:name w:val="_P_K_ – pogrubienie kursywa"/>
    <w:basedOn w:val="Absatz-Standardschriftart"/>
    <w:uiPriority w:val="1"/>
    <w:qFormat/>
    <w:rsid w:val="00B64935"/>
    <w:rPr>
      <w:b/>
      <w:i/>
    </w:rPr>
  </w:style>
  <w:style w:type="character" w:customStyle="1" w:styleId="TEKSTOZNACZONYWDOKUMENCIERDOWYMJAKOUKRYTY">
    <w:name w:val="_TEKST_OZNACZONY_W_DOKUMENCIE_ŹRÓDŁOWYM_JAKO_UKRYTY_"/>
    <w:basedOn w:val="Absatz-Standardschriftart"/>
    <w:uiPriority w:val="4"/>
    <w:unhideWhenUsed/>
    <w:qFormat/>
    <w:rsid w:val="00B64935"/>
    <w:rPr>
      <w:vanish w:val="0"/>
      <w:color w:val="FF0000"/>
      <w:u w:val="single" w:color="FF0000"/>
    </w:rPr>
  </w:style>
  <w:style w:type="character" w:customStyle="1" w:styleId="BEZWERSALIKW">
    <w:name w:val="_BEZ_WERSALIKÓW_"/>
    <w:basedOn w:val="Absatz-Standardschriftart"/>
    <w:uiPriority w:val="4"/>
    <w:qFormat/>
    <w:rsid w:val="00B64935"/>
    <w:rPr>
      <w:caps/>
    </w:rPr>
  </w:style>
  <w:style w:type="character" w:customStyle="1" w:styleId="IIGPindeksgrnyindeksugrnegoipogrubienie">
    <w:name w:val="_IIG_P_ – indeks górny indeksu górnego i pogrubienie"/>
    <w:basedOn w:val="Absatz-Standardschriftar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ar-SA"/>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tzhaltertext">
    <w:name w:val="Placeholder Text"/>
    <w:basedOn w:val="Absatz-Standardschriftar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Absatz-Standardschriftar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Absatz-Standardschriftar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NormaleTabelle"/>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KopfzeileZchn"/>
    <w:link w:val="RCLOTJNagwek"/>
    <w:rsid w:val="00677218"/>
    <w:rPr>
      <w:rFonts w:ascii="Times New Roman" w:eastAsiaTheme="minorEastAsia" w:hAnsi="Times New Roman"/>
      <w:kern w:val="95"/>
      <w:szCs w:val="22"/>
      <w:lang w:eastAsia="ar-SA"/>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KopfzeileZchn"/>
    <w:link w:val="RCLNagwek"/>
    <w:rsid w:val="003F04AF"/>
    <w:rPr>
      <w:rFonts w:ascii="Times New Roman" w:eastAsiaTheme="minorEastAsia" w:hAnsi="Times New Roman"/>
      <w:bCs/>
      <w:kern w:val="95"/>
      <w:szCs w:val="22"/>
      <w:lang w:eastAsia="ar-SA"/>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ntext">
    <w:name w:val="endnote text"/>
    <w:basedOn w:val="ODNONIKtreodnonika"/>
    <w:link w:val="EndnotentextZchn"/>
    <w:uiPriority w:val="99"/>
    <w:semiHidden/>
    <w:rsid w:val="00B64935"/>
    <w:pPr>
      <w:spacing w:line="240" w:lineRule="auto"/>
    </w:pPr>
  </w:style>
  <w:style w:type="character" w:customStyle="1" w:styleId="EndnotentextZchn">
    <w:name w:val="Endnotentext Zchn"/>
    <w:basedOn w:val="Absatz-Standardschriftart"/>
    <w:link w:val="Endnotentext"/>
    <w:uiPriority w:val="99"/>
    <w:semiHidden/>
    <w:rsid w:val="00C25BE3"/>
    <w:rPr>
      <w:rFonts w:ascii="Times New Roman" w:eastAsiaTheme="minorEastAsia" w:hAnsi="Times New Roman" w:cs="Arial"/>
      <w:bCs/>
      <w:kern w:val="95"/>
      <w:sz w:val="18"/>
    </w:rPr>
  </w:style>
  <w:style w:type="character" w:styleId="Endnotenzeichen">
    <w:name w:val="endnote reference"/>
    <w:basedOn w:val="Absatz-Standardschriftart"/>
    <w:uiPriority w:val="99"/>
    <w:semiHidden/>
    <w:rsid w:val="00B64935"/>
    <w:rPr>
      <w:vertAlign w:val="superscript"/>
    </w:rPr>
  </w:style>
  <w:style w:type="paragraph" w:styleId="Umschlagadresse">
    <w:name w:val="envelope address"/>
    <w:basedOn w:val="Standard"/>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Absatz-Standardschriftar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Standard"/>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Standard"/>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Absatz-Standardschriftar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Absatz-Standardschriftart"/>
    <w:uiPriority w:val="99"/>
    <w:semiHidden/>
    <w:rsid w:val="00B64935"/>
    <w:rPr>
      <w:color w:val="0000FF" w:themeColor="hyperlink"/>
      <w:u w:val="single"/>
    </w:rPr>
  </w:style>
  <w:style w:type="paragraph" w:styleId="NurText">
    <w:name w:val="Plain Text"/>
    <w:basedOn w:val="Standard"/>
    <w:link w:val="NurTextZchn"/>
    <w:uiPriority w:val="99"/>
    <w:unhideWhenUsed/>
    <w:rsid w:val="008532E9"/>
    <w:pPr>
      <w:spacing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rsid w:val="008532E9"/>
    <w:rPr>
      <w:rFonts w:ascii="Consolas" w:hAnsi="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tzhalt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6E30C5"/>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24D18F96-B5A0-4BCD-94C9-D581157F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0</TotalTime>
  <Pages>9</Pages>
  <Words>3985</Words>
  <Characters>24352</Characters>
  <Application>Microsoft Office Word</Application>
  <DocSecurity>0</DocSecurity>
  <Lines>202</Lines>
  <Paragraphs>56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dc:description>Szablon aktu prawnego jest dziełem chronionym przez prawo autorskie.</dc:description>
  <cp:lastModifiedBy>Blumbach, Silke</cp:lastModifiedBy>
  <cp:revision>4</cp:revision>
  <cp:lastPrinted>2018-08-28T07:53:00Z</cp:lastPrinted>
  <dcterms:created xsi:type="dcterms:W3CDTF">2019-05-08T07:47:00Z</dcterms:created>
  <dcterms:modified xsi:type="dcterms:W3CDTF">2019-05-15T11:26:00Z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