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B92" w:rsidRPr="008F61B0" w:rsidRDefault="006B2B92" w:rsidP="006B2B92">
      <w:pPr>
        <w:pStyle w:val="PlainText"/>
        <w:rPr>
          <w:rFonts w:ascii="Courier New" w:hAnsi="Courier New" w:cs="Courier New"/>
          <w:sz w:val="20"/>
          <w:szCs w:val="20"/>
        </w:rPr>
      </w:pPr>
      <w:r>
        <w:rPr>
          <w:rFonts w:ascii="Courier New" w:hAnsi="Courier New"/>
          <w:sz w:val="20"/>
          <w:szCs w:val="20"/>
        </w:rPr>
        <w:t xml:space="preserve">1. ------IND- 2019 0518 F-- DA- ------ 20200930 --- --- FINAL </w:t>
      </w:r>
    </w:p>
    <w:p w:rsidR="00D8408E" w:rsidRPr="00621B9B" w:rsidRDefault="00DD2A33">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Den 10. april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JORF (Den Franske Republiks statstidende) nr. 0085 af 7. april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Retsakt nr. 11</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Bekendtgørelse af 1. april 2020 om fastsættelse af indholdet i ansøgninger om markedsføringsgodkendelser af og tilladelser til gødningsmaterialer, tilsætningsstoffer til gødningsmaterialer og vækstmedier samt kriterier, der skal tages højde for ved udarbejdelse af elementer til brug for evalueringen</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CB5F80" w:rsidRDefault="00DD2A33">
      <w:pPr>
        <w:widowControl w:val="0"/>
        <w:autoSpaceDE w:val="0"/>
        <w:autoSpaceDN w:val="0"/>
        <w:adjustRightInd w:val="0"/>
        <w:spacing w:after="0" w:line="240" w:lineRule="auto"/>
        <w:jc w:val="center"/>
        <w:rPr>
          <w:rFonts w:ascii="Arial" w:hAnsi="Arial" w:cs="Arial"/>
          <w:sz w:val="24"/>
          <w:szCs w:val="24"/>
          <w:lang w:val="en-US"/>
        </w:rPr>
      </w:pPr>
      <w:r w:rsidRPr="00CB5F80">
        <w:rPr>
          <w:rFonts w:ascii="Arial" w:hAnsi="Arial"/>
          <w:sz w:val="24"/>
          <w:szCs w:val="24"/>
          <w:lang w:val="en-US"/>
        </w:rPr>
        <w:t>NOR: AGRG2008998A</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D8408E" w:rsidRPr="00CB5F80" w:rsidRDefault="00DD2A33">
      <w:pPr>
        <w:widowControl w:val="0"/>
        <w:autoSpaceDE w:val="0"/>
        <w:autoSpaceDN w:val="0"/>
        <w:adjustRightInd w:val="0"/>
        <w:spacing w:after="0" w:line="240" w:lineRule="auto"/>
        <w:jc w:val="center"/>
        <w:rPr>
          <w:rFonts w:ascii="Arial" w:hAnsi="Arial" w:cs="Arial"/>
          <w:sz w:val="24"/>
          <w:szCs w:val="24"/>
          <w:lang w:val="en-US"/>
        </w:rPr>
      </w:pPr>
      <w:r w:rsidRPr="00CB5F80">
        <w:rPr>
          <w:rFonts w:ascii="Arial" w:hAnsi="Arial"/>
          <w:sz w:val="20"/>
          <w:szCs w:val="20"/>
          <w:lang w:val="en-US"/>
        </w:rPr>
        <w:t>ELI:https://www.legifrance.gouv.fr/eli/arrete/2020/4/1/AGRG2008998A/jo/texte</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Berørte grupper: Indehavere af og ansøgere om markedsføringsgodkendelser eller tilladelser til gødningsmaterialer, tilsætningsstoffer til gødningsmaterialer og vækstmedier.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Formål: Indholdet i ansøgninger om markedsføringsgodkendelser af, tilladelser til forsøg med og tilladelser til indførsel af gødningsmaterialer, tilsætningsstoffer til gødningsmaterialer og vækstmedier, indholdet i notifikationer og anmeldelser vedrørende disse produkter.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Ikrafttræden: Bekendtgørelsen træder i kraft dagen efter offentliggørelsen.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Beskrivelse: Bekendtgørelsen fastsætter for hver type af ansøgning, notifikation og anmeldelse, der vedrører en godkendelse af eller tilladelse til et gødningsmateriale, et tilsætningsstof til gødningsmaterialer eller et vækstmedie, indholdet i de sagsmapper, der skal fremsendes til den nationale levnedsmiddel-, miljø- og arbejdssundhedsstyrelse (Agence nationale de sécurité sanitaire de l’alimentation et du travail).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Henvisninger: Denne bekendtgørelse udstedes i medfør af artikel R. 255-13 og R. 255-14 i lov om landbrug og havfiskeri. Dette findes på Légifrances websted (https://www.legifrance.gouv.fr).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Ministeren for landbrug og fødevarer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under henvisning til Europa-Parlamentets og Rådets forordning (EF) nr. 1907/2006 af 18. december 2006 om registrering, vurdering og godkendelse af samt begrænsninger for kemikalier (REACH), om oprettelse af et europæisk kemikalieagentur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under henvisning til lov om landbrug og havfiskeri, særlig artikel R. 255-13 og R. 255-14</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under henvisning til dekret nr. 80-478 af 16. juni 1980 om gennemførelse af forbrugslovens artikel L. 412-1 for så vidt angår gødningsmaterialer og vækstmedier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under henvisning til forslaget fra generaldirektøren for den nationale levnedsmiddel-, miljø- og arbejdssundhedsstyrelse af 2. august 2019</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udstedt følgende bekendtgørelse: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1</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Anvendelsesområde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Bestemmelserne i nærværende bekendtgørelse finder anvendelse på gødningsmaterialer, tilsætningsstoffer til gødningsmaterialer og vækstmedier – i det efterfølgende benævnt som "produkt" – som forstås som "produkter eller en serie af produkter" i henhold til artikel R. 255-1 i lov om landbrug og havfiskeri.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2</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Fælles bestemmelser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Alle ansøgninger om markedsføringsgodkendelser af, tilladelser til forsøg med og tilladelser til indførsel af et produkt, alle ansøgninger om ændring, fornyelse eller tilbagetrækning af disse godkendelser eller tilladelser samt alle fremsendte oplysninger, notifikationer eller anmeldelser vedrørende disse produkter fremsendes til den nationale levnedsmiddel-, miljø- og arbejdssundhedsstyrelse (Anses). Disse dokumenter udarbejdes som sagsmappe på fransk med forbehold af de særlige bestemmelser i artikel 3.</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Sagsmappen indeholder: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1° et brev, der henviser til ansøgningen, de fremsendte oplysninger, notifikationen eller anmeldelsen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2° en formular, der er behørigt udfyldt i henhold til den pågældende beskrivelse, dateret og underskrevet. Formularen og beskrivelsen ligger på Anses' websted</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3° i givet fald de nødvendige supplerende oplysninger til gennemgang og evaluering af ansøgningen eller til registrering af notifikationen eller anmeldelsen i henhold til nærværende bekendtgørelses artikel 3 til 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Sagsmappen skal fremsendes i en digital version på et datalagringsmedium. Sagsmappen kan eventuelt også omfatte en papirversion, der fremsendes i to eksemplarer og ledsages af en bekræftelse af identiteten af dokumenterne i papirformat og dokumenterne i elektronisk format.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Sagsmappen fremlægges i henhold til den beskrivelse, der ledsager indgivelsesformularen.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De produkter, der er berørt af ansøgningen, karakteriseres i overensstemmelse med bilaget til nærværende bekendtgørelse og vejledningen vedrørende evaluering af sagsmapper for ansøgninger om markedsføringsgodkendelser af eller tilladelser til gødningsmaterialer, tilsætningsstoffer til gødningsmaterialer og vækstmedier, som findes på Anses' websted.</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3</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Markedsføringsgodkendelse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w:t>
      </w:r>
      <w:r w:rsidR="00CB5F80">
        <w:rPr>
          <w:rFonts w:ascii="Arial" w:hAnsi="Arial"/>
          <w:sz w:val="24"/>
          <w:szCs w:val="24"/>
        </w:rPr>
        <w:t xml:space="preserve"> </w:t>
      </w:r>
      <w:r>
        <w:rPr>
          <w:rFonts w:ascii="Arial" w:hAnsi="Arial"/>
          <w:sz w:val="24"/>
          <w:szCs w:val="24"/>
        </w:rPr>
        <w:t>- Ansøgninger om markedsføringsgodkendelse af et produkt, om fornyelse eller ændring af en markedsføringsgodkendelse af et produkt, med undtagelse af ansøgninger som omtalt i punkt III og IV, omfatter supplerende elementer til brug for evalueringen i henhold til artikel L. 255-7 i lov om landbrug og havfiskeri:</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sporbarhedsoplysninger om produktet og råmaterialerne på produktionsstedsniveau og fremstillingsstedsniveau, såfremt disse er forskellige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produktets fuldstændige sammensætning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analyserapporter om produktets karakterisering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oplysninger om stabiliteten i produktets sammensætning i forhold til de garanterede parametre og værdier, herunder ensartethed, uforanderlighed og stabilitet samt de pågældende analyserapporter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oplysninger om produktets fremstilling, navnlig en beskrivelse af de anvendte råmaterialer og teknologiske hjælpemidler, information om fremstillingsprocessen, procedurer for kvalitetsstyring, kontrol og egenkontrol, definition af partier og forvaltning af uregelmæssigheder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sammenfattende agronomisk rapport og prøverapporter til bestemmelse af produktets effektivitet under de foreskrevne anvendelsesbetingelser i forhold til de udtrykkeligt angivne virkninger. Ved ansøgning om fornyelse af markedsføringsgodkendelsen skal ansøgeren begrunde den eventuelle manglende fremlæggelse af disse sammenfattende rapporter og prøverapporter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sammenfattende rapport og undersøgelsesrapporter til bestemmelse af, at produktet ingen giftig virkning har på menneskers og dyrs sundhed samt miljøet under de foreskrevne anvendelsesbetingelser. Ved ansøgning om fornyelse af markedsføringsgodkendelsen skal ansøgeren begrunde den eventuelle manglende fremlæggelse af disse rapporter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i tilfælde af en ansøgning om fornyelse af markedsføringsgodkendelsen resultater af analyserne af produktionsovervågningen og i givet fald supplerende oplysninger i forhold til den oprindelige afgørelse, der er fremkommet efter godkendelsen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udkast til mærkat eller datablad for produktet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sikkerhedsdatablad for produktet og alle råmaterialer i henhold til artikel 31 i ovennævnte forordning (EF) nr.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De sammenfattende rapporter, undersøgelsesrapporterne og prøverapporterne må være udarbejdet på engelsk.</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 - Ansøgninger om markedsføringsgodkendelse af et produkt ved gensidig anerkendelse i henhold til artikel R. 255-17 i lov om landbrug og havfiskeri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bekræftelse af identiteten på det produkt, der er genstand for ansøgningen, samt det produkt, der markedsføres lovligt i referencemedlemsstaten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produktets fuldstændige sammensætning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kopi af den administrative afgørelse, den gældende standard eller lovgivningstekst, i henhold til hvilken markedsføringen i referencemedlemsstaten er godkendt, samt en fransk eller engelsk oversættelse heraf</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mærkatmodel for det produkt, der markedsføres i referencemedlemsstaten, samt en fransk eller engelsk oversættelse heraf</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liste over de dyrkningsområder, produktet skal anvendes på, samt anvendelsesbetingelserne. For hvert af dyrkningsområderne eller hver af jordtyperne skal ansøgeren navnlig angive produktets anvendelsesmåde, den minimale og maksimale tilførselsdosis per anvendelse og per hektar, det årlige antal anvendelser, perioden og/eller dyrkningsstadiet for anvendelse. Der kan fremlægges forslag til risikostyringsforanstaltninger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udkast til mærkat eller datablad for produktet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sikkerhedsdatablad for produktet og alle råmaterialer i henhold til artikel 31 i ovennævnte forordning (EF) nr.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III. - Ansøgninger om markedsføringsgodkendelse af et produkt, der er identisk med et allerede godkendt produkt, indeholder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sporbarhedsoplysninger om produktet på produktionsstedsniveau og fremstillingsstedsniveau, såfremt disse er forskellige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bekræftelse af identiteten på referenceproduktet og det produkt, der er genstand for ansøgningen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udkast til mærkat eller datablad for produktet.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IV. - Ansøgninger om ændring af en markedsføringsgodkendelse af et produkt med henblik på godkendelse af en eller flere supplerende anvendelser eller betingelser indeholder – for hver anvendelse eller betingelse –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sammenfattende agronomisk rapport og prøverapporter til bestemmelse af produktets effektivitet under de foreskrevne anvendelsesbetingelser i forhold til de udtrykkeligt angivne virkninger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sammenfattende rapport og undersøgelsesrapporter til bestemmelse af, at produktet ingen giftig virkning har på menneskers og dyrs sundhed samt miljøet under de foreskrevne anvendelsesbetingelser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udkast til mærkat eller datablad for produktet.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De sammenfattende rapporter, undersøgelsesrapporterne og prøverapporterne må være udarbejdet på engelsk.</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4</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Forsøgstilladelse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CB5F80"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xml:space="preserve">I. </w:t>
      </w:r>
      <w:r w:rsidR="00DD2A33">
        <w:rPr>
          <w:rFonts w:ascii="Arial" w:hAnsi="Arial"/>
          <w:sz w:val="24"/>
          <w:szCs w:val="24"/>
        </w:rPr>
        <w:t>- Ansøgninger om tilladelse til forsøg med et produkt eller fornyelse af denne tilladelse omfatter følgende supplerende elementer til brug for evalueringen i henhold til artikel L. 255-8 i lov om landbrug og havfiskeri:</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sporbarhedsoplysninger om produktet og råmaterialerne på produktionsstedsniveau og fremstillingsstedsniveau, såfremt disse er forskellige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produktets fuldstændige sammensætning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analyserapporter om produktets karakterisering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sikkerhedsdatablad for produktet og alle råmaterialer i henhold til artikel 31 i forordning (EF) nr.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 - Anmeldelser af ændringer til forsøgsbetingelserne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kopi af forsøgstilladelsen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den pågældende dokumentation.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5</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Indførselstilladelse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Ansøgninger om tilladelse til indførsel af et produkt, ændring eller fornyelse af denne tilladelse omfatter følgende supplerende elementer til brug for evalueringen i henhold til artikel L. 255-7 i lov om landbrug og havfiskeri:</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alle oplysninger til identificering af produkterne i henhold til artikel R. 255-20 i lov om landbrug og havfiskeri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det oprindelige mærkat for produktet som planlagt til indførsel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udkast til mærkat eller datablad på fransk.</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6</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Andre ansøgninger eller anmeldelser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w:t>
      </w:r>
      <w:r w:rsidR="00CB5F80">
        <w:rPr>
          <w:rFonts w:ascii="Arial" w:hAnsi="Arial"/>
          <w:sz w:val="24"/>
          <w:szCs w:val="24"/>
        </w:rPr>
        <w:t xml:space="preserve"> </w:t>
      </w:r>
      <w:bookmarkStart w:id="0" w:name="_GoBack"/>
      <w:bookmarkEnd w:id="0"/>
      <w:r>
        <w:rPr>
          <w:rFonts w:ascii="Arial" w:hAnsi="Arial"/>
          <w:sz w:val="24"/>
          <w:szCs w:val="24"/>
        </w:rPr>
        <w:t>- Ansøgninger om overførsel af en markedsføringsgodkendelse eller en tilladelse i henhold til artikel R. 255-5 i lov om landbrug og havfiskeri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originaleksemplar af godkendelses- eller tilladelsesafgørelsen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bekræftelse fra den oprindelige indehaver vedrørende vedkommendes samtykke til at overdrage godkendelsen eller tilladelsen.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 - Ansøgninger om tilføjelse af en ny handelsbetegnelse for et produkt, der tidligere er blevet godkendt i henhold til artikel R. 255-5 i lov om landbrug og havfiskeri, eller anmeldelser af ændringer i handelsbetegnelser for et produkt i henhold til artikel R. 255-9 i førnævnte lov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kopi af markedsføringsgodkendelsen af eller tilladelsen til produktet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bekræftelse af identiteten på referenceproduktet og det produkt, der er genstand for ansøgningen.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III. - Anmeldelser af ændringer i indehaverens adresse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kopi af markedsføringsgodkendelsen af eller tilladelsen til produktet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dokumentation for indehaverens adresseændring.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IV. - Anmeldelser af ændringer i selskabsnavnet på indehaveren af en markedsføringsgodkendelse af et produkt eller en tilladelse i henhold til artikel R. 255-9 i lov om landbrug og havfiskeri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kopi af markedsføringsgodkendelsen af eller tilladelsen til produktet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dokumentation for selskabsnavnets ændring.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 - Anmeldelser af ændringer i eller tilføjelser af et fremstillings- eller produktionssted i henhold til artikel R. 255-9 i lov om landbrug og havfiskeri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sporbarhedsoplysninger om produktet og alle råmaterialer på produktionsstedsniveau og fremstillingsstedsniveau, såfremt disse er forskellige.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VI. - Ansøgninger om ændring af de oplysninger, som er angivet i en sagsmappe, der er i færd med at blive evalueret, omfatter følgende supplerende elementer: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i tilfælde af ansøgninger om overdragelse af et produkt: en bekræftelse fra den oprindelige indehaver vedrørende vedkommendes samtykke til at overdrage godkendelsen eller tilladelsen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i tilfælde af ændringer i indehaverens adresse: dokumentation for indehaverens adresseændring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i tilfælde af ændringer i selskabsnavnet på indehaveren: dokumentation for selskabsnavnets ændring</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i tilfælde af en ny handelsbetegnelse for produktet: bekræftelse af identiteten på referenceproduktet og det produkt, der er genstand for ansøgningen.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7</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Bekendtgørelsen af 21. december 1998 som ændret om gødningsmaterialer og vækstmedier ophæves.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Artikel 8</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Levnedsmiddelgeneraldirektøren er ansvarlig for gennemførelsen af nærværende anordning, som vil blive offentliggjort i Journal officiel, den franske republiks statstidende.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Bilag</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BILAG</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INDHOLD AF METALLISKE SPORELEMENTER OG ORGANISKE SPORSTOFFER – MIKROBIOLOGISKE KRITERIER</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Nedenstående kriterier udgør referenceværdier for produktkvaliteten. I tilfælde af en overskridelse fremlægger ansøgeren den nødvendige dokumentation for de elementer, der er blevet overskredet.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Der tages højde for det kumulative aspekt af tilførslen af metalliske sporelementer og organiske sporstoffer fra gødningsmaterialerne, tilsætningsstofferne og vækstmedierne for at kunne kontrollere, at der ingen giftig virkning er på menneskers og dyrs sundhed og på miljøet ved de doser og tilførselshyppigheder, der er anbefalet i anvendelsesbetingelserne.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Oplysningerne fremlægges i overensstemmelse med vejledningen i evaluering af sagsmapper for ansøgninger om markedsføringsgodkendelser af eller tilladelser til gødningsmaterialer, tilsætningsstoffer til gødningsmaterialer og vækstmedier som omtalt i artikel 2.</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Metalliske sporelementer</w:t>
      </w:r>
    </w:p>
    <w:tbl>
      <w:tblPr>
        <w:tblW w:w="0" w:type="auto"/>
        <w:tblInd w:w="8" w:type="dxa"/>
        <w:tblLayout w:type="fixed"/>
        <w:tblCellMar>
          <w:left w:w="0" w:type="dxa"/>
          <w:right w:w="0" w:type="dxa"/>
        </w:tblCellMar>
        <w:tblLook w:val="0000" w:firstRow="0" w:lastRow="0" w:firstColumn="0" w:lastColumn="0" w:noHBand="0" w:noVBand="0"/>
      </w:tblPr>
      <w:tblGrid>
        <w:gridCol w:w="3200"/>
        <w:gridCol w:w="3200"/>
        <w:gridCol w:w="3200"/>
        <w:gridCol w:w="30"/>
      </w:tblGrid>
      <w:tr w:rsidR="00D8408E" w:rsidRPr="00621B9B" w:rsidTr="00B553AE">
        <w:trPr>
          <w:gridAfter w:val="1"/>
          <w:wAfter w:w="2" w:type="dxa"/>
          <w:trHeight w:val="276"/>
        </w:trPr>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D8408E" w:rsidRPr="00621B9B" w:rsidRDefault="00D8408E" w:rsidP="00990A0D">
            <w:pPr>
              <w:keepNext/>
              <w:widowControl w:val="0"/>
              <w:autoSpaceDE w:val="0"/>
              <w:autoSpaceDN w:val="0"/>
              <w:adjustRightInd w:val="0"/>
              <w:spacing w:after="0" w:line="240" w:lineRule="auto"/>
              <w:jc w:val="center"/>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Maksimalt indhold for gødningsmaterialer</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(i mg/kg tørstof)</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Maksimalt indhold for vækstmedier</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(i mg/kg tørstof)</w:t>
            </w: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As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40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40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Cd</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Cr VI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2</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2</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Total Cr</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Cu</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300 (*)</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200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Hg</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Ni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50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Pb</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120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Zn</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800 (*)</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500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 Medmindre der hersker et anerkendt behov i henhold til den gældende lovgivning.</w:t>
      </w:r>
    </w:p>
    <w:p w:rsidR="00621B9B" w:rsidRDefault="00621B9B">
      <w:pPr>
        <w:widowControl w:val="0"/>
        <w:autoSpaceDE w:val="0"/>
        <w:autoSpaceDN w:val="0"/>
        <w:adjustRightInd w:val="0"/>
        <w:spacing w:after="0" w:line="240" w:lineRule="auto"/>
        <w:rPr>
          <w:rFonts w:ascii="Arial" w:hAnsi="Arial" w:cs="Arial"/>
          <w:sz w:val="24"/>
          <w:szCs w:val="24"/>
        </w:rPr>
      </w:pPr>
    </w:p>
    <w:p w:rsidR="00B553AE" w:rsidRPr="00621B9B" w:rsidRDefault="00B553AE">
      <w:pPr>
        <w:widowControl w:val="0"/>
        <w:autoSpaceDE w:val="0"/>
        <w:autoSpaceDN w:val="0"/>
        <w:adjustRightInd w:val="0"/>
        <w:spacing w:after="0" w:line="240" w:lineRule="auto"/>
        <w:rPr>
          <w:rFonts w:ascii="Arial" w:hAnsi="Arial" w:cs="Arial"/>
          <w:sz w:val="24"/>
          <w:szCs w:val="24"/>
        </w:rPr>
      </w:pPr>
    </w:p>
    <w:p w:rsidR="00D8408E" w:rsidRPr="00621B9B" w:rsidRDefault="00621B9B" w:rsidP="00990A0D">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Organiske sporstoffer</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D8408E" w:rsidRPr="00621B9B">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Sum af 16 polycykliske aromatiske kulbrinter:</w:t>
            </w:r>
          </w:p>
          <w:p w:rsidR="00621B9B" w:rsidRPr="00621B9B" w:rsidRDefault="00621B9B">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Naphthalen, acenaphthylen, acenaphthen, fluoren, phenanthren, anthracen, fluoranthen, pyren, benzo[a]anthracen, chrysen, benzo[b]fluoranthen, benzo[k]fluoranthen, benzo[a]pyren, indeno[1,2,3-cd]pyren, dibenzo[a, h]anthracen og benzo[ghi]perylen.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Maksimalt indhold:</w:t>
            </w:r>
          </w:p>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6 mg/kg tørstof</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C34831" w:rsidRDefault="00C34831" w:rsidP="00C34831">
      <w:pPr>
        <w:widowControl w:val="0"/>
        <w:autoSpaceDE w:val="0"/>
        <w:autoSpaceDN w:val="0"/>
        <w:adjustRightInd w:val="0"/>
        <w:spacing w:after="0" w:line="240" w:lineRule="auto"/>
        <w:rPr>
          <w:rFonts w:ascii="Arial" w:hAnsi="Arial" w:cs="Arial"/>
          <w:sz w:val="24"/>
          <w:szCs w:val="24"/>
        </w:rPr>
      </w:pPr>
      <w:r>
        <w:rPr>
          <w:rFonts w:ascii="Arial" w:hAnsi="Arial"/>
          <w:sz w:val="24"/>
          <w:szCs w:val="24"/>
        </w:rPr>
        <w:t>Mikrobiologiske kriterier </w:t>
      </w:r>
    </w:p>
    <w:tbl>
      <w:tblPr>
        <w:tblW w:w="9640" w:type="dxa"/>
        <w:tblInd w:w="8" w:type="dxa"/>
        <w:tblLayout w:type="fixed"/>
        <w:tblCellMar>
          <w:left w:w="0" w:type="dxa"/>
          <w:right w:w="0" w:type="dxa"/>
        </w:tblCellMar>
        <w:tblLook w:val="0000" w:firstRow="0" w:lastRow="0" w:firstColumn="0" w:lastColumn="0" w:noHBand="0" w:noVBand="0"/>
      </w:tblPr>
      <w:tblGrid>
        <w:gridCol w:w="1600"/>
        <w:gridCol w:w="1264"/>
        <w:gridCol w:w="1440"/>
        <w:gridCol w:w="1350"/>
        <w:gridCol w:w="1440"/>
        <w:gridCol w:w="1260"/>
        <w:gridCol w:w="1286"/>
      </w:tblGrid>
      <w:tr w:rsidR="00C34831" w:rsidTr="00C34831">
        <w:tc>
          <w:tcPr>
            <w:tcW w:w="1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Dyrkningsområder</w:t>
            </w:r>
          </w:p>
        </w:tc>
      </w:tr>
      <w:tr w:rsidR="00C34831" w:rsidTr="00C5171F">
        <w:tc>
          <w:tcPr>
            <w:tcW w:w="16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26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Markafgrøder</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Trædyrkning Vindyrkning</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Bær</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Græstørv</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Græsmarker</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Skovdyrkning Prydplanter</w:t>
            </w:r>
          </w:p>
        </w:tc>
        <w:tc>
          <w:tcPr>
            <w:tcW w:w="126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Blomsterdyrkning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Grøntsager Jordbær</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Patogene mikroorganismer til mennesker og dyr:</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Enterokokker</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 10 000/g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Escherichia coli</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 1 000/g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Clostridium perfringens (vegetative sporer og former)</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 100/g*</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 10/g*</w:t>
            </w:r>
          </w:p>
        </w:tc>
        <w:tc>
          <w:tcPr>
            <w:tcW w:w="2700"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 100/g*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 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Salmonella</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Fravær i 1 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Fravær i 25 g</w:t>
            </w:r>
          </w:p>
        </w:tc>
      </w:tr>
      <w:tr w:rsidR="00C34831" w:rsidTr="00C34831">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Staphylococcus aureus eller</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coagulase +</w:t>
            </w: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 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Listeria monocytogenes</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Fravær i 25 g (græsmarker)</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Fravær i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Patogene makroorganismer til mennesker og dyr:</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Nematoder (æg og larver)</w:t>
            </w:r>
          </w:p>
        </w:tc>
        <w:tc>
          <w:tcPr>
            <w:tcW w:w="5494" w:type="dxa"/>
            <w:gridSpan w:val="4"/>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Fravær i 1 g**</w:t>
            </w: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Fravær i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De anbefalede analysemetoder fremgår af vejledningen som offentliggjort af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 De supplerende analyser, der anbefales i forhold til produkternes art og de angivne dyrkningsområder, fremgår af vejledningen som offentliggjort af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 Er der en forekomst af larver, fremgår de supplerende analyser, der anbefales i forhold til de angivne dyrkningsområder, af vejledningen som offentliggjort af Anses.</w:t>
            </w: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Antibiotikaresistens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 tilfælde af produkter, der består af, eller hvori der indgår en (eller flere) mikroorganismer (bakterier), som der er angivet en gødningseffekt for, skal der udarbejdes et antibiogram i henhold til EFSA's vejledning (1) og WHO's antibiotikaklasser (2).</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CB5F80" w:rsidRDefault="00DD2A33" w:rsidP="00990A0D">
      <w:pPr>
        <w:widowControl w:val="0"/>
        <w:autoSpaceDE w:val="0"/>
        <w:autoSpaceDN w:val="0"/>
        <w:adjustRightInd w:val="0"/>
        <w:spacing w:after="0" w:line="240" w:lineRule="auto"/>
        <w:jc w:val="both"/>
        <w:rPr>
          <w:rFonts w:ascii="Arial" w:hAnsi="Arial" w:cs="Arial"/>
          <w:sz w:val="24"/>
          <w:szCs w:val="24"/>
          <w:lang w:val="en-US"/>
        </w:rPr>
      </w:pPr>
      <w:r w:rsidRPr="00CB5F80">
        <w:rPr>
          <w:rFonts w:ascii="Arial" w:hAnsi="Arial"/>
          <w:sz w:val="24"/>
          <w:szCs w:val="24"/>
          <w:lang w:val="en-US"/>
        </w:rPr>
        <w:t>(1) Guidance on microorganisms used as feed additives or as production organisms, Table 2 (EFSA).</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CB5F80" w:rsidRDefault="00DD2A33" w:rsidP="00990A0D">
      <w:pPr>
        <w:widowControl w:val="0"/>
        <w:autoSpaceDE w:val="0"/>
        <w:autoSpaceDN w:val="0"/>
        <w:adjustRightInd w:val="0"/>
        <w:spacing w:after="0" w:line="240" w:lineRule="auto"/>
        <w:jc w:val="both"/>
        <w:rPr>
          <w:rFonts w:ascii="Arial" w:hAnsi="Arial" w:cs="Arial"/>
          <w:sz w:val="24"/>
          <w:szCs w:val="24"/>
          <w:lang w:val="en-US"/>
        </w:rPr>
      </w:pPr>
      <w:r w:rsidRPr="00CB5F80">
        <w:rPr>
          <w:rFonts w:ascii="Arial" w:hAnsi="Arial"/>
          <w:sz w:val="24"/>
          <w:szCs w:val="24"/>
          <w:lang w:val="en-US"/>
        </w:rPr>
        <w:t>(2) WHO List of Essential Medicines (OMS).</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Udfærdiget den 1. april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bemyndigelse, for ministeren:</w:t>
      </w:r>
    </w:p>
    <w:p w:rsidR="00621B9B"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Vicegeneraldirektøren for fødevarer</w:t>
      </w:r>
    </w:p>
    <w:p w:rsidR="00621B9B"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L. Evain</w:t>
      </w:r>
    </w:p>
    <w:sectPr w:rsidR="00621B9B" w:rsidRPr="00621B9B">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892" w:rsidRDefault="003C6892" w:rsidP="00716768">
      <w:pPr>
        <w:spacing w:after="0" w:line="240" w:lineRule="auto"/>
      </w:pPr>
      <w:r>
        <w:separator/>
      </w:r>
    </w:p>
  </w:endnote>
  <w:endnote w:type="continuationSeparator" w:id="0">
    <w:p w:rsidR="003C6892" w:rsidRDefault="003C6892" w:rsidP="0071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892" w:rsidRDefault="003C6892" w:rsidP="00716768">
      <w:pPr>
        <w:spacing w:after="0" w:line="240" w:lineRule="auto"/>
      </w:pPr>
      <w:r>
        <w:separator/>
      </w:r>
    </w:p>
  </w:footnote>
  <w:footnote w:type="continuationSeparator" w:id="0">
    <w:p w:rsidR="003C6892" w:rsidRDefault="003C6892" w:rsidP="007167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03F9B"/>
    <w:multiLevelType w:val="singleLevel"/>
    <w:tmpl w:val="53A5200D"/>
    <w:lvl w:ilvl="0">
      <w:start w:val="1"/>
      <w:numFmt w:val="bullet"/>
      <w:lvlText w:val="·"/>
      <w:lvlJc w:val="left"/>
      <w:rPr>
        <w:rFonts w:ascii="Times New Roman" w:hAnsi="Times New Roman" w:cs="Times New Roman"/>
      </w:rPr>
    </w:lvl>
  </w:abstractNum>
  <w:abstractNum w:abstractNumId="1" w15:restartNumberingAfterBreak="0">
    <w:nsid w:val="53C61E88"/>
    <w:multiLevelType w:val="singleLevel"/>
    <w:tmpl w:val="0EC5D46D"/>
    <w:lvl w:ilvl="0">
      <w:start w:val="1"/>
      <w:numFmt w:val="bullet"/>
      <w:lvlText w:val="·"/>
      <w:lvlJc w:val="left"/>
      <w:rPr>
        <w:rFonts w:ascii="Times New Roman" w:hAnsi="Times New Roman" w:cs="Times New Roman"/>
      </w:r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28"/>
    <w:rsid w:val="000C1AB6"/>
    <w:rsid w:val="003C6892"/>
    <w:rsid w:val="00510235"/>
    <w:rsid w:val="00621B9B"/>
    <w:rsid w:val="006B2B92"/>
    <w:rsid w:val="00716768"/>
    <w:rsid w:val="00755C28"/>
    <w:rsid w:val="00915AB1"/>
    <w:rsid w:val="00990A0D"/>
    <w:rsid w:val="00A619BA"/>
    <w:rsid w:val="00B553AE"/>
    <w:rsid w:val="00C34831"/>
    <w:rsid w:val="00C5171F"/>
    <w:rsid w:val="00CB5F80"/>
    <w:rsid w:val="00D8408E"/>
    <w:rsid w:val="00DD2A3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7528802-E004-4F22-8A01-B9E922B2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768"/>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6768"/>
  </w:style>
  <w:style w:type="paragraph" w:styleId="Footer">
    <w:name w:val="footer"/>
    <w:basedOn w:val="Normal"/>
    <w:link w:val="FooterChar"/>
    <w:uiPriority w:val="99"/>
    <w:unhideWhenUsed/>
    <w:rsid w:val="00716768"/>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6768"/>
  </w:style>
  <w:style w:type="paragraph" w:styleId="PlainText">
    <w:name w:val="Plain Text"/>
    <w:basedOn w:val="Normal"/>
    <w:link w:val="PlainTextChar"/>
    <w:uiPriority w:val="99"/>
    <w:unhideWhenUsed/>
    <w:rsid w:val="006B2B92"/>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6B2B92"/>
    <w:rPr>
      <w:rFonts w:ascii="Consolas" w:eastAsia="Times New Roman" w:hAnsi="Consolas" w:cs="Times New Roman"/>
      <w:sz w:val="21"/>
      <w:szCs w:val="21"/>
      <w:lang w:val="da-DK" w:eastAsia="en-US"/>
    </w:rPr>
  </w:style>
  <w:style w:type="paragraph" w:styleId="ListParagraph">
    <w:name w:val="List Paragraph"/>
    <w:basedOn w:val="Normal"/>
    <w:uiPriority w:val="34"/>
    <w:qFormat/>
    <w:rsid w:val="00CB5F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90F66-2EF8-4392-9804-4BB09ADB1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87474-A319-4ED5-97EC-097DA050AC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A9F25A-E27C-4AFF-BAEC-034090420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2500</Words>
  <Characters>14250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Liu, Lei</cp:lastModifiedBy>
  <cp:revision>8</cp:revision>
  <dcterms:created xsi:type="dcterms:W3CDTF">2020-04-10T08:50:00Z</dcterms:created>
  <dcterms:modified xsi:type="dcterms:W3CDTF">2020-10-09T02:20:00Z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Apr 10 10:49:34 CEST 2020</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