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0F" w:rsidRPr="00B00403" w:rsidRDefault="00943D0F" w:rsidP="00943D0F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------IND- 2017 0284 S-- ET- ------ 20190508 --- --- FINAL</w:t>
      </w:r>
      <w:r>
        <w:rPr>
          <w:sz w:val="20"/>
          <w:rFonts w:ascii="Courier New" w:hAnsi="Courier New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43D0F" w:rsidRDefault="00943D0F" w:rsidP="00015EA3">
      <w:pPr>
        <w:spacing w:after="120" w:line="259" w:lineRule="auto"/>
        <w:ind w:left="0" w:firstLine="0"/>
        <w:jc w:val="left"/>
        <w:rPr>
          <w:b/>
          <w:sz w:val="36"/>
        </w:rPr>
      </w:pPr>
    </w:p>
    <w:p w:rsidR="00DB4B0C" w:rsidRDefault="00643102" w:rsidP="00015EA3">
      <w:pPr>
        <w:spacing w:after="120" w:line="259" w:lineRule="auto"/>
        <w:ind w:left="0" w:firstLine="0"/>
        <w:jc w:val="left"/>
        <w:rPr>
          <w:b/>
          <w:sz w:val="36"/>
        </w:rPr>
      </w:pPr>
      <w:r>
        <w:drawing>
          <wp:anchor xmlns:wp="http://schemas.openxmlformats.org/drawingml/2006/wordprocessingDrawing" distT="0" distB="0" distL="114300" distR="114300" simplePos="0" relativeHeight="251658240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-212725</wp:posOffset>
            </wp:positionV>
            <wp:extent cx="431800" cy="768985"/>
            <wp:effectExtent l="0" t="0" r="6350" b="0"/>
            <wp:wrapNone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76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xmlns:wp14="http://schemas.microsoft.com/office/word/2010/wordprocessingDrawing" relativeFrom="page">
              <wp14:pctWidth>0</wp14:pctWidth>
            </wp14:sizeRelH>
            <wp14:sizeRelV xmlns:wp14="http://schemas.microsoft.com/office/word/2010/wordprocessingDrawing"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Rootsi seadustik</w:t>
      </w:r>
    </w:p>
    <w:p w:rsidR="00015EA3" w:rsidRDefault="00643102" w:rsidP="00015EA3">
      <w:pPr>
        <w:pBdr>
          <w:bottom w:val="single" w:sz="4" w:space="1" w:color="auto"/>
        </w:pBdr>
        <w:spacing w:after="120" w:line="259" w:lineRule="auto"/>
        <w:ind w:left="0" w:firstLine="0"/>
        <w:jc w:val="left"/>
        <w:rPr>
          <w:b/>
          <w:sz w:val="36"/>
        </w:rPr>
      </w:pPr>
      <w:r>
        <w:rPr>
          <w:b/>
          <w:sz w:val="26"/>
        </w:rPr>
        <mc:AlternateContent xmlns:mc="http://schemas.openxmlformats.org/markup-compatibility/2006">
          <mc:Choice Requires="wps">
            <w:drawing>
              <wp:anchor xmlns:wp="http://schemas.openxmlformats.org/drawingml/2006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337820</wp:posOffset>
                </wp:positionV>
                <wp:extent cx="1264920" cy="828040"/>
                <wp:effectExtent l="0" t="0" r="3175" b="4445"/>
                <wp:wrapNone/>
                <wp:docPr id="3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0C" w:rsidRDefault="00DB4B0C" w:rsidP="00DB4B0C">
                            <w:pPr>
                              <w:spacing w:after="160" w:line="259" w:lineRule="auto"/>
                              <w:ind w:lef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SFS 2018:55</w:t>
                            </w:r>
                          </w:p>
                          <w:p w:rsidR="00DB4B0C" w:rsidRPr="00D30131" w:rsidRDefault="00DB4B0C" w:rsidP="00DB4B0C">
                            <w:pPr>
                              <w:spacing w:after="160" w:line="259" w:lineRule="auto"/>
                              <w:ind w:lef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 xml:space="preserve">Avaldatud</w:t>
                              <w:br/>
                              <w:t xml:space="preserve">13. veebruaril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>
            <w:pict>
              <v:shapetype xmlns:o="urn:schemas-microsoft-com:office:office" xmlns:v="urn:schemas-microsoft-com:vml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Textruta 15" o:spid="_x0000_s1026" type="#_x0000_t202" style="position:absolute;margin-left:294.95pt;margin-top:26.6pt;width:99.6pt;height:6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" stroked="f" strokeweight=".5pt">
                <v:textbox inset="0,0,0,0">
                  <w:txbxContent>
                    <w:p w:rsidR="00DB4B0C" w:rsidRDefault="00DB4B0C" w:rsidP="00DB4B0C">
                      <w:pPr>
                        <w:spacing w:after="160" w:line="259" w:lineRule="auto"/>
                        <w:ind w:lef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SFS 2018:55</w:t>
                      </w:r>
                    </w:p>
                    <w:p w:rsidR="00DB4B0C" w:rsidRPr="00D30131" w:rsidRDefault="00DB4B0C" w:rsidP="00DB4B0C">
                      <w:pPr>
                        <w:spacing w:after="160" w:line="259" w:lineRule="auto"/>
                        <w:ind w:lef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t xml:space="preserve">Avaldatud</w:t>
                        <w:br/>
                        <w:t xml:space="preserve">13. veebruaril 2018</w:t>
                      </w:r>
                    </w:p>
                  </w:txbxContent>
                </v:textbox>
              </v:shape>
            </w:pict>
          </mc:Fallback>
        </mc:AlternateContent>
      </w:r>
    </w:p>
    <w:p w:rsidR="00551E3F" w:rsidRDefault="00DB4B0C" w:rsidP="00DA5828">
      <w:pPr>
        <w:spacing w:before="240" w:after="240" w:line="216" w:lineRule="auto"/>
        <w:ind w:left="0" w:firstLine="0"/>
        <w:jc w:val="left"/>
      </w:pPr>
      <w:r>
        <w:rPr>
          <w:b/>
          <w:sz w:val="26"/>
        </w:rPr>
        <w:t xml:space="preserve">Määrus, millega muudetakse kemikaalide (käitlemise, impordi- ja ekspordikeeldude) määrust (1998:944);</w:t>
      </w:r>
    </w:p>
    <w:p w:rsidR="00551E3F" w:rsidRDefault="00CC49D7" w:rsidP="00DA5828">
      <w:pPr>
        <w:spacing w:after="221"/>
        <w:ind w:left="0" w:firstLine="0"/>
      </w:pPr>
      <w:r>
        <w:t xml:space="preserve">väljastatud 1. veebruaril 2018</w:t>
      </w:r>
    </w:p>
    <w:p w:rsidR="00551E3F" w:rsidRDefault="00CC49D7" w:rsidP="00015EA3">
      <w:pPr>
        <w:spacing w:after="240"/>
        <w:ind w:left="0" w:firstLine="193"/>
      </w:pPr>
      <w:r>
        <w:t xml:space="preserve">Seoses kemikaalide (käitlemise, impordi- ja ekspordikeeldude) määrusega (1998:944) kehtestab valitsus </w:t>
      </w:r>
      <w:r>
        <w:rPr>
          <w:vertAlign w:val="superscript"/>
        </w:rPr>
        <w:footnoteReference w:id="1"/>
      </w:r>
      <w:r>
        <w:t xml:space="preserve"> esiteks, et paragrahvid 1 ja 5 sõnastatakse selliselt, nagu on esitatud allpool, ning teiseks, et määrusesse lisatakse allpool esitatud neli uut paragrahvi – 1a ja 4 (sealhulgas eelnev alapealkiri), 4–4b.</w:t>
      </w:r>
    </w:p>
    <w:p w:rsidR="00551E3F" w:rsidRDefault="00CC49D7" w:rsidP="00DA5828">
      <w:pPr>
        <w:keepNext/>
        <w:keepLines/>
        <w:ind w:left="0" w:firstLine="0"/>
      </w:pPr>
      <w:r>
        <w:rPr>
          <w:b w:val="1"/>
          <w:b w:val="1"/>
          <w:b w:val="1"/>
        </w:rPr>
        <w:t xml:space="preserve">§</w:t>
      </w:r>
      <w:r>
        <w:rPr>
          <w:b w:val="1"/>
        </w:rPr>
        <w:t xml:space="preserve"> 1</w:t>
      </w:r>
      <w:r>
        <w:rPr>
          <w:vertAlign w:val="superscript"/>
        </w:rPr>
        <w:footnoteReference w:id="2"/>
      </w:r>
      <w:r>
        <w:t xml:space="preserve"> Määrus sisaldab järgmiste ainete käsitsemise erisätteid nende keelustamise või muude piirangute kohta:</w:t>
      </w:r>
      <w:r>
        <w:t xml:space="preserve"> </w:t>
      </w:r>
    </w:p>
    <w:p w:rsidR="00551E3F" w:rsidRDefault="00CC49D7" w:rsidP="00015EA3">
      <w:pPr>
        <w:numPr>
          <w:ilvl w:val="0"/>
          <w:numId w:val="1"/>
        </w:numPr>
        <w:tabs>
          <w:tab w:val="left" w:pos="567"/>
        </w:tabs>
        <w:ind w:left="0" w:firstLine="192"/>
      </w:pPr>
      <w:r>
        <w:t xml:space="preserve">bisfenooli A või bisfenooli A diglütsidüüleetrit sisaldav kahekomponendiline epoksüvaik,</w:t>
      </w:r>
    </w:p>
    <w:p w:rsidR="00551E3F" w:rsidRDefault="00CC49D7" w:rsidP="00015EA3">
      <w:pPr>
        <w:numPr>
          <w:ilvl w:val="0"/>
          <w:numId w:val="1"/>
        </w:numPr>
        <w:tabs>
          <w:tab w:val="left" w:pos="567"/>
        </w:tabs>
        <w:ind w:left="0" w:firstLine="192"/>
      </w:pPr>
      <w:r>
        <w:t xml:space="preserve">kaadmium,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plastiosakesed kosmeetikatoodetes,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klooritud lahustid,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elavhõbe,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kaadmium ja elavhõbe patareides,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raskmetallid pakendamisel,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pliid sisaldav laskemoon,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fosfaate sisaldavad detergendid, ning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teatavad muud kemikaalid ja kaubad, mis on ohtlikud tervisele või keskkonnale.</w:t>
      </w:r>
    </w:p>
    <w:p w:rsidR="00551E3F" w:rsidRDefault="00CC49D7" w:rsidP="00015EA3">
      <w:pPr>
        <w:spacing w:after="249"/>
        <w:ind w:left="0" w:firstLine="192"/>
      </w:pPr>
      <w:r>
        <w:t xml:space="preserve">Määrust ei kohaldata kemikaalide ja biotehnilistele organismide suhtes, mida hõlmatakse toiduseaduse (2006:804), sööda ja loomsete kõrvalsaaduste seaduse (2006:805) või ravimiseadusega (2015:315).</w:t>
      </w:r>
    </w:p>
    <w:p w:rsidR="00551E3F" w:rsidRDefault="00CC49D7" w:rsidP="00DA5828">
      <w:pPr>
        <w:keepNext/>
        <w:keepLines/>
        <w:pBdr>
          <w:left w:val="single" w:sz="4" w:space="4" w:color="auto"/>
        </w:pBdr>
        <w:ind w:left="0" w:firstLine="0"/>
      </w:pPr>
      <w:r>
        <w:rPr>
          <w:b w:val="1"/>
        </w:rPr>
        <w:t xml:space="preserve">§ 1a</w:t>
      </w:r>
      <w:r>
        <w:t xml:space="preserve"> Määrus on välja antud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 xml:space="preserve">keskkonnaseadustiku 14. peatüki paragrahvi 8 alusel seoses paragrahvidega 2–3, 5–11, 11c–14 ja 14b–20a,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 xml:space="preserve">keskkonnaseadustiku 15. peatüki paragrahvi 40 alusel seoses paragrahviga 4a,</w:t>
      </w:r>
      <w:r>
        <w:t xml:space="preserve"> 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 xml:space="preserve">valitsuse õigusakti 8. peatüki paragrahvi 11 alusel seoses paragrahviga 21, ning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 xml:space="preserve">valitsuse õigusakti 8. peatüki paragrahvi 7 alusel seoses muude sätetega.</w:t>
      </w:r>
    </w:p>
    <w:p w:rsidR="00551E3F" w:rsidRDefault="00CC49D7" w:rsidP="00DA5828">
      <w:pPr>
        <w:pStyle w:val="Heading1"/>
        <w:pBdr>
          <w:left w:val="single" w:sz="4" w:space="4" w:color="auto"/>
        </w:pBdr>
        <w:ind w:left="0"/>
      </w:pPr>
      <w:r>
        <w:t xml:space="preserve">Plastiosakesed kosmeetikatoodetes</w:t>
      </w:r>
    </w:p>
    <w:p w:rsidR="00551E3F" w:rsidRDefault="00CC49D7" w:rsidP="00DA5828">
      <w:pPr>
        <w:pBdr>
          <w:left w:val="single" w:sz="4" w:space="4" w:color="auto"/>
        </w:pBdr>
        <w:ind w:left="0" w:firstLine="0"/>
      </w:pPr>
      <w:r>
        <w:rPr>
          <w:b w:val="1"/>
        </w:rPr>
        <w:t xml:space="preserve">§ </w:t>
      </w:r>
      <w:r>
        <w:rPr>
          <w:b/>
        </w:rPr>
        <w:t xml:space="preserve">4</w:t>
      </w:r>
      <w:r>
        <w:rPr>
          <w:vertAlign w:val="superscript"/>
        </w:rPr>
        <w:footnoteReference w:id="3"/>
      </w:r>
      <w:r>
        <w:t xml:space="preserve"> Selles paragrahvis ning paragrahvides 4a ja 4b on järgmistel mõistetel järgmised tähendused: </w:t>
      </w:r>
      <w:r>
        <w:rPr>
          <w:i/>
        </w:rPr>
        <w:t xml:space="preserve">kosmeetikatoode</w:t>
      </w:r>
      <w:r>
        <w:t xml:space="preserve"> – kosmeetikatoode Euroopa Parlamendi ja nõukogu määruse (EÜ) nr 1223/2009 (kosmeetikatoodete kohta) tähenduses,</w:t>
      </w:r>
      <w:r>
        <w:t xml:space="preserve"> </w:t>
      </w:r>
    </w:p>
    <w:p w:rsidR="008062AA" w:rsidRDefault="00CC49D7" w:rsidP="008062AA">
      <w:pPr>
        <w:pBdr>
          <w:left w:val="single" w:sz="4" w:space="4" w:color="auto"/>
        </w:pBdr>
        <w:spacing w:after="0"/>
        <w:ind w:left="0" w:firstLine="193"/>
      </w:pPr>
      <w:r>
        <w:rPr>
          <w:i w:val="1"/>
        </w:rPr>
        <w:t xml:space="preserve">plast –</w:t>
      </w:r>
      <w:r>
        <w:rPr>
          <w:i w:val="1"/>
        </w:rPr>
        <w:t xml:space="preserve"> </w:t>
      </w:r>
      <w:r>
        <w:t xml:space="preserve">polümeer Euroopa Parlamendi ja nõukogu 18. detsembri 2006. aasta määruse (EÜ) nr 1907/2006, mis käsitleb kemikaalide registreerimist, hindamist, autoriseerimist ja piiramist (REACH) ja millega asutatakse Euroopa Kemikaalide Agentuur ning muudetakse direktiivi 1999/45/EÜ ja tunnistatakse kehtetuks nõukogu määrus (EMÜ) nr 793/93, komisjoni määrus (EÜ) nr 1488/94 ning samuti nõukogu direktiiv 76/769/EMÜ ja komisjoni direktiivid 91/155/EMÜ, 93/67/EMÜ, 93/105/EÜ ja 2000/21/EÜ, millele võib olla lisatud lisandeid või muid aineid artikli 3 lõike 5 tähenduses, </w:t>
      </w:r>
      <w:r>
        <w:rPr>
          <w:i w:val="1"/>
        </w:rPr>
        <w:t xml:space="preserve">plastiosakesed </w:t>
      </w:r>
      <w:r>
        <w:t xml:space="preserve">– tahked plastiosakesed, mis on väiksemad kui 5 mm ja mis ei lahustu vees</w:t>
      </w:r>
      <w:r>
        <w:rPr>
          <w:i/>
        </w:rPr>
        <w:t xml:space="preserve">,</w:t>
      </w:r>
    </w:p>
    <w:p w:rsidR="008062AA" w:rsidRDefault="00CC49D7" w:rsidP="008062AA">
      <w:pPr>
        <w:pBdr>
          <w:left w:val="single" w:sz="4" w:space="4" w:color="auto"/>
        </w:pBdr>
        <w:spacing w:after="0"/>
        <w:ind w:left="0" w:firstLine="193"/>
      </w:pPr>
      <w:r>
        <w:rPr>
          <w:i w:val="1"/>
        </w:rPr>
        <w:t xml:space="preserve">looduslik polümeer</w:t>
      </w:r>
      <w:r>
        <w:t xml:space="preserve"> – polümeer, mida esineb looduslikus keskkonnas ja mille keemilist struktuuri pole muudetud, kui see on läbinud keemilise protsessi või töötlemise või füüsikalis-mineraloogilise muundumise,</w:t>
      </w:r>
    </w:p>
    <w:p w:rsidR="00551E3F" w:rsidRDefault="00CC49D7" w:rsidP="007058F2">
      <w:pPr>
        <w:pBdr>
          <w:left w:val="single" w:sz="4" w:space="4" w:color="auto"/>
        </w:pBdr>
        <w:spacing w:after="232"/>
        <w:ind w:left="0" w:firstLine="192"/>
      </w:pPr>
      <w:r>
        <w:rPr>
          <w:i w:val="1"/>
        </w:rPr>
        <w:t xml:space="preserve">turul kättesaadavaks tegemine</w:t>
      </w:r>
      <w:r>
        <w:t xml:space="preserve"> – iga kord, kui toode on väljastamiseks, tarbimiseks või kasutamiseks Rootsi turul äritegevuses kättesaadavaks tehtud, sõltumata sellest, kas selle eest makstakse tasu või mitte.</w:t>
      </w:r>
    </w:p>
    <w:p w:rsidR="00551E3F" w:rsidRDefault="00CC49D7" w:rsidP="00DA5828">
      <w:pPr>
        <w:pBdr>
          <w:left w:val="single" w:sz="4" w:space="4" w:color="auto"/>
        </w:pBdr>
        <w:ind w:left="0" w:firstLine="0"/>
      </w:pPr>
      <w:r>
        <w:rPr>
          <w:b w:val="1"/>
        </w:rPr>
        <w:t xml:space="preserve">§ </w:t>
      </w:r>
      <w:r>
        <w:rPr>
          <w:b/>
        </w:rPr>
        <w:t xml:space="preserve">4a</w:t>
      </w:r>
      <w:r>
        <w:rPr>
          <w:vertAlign w:val="superscript"/>
        </w:rPr>
        <w:footnoteReference w:id="4"/>
      </w:r>
      <w:r>
        <w:rPr>
          <w:b/>
        </w:rPr>
        <w:t xml:space="preserve"> </w:t>
      </w:r>
      <w:r>
        <w:t xml:space="preserve">Keelatud on teha turul kättesaadavaks pärast peas, juustel, limaskestadel või hammastel kasutamist mahaloputatavad või -sülitatavad kosmeetikatooted, mis sisaldavad plastiosakesi, mida on lisatud puhastamiseks, koorimiseks või lihvimiseks.</w:t>
      </w:r>
    </w:p>
    <w:p w:rsidR="00551E3F" w:rsidRDefault="00CC49D7" w:rsidP="007058F2">
      <w:pPr>
        <w:pBdr>
          <w:left w:val="single" w:sz="4" w:space="4" w:color="auto"/>
        </w:pBdr>
        <w:spacing w:after="232"/>
        <w:ind w:left="0" w:firstLine="192"/>
      </w:pPr>
      <w:r>
        <w:t xml:space="preserve">Keeld ei kehti plastiosakesi sisaldavate kosmeetikatoodete suhtes, mis sisaldavad üksnes looduslikke polümeere.</w:t>
      </w:r>
      <w:r>
        <w:t xml:space="preserve"> </w:t>
      </w:r>
    </w:p>
    <w:p w:rsidR="00551E3F" w:rsidRDefault="00CC49D7" w:rsidP="00DA5828">
      <w:pPr>
        <w:keepNext/>
        <w:keepLines/>
        <w:pBdr>
          <w:left w:val="single" w:sz="4" w:space="4" w:color="auto"/>
        </w:pBdr>
        <w:ind w:left="0" w:firstLine="0"/>
      </w:pPr>
      <w:r>
        <w:rPr>
          <w:b w:val="1"/>
        </w:rPr>
        <w:t xml:space="preserve">§ </w:t>
      </w:r>
      <w:r>
        <w:rPr>
          <w:b/>
        </w:rPr>
        <w:t xml:space="preserve">4b</w:t>
      </w:r>
      <w:r>
        <w:rPr>
          <w:vertAlign w:val="superscript"/>
        </w:rPr>
        <w:footnoteReference w:id="5"/>
      </w:r>
      <w:r>
        <w:t xml:space="preserve"> Rootsi Kemikaaliamet võib teatada eeskirjadest, millega käsitletakse erandeid või üksikjuhte, anda paragrahvis 4a nimetatud keelust vabastust plastiosakesi sisaldavatele kosmeetikatoodetele, mis on</w:t>
      </w:r>
      <w:r>
        <w:t xml:space="preserve"> </w:t>
      </w:r>
    </w:p>
    <w:p w:rsidR="00551E3F" w:rsidRDefault="00CC49D7" w:rsidP="007058F2">
      <w:pPr>
        <w:numPr>
          <w:ilvl w:val="0"/>
          <w:numId w:val="3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toodetud, kasutades toorainena loodulikku polümeeri, ja</w:t>
      </w:r>
      <w:r>
        <w:t xml:space="preserve"> </w:t>
      </w:r>
    </w:p>
    <w:p w:rsidR="00551E3F" w:rsidRDefault="00CC49D7" w:rsidP="007058F2">
      <w:pPr>
        <w:numPr>
          <w:ilvl w:val="0"/>
          <w:numId w:val="3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veekeskkonnas lagunenud kiiresti monomeerideks ja ei ohusta veeorganisme.</w:t>
      </w:r>
      <w:r>
        <w:t xml:space="preserve"> </w:t>
      </w:r>
    </w:p>
    <w:p w:rsidR="00551E3F" w:rsidRDefault="00CC49D7" w:rsidP="007058F2">
      <w:pPr>
        <w:pBdr>
          <w:left w:val="single" w:sz="4" w:space="4" w:color="auto"/>
        </w:pBdr>
        <w:spacing w:after="231"/>
        <w:ind w:left="0" w:firstLine="192"/>
      </w:pPr>
      <w:r>
        <w:t xml:space="preserve">Kosmeetikatooteid, mis on seaduslikult müüdud kooskõlas kehtivate õigusaktidega ka teistes Euroopa Liidu liikmesriikides või Türgis või seaduslikult toodetud Euroopa Majanduspiirkonna lepingu osalisriigis, vabastatakse tingimusel, et nimetatud reguleeriv raamistik pakub samaväärset kaitset.</w:t>
      </w:r>
    </w:p>
    <w:p w:rsidR="00551E3F" w:rsidRDefault="00CC49D7" w:rsidP="00DA5828">
      <w:pPr>
        <w:ind w:left="0" w:firstLine="0"/>
      </w:pPr>
      <w:r>
        <w:rPr>
          <w:b w:val="1"/>
        </w:rPr>
        <w:t xml:space="preserve">§</w:t>
      </w:r>
      <w:r>
        <w:t xml:space="preserve"> </w:t>
      </w:r>
      <w:r>
        <w:rPr>
          <w:b/>
        </w:rPr>
        <w:t xml:space="preserve">5</w:t>
      </w:r>
      <w:r>
        <w:rPr>
          <w:rStyle w:val="FootnoteReference"/>
          <w:b/>
        </w:rPr>
        <w:footnoteReference w:id="6"/>
      </w:r>
      <w:r>
        <w:t xml:space="preserve"> Kemikaale, mis koosnevad täielikult või osaliselt metüleenkloriidist või tetrakloroetüleenist, ei tohi turustada või edastada tarbijatele individuaalseks kasutamiseks.</w:t>
      </w:r>
    </w:p>
    <w:p w:rsidR="00551E3F" w:rsidRDefault="00CC49D7" w:rsidP="00E812AA">
      <w:pPr>
        <w:spacing w:after="0"/>
        <w:ind w:left="0" w:firstLine="193"/>
      </w:pPr>
      <w:r>
        <w:t xml:space="preserve">Rootsi Kemikaaliamet võib väljastada eeskirjad, millega sätestatakse, et kaupu, mis sisaldavad metüleenkloriidi või tetrakloroetüleeni, ei tohi turustada või edastada tarbijatele individuaalseks kasutamiseks.</w:t>
      </w:r>
    </w:p>
    <w:p w:rsidR="00551E3F" w:rsidRDefault="00CC49D7" w:rsidP="007058F2">
      <w:pPr>
        <w:pBdr>
          <w:left w:val="single" w:sz="4" w:space="4" w:color="auto"/>
        </w:pBdr>
        <w:spacing w:after="241"/>
        <w:ind w:left="0" w:firstLine="192"/>
      </w:pPr>
      <w:r>
        <w:t xml:space="preserve">Metüleenkloriidi keeld kehtib ainult sellisel juhul, kui samaväärne keeld ei tulene juba määruse (EÜ) nr 1907/2006 XVII lisa punktist 59.1.</w:t>
      </w:r>
    </w:p>
    <w:p w:rsidR="007058F2" w:rsidRDefault="007058F2" w:rsidP="007058F2">
      <w:pPr>
        <w:tabs>
          <w:tab w:val="left" w:leader="underscore" w:pos="1276"/>
        </w:tabs>
        <w:spacing w:after="120"/>
        <w:ind w:left="0" w:firstLine="142"/>
      </w:pPr>
      <w:r>
        <w:tab/>
      </w:r>
    </w:p>
    <w:p w:rsidR="00551E3F" w:rsidRDefault="00CC49D7" w:rsidP="00E812AA">
      <w:pPr>
        <w:numPr>
          <w:ilvl w:val="0"/>
          <w:numId w:val="4"/>
        </w:numPr>
        <w:tabs>
          <w:tab w:val="left" w:pos="567"/>
        </w:tabs>
        <w:ind w:left="0" w:firstLine="192"/>
      </w:pPr>
      <w:r>
        <w:t xml:space="preserve">Määrus jõustub 1. juulil 2018.</w:t>
      </w:r>
    </w:p>
    <w:p w:rsidR="00551E3F" w:rsidRDefault="00CC49D7" w:rsidP="00E812AA">
      <w:pPr>
        <w:numPr>
          <w:ilvl w:val="0"/>
          <w:numId w:val="4"/>
        </w:numPr>
        <w:tabs>
          <w:tab w:val="left" w:pos="567"/>
        </w:tabs>
        <w:spacing w:after="224"/>
        <w:ind w:left="0" w:firstLine="192"/>
      </w:pPr>
      <w:r>
        <w:t xml:space="preserve">Vaatamata paragrahvis 4a sätestatud keelule peavad kosmeetikatoodete olemasolevad varud, mis on turul seaduslikult kättesaadavad enne 1. juulit 2018, olema jätkuvalt kättesaadavad kuni 2018. aasta detsembri lõpuni.</w:t>
      </w:r>
      <w:r>
        <w:t xml:space="preserve"> </w:t>
      </w:r>
    </w:p>
    <w:p w:rsidR="00551E3F" w:rsidRDefault="00CC49D7" w:rsidP="00DA5828">
      <w:pPr>
        <w:spacing w:after="225"/>
        <w:ind w:left="0" w:firstLine="0"/>
      </w:pPr>
      <w:r>
        <w:t xml:space="preserve">Valitsuse nimel</w:t>
      </w:r>
    </w:p>
    <w:p w:rsidR="00551E3F" w:rsidRDefault="00CC49D7" w:rsidP="00DA5828">
      <w:pPr>
        <w:ind w:left="0" w:firstLine="0"/>
      </w:pPr>
      <w:r>
        <w:t xml:space="preserve">KAROLINA SKOG</w:t>
      </w:r>
    </w:p>
    <w:p w:rsidR="00551E3F" w:rsidRDefault="00CC49D7" w:rsidP="00825642">
      <w:pPr>
        <w:keepNext/>
        <w:keepLines/>
        <w:spacing w:after="0" w:line="265" w:lineRule="auto"/>
        <w:ind w:left="2835" w:firstLine="0"/>
        <w:jc w:val="left"/>
      </w:pPr>
      <w:r>
        <w:t xml:space="preserve">Egon Abresparr</w:t>
      </w:r>
    </w:p>
    <w:p w:rsidR="00551E3F" w:rsidRDefault="00CC49D7" w:rsidP="00825642">
      <w:pPr>
        <w:spacing w:after="0" w:line="264" w:lineRule="auto"/>
        <w:ind w:left="2835" w:firstLine="0"/>
        <w:jc w:val="left"/>
      </w:pPr>
      <w:r>
        <w:t xml:space="preserve">(Keskkonna- ja energeetikaministeerium)</w:t>
      </w:r>
    </w:p>
    <w:p w:rsidR="007058F2" w:rsidRDefault="00CC49D7" w:rsidP="00651E3A">
      <w:pPr>
        <w:pageBreakBefore/>
        <w:spacing w:before="10920" w:after="0" w:line="259" w:lineRule="auto"/>
        <w:ind w:left="0" w:firstLine="0"/>
        <w:jc w:val="right"/>
        <w:rPr>
          <w:sz w:val="11"/>
        </w:rPr>
      </w:pPr>
      <w:r>
        <w:rPr>
          <w:sz w:val="11"/>
        </w:rPr>
        <w:t xml:space="preserve">Norstedts Juridik AB</w:t>
      </w:r>
    </w:p>
    <w:p w:rsidR="00551E3F" w:rsidRPr="007058F2" w:rsidRDefault="00CC49D7" w:rsidP="007058F2">
      <w:pPr>
        <w:spacing w:after="0" w:line="259" w:lineRule="auto"/>
        <w:ind w:left="0" w:firstLine="0"/>
        <w:jc w:val="right"/>
        <w:rPr>
          <w:sz w:val="11"/>
        </w:rPr>
      </w:pPr>
      <w:r>
        <w:rPr>
          <w:sz w:val="11"/>
        </w:rPr>
        <w:t xml:space="preserve">Elanders Sverige AB, 2018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51E3F" w:rsidRPr="007058F2" w:rsidSect="00E812A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9354" w:h="13720"/>
      <w:pgMar w:top="680" w:right="2353" w:bottom="1361" w:left="1134" w:header="720" w:footer="720" w:gutter="0"/>
      <w:cols w:space="720"/>
      <w:titlePg/>
      <w:docGrid w:linePitch="258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4B717A" w:rsidRDefault="004B717A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4B717A" w:rsidRDefault="004B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-1276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943D0F">
      <w:rPr>
    </w:rPr>
      <w:t>4</w:t>
    </w:r>
    <w:r>
      <w:rPr>
    </w:rPr>
      <w:fldChar w:fldCharType="end"/>
    </w: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0" w:right="-12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D0F">
      <w:rPr>
    </w:rPr>
      <w:t>3</w:t>
    </w:r>
    <w:r>
      <w:rPr>
    </w:rPr>
      <w:fldChar w:fldCharType="end"/>
    </w: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0" w:right="-12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D0F">
      <w:rPr>
    </w:rPr>
      <w:t>1</w:t>
    </w:r>
    <w:r>
      <w:rPr>
    </w:rPr>
      <w:fldChar w:fldCharType="end"/>
    </w: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4B717A" w:rsidRDefault="004B717A" w:rsidP="00E812AA">
      <w:pPr>
        <w:spacing w:after="0" w:line="230" w:lineRule="auto"/>
        <w:ind w:left="0" w:right="1837" w:firstLine="0"/>
      </w:pPr>
      <w:r>
        <w:separator/>
      </w:r>
    </w:p>
  </w:footnote>
  <w:footnote xmlns:w15="http://schemas.microsoft.com/office/word/2012/wordml" w:type="continuationSeparator" w:id="0">
    <w:p w:rsidR="004B717A" w:rsidRDefault="004B717A">
      <w:pPr>
        <w:spacing w:after="0" w:line="230" w:lineRule="auto"/>
        <w:ind w:left="412" w:right="1837" w:firstLine="0"/>
      </w:pPr>
      <w:r>
        <w:continuationSeparator/>
      </w:r>
    </w:p>
  </w:footnote>
  <w:footnote xmlns:w="http://schemas.openxmlformats.org/wordprocessingml/2006/main" w:id="1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Vaata Euroopa Parlamendi ja nõukogu 9. septembri 2015. aasta direktiivi (EL) 2015/1535, millega nähakse ette tehnilistest eeskirjadest ning infoühiskonna teenuste eeskirjadest teatamise kord.</w:t>
      </w:r>
    </w:p>
  </w:footnote>
  <w:footnote xmlns:w="http://schemas.openxmlformats.org/wordprocessingml/2006/main" w:id="2">
    <w:p w:rsidR="00551E3F" w:rsidRPr="00E812AA" w:rsidRDefault="00CC49D7" w:rsidP="00E812AA">
      <w:pPr>
        <w:pStyle w:val="footnotedescription"/>
        <w:tabs>
          <w:tab w:val="center" w:pos="1348"/>
          <w:tab w:val="right" w:pos="8146"/>
        </w:tabs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Viimane sõnastus 2016:829.</w:t>
      </w:r>
    </w:p>
  </w:footnote>
  <w:footnote xmlns:w="http://schemas.openxmlformats.org/wordprocessingml/2006/main" w:id="3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Eelnev paragrahv 4 tunnistati kehtetuks määrusega 2009:954.</w:t>
      </w:r>
    </w:p>
  </w:footnote>
  <w:footnote xmlns:w="http://schemas.openxmlformats.org/wordprocessingml/2006/main" w:id="4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Paragrahvi 4a eelnev versioon tunnistati kehtetuks määrusega 2008:255.</w:t>
      </w:r>
    </w:p>
  </w:footnote>
  <w:footnote xmlns:w="http://schemas.openxmlformats.org/wordprocessingml/2006/main" w:id="5">
    <w:p w:rsidR="00551E3F" w:rsidRPr="00E812AA" w:rsidRDefault="00CC49D7" w:rsidP="00825642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Paragrahvi 4b eelnev versioon tunnistati kehtetuks määrusega 2008:255.</w:t>
      </w:r>
    </w:p>
  </w:footnote>
  <w:footnote xmlns:w="http://schemas.openxmlformats.org/wordprocessingml/2006/main" w:id="6">
    <w:p w:rsidR="00E812AA" w:rsidRPr="00E812AA" w:rsidRDefault="00E812AA" w:rsidP="00825642">
      <w:pPr>
        <w:pStyle w:val="footnotedescription"/>
        <w:spacing w:line="240" w:lineRule="auto"/>
        <w:ind w:left="0"/>
        <w:jc w:val="both"/>
        <w:rPr>
          <w:szCs w:val="17"/>
          <w:rFonts w:eastAsia="SimSun"/>
        </w:rPr>
      </w:pPr>
      <w:r>
        <w:rPr>
          <w:vertAlign w:val="superscript"/>
        </w:rPr>
        <w:footnoteRef/>
      </w:r>
      <w:r>
        <w:t xml:space="preserve"> Viimane sõnastus 2016:144.</w:t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2AA" w:rsidRDefault="00643102" w:rsidP="00E812AA">
    <w:pPr>
      <w:pStyle w:val="Header"/>
      <w:ind w:left="0" w:firstLine="0"/>
    </w:pPr>
    <w:r>
      <mc:AlternateContent xmlns:mc="http://schemas.openxmlformats.org/markup-compatibility/2006">
        <mc:Choice Requires="wps">
          <w:drawing>
            <wp:anchor xmlns:wp="http://schemas.openxmlformats.org/drawingml/2006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-1273810</wp:posOffset>
              </wp:positionH>
              <wp:positionV relativeFrom="paragraph">
                <wp:posOffset>104775</wp:posOffset>
              </wp:positionV>
              <wp:extent cx="1143000" cy="457200"/>
              <wp:effectExtent l="127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2AA" w:rsidRPr="00E812AA" w:rsidRDefault="00E812AA" w:rsidP="00E812AA">
                          <w:pPr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SFS 2018:55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xmlns:wp14="http://schemas.microsoft.com/office/word/2010/wordprocessingDrawing" relativeFrom="page">
                <wp14:pctWidth>0</wp14:pctWidth>
              </wp14:sizeRelH>
              <wp14:sizeRelV xmlns:wp14="http://schemas.microsoft.com/office/word/2010/wordprocessingDrawing" relativeFrom="page">
                <wp14:pctHeight>0</wp14:pctHeight>
              </wp14:sizeRelV>
            </wp:anchor>
          </w:drawing>
        </mc:Choice>
        <mc:Fallback>
          <w:pict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 Box 2" o:spid="_x0000_s1027" type="#_x0000_t202" style="position:absolute;left:0;text-align:left;margin-left:-100.3pt;margin-top:8.25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" stroked="f">
              <v:textbox>
                <w:txbxContent>
                  <w:p w:rsidR="00E812AA" w:rsidRPr="00E812AA" w:rsidRDefault="00E812AA" w:rsidP="00E812AA">
                    <w:pPr>
                      <w:ind w:left="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SFS 2018:55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2AA" w:rsidRPr="00E812AA" w:rsidRDefault="00643102" w:rsidP="00E812AA">
    <w:pPr>
      <w:pStyle w:val="Header"/>
      <w:ind w:left="-1701" w:firstLine="0"/>
      <w:rPr>
        <w:b/>
      </w:rPr>
    </w:pPr>
    <w:r>
      <w:rPr>
        <w:b/>
      </w:rPr>
      <mc:AlternateContent xmlns:mc="http://schemas.openxmlformats.org/markup-compatibility/2006">
        <mc:Choice Requires="wps">
          <w:drawing>
            <wp:anchor xmlns:wp="http://schemas.openxmlformats.org/drawingml/2006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3977005</wp:posOffset>
              </wp:positionH>
              <wp:positionV relativeFrom="paragraph">
                <wp:posOffset>114300</wp:posOffset>
              </wp:positionV>
              <wp:extent cx="1143000" cy="4572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2AA" w:rsidRPr="00E812AA" w:rsidRDefault="00E812AA">
                          <w:pPr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SFS 2018:55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xmlns:wp14="http://schemas.microsoft.com/office/word/2010/wordprocessingDrawing" relativeFrom="page">
                <wp14:pctWidth>0</wp14:pctWidth>
              </wp14:sizeRelH>
              <wp14:sizeRelV xmlns:wp14="http://schemas.microsoft.com/office/word/2010/wordprocessingDrawing" relativeFrom="page">
                <wp14:pctHeight>0</wp14:pctHeight>
              </wp14:sizeRelV>
            </wp:anchor>
          </w:drawing>
        </mc:Choice>
        <mc:Fallback>
          <w:pict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 Box 1" o:spid="_x0000_s1028" type="#_x0000_t202" style="position:absolute;left:0;text-align:left;margin-left:313.15pt;margin-top:9pt;width:9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" stroked="f">
              <v:textbox>
                <w:txbxContent>
                  <w:p w:rsidR="00E812AA" w:rsidRPr="00E812AA" w:rsidRDefault="00E812AA">
                    <w:pPr>
                      <w:ind w:left="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SFS 2018:55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338C0"/>
    <w:multiLevelType w:val="hybridMultilevel"/>
    <w:tmpl w:val="B5A2AEDA"/>
    <w:lvl w:ilvl="0" w:tplc="88E671A2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6E0632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7A40B8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94EE1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CADB1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FEE712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A8E30C6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C012C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661DFE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5A280A"/>
    <w:multiLevelType w:val="hybridMultilevel"/>
    <w:tmpl w:val="97A4D7A8"/>
    <w:lvl w:ilvl="0" w:tplc="DEBEB0CE">
      <w:start w:val="1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6AEBAC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F4072B4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7328C18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11A8B98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F27A06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D34AC36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AB04680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54686E0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DA0C50"/>
    <w:multiLevelType w:val="hybridMultilevel"/>
    <w:tmpl w:val="26107D60"/>
    <w:lvl w:ilvl="0" w:tplc="48B6FFAE">
      <w:start w:val="1"/>
      <w:numFmt w:val="bullet"/>
      <w:lvlText w:val="–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40E3F8C">
      <w:start w:val="1"/>
      <w:numFmt w:val="bullet"/>
      <w:lvlText w:val="o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87E1362">
      <w:start w:val="1"/>
      <w:numFmt w:val="bullet"/>
      <w:lvlText w:val="▪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D4C1CC">
      <w:start w:val="1"/>
      <w:numFmt w:val="bullet"/>
      <w:lvlText w:val="•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9AC512">
      <w:start w:val="1"/>
      <w:numFmt w:val="bullet"/>
      <w:lvlText w:val="o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CE9388">
      <w:start w:val="1"/>
      <w:numFmt w:val="bullet"/>
      <w:lvlText w:val="▪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369006">
      <w:start w:val="1"/>
      <w:numFmt w:val="bullet"/>
      <w:lvlText w:val="•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34DA78">
      <w:start w:val="1"/>
      <w:numFmt w:val="bullet"/>
      <w:lvlText w:val="o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F89080">
      <w:start w:val="1"/>
      <w:numFmt w:val="bullet"/>
      <w:lvlText w:val="▪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B568C1"/>
    <w:multiLevelType w:val="hybridMultilevel"/>
    <w:tmpl w:val="183E5B58"/>
    <w:lvl w:ilvl="0" w:tplc="A8D8D61A">
      <w:start w:val="1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E6A0EA8">
      <w:start w:val="1"/>
      <w:numFmt w:val="lowerLetter"/>
      <w:lvlText w:val="%2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10D80A">
      <w:start w:val="1"/>
      <w:numFmt w:val="lowerRoman"/>
      <w:lvlText w:val="%3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AC4E194">
      <w:start w:val="1"/>
      <w:numFmt w:val="decimal"/>
      <w:lvlText w:val="%4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BAC7B0">
      <w:start w:val="1"/>
      <w:numFmt w:val="lowerLetter"/>
      <w:lvlText w:val="%5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F05078">
      <w:start w:val="1"/>
      <w:numFmt w:val="lowerRoman"/>
      <w:lvlText w:val="%6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916C030">
      <w:start w:val="1"/>
      <w:numFmt w:val="decimal"/>
      <w:lvlText w:val="%7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7126992">
      <w:start w:val="1"/>
      <w:numFmt w:val="lowerLetter"/>
      <w:lvlText w:val="%8"/>
      <w:lvlJc w:val="left"/>
      <w:pPr>
        <w:ind w:left="7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FC789A">
      <w:start w:val="1"/>
      <w:numFmt w:val="lowerRoman"/>
      <w:lvlText w:val="%9"/>
      <w:lvlJc w:val="left"/>
      <w:pPr>
        <w:ind w:left="8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dirty" w:grammar="dirty"/>
  <w:defaultTabStop w:val="1304"/>
  <w:hyphenationZone w:val="425"/>
  <w:doNotHyphenateCaps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3F"/>
    <w:rsid w:val="00015EA3"/>
    <w:rsid w:val="001716B1"/>
    <w:rsid w:val="00215ED8"/>
    <w:rsid w:val="004707E8"/>
    <w:rsid w:val="004B717A"/>
    <w:rsid w:val="00551E3F"/>
    <w:rsid w:val="00643102"/>
    <w:rsid w:val="00651E3A"/>
    <w:rsid w:val="007058F2"/>
    <w:rsid w:val="007154F6"/>
    <w:rsid w:val="00793620"/>
    <w:rsid w:val="007D7823"/>
    <w:rsid w:val="008062AA"/>
    <w:rsid w:val="00825642"/>
    <w:rsid w:val="008802E6"/>
    <w:rsid w:val="008B7F39"/>
    <w:rsid w:val="00943D0F"/>
    <w:rsid w:val="00952D25"/>
    <w:rsid w:val="00A065E3"/>
    <w:rsid w:val="00CC49D7"/>
    <w:rsid w:val="00DA5828"/>
    <w:rsid w:val="00DB4B0C"/>
    <w:rsid w:val="00E8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docId w15:val="{6F117386-FD52-40CE-9834-BBBB910AC5F7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="Calibri" w:eastAsia="Times New Roman" w:hAnsi="Calibri" w:cs="Times New Roman"/>
        <w:lang w:val="et-EE" w:eastAsia="en-GB" w:bidi="en-GB"/>
      </w:rPr>
    </w:rPrDefault>
    <w:pPrDefault/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  <w:pPr>
      <w:spacing w:after="3" w:line="262" w:lineRule="auto"/>
      <w:ind w:left="422" w:hanging="10"/>
      <w:jc w:val="both"/>
    </w:pPr>
    <w:rPr>
      <w:rFonts w:ascii="Times New Roman" w:hAnsi="Times New Roman"/>
      <w:color w:val="000000"/>
      <w:sz w:val="19"/>
      <w:szCs w:val="22"/>
      <w:lang w:val="et-EE" w:eastAsia="en-GB"/>
    </w:rPr>
  </w:style>
  <w:style xmlns:w15="http://schemas.microsoft.com/office/word/2012/wordml"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9" w:line="259" w:lineRule="auto"/>
      <w:ind w:left="11"/>
      <w:outlineLvl w:val="0"/>
    </w:pPr>
    <w:rPr>
      <w:rFonts w:ascii="Times New Roman" w:hAnsi="Times New Roman"/>
      <w:b/>
      <w:color w:val="000000"/>
      <w:sz w:val="21"/>
      <w:szCs w:val="22"/>
      <w:lang w:val="et-EE" w:eastAsia="en-GB"/>
    </w:rPr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1"/>
    </w:rPr>
  </w:style>
  <w:style xmlns:w15="http://schemas.microsoft.com/office/word/2012/wordml" w:type="paragraph" w:customStyle="1" w:styleId="footnotedescription">
    <w:name w:val="footnote description"/>
    <w:next w:val="Normal"/>
    <w:link w:val="footnotedescriptionChar"/>
    <w:hidden/>
    <w:pPr>
      <w:spacing w:line="259" w:lineRule="auto"/>
      <w:ind w:left="1111"/>
    </w:pPr>
    <w:rPr>
      <w:rFonts w:ascii="Times New Roman" w:hAnsi="Times New Roman"/>
      <w:color w:val="000000"/>
      <w:sz w:val="17"/>
      <w:szCs w:val="22"/>
      <w:lang w:val="et-EE" w:eastAsia="en-GB"/>
    </w:rPr>
  </w:style>
  <w:style xmlns:w15="http://schemas.microsoft.com/office/word/2012/wordml"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xmlns:w15="http://schemas.microsoft.com/office/word/2012/wordml"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xmlns:w15="http://schemas.microsoft.com/office/word/2012/wordml" w:type="paragraph" w:customStyle="1" w:styleId="RKbas">
    <w:name w:val="RKbas"/>
    <w:link w:val="RKbasChar"/>
    <w:uiPriority w:val="11"/>
    <w:semiHidden/>
    <w:rsid w:val="00DB4B0C"/>
    <w:rPr>
      <w:rFonts w:ascii="Times New Roman" w:eastAsia="SimSun" w:hAnsi="Times New Roman"/>
      <w:szCs w:val="22"/>
      <w:lang w:val="et-EE"/>
    </w:rPr>
  </w:style>
  <w:style xmlns:w15="http://schemas.microsoft.com/office/word/2012/wordml" w:type="character" w:customStyle="1" w:styleId="RKbasChar">
    <w:name w:val="RKbas Char"/>
    <w:link w:val="RKbas"/>
    <w:uiPriority w:val="11"/>
    <w:semiHidden/>
    <w:rsid w:val="00DB4B0C"/>
    <w:rPr>
      <w:rFonts w:ascii="Times New Roman" w:eastAsia="SimSun" w:hAnsi="Times New Roman"/>
      <w:szCs w:val="22"/>
      <w:lang w:val="et-EE"/>
    </w:rPr>
  </w:style>
  <w:style xmlns:w15="http://schemas.microsoft.com/office/word/2012/wordml" w:type="paragraph" w:styleId="BodyText">
    <w:name w:val="Body Text"/>
    <w:basedOn w:val="RKbas"/>
    <w:next w:val="BodyTextIndent"/>
    <w:link w:val="BodyTextChar"/>
    <w:qFormat/>
    <w:rsid w:val="00DB4B0C"/>
    <w:pPr>
      <w:tabs>
        <w:tab w:val="left" w:pos="227"/>
        <w:tab w:val="left" w:pos="397"/>
        <w:tab w:val="left" w:pos="3062"/>
      </w:tabs>
      <w:spacing w:line="232" w:lineRule="exact"/>
      <w:jc w:val="both"/>
    </w:pPr>
    <w:rPr>
      <w:sz w:val="19"/>
    </w:rPr>
  </w:style>
  <w:style xmlns:w15="http://schemas.microsoft.com/office/word/2012/wordml" w:type="character" w:customStyle="1" w:styleId="BodyTextChar">
    <w:name w:val="Body Text Char"/>
    <w:link w:val="BodyText"/>
    <w:rsid w:val="00DB4B0C"/>
    <w:rPr>
      <w:rFonts w:ascii="Times New Roman" w:eastAsia="SimSun" w:hAnsi="Times New Roman"/>
      <w:sz w:val="19"/>
      <w:szCs w:val="22"/>
      <w:lang w:val="et-EE"/>
    </w:rPr>
  </w:style>
  <w:style xmlns:w15="http://schemas.microsoft.com/office/word/2012/wordml" w:type="paragraph" w:styleId="BodyTextIndent">
    <w:name w:val="Body Text Indent"/>
    <w:basedOn w:val="Normal"/>
    <w:link w:val="BodyTextIndentChar"/>
    <w:uiPriority w:val="99"/>
    <w:semiHidden/>
    <w:unhideWhenUsed/>
    <w:rsid w:val="00DB4B0C"/>
    <w:pPr>
      <w:spacing w:after="120"/>
      <w:ind w:left="283"/>
    </w:pPr>
  </w:style>
  <w:style xmlns:w15="http://schemas.microsoft.com/office/word/2012/wordml" w:type="character" w:customStyle="1" w:styleId="BodyTextIndentChar">
    <w:name w:val="Body Text Indent Char"/>
    <w:link w:val="BodyTextIndent"/>
    <w:uiPriority w:val="99"/>
    <w:semiHidden/>
    <w:rsid w:val="00DB4B0C"/>
    <w:rPr>
      <w:rFonts w:ascii="Times New Roman" w:hAnsi="Times New Roman"/>
      <w:color w:val="000000"/>
      <w:sz w:val="19"/>
      <w:szCs w:val="22"/>
      <w:lang w:val="et-EE" w:eastAsia="en-GB"/>
    </w:rPr>
  </w:style>
  <w:style xmlns:w15="http://schemas.microsoft.com/office/word/2012/wordml" w:type="paragraph" w:styleId="Header">
    <w:name w:val="header"/>
    <w:basedOn w:val="Normal"/>
    <w:link w:val="HeaderChar"/>
    <w:uiPriority w:val="99"/>
    <w:unhideWhenUsed/>
    <w:rsid w:val="00E812AA"/>
    <w:pPr>
      <w:tabs>
        <w:tab w:val="center" w:pos="4320"/>
        <w:tab w:val="right" w:pos="8640"/>
      </w:tabs>
    </w:pPr>
  </w:style>
  <w:style xmlns:w15="http://schemas.microsoft.com/office/word/2012/wordml" w:type="character" w:customStyle="1" w:styleId="HeaderChar">
    <w:name w:val="Header Char"/>
    <w:link w:val="Header"/>
    <w:uiPriority w:val="99"/>
    <w:rsid w:val="00E812AA"/>
    <w:rPr>
      <w:rFonts w:ascii="Times New Roman" w:hAnsi="Times New Roman"/>
      <w:color w:val="000000"/>
      <w:sz w:val="19"/>
      <w:szCs w:val="22"/>
      <w:lang w:val="et-EE" w:eastAsia="en-GB"/>
    </w:rPr>
  </w:style>
  <w:style xmlns:w15="http://schemas.microsoft.com/office/word/2012/wordml" w:type="paragraph" w:styleId="Footer">
    <w:name w:val="footer"/>
    <w:basedOn w:val="Normal"/>
    <w:link w:val="FooterChar"/>
    <w:uiPriority w:val="99"/>
    <w:unhideWhenUsed/>
    <w:rsid w:val="00E812AA"/>
    <w:pPr>
      <w:tabs>
        <w:tab w:val="center" w:pos="4320"/>
        <w:tab w:val="right" w:pos="8640"/>
      </w:tabs>
    </w:pPr>
  </w:style>
  <w:style xmlns:w15="http://schemas.microsoft.com/office/word/2012/wordml" w:type="character" w:customStyle="1" w:styleId="FooterChar">
    <w:name w:val="Footer Char"/>
    <w:link w:val="Footer"/>
    <w:uiPriority w:val="99"/>
    <w:rsid w:val="00E812AA"/>
    <w:rPr>
      <w:rFonts w:ascii="Times New Roman" w:hAnsi="Times New Roman"/>
      <w:color w:val="000000"/>
      <w:sz w:val="19"/>
      <w:szCs w:val="22"/>
      <w:lang w:val="et-EE" w:eastAsia="en-GB"/>
    </w:rPr>
  </w:style>
  <w:style xmlns:w15="http://schemas.microsoft.com/office/word/2012/wordml" w:type="paragraph" w:styleId="FootnoteText">
    <w:name w:val="footnote text"/>
    <w:basedOn w:val="Normal"/>
    <w:link w:val="FootnoteTextChar"/>
    <w:uiPriority w:val="99"/>
    <w:semiHidden/>
    <w:unhideWhenUsed/>
    <w:rsid w:val="00E812AA"/>
    <w:rPr>
      <w:sz w:val="20"/>
      <w:szCs w:val="20"/>
    </w:rPr>
  </w:style>
  <w:style xmlns:w15="http://schemas.microsoft.com/office/word/2012/wordml" w:type="character" w:customStyle="1" w:styleId="FootnoteTextChar">
    <w:name w:val="Footnote Text Char"/>
    <w:link w:val="FootnoteText"/>
    <w:uiPriority w:val="99"/>
    <w:semiHidden/>
    <w:rsid w:val="00E812AA"/>
    <w:rPr>
      <w:rFonts w:ascii="Times New Roman" w:hAnsi="Times New Roman"/>
      <w:color w:val="000000"/>
      <w:lang w:val="et-EE" w:eastAsia="en-GB"/>
    </w:rPr>
  </w:style>
  <w:style xmlns:w15="http://schemas.microsoft.com/office/word/2012/wordml" w:type="character" w:styleId="FootnoteReference">
    <w:name w:val="footnote reference"/>
    <w:uiPriority w:val="99"/>
    <w:semiHidden/>
    <w:unhideWhenUsed/>
    <w:rsid w:val="00E812AA"/>
    <w:rPr>
      <w:vertAlign w:val="superscript"/>
    </w:rPr>
  </w:style>
  <w:style xmlns:w15="http://schemas.microsoft.com/office/word/2012/wordml" w:type="paragraph" w:styleId="PlainText">
    <w:name w:val="Plain Text"/>
    <w:basedOn w:val="Normal"/>
    <w:link w:val="PlainTextChar"/>
    <w:uiPriority w:val="99"/>
    <w:unhideWhenUsed/>
    <w:rsid w:val="00943D0F"/>
    <w:pPr>
      <w:spacing w:after="0" w:line="240" w:lineRule="auto"/>
      <w:ind w:left="0" w:firstLine="0"/>
      <w:jc w:val="left"/>
    </w:pPr>
    <w:rPr>
      <w:rFonts w:ascii="Consolas" w:hAnsi="Consolas"/>
      <w:color w:val="auto"/>
      <w:sz w:val="21"/>
      <w:szCs w:val="21"/>
      <w:lang w:val="et-EE" w:eastAsia="en-GB"/>
    </w:rPr>
  </w:style>
  <w:style xmlns:w15="http://schemas.microsoft.com/office/word/2012/wordml" w:type="character" w:customStyle="1" w:styleId="PlainTextChar">
    <w:name w:val="Plain Text Char"/>
    <w:basedOn w:val="DefaultParagraphFont"/>
    <w:link w:val="PlainText"/>
    <w:uiPriority w:val="99"/>
    <w:rsid w:val="00943D0F"/>
    <w:rPr>
      <w:rFonts w:ascii="Consolas" w:hAnsi="Consolas"/>
      <w:sz w:val="21"/>
      <w:szCs w:val="21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498A6-8988-40B3-9852-D2270585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4136</Characters>
  <Application>Microsoft Office Word</Application>
  <DocSecurity>0</DocSecurity>
  <Lines>68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0055.fm</vt:lpstr>
      <vt:lpstr>0055.fm</vt:lpstr>
    </vt:vector>
  </TitlesOfParts>
  <Company>Kommerskollegium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0055.fm</dc:title>
  <dc:subject/>
  <dc:creator>leer01</dc:creator>
  <cp:keywords/>
  <cp:lastModifiedBy>Tordai, Vera</cp:lastModifiedBy>
  <cp:revision>3</cp:revision>
  <dcterms:created xsi:type="dcterms:W3CDTF">2019-04-30T10:57:00Z</dcterms:created>
  <dcterms:modified xsi:type="dcterms:W3CDTF">2019-04-30T10:57:00Z</dcterms:modified>
</cp:coreProperties>
</file>