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rFonts w:ascii="Courier New" w:hAnsi="Courier New" w:cs="Courier New"/>
          <w:sz w:val="20"/>
          <w:szCs w:val="20"/>
        </w:rPr>
      </w:pPr>
      <w:r>
        <w:rPr>
          <w:rFonts w:ascii="Courier New" w:hAnsi="Courier New"/>
          <w:sz w:val="20"/>
        </w:rPr>
        <w:t xml:space="preserve">1. ------IND- 2017 0284 S-- FR- ------ 20190508 --- --- FINAL </w:t>
      </w:r>
    </w:p>
    <w:p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noProof/>
          <w:lang w:val="en-US" w:eastAsia="zh-CN" w:bidi="ar-SA"/>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Recueil officiel des textes légaux et réglementaires suédois</w:t>
      </w:r>
    </w:p>
    <w:p w:rsidR="00015EA3" w:rsidRDefault="00643102" w:rsidP="00015EA3">
      <w:pPr>
        <w:pBdr>
          <w:bottom w:val="single" w:sz="4" w:space="1" w:color="auto"/>
        </w:pBdr>
        <w:spacing w:after="120" w:line="259" w:lineRule="auto"/>
        <w:ind w:left="0" w:firstLine="0"/>
        <w:jc w:val="left"/>
        <w:rPr>
          <w:b/>
          <w:sz w:val="36"/>
        </w:rPr>
      </w:pPr>
      <w:r>
        <w:rPr>
          <w:b/>
          <w:noProof/>
          <w:sz w:val="26"/>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rPr>
                                <w:sz w:val="17"/>
                              </w:rPr>
                              <w:t>Achevé d'imprimer</w:t>
                            </w:r>
                            <w:r>
                              <w:br/>
                            </w:r>
                            <w:r>
                              <w:rPr>
                                <w:sz w:val="26"/>
                                <w:vertAlign w:val="subscript"/>
                              </w:rPr>
                              <w:t>le 13 février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rPr>
                          <w:sz w:val="17"/>
                        </w:rPr>
                        <w:t>Achevé d'imprimer</w:t>
                      </w:r>
                      <w:r>
                        <w:br/>
                      </w:r>
                      <w:r>
                        <w:rPr>
                          <w:sz w:val="26"/>
                          <w:vertAlign w:val="subscript"/>
                        </w:rPr>
                        <w:t>le 13 février 2018</w:t>
                      </w:r>
                    </w:p>
                  </w:txbxContent>
                </v:textbox>
              </v:shape>
            </w:pict>
          </mc:Fallback>
        </mc:AlternateContent>
      </w:r>
    </w:p>
    <w:p w:rsidR="00551E3F" w:rsidRDefault="00DB4B0C" w:rsidP="00DA5828">
      <w:pPr>
        <w:spacing w:before="240" w:after="240" w:line="216" w:lineRule="auto"/>
        <w:ind w:left="0" w:firstLine="0"/>
        <w:jc w:val="left"/>
      </w:pPr>
      <w:r>
        <w:rPr>
          <w:b/>
          <w:sz w:val="26"/>
        </w:rPr>
        <w:t>Règlement</w:t>
      </w:r>
      <w:r>
        <w:rPr>
          <w:b/>
          <w:sz w:val="26"/>
        </w:rPr>
        <w:br/>
        <w:t>portant modification du règlement (1998:944) relatif à l'interdiction, etc., dans certains cas dans le cadre de la manipulation, de l'importation et de l'exportation de produits chimiques</w:t>
      </w:r>
    </w:p>
    <w:p w:rsidR="00551E3F" w:rsidRDefault="00CC49D7" w:rsidP="00DA5828">
      <w:pPr>
        <w:spacing w:after="221"/>
        <w:ind w:left="0" w:firstLine="0"/>
      </w:pPr>
      <w:r>
        <w:t>adopté le 1</w:t>
      </w:r>
      <w:r w:rsidR="00C2372A">
        <w:t>er</w:t>
      </w:r>
      <w:r>
        <w:t xml:space="preserve"> février 2018</w:t>
      </w:r>
    </w:p>
    <w:p w:rsidR="00551E3F" w:rsidRDefault="00CC49D7" w:rsidP="00015EA3">
      <w:pPr>
        <w:spacing w:after="240"/>
        <w:ind w:left="0" w:firstLine="193"/>
      </w:pPr>
      <w:r>
        <w:t>Le gouvernement prescrit</w:t>
      </w:r>
      <w:r>
        <w:rPr>
          <w:vertAlign w:val="superscript"/>
        </w:rPr>
        <w:footnoteReference w:id="1"/>
      </w:r>
      <w:r>
        <w:t xml:space="preserve"> en ce qui concerne le règlement (1998:944) relatif à l'interdiction, etc., dans certains cas dans le cadre de la manipulation, de l'importation et de l'exportation de produits chimiques, </w:t>
      </w:r>
      <w:r>
        <w:rPr>
          <w:i/>
        </w:rPr>
        <w:t>d’une part</w:t>
      </w:r>
      <w:r>
        <w:t xml:space="preserve"> que les articles 1er et 5 doivent être libellés comme suit, </w:t>
      </w:r>
      <w:r>
        <w:rPr>
          <w:i/>
        </w:rPr>
        <w:t>d’autre part</w:t>
      </w:r>
      <w:r>
        <w:t xml:space="preserve"> que quatre nouveaux paragraphes seront introduits, 1 sous a) et de 4 à 4 sous b), ainsi qu'une nouvelle rubrique directement avant l’article 4 portant le libellé suivant.</w:t>
      </w:r>
    </w:p>
    <w:p w:rsidR="00551E3F" w:rsidRDefault="00CC49D7" w:rsidP="00DA5828">
      <w:pPr>
        <w:keepNext/>
        <w:keepLines/>
        <w:ind w:left="0" w:firstLine="0"/>
      </w:pPr>
      <w:r>
        <w:rPr>
          <w:b/>
        </w:rPr>
        <w:t>Article premier</w:t>
      </w:r>
      <w:r>
        <w:rPr>
          <w:vertAlign w:val="superscript"/>
        </w:rPr>
        <w:footnoteReference w:id="2"/>
      </w:r>
      <w:r>
        <w:t xml:space="preserve"> Le présent règlement comporte des dispositions particulières relatives à l'interdiction de manipulation ou d'autres restrictions à la manipulation de </w:t>
      </w:r>
    </w:p>
    <w:p w:rsidR="00551E3F" w:rsidRDefault="00CC49D7" w:rsidP="00015EA3">
      <w:pPr>
        <w:numPr>
          <w:ilvl w:val="0"/>
          <w:numId w:val="1"/>
        </w:numPr>
        <w:tabs>
          <w:tab w:val="left" w:pos="567"/>
        </w:tabs>
        <w:ind w:left="0" w:firstLine="192"/>
      </w:pPr>
      <w:r>
        <w:t>époxy bicomposant contenant du bisphénol A ou du bisphénol-A-diglycidyléther,</w:t>
      </w:r>
    </w:p>
    <w:p w:rsidR="00551E3F" w:rsidRDefault="00CC49D7" w:rsidP="00015EA3">
      <w:pPr>
        <w:numPr>
          <w:ilvl w:val="0"/>
          <w:numId w:val="1"/>
        </w:numPr>
        <w:tabs>
          <w:tab w:val="left" w:pos="567"/>
        </w:tabs>
        <w:ind w:left="0" w:firstLine="192"/>
      </w:pPr>
      <w:r>
        <w:t>cadmium,</w:t>
      </w:r>
    </w:p>
    <w:p w:rsidR="00551E3F" w:rsidRDefault="00CC49D7" w:rsidP="00015EA3">
      <w:pPr>
        <w:numPr>
          <w:ilvl w:val="0"/>
          <w:numId w:val="1"/>
        </w:numPr>
        <w:pBdr>
          <w:left w:val="single" w:sz="4" w:space="4" w:color="auto"/>
        </w:pBdr>
        <w:tabs>
          <w:tab w:val="left" w:pos="567"/>
        </w:tabs>
        <w:ind w:left="0" w:firstLine="192"/>
      </w:pPr>
      <w:r>
        <w:t>particules plastiques dans les produits cosmétiques,</w:t>
      </w:r>
    </w:p>
    <w:p w:rsidR="00551E3F" w:rsidRDefault="00CC49D7" w:rsidP="00015EA3">
      <w:pPr>
        <w:numPr>
          <w:ilvl w:val="0"/>
          <w:numId w:val="1"/>
        </w:numPr>
        <w:pBdr>
          <w:left w:val="single" w:sz="4" w:space="4" w:color="auto"/>
        </w:pBdr>
        <w:tabs>
          <w:tab w:val="left" w:pos="567"/>
        </w:tabs>
        <w:ind w:left="0" w:firstLine="192"/>
      </w:pPr>
      <w:r>
        <w:t>solvants chlorés,</w:t>
      </w:r>
    </w:p>
    <w:p w:rsidR="00551E3F" w:rsidRDefault="00CC49D7" w:rsidP="00015EA3">
      <w:pPr>
        <w:numPr>
          <w:ilvl w:val="0"/>
          <w:numId w:val="1"/>
        </w:numPr>
        <w:pBdr>
          <w:left w:val="single" w:sz="4" w:space="4" w:color="auto"/>
        </w:pBdr>
        <w:tabs>
          <w:tab w:val="left" w:pos="567"/>
        </w:tabs>
        <w:ind w:left="0" w:firstLine="192"/>
      </w:pPr>
      <w:r>
        <w:t>mercure,</w:t>
      </w:r>
    </w:p>
    <w:p w:rsidR="00551E3F" w:rsidRDefault="00CC49D7" w:rsidP="00015EA3">
      <w:pPr>
        <w:numPr>
          <w:ilvl w:val="0"/>
          <w:numId w:val="1"/>
        </w:numPr>
        <w:pBdr>
          <w:left w:val="single" w:sz="4" w:space="4" w:color="auto"/>
        </w:pBdr>
        <w:tabs>
          <w:tab w:val="left" w:pos="567"/>
        </w:tabs>
        <w:ind w:left="0" w:firstLine="192"/>
      </w:pPr>
      <w:r>
        <w:t>cadmium et mercure des piles,</w:t>
      </w:r>
    </w:p>
    <w:p w:rsidR="00551E3F" w:rsidRDefault="00CC49D7" w:rsidP="00015EA3">
      <w:pPr>
        <w:numPr>
          <w:ilvl w:val="0"/>
          <w:numId w:val="1"/>
        </w:numPr>
        <w:pBdr>
          <w:left w:val="single" w:sz="4" w:space="4" w:color="auto"/>
        </w:pBdr>
        <w:tabs>
          <w:tab w:val="left" w:pos="567"/>
        </w:tabs>
        <w:ind w:left="0" w:firstLine="192"/>
      </w:pPr>
      <w:r>
        <w:t>métaux lourds contenus dans des emballages,</w:t>
      </w:r>
    </w:p>
    <w:p w:rsidR="00551E3F" w:rsidRDefault="00CC49D7" w:rsidP="00015EA3">
      <w:pPr>
        <w:numPr>
          <w:ilvl w:val="0"/>
          <w:numId w:val="1"/>
        </w:numPr>
        <w:pBdr>
          <w:left w:val="single" w:sz="4" w:space="4" w:color="auto"/>
        </w:pBdr>
        <w:tabs>
          <w:tab w:val="left" w:pos="567"/>
        </w:tabs>
        <w:ind w:left="0" w:firstLine="192"/>
      </w:pPr>
      <w:r>
        <w:t>munitions contenant du plomb,</w:t>
      </w:r>
    </w:p>
    <w:p w:rsidR="00551E3F" w:rsidRDefault="00CC49D7" w:rsidP="00015EA3">
      <w:pPr>
        <w:numPr>
          <w:ilvl w:val="0"/>
          <w:numId w:val="1"/>
        </w:numPr>
        <w:pBdr>
          <w:left w:val="single" w:sz="4" w:space="4" w:color="auto"/>
        </w:pBdr>
        <w:tabs>
          <w:tab w:val="left" w:pos="567"/>
        </w:tabs>
        <w:ind w:left="0" w:firstLine="192"/>
      </w:pPr>
      <w:r>
        <w:t>détergents contenant du phosphate, et</w:t>
      </w:r>
    </w:p>
    <w:p w:rsidR="00551E3F" w:rsidRDefault="00CC49D7" w:rsidP="00015EA3">
      <w:pPr>
        <w:numPr>
          <w:ilvl w:val="0"/>
          <w:numId w:val="1"/>
        </w:numPr>
        <w:pBdr>
          <w:left w:val="single" w:sz="4" w:space="4" w:color="auto"/>
        </w:pBdr>
        <w:tabs>
          <w:tab w:val="left" w:pos="567"/>
        </w:tabs>
        <w:ind w:left="0" w:firstLine="192"/>
      </w:pPr>
      <w:r>
        <w:t>certains autres produits chimiques et marchandises dangereuses pour la santé ou l'environnement.</w:t>
      </w:r>
    </w:p>
    <w:p w:rsidR="00551E3F" w:rsidRDefault="00CC49D7" w:rsidP="00015EA3">
      <w:pPr>
        <w:spacing w:after="249"/>
        <w:ind w:left="0" w:firstLine="192"/>
      </w:pPr>
      <w:r>
        <w:lastRenderedPageBreak/>
        <w:t>Le règlement n'est pas applicable aux produits chimiques et aux organismes biotechniques visés par la loi sur les denrées alimentaires (2006:804), la loi (2006:805) sur les aliments pour animaux et les sous-produits animaux ou la loi sur les médicaments (2015:315).</w:t>
      </w:r>
    </w:p>
    <w:p w:rsidR="00551E3F" w:rsidRDefault="00CC49D7" w:rsidP="00DA5828">
      <w:pPr>
        <w:keepNext/>
        <w:keepLines/>
        <w:pBdr>
          <w:left w:val="single" w:sz="4" w:space="4" w:color="auto"/>
        </w:pBdr>
        <w:ind w:left="0" w:firstLine="0"/>
      </w:pPr>
      <w:r>
        <w:rPr>
          <w:b/>
        </w:rPr>
        <w:t>Article 1er sous a)</w:t>
      </w:r>
      <w:r>
        <w:t xml:space="preserve"> Ce règlement est édicté sur la base du</w:t>
      </w:r>
    </w:p>
    <w:p w:rsidR="00551E3F" w:rsidRDefault="00CC49D7" w:rsidP="007058F2">
      <w:pPr>
        <w:numPr>
          <w:ilvl w:val="0"/>
          <w:numId w:val="2"/>
        </w:numPr>
        <w:pBdr>
          <w:left w:val="single" w:sz="4" w:space="4" w:color="auto"/>
        </w:pBdr>
        <w:ind w:left="426" w:hanging="285"/>
      </w:pPr>
      <w:r>
        <w:t>chapitre 14, article 8 du code de l’environnement en ce qui concerne les articles 2 à 3, 5 à 11, de 11 sous c) à 14 et de 14 sous b) à 20 sous a),</w:t>
      </w:r>
    </w:p>
    <w:p w:rsidR="00551E3F" w:rsidRDefault="00CC49D7" w:rsidP="007058F2">
      <w:pPr>
        <w:numPr>
          <w:ilvl w:val="0"/>
          <w:numId w:val="2"/>
        </w:numPr>
        <w:pBdr>
          <w:left w:val="single" w:sz="4" w:space="4" w:color="auto"/>
        </w:pBdr>
        <w:ind w:left="426" w:hanging="285"/>
      </w:pPr>
      <w:r>
        <w:t xml:space="preserve">chapitre 15, article 40 du code de l’environnement en ce qui concerne l’article 4 sous a), </w:t>
      </w:r>
    </w:p>
    <w:p w:rsidR="00551E3F" w:rsidRDefault="00CC49D7" w:rsidP="007058F2">
      <w:pPr>
        <w:numPr>
          <w:ilvl w:val="0"/>
          <w:numId w:val="2"/>
        </w:numPr>
        <w:pBdr>
          <w:left w:val="single" w:sz="4" w:space="4" w:color="auto"/>
        </w:pBdr>
        <w:ind w:left="426" w:hanging="285"/>
      </w:pPr>
      <w:r>
        <w:t>chapitre 8, article 11 de la Constitution en ce qui concerne l’article 21, et</w:t>
      </w:r>
    </w:p>
    <w:p w:rsidR="00551E3F" w:rsidRDefault="00CC49D7" w:rsidP="007058F2">
      <w:pPr>
        <w:numPr>
          <w:ilvl w:val="0"/>
          <w:numId w:val="2"/>
        </w:numPr>
        <w:pBdr>
          <w:left w:val="single" w:sz="4" w:space="4" w:color="auto"/>
        </w:pBdr>
        <w:ind w:left="426" w:hanging="285"/>
      </w:pPr>
      <w:r>
        <w:t>l'article 7 du chapitre 8 de la Constitution pour les questions relatives aux autres dispositions.</w:t>
      </w:r>
    </w:p>
    <w:p w:rsidR="00551E3F" w:rsidRDefault="00CC49D7" w:rsidP="00DA5828">
      <w:pPr>
        <w:pStyle w:val="Heading1"/>
        <w:pBdr>
          <w:left w:val="single" w:sz="4" w:space="4" w:color="auto"/>
        </w:pBdr>
        <w:ind w:left="0"/>
      </w:pPr>
      <w:r>
        <w:t>Particules plastiques dans les produits cosmétiques</w:t>
      </w:r>
    </w:p>
    <w:p w:rsidR="00551E3F" w:rsidRDefault="00CC49D7" w:rsidP="00DA5828">
      <w:pPr>
        <w:pBdr>
          <w:left w:val="single" w:sz="4" w:space="4" w:color="auto"/>
        </w:pBdr>
        <w:ind w:left="0" w:firstLine="0"/>
      </w:pPr>
      <w:r>
        <w:rPr>
          <w:b/>
        </w:rPr>
        <w:t>Article 4</w:t>
      </w:r>
      <w:r>
        <w:rPr>
          <w:vertAlign w:val="superscript"/>
        </w:rPr>
        <w:footnoteReference w:id="3"/>
      </w:r>
      <w:r>
        <w:t xml:space="preserve"> Dans ce paragraphe et aux articles 4 sous a) et 4 sous b), l'on entend par </w:t>
      </w:r>
      <w:r>
        <w:rPr>
          <w:i/>
        </w:rPr>
        <w:t xml:space="preserve">produit cosmétique: </w:t>
      </w:r>
      <w:r>
        <w:t xml:space="preserve">un produit cosmétique tel que défini par le règlement (CE) nº 1223/2009 du Parlement européen et du Conseil relatif aux produits cosmétiques, </w:t>
      </w:r>
    </w:p>
    <w:p w:rsidR="008062AA" w:rsidRDefault="00CC49D7" w:rsidP="008062AA">
      <w:pPr>
        <w:pBdr>
          <w:left w:val="single" w:sz="4" w:space="4" w:color="auto"/>
        </w:pBdr>
        <w:spacing w:after="0"/>
        <w:ind w:left="0" w:firstLine="193"/>
      </w:pPr>
      <w:r>
        <w:rPr>
          <w:i/>
        </w:rPr>
        <w:t>plastique:</w:t>
      </w:r>
      <w:r>
        <w:t xml:space="preserve"> un polymère dans le sens visé à l’article 3, paragraphe 5 du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auquel on peut avoir ajouté des additifs ou autres substances, </w:t>
      </w:r>
      <w:r>
        <w:rPr>
          <w:i/>
        </w:rPr>
        <w:t>particules de matières plastiques:</w:t>
      </w:r>
      <w:r>
        <w:t xml:space="preserve"> particules de plastique sous une forme solide de moins de 5 mm dans une dimension et qui ne sont pas solubles dans l’eau;</w:t>
      </w:r>
    </w:p>
    <w:p w:rsidR="008062AA" w:rsidRDefault="00CC49D7" w:rsidP="008062AA">
      <w:pPr>
        <w:pBdr>
          <w:left w:val="single" w:sz="4" w:space="4" w:color="auto"/>
        </w:pBdr>
        <w:spacing w:after="0"/>
        <w:ind w:left="0" w:firstLine="193"/>
      </w:pPr>
      <w:r>
        <w:rPr>
          <w:i/>
        </w:rPr>
        <w:t>polymère d'origine naturelle:</w:t>
      </w:r>
      <w:r>
        <w:t xml:space="preserve"> un polymère naturellement présent dans l'environnement et dont la structure chimique n'a pas été modifiée s'il a été soumis à un processus ou un traitement chimique ou à une transformation minéralogique physique;</w:t>
      </w:r>
    </w:p>
    <w:p w:rsidR="00551E3F" w:rsidRDefault="00CC49D7" w:rsidP="007058F2">
      <w:pPr>
        <w:pBdr>
          <w:left w:val="single" w:sz="4" w:space="4" w:color="auto"/>
        </w:pBdr>
        <w:spacing w:after="232"/>
        <w:ind w:left="0" w:firstLine="192"/>
      </w:pPr>
      <w:r>
        <w:rPr>
          <w:i/>
        </w:rPr>
        <w:t>mise à disposition sur le marché:</w:t>
      </w:r>
      <w:r>
        <w:t xml:space="preserve"> toute fourniture d'un produit destiné à être distribué, consommé ou utilisé sur le marché suédois dans le cadre d'une activité commerciale, à titre onéreux ou gratuit.</w:t>
      </w:r>
    </w:p>
    <w:p w:rsidR="00551E3F" w:rsidRDefault="00CC49D7" w:rsidP="00DA5828">
      <w:pPr>
        <w:pBdr>
          <w:left w:val="single" w:sz="4" w:space="4" w:color="auto"/>
        </w:pBdr>
        <w:ind w:left="0" w:firstLine="0"/>
      </w:pPr>
      <w:r>
        <w:rPr>
          <w:b/>
        </w:rPr>
        <w:t>Article 4 sous a)</w:t>
      </w:r>
      <w:r>
        <w:rPr>
          <w:vertAlign w:val="superscript"/>
        </w:rPr>
        <w:footnoteReference w:id="4"/>
      </w:r>
      <w:r>
        <w:t xml:space="preserve"> Il est interdit de mettre à disposition sur le marché un produit cosmétique rincé ou craché après application sur la peau, les cheveux, les muqueuses ou les dents, contenant des particules plastiques qui ont été ajoutées pour lui conférer des propriétés nettoyantes, exfoliantes ou polissantes.</w:t>
      </w:r>
    </w:p>
    <w:p w:rsidR="00551E3F" w:rsidRDefault="00CC49D7" w:rsidP="007058F2">
      <w:pPr>
        <w:pBdr>
          <w:left w:val="single" w:sz="4" w:space="4" w:color="auto"/>
        </w:pBdr>
        <w:spacing w:after="232"/>
        <w:ind w:left="0" w:firstLine="192"/>
      </w:pPr>
      <w:r>
        <w:t xml:space="preserve">L'interdiction n'est pas applicable aux produits cosmétiques contenant des particules plastiques constituées exclusivement de polymères d'origine naturelle. </w:t>
      </w:r>
    </w:p>
    <w:p w:rsidR="00551E3F" w:rsidRDefault="00CC49D7" w:rsidP="00DA5828">
      <w:pPr>
        <w:keepNext/>
        <w:keepLines/>
        <w:pBdr>
          <w:left w:val="single" w:sz="4" w:space="4" w:color="auto"/>
        </w:pBdr>
        <w:ind w:left="0" w:firstLine="0"/>
      </w:pPr>
      <w:r>
        <w:rPr>
          <w:b/>
        </w:rPr>
        <w:t>Article 4 sous b)</w:t>
      </w:r>
      <w:r>
        <w:rPr>
          <w:vertAlign w:val="superscript"/>
        </w:rPr>
        <w:footnoteReference w:id="5"/>
      </w:r>
      <w:r>
        <w:t xml:space="preserve"> L'Inspection suédoise des produits chimiques peut prévoir des exemptions ou, dans certains cas, accorder des dérogations à l'interdiction de l'article 4 sous a) aux produits cosmétiques contenant des particules plastiques </w:t>
      </w:r>
    </w:p>
    <w:p w:rsidR="00551E3F" w:rsidRDefault="00CC49D7" w:rsidP="007058F2">
      <w:pPr>
        <w:numPr>
          <w:ilvl w:val="0"/>
          <w:numId w:val="3"/>
        </w:numPr>
        <w:pBdr>
          <w:left w:val="single" w:sz="4" w:space="4" w:color="auto"/>
        </w:pBdr>
        <w:tabs>
          <w:tab w:val="left" w:pos="567"/>
        </w:tabs>
        <w:ind w:left="0" w:firstLine="192"/>
      </w:pPr>
      <w:r>
        <w:t xml:space="preserve">fabriqués à base de polymères d'origine naturelle comme matières premières; et </w:t>
      </w:r>
    </w:p>
    <w:p w:rsidR="00551E3F" w:rsidRDefault="00CC49D7" w:rsidP="007058F2">
      <w:pPr>
        <w:numPr>
          <w:ilvl w:val="0"/>
          <w:numId w:val="3"/>
        </w:numPr>
        <w:pBdr>
          <w:left w:val="single" w:sz="4" w:space="4" w:color="auto"/>
        </w:pBdr>
        <w:tabs>
          <w:tab w:val="left" w:pos="567"/>
        </w:tabs>
        <w:ind w:left="0" w:firstLine="192"/>
      </w:pPr>
      <w:r>
        <w:t xml:space="preserve">qui se décomposent rapidement en monomères en milieux aquatiques et qui ne présentent aucun risque pour les organismes aquatiques. </w:t>
      </w:r>
    </w:p>
    <w:p w:rsidR="00551E3F" w:rsidRDefault="00CC49D7" w:rsidP="007058F2">
      <w:pPr>
        <w:pBdr>
          <w:left w:val="single" w:sz="4" w:space="4" w:color="auto"/>
        </w:pBdr>
        <w:spacing w:after="231"/>
        <w:ind w:left="0" w:firstLine="192"/>
      </w:pPr>
      <w:r>
        <w:t>Une dérogation doit être octroyée pour les produits cosmétiques légalement commercialisés conformément à la réglementation d'autres États membres de l'Union européenne ou en Turquie, ou légalement fabriqués dans un pays partie à l'accord sur l'Espace économique européen à la condition qu'un niveau de protection équivalent soit atteint par le biais de cette réglementation.</w:t>
      </w:r>
    </w:p>
    <w:p w:rsidR="00551E3F" w:rsidRDefault="00CC49D7" w:rsidP="00DA5828">
      <w:pPr>
        <w:ind w:left="0" w:firstLine="0"/>
      </w:pPr>
      <w:r>
        <w:rPr>
          <w:b/>
        </w:rPr>
        <w:t>Article 5</w:t>
      </w:r>
      <w:r>
        <w:rPr>
          <w:rStyle w:val="FootnoteReference"/>
          <w:b/>
        </w:rPr>
        <w:footnoteReference w:id="6"/>
      </w:r>
      <w:r>
        <w:t xml:space="preserve"> Les produits chimiques composés entièrement ou partiellement de chlorure de méthylène ou de tétrachloréthylène ne peuvent être mis en vente ou mis à la disposition de consommateurs pour leur propre consommation.</w:t>
      </w:r>
    </w:p>
    <w:p w:rsidR="00551E3F" w:rsidRDefault="00CC49D7" w:rsidP="00E812AA">
      <w:pPr>
        <w:spacing w:after="0"/>
        <w:ind w:left="0" w:firstLine="193"/>
      </w:pPr>
      <w:r>
        <w:t>L'Inspection suédoise des produits chimiques peut arrêter des mesures selon lesquelles les marchandises contenant du chlorure de méthylène ou du tétrachloréthylène ne peuvent être mises en vente ou mises à la disposition de consommateurs pour leur propre consommation.</w:t>
      </w:r>
    </w:p>
    <w:p w:rsidR="00551E3F" w:rsidRDefault="00CC49D7" w:rsidP="007058F2">
      <w:pPr>
        <w:pBdr>
          <w:left w:val="single" w:sz="4" w:space="4" w:color="auto"/>
        </w:pBdr>
        <w:spacing w:after="241"/>
        <w:ind w:left="0" w:firstLine="192"/>
      </w:pPr>
      <w:r>
        <w:t>L'interdiction concernant le chlorure de méthylène est uniquement d'application si une interdiction équivalente ne découle pas déjà du premier point de l’article 59 de l’annexe XVII du règlement (CE) n°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Les présentes règles prennent effet le1er juillet 2018.</w:t>
      </w:r>
    </w:p>
    <w:p w:rsidR="00551E3F" w:rsidRDefault="00CC49D7" w:rsidP="00E812AA">
      <w:pPr>
        <w:numPr>
          <w:ilvl w:val="0"/>
          <w:numId w:val="4"/>
        </w:numPr>
        <w:tabs>
          <w:tab w:val="left" w:pos="567"/>
        </w:tabs>
        <w:spacing w:after="224"/>
        <w:ind w:left="0" w:firstLine="192"/>
      </w:pPr>
      <w:r>
        <w:t xml:space="preserve">Malgré l'interdiction prévue à l'article 4 sous a), les stocks restants de produits cosmétiques légalement mis à disposition sur le marché avant le 1er juillet 2018 peuvent toujours être commercialisés jusqu'à la fin décembre 2018. </w:t>
      </w:r>
    </w:p>
    <w:p w:rsidR="00551E3F" w:rsidRDefault="00CC49D7" w:rsidP="00DA5828">
      <w:pPr>
        <w:spacing w:after="225"/>
        <w:ind w:left="0" w:firstLine="0"/>
      </w:pPr>
      <w:r>
        <w:t>Au nom du gouvernement</w:t>
      </w:r>
    </w:p>
    <w:p w:rsidR="00551E3F" w:rsidRDefault="00CC49D7" w:rsidP="00DA5828">
      <w:pPr>
        <w:ind w:left="0" w:firstLine="0"/>
      </w:pPr>
      <w:r>
        <w:t>KAROLINA SKOG</w:t>
      </w:r>
    </w:p>
    <w:p w:rsidR="00551E3F" w:rsidRDefault="00CC49D7" w:rsidP="00825642">
      <w:pPr>
        <w:keepNext/>
        <w:keepLines/>
        <w:spacing w:after="0" w:line="265" w:lineRule="auto"/>
        <w:ind w:left="2835" w:firstLine="0"/>
        <w:jc w:val="left"/>
      </w:pPr>
      <w:r>
        <w:t>Egon Abresparr</w:t>
      </w:r>
    </w:p>
    <w:p w:rsidR="00551E3F" w:rsidRDefault="00CC49D7" w:rsidP="00825642">
      <w:pPr>
        <w:spacing w:after="0" w:line="264" w:lineRule="auto"/>
        <w:ind w:left="2835" w:firstLine="0"/>
        <w:jc w:val="left"/>
      </w:pPr>
      <w:r>
        <w:t>(ministère de l'environnement et de l'énergie)</w:t>
      </w:r>
    </w:p>
    <w:p w:rsidR="00590031" w:rsidRDefault="00590031" w:rsidP="00590031">
      <w:pPr>
        <w:spacing w:before="10920" w:after="0" w:line="259" w:lineRule="auto"/>
        <w:ind w:left="0" w:firstLine="0"/>
        <w:jc w:val="right"/>
        <w:rPr>
          <w:sz w:val="11"/>
          <w:lang w:val="de-DE"/>
        </w:rPr>
      </w:pPr>
    </w:p>
    <w:p w:rsidR="007058F2" w:rsidRPr="00C2372A" w:rsidRDefault="00CC49D7" w:rsidP="00590031">
      <w:pPr>
        <w:spacing w:before="10920" w:after="0" w:line="259" w:lineRule="auto"/>
        <w:ind w:left="0" w:firstLine="0"/>
        <w:jc w:val="right"/>
        <w:rPr>
          <w:sz w:val="11"/>
          <w:lang w:val="de-DE"/>
        </w:rPr>
      </w:pPr>
      <w:bookmarkStart w:id="0" w:name="_GoBack"/>
      <w:bookmarkEnd w:id="0"/>
      <w:r w:rsidRPr="00C2372A">
        <w:rPr>
          <w:sz w:val="11"/>
          <w:lang w:val="de-DE"/>
        </w:rPr>
        <w:t>Norstedts Juridik AB</w:t>
      </w:r>
    </w:p>
    <w:p w:rsidR="00551E3F" w:rsidRPr="00C2372A" w:rsidRDefault="00CC49D7" w:rsidP="007058F2">
      <w:pPr>
        <w:spacing w:after="0" w:line="259" w:lineRule="auto"/>
        <w:ind w:left="0" w:firstLine="0"/>
        <w:jc w:val="right"/>
        <w:rPr>
          <w:sz w:val="11"/>
          <w:lang w:val="de-DE"/>
        </w:rPr>
      </w:pPr>
      <w:r w:rsidRPr="00C2372A">
        <w:rPr>
          <w:sz w:val="11"/>
          <w:lang w:val="de-DE"/>
        </w:rPr>
        <w:t>Elanders Sverige AB, 2018</w:t>
      </w:r>
    </w:p>
    <w:sectPr w:rsidR="00551E3F" w:rsidRPr="00C2372A"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BA8" w:rsidRDefault="00B02BA8">
      <w:pPr>
        <w:spacing w:after="0" w:line="240" w:lineRule="auto"/>
      </w:pPr>
      <w:r>
        <w:separator/>
      </w:r>
    </w:p>
  </w:endnote>
  <w:endnote w:type="continuationSeparator" w:id="0">
    <w:p w:rsidR="00B02BA8" w:rsidRDefault="00B0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59003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590031">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B02BA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BA8" w:rsidRDefault="00B02BA8" w:rsidP="00E812AA">
      <w:pPr>
        <w:spacing w:after="0" w:line="230" w:lineRule="auto"/>
        <w:ind w:left="0" w:right="1837" w:firstLine="0"/>
      </w:pPr>
      <w:r>
        <w:separator/>
      </w:r>
    </w:p>
  </w:footnote>
  <w:footnote w:type="continuationSeparator" w:id="0">
    <w:p w:rsidR="00B02BA8" w:rsidRDefault="00B02BA8">
      <w:pPr>
        <w:spacing w:after="0" w:line="230" w:lineRule="auto"/>
        <w:ind w:left="412" w:right="1837" w:firstLine="0"/>
      </w:pPr>
      <w:r>
        <w:continuationSeparator/>
      </w:r>
    </w:p>
  </w:footnote>
  <w:footnote w:id="1">
    <w:p w:rsidR="00551E3F" w:rsidRPr="00E812AA" w:rsidRDefault="00CC49D7" w:rsidP="00E812AA">
      <w:pPr>
        <w:pStyle w:val="footnotedescription"/>
        <w:spacing w:line="240" w:lineRule="auto"/>
        <w:ind w:left="0"/>
        <w:jc w:val="both"/>
        <w:rPr>
          <w:szCs w:val="17"/>
        </w:rPr>
      </w:pPr>
      <w:r>
        <w:rPr>
          <w:rStyle w:val="footnotemark"/>
        </w:rPr>
        <w:footnoteRef/>
      </w:r>
      <w:r>
        <w:t xml:space="preserve"> Voir directive (UE) 2015/1535 du Parlement européen et du Conseil du 9 septembre 2015 prévoyant une procédure d'information dans le domaine des réglementations techniques et des règles relatives aux services de la société de l'information.</w:t>
      </w:r>
    </w:p>
  </w:footnote>
  <w:footnote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Dernière modification 2016:829.</w:t>
      </w:r>
    </w:p>
  </w:footnote>
  <w:footnote w:id="3">
    <w:p w:rsidR="00551E3F" w:rsidRPr="00E812AA" w:rsidRDefault="00CC49D7" w:rsidP="00E812AA">
      <w:pPr>
        <w:pStyle w:val="footnotedescription"/>
        <w:spacing w:line="240" w:lineRule="auto"/>
        <w:ind w:left="0"/>
        <w:jc w:val="both"/>
        <w:rPr>
          <w:szCs w:val="17"/>
        </w:rPr>
      </w:pPr>
      <w:r>
        <w:rPr>
          <w:rStyle w:val="footnotemark"/>
        </w:rPr>
        <w:footnoteRef/>
      </w:r>
      <w:r>
        <w:t xml:space="preserve"> L'ancien article 4 a été abrogé par le règlement 2009:954.</w:t>
      </w:r>
    </w:p>
  </w:footnote>
  <w:footnote w:id="4">
    <w:p w:rsidR="00551E3F" w:rsidRPr="00E812AA" w:rsidRDefault="00CC49D7" w:rsidP="00E812AA">
      <w:pPr>
        <w:pStyle w:val="footnotedescription"/>
        <w:spacing w:line="240" w:lineRule="auto"/>
        <w:ind w:left="0"/>
        <w:jc w:val="both"/>
        <w:rPr>
          <w:szCs w:val="17"/>
        </w:rPr>
      </w:pPr>
      <w:r>
        <w:rPr>
          <w:rStyle w:val="footnotemark"/>
        </w:rPr>
        <w:footnoteRef/>
      </w:r>
      <w:r>
        <w:t xml:space="preserve"> L'ancien article 4 sous a) a été abrogé par le règlement 2008:255.</w:t>
      </w:r>
    </w:p>
  </w:footnote>
  <w:footnote w:id="5">
    <w:p w:rsidR="00551E3F" w:rsidRPr="00E812AA" w:rsidRDefault="00CC49D7" w:rsidP="00825642">
      <w:pPr>
        <w:pStyle w:val="footnotedescription"/>
        <w:spacing w:line="240" w:lineRule="auto"/>
        <w:ind w:left="0"/>
        <w:jc w:val="both"/>
        <w:rPr>
          <w:szCs w:val="17"/>
        </w:rPr>
      </w:pPr>
      <w:r>
        <w:rPr>
          <w:rStyle w:val="footnotemark"/>
        </w:rPr>
        <w:footnoteRef/>
      </w:r>
      <w:r>
        <w:t xml:space="preserve"> L'ancien article 4 sous b) a été abrogé par le règlement 2008:255.</w:t>
      </w:r>
    </w:p>
  </w:footnote>
  <w:footnote w:id="6">
    <w:p w:rsidR="00E812AA" w:rsidRPr="00E812AA" w:rsidRDefault="00E812AA" w:rsidP="00825642">
      <w:pPr>
        <w:pStyle w:val="footnotedescription"/>
        <w:spacing w:line="240" w:lineRule="auto"/>
        <w:ind w:left="0"/>
        <w:jc w:val="both"/>
        <w:rPr>
          <w:rFonts w:eastAsia="宋体"/>
          <w:szCs w:val="17"/>
          <w:lang w:eastAsia="zh-CN"/>
        </w:rPr>
      </w:pPr>
      <w:r>
        <w:rPr>
          <w:vertAlign w:val="superscript"/>
        </w:rPr>
        <w:footnoteRef/>
      </w:r>
      <w:r>
        <w:t xml:space="preserve"> Dernière modification 2016:144.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noProof/>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SFS 2018:55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noProof/>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304"/>
  <w:hyphenationZone w:val="425"/>
  <w:doNotHyphenateCaps/>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716B1"/>
    <w:rsid w:val="00215ED8"/>
    <w:rsid w:val="003A1720"/>
    <w:rsid w:val="004707E8"/>
    <w:rsid w:val="004B717A"/>
    <w:rsid w:val="00551E3F"/>
    <w:rsid w:val="00590031"/>
    <w:rsid w:val="00643102"/>
    <w:rsid w:val="00651E3A"/>
    <w:rsid w:val="007058F2"/>
    <w:rsid w:val="007154F6"/>
    <w:rsid w:val="00793620"/>
    <w:rsid w:val="007D7823"/>
    <w:rsid w:val="008062AA"/>
    <w:rsid w:val="00825642"/>
    <w:rsid w:val="008802E6"/>
    <w:rsid w:val="008B7F39"/>
    <w:rsid w:val="00943D0F"/>
    <w:rsid w:val="00952D25"/>
    <w:rsid w:val="00A065E3"/>
    <w:rsid w:val="00B02BA8"/>
    <w:rsid w:val="00C2372A"/>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117386-FD52-40CE-9834-BBBB910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422" w:hanging="10"/>
      <w:jc w:val="both"/>
    </w:pPr>
    <w:rPr>
      <w:rFonts w:ascii="Times New Roman" w:hAnsi="Times New Roman"/>
      <w:color w:val="000000"/>
      <w:sz w:val="19"/>
      <w:szCs w:val="22"/>
    </w:rPr>
  </w:style>
  <w:style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宋体" w:hAnsi="Times New Roman"/>
      <w:szCs w:val="22"/>
    </w:rPr>
  </w:style>
  <w:style w:type="character" w:customStyle="1" w:styleId="RKbasChar">
    <w:name w:val="RKbas Char"/>
    <w:link w:val="RKbas"/>
    <w:uiPriority w:val="11"/>
    <w:semiHidden/>
    <w:rsid w:val="00DB4B0C"/>
    <w:rPr>
      <w:rFonts w:ascii="Times New Roman" w:eastAsia="宋体" w:hAnsi="Times New Roman"/>
      <w:szCs w:val="22"/>
      <w:lang w:val="fr-FR"/>
    </w:rPr>
  </w:style>
  <w:style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w:type="character" w:customStyle="1" w:styleId="BodyTextChar">
    <w:name w:val="Body Text Char"/>
    <w:link w:val="BodyText"/>
    <w:rsid w:val="00DB4B0C"/>
    <w:rPr>
      <w:rFonts w:ascii="Times New Roman" w:eastAsia="宋体" w:hAnsi="Times New Roman"/>
      <w:sz w:val="19"/>
      <w:szCs w:val="22"/>
      <w:lang w:val="fr-FR"/>
    </w:rPr>
  </w:style>
  <w:style w:type="paragraph" w:styleId="BodyTextIndent">
    <w:name w:val="Body Text Indent"/>
    <w:basedOn w:val="Normal"/>
    <w:link w:val="BodyTextIndentChar"/>
    <w:uiPriority w:val="99"/>
    <w:semiHidden/>
    <w:unhideWhenUsed/>
    <w:rsid w:val="00DB4B0C"/>
    <w:pPr>
      <w:spacing w:after="120"/>
      <w:ind w:left="283"/>
    </w:pPr>
  </w:style>
  <w:style w:type="character" w:customStyle="1" w:styleId="BodyTextIndentChar">
    <w:name w:val="Body Text Indent Char"/>
    <w:link w:val="BodyTextIndent"/>
    <w:uiPriority w:val="99"/>
    <w:semiHidden/>
    <w:rsid w:val="00DB4B0C"/>
    <w:rPr>
      <w:rFonts w:ascii="Times New Roman" w:hAnsi="Times New Roman"/>
      <w:color w:val="000000"/>
      <w:sz w:val="19"/>
      <w:szCs w:val="22"/>
      <w:lang w:val="fr-FR" w:eastAsia="fr-FR"/>
    </w:rPr>
  </w:style>
  <w:style w:type="paragraph" w:styleId="Header">
    <w:name w:val="header"/>
    <w:basedOn w:val="Normal"/>
    <w:link w:val="HeaderChar"/>
    <w:uiPriority w:val="99"/>
    <w:unhideWhenUsed/>
    <w:rsid w:val="00E812AA"/>
    <w:pPr>
      <w:tabs>
        <w:tab w:val="center" w:pos="4320"/>
        <w:tab w:val="right" w:pos="8640"/>
      </w:tabs>
    </w:pPr>
  </w:style>
  <w:style w:type="character" w:customStyle="1" w:styleId="HeaderChar">
    <w:name w:val="Header Char"/>
    <w:link w:val="Header"/>
    <w:uiPriority w:val="99"/>
    <w:rsid w:val="00E812AA"/>
    <w:rPr>
      <w:rFonts w:ascii="Times New Roman" w:hAnsi="Times New Roman"/>
      <w:color w:val="000000"/>
      <w:sz w:val="19"/>
      <w:szCs w:val="22"/>
      <w:lang w:val="fr-FR" w:eastAsia="fr-FR"/>
    </w:rPr>
  </w:style>
  <w:style w:type="paragraph" w:styleId="Footer">
    <w:name w:val="footer"/>
    <w:basedOn w:val="Normal"/>
    <w:link w:val="FooterChar"/>
    <w:uiPriority w:val="99"/>
    <w:unhideWhenUsed/>
    <w:rsid w:val="00E812AA"/>
    <w:pPr>
      <w:tabs>
        <w:tab w:val="center" w:pos="4320"/>
        <w:tab w:val="right" w:pos="8640"/>
      </w:tabs>
    </w:pPr>
  </w:style>
  <w:style w:type="character" w:customStyle="1" w:styleId="FooterChar">
    <w:name w:val="Footer Char"/>
    <w:link w:val="Footer"/>
    <w:uiPriority w:val="99"/>
    <w:rsid w:val="00E812AA"/>
    <w:rPr>
      <w:rFonts w:ascii="Times New Roman" w:hAnsi="Times New Roman"/>
      <w:color w:val="000000"/>
      <w:sz w:val="19"/>
      <w:szCs w:val="22"/>
      <w:lang w:val="fr-FR" w:eastAsia="fr-FR"/>
    </w:rPr>
  </w:style>
  <w:style w:type="paragraph" w:styleId="FootnoteText">
    <w:name w:val="footnote text"/>
    <w:basedOn w:val="Normal"/>
    <w:link w:val="FootnoteTextChar"/>
    <w:uiPriority w:val="99"/>
    <w:semiHidden/>
    <w:unhideWhenUsed/>
    <w:rsid w:val="00E812AA"/>
    <w:rPr>
      <w:sz w:val="20"/>
      <w:szCs w:val="20"/>
    </w:rPr>
  </w:style>
  <w:style w:type="character" w:customStyle="1" w:styleId="FootnoteTextChar">
    <w:name w:val="Footnote Text Char"/>
    <w:link w:val="FootnoteText"/>
    <w:uiPriority w:val="99"/>
    <w:semiHidden/>
    <w:rsid w:val="00E812AA"/>
    <w:rPr>
      <w:rFonts w:ascii="Times New Roman" w:hAnsi="Times New Roman"/>
      <w:color w:val="000000"/>
      <w:lang w:val="fr-FR" w:eastAsia="fr-FR"/>
    </w:rPr>
  </w:style>
  <w:style w:type="character" w:styleId="FootnoteReference">
    <w:name w:val="footnote reference"/>
    <w:uiPriority w:val="99"/>
    <w:semiHidden/>
    <w:unhideWhenUsed/>
    <w:rsid w:val="00E812AA"/>
    <w:rPr>
      <w:vertAlign w:val="superscript"/>
    </w:rPr>
  </w:style>
  <w:style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943D0F"/>
    <w:rPr>
      <w:rFonts w:ascii="Consolas" w:hAnsi="Consola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DA8D-12EB-4B47-AD3F-67FBB559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Liu, Lei</cp:lastModifiedBy>
  <cp:revision>5</cp:revision>
  <dcterms:created xsi:type="dcterms:W3CDTF">2019-04-30T10:57:00Z</dcterms:created>
  <dcterms:modified xsi:type="dcterms:W3CDTF">2019-05-08T12:20:00Z</dcterms:modified>
</cp:coreProperties>
</file>