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443F" w14:textId="77777777" w:rsidR="006E7FC5" w:rsidRPr="00CF2667" w:rsidRDefault="006E7FC5" w:rsidP="006E7FC5">
      <w:pPr>
        <w:spacing w:after="0" w:line="240" w:lineRule="auto"/>
        <w:jc w:val="center"/>
        <w:rPr>
          <w:rFonts w:eastAsia="Calibri"/>
          <w:b/>
        </w:rPr>
      </w:pPr>
      <w:r>
        <w:rPr>
          <w:b/>
        </w:rPr>
        <w:t>Διάταγμα αριθ.</w:t>
      </w:r>
    </w:p>
    <w:p w14:paraId="78A2EE9D" w14:textId="77777777" w:rsidR="006E7FC5" w:rsidRPr="00CF2667" w:rsidRDefault="006E7FC5" w:rsidP="006E7FC5">
      <w:pPr>
        <w:spacing w:after="0" w:line="240" w:lineRule="auto"/>
        <w:jc w:val="center"/>
        <w:rPr>
          <w:rFonts w:eastAsia="Calibri"/>
          <w:b/>
        </w:rPr>
      </w:pPr>
    </w:p>
    <w:p w14:paraId="1DA8F30D" w14:textId="77777777" w:rsidR="006E7FC5" w:rsidRPr="00CF2667" w:rsidRDefault="006E7FC5" w:rsidP="006E7FC5">
      <w:pPr>
        <w:spacing w:after="0" w:line="240" w:lineRule="auto"/>
        <w:jc w:val="center"/>
        <w:rPr>
          <w:rFonts w:eastAsia="Calibri"/>
          <w:b/>
        </w:rPr>
      </w:pPr>
      <w:r>
        <w:rPr>
          <w:b/>
        </w:rPr>
        <w:t>.../2023 (...) του Προέδρου της Εποπτικής Αρχής Ρυθμιστικών Υποθέσεων</w:t>
      </w:r>
    </w:p>
    <w:p w14:paraId="7580F07E" w14:textId="77777777" w:rsidR="006E7FC5" w:rsidRPr="00CF2667" w:rsidRDefault="006E7FC5" w:rsidP="006E7FC5">
      <w:pPr>
        <w:spacing w:after="0" w:line="240" w:lineRule="auto"/>
        <w:jc w:val="center"/>
        <w:rPr>
          <w:rFonts w:eastAsia="Calibri"/>
          <w:b/>
        </w:rPr>
      </w:pPr>
    </w:p>
    <w:p w14:paraId="6E970982" w14:textId="77777777" w:rsidR="006E7FC5" w:rsidRPr="00CF2667" w:rsidRDefault="006E7FC5" w:rsidP="006E7FC5">
      <w:pPr>
        <w:spacing w:after="0" w:line="240" w:lineRule="auto"/>
        <w:jc w:val="center"/>
        <w:rPr>
          <w:rFonts w:eastAsia="Calibri"/>
          <w:b/>
        </w:rPr>
      </w:pPr>
      <w:r>
        <w:rPr>
          <w:b/>
        </w:rPr>
        <w:t xml:space="preserve">για την τροποποίηση του διατάγματος αριθ. 20/2021 της SZTFH, της 29ης Οκτωβρίου 2021, σχετικά με την εκτέλεση καθηκόντων που αφορούν την </w:t>
      </w:r>
      <w:proofErr w:type="spellStart"/>
      <w:r>
        <w:rPr>
          <w:b/>
        </w:rPr>
        <w:t>αδειοδότηση</w:t>
      </w:r>
      <w:proofErr w:type="spellEnd"/>
      <w:r>
        <w:rPr>
          <w:b/>
        </w:rPr>
        <w:t>, τη διαχείριση και τον έλεγχο ορισμένων τυχερών παιγνίων</w:t>
      </w:r>
    </w:p>
    <w:p w14:paraId="3354A442" w14:textId="77777777" w:rsidR="006E7FC5" w:rsidRPr="00CF2667" w:rsidRDefault="006E7FC5" w:rsidP="006E7FC5">
      <w:pPr>
        <w:spacing w:after="0" w:line="240" w:lineRule="auto"/>
        <w:jc w:val="center"/>
        <w:rPr>
          <w:rFonts w:eastAsia="Calibri"/>
          <w:b/>
        </w:rPr>
      </w:pPr>
    </w:p>
    <w:p w14:paraId="27B80967" w14:textId="77777777" w:rsidR="00BE630A" w:rsidRDefault="00BE630A" w:rsidP="00BE630A">
      <w:pPr>
        <w:spacing w:after="0" w:line="240" w:lineRule="auto"/>
        <w:jc w:val="both"/>
        <w:rPr>
          <w:rFonts w:eastAsia="Calibri"/>
        </w:rPr>
      </w:pPr>
    </w:p>
    <w:p w14:paraId="5A4D706F" w14:textId="77777777" w:rsidR="00BE630A" w:rsidRDefault="00BE630A" w:rsidP="00BE630A">
      <w:pPr>
        <w:spacing w:after="0" w:line="240" w:lineRule="auto"/>
        <w:jc w:val="both"/>
        <w:rPr>
          <w:rFonts w:eastAsia="Calibri"/>
        </w:rPr>
      </w:pPr>
      <w:r>
        <w:t xml:space="preserve">Βάσει της άδειας που χορηγείται σύμφωνα με το άρθρο 38 παράγραφος 2 στοιχεία </w:t>
      </w:r>
      <w:r>
        <w:rPr>
          <w:i/>
        </w:rPr>
        <w:t>α)</w:t>
      </w:r>
      <w:r>
        <w:t xml:space="preserve"> και </w:t>
      </w:r>
      <w:r>
        <w:rPr>
          <w:i/>
        </w:rPr>
        <w:t>β)</w:t>
      </w:r>
      <w:r>
        <w:t xml:space="preserve"> του νόμου XXXIV του 1991 για τις δραστηριότητες τυχερών παιγνίων, </w:t>
      </w:r>
    </w:p>
    <w:p w14:paraId="67DF3F1E" w14:textId="258A6756" w:rsidR="00BE630A" w:rsidRDefault="00BE630A" w:rsidP="00BE630A">
      <w:pPr>
        <w:spacing w:after="0" w:line="240" w:lineRule="auto"/>
        <w:jc w:val="both"/>
        <w:rPr>
          <w:rFonts w:eastAsia="Calibri"/>
        </w:rPr>
      </w:pPr>
      <w:r>
        <w:t>όσον αφορά τα άρθρα 2 και 3, καθώς και το άρθρο 13 στοιχείο β) βάσει της άδειας που χορηγείται σύμφωνα με το άρθρο 38 παράγραφος 2</w:t>
      </w:r>
      <w:r>
        <w:rPr>
          <w:i/>
        </w:rPr>
        <w:t xml:space="preserve"> στοιχείο δ)</w:t>
      </w:r>
      <w:r>
        <w:t xml:space="preserve"> του νόμου XXXIV του 1991 για τις δραστηριότητες τυχερών παιγνίων,</w:t>
      </w:r>
    </w:p>
    <w:p w14:paraId="7A855835" w14:textId="5FF6443E" w:rsidR="00BE630A" w:rsidRDefault="00BE630A" w:rsidP="00BE630A">
      <w:pPr>
        <w:spacing w:after="0" w:line="240" w:lineRule="auto"/>
        <w:jc w:val="both"/>
        <w:rPr>
          <w:rFonts w:eastAsia="Calibri"/>
        </w:rPr>
      </w:pPr>
      <w:r>
        <w:t>όσον αφορά τα άρθρα 4 έως 10 και το άρθρο 12 βάσει της άδειας που χορηγείται σύμφωνα με το άρθρο 38 παράγραφος 2</w:t>
      </w:r>
      <w:r>
        <w:rPr>
          <w:i/>
        </w:rPr>
        <w:t xml:space="preserve"> στοιχείο ζ)</w:t>
      </w:r>
      <w:r>
        <w:t xml:space="preserve"> του νόμου XXXIV του 1991 για τις δραστηριότητες τυχερών παιγνίων,</w:t>
      </w:r>
    </w:p>
    <w:p w14:paraId="6895E230" w14:textId="77777777" w:rsidR="00BE630A" w:rsidRDefault="00BE630A" w:rsidP="00BE630A">
      <w:pPr>
        <w:spacing w:after="0" w:line="240" w:lineRule="auto"/>
        <w:jc w:val="both"/>
        <w:rPr>
          <w:rFonts w:eastAsia="Calibri"/>
        </w:rPr>
      </w:pPr>
      <w:r>
        <w:t>και ενεργώντας στο πλαίσιο των καθηκόντων μου που ορίζονται στο άρθρο 13</w:t>
      </w:r>
      <w:r>
        <w:rPr>
          <w:i/>
        </w:rPr>
        <w:t xml:space="preserve"> στοιχεία θ)</w:t>
      </w:r>
      <w:r>
        <w:t xml:space="preserve"> και </w:t>
      </w:r>
      <w:proofErr w:type="spellStart"/>
      <w:r>
        <w:rPr>
          <w:i/>
        </w:rPr>
        <w:t>ιδ</w:t>
      </w:r>
      <w:proofErr w:type="spellEnd"/>
      <w:r>
        <w:rPr>
          <w:i/>
        </w:rPr>
        <w:t>)</w:t>
      </w:r>
      <w:r>
        <w:t xml:space="preserve"> του νόμου XXXII του 2021 σχετικά με την Εποπτική Αρχή Ρυθμιστικών Υποθέσεων,</w:t>
      </w:r>
    </w:p>
    <w:p w14:paraId="59132BDE" w14:textId="77777777" w:rsidR="00BE630A" w:rsidRDefault="00BE630A" w:rsidP="00BE630A">
      <w:pPr>
        <w:spacing w:after="0" w:line="240" w:lineRule="auto"/>
        <w:jc w:val="both"/>
        <w:rPr>
          <w:rFonts w:eastAsia="Calibri"/>
        </w:rPr>
      </w:pPr>
      <w:r>
        <w:t>διά του παρόντος διατάσσω τα ακόλουθα:</w:t>
      </w:r>
    </w:p>
    <w:p w14:paraId="0EB70FA2" w14:textId="77777777" w:rsidR="00BE630A" w:rsidRPr="00CF2667" w:rsidRDefault="00BE630A" w:rsidP="006E7FC5">
      <w:pPr>
        <w:spacing w:after="0" w:line="240" w:lineRule="auto"/>
        <w:jc w:val="both"/>
        <w:rPr>
          <w:rFonts w:eastAsia="Calibri"/>
        </w:rPr>
      </w:pPr>
    </w:p>
    <w:p w14:paraId="66058B66" w14:textId="77777777" w:rsidR="006E7FC5" w:rsidRPr="00CF2667" w:rsidRDefault="006E7FC5" w:rsidP="006E7FC5">
      <w:pPr>
        <w:spacing w:after="0" w:line="240" w:lineRule="auto"/>
        <w:jc w:val="center"/>
        <w:rPr>
          <w:rFonts w:eastAsia="Calibri"/>
          <w:b/>
        </w:rPr>
      </w:pPr>
      <w:r>
        <w:rPr>
          <w:b/>
        </w:rPr>
        <w:t>Άρθρο 1</w:t>
      </w:r>
    </w:p>
    <w:p w14:paraId="7DC1A809" w14:textId="77777777" w:rsidR="00C9669B" w:rsidRPr="00CF2667" w:rsidRDefault="00C9669B" w:rsidP="006E7FC5">
      <w:pPr>
        <w:spacing w:after="0" w:line="240" w:lineRule="auto"/>
        <w:jc w:val="center"/>
        <w:rPr>
          <w:rFonts w:eastAsia="Calibri"/>
          <w:b/>
        </w:rPr>
      </w:pPr>
    </w:p>
    <w:p w14:paraId="09585543" w14:textId="0173393E" w:rsidR="00C9669B" w:rsidRPr="00CF2667" w:rsidRDefault="00C9669B" w:rsidP="00C9669B">
      <w:pPr>
        <w:spacing w:after="0" w:line="240" w:lineRule="auto"/>
        <w:jc w:val="both"/>
        <w:rPr>
          <w:rFonts w:eastAsia="Calibri"/>
        </w:rPr>
      </w:pPr>
      <w:r>
        <w:t xml:space="preserve">Προστίθεται νέο άρθρο 2/A στο κεφάλαιο I του διατάγματος της SZTFH αριθ. 20/2021, της 29ης Οκτωβρίου 2021, σχετικά με την εκτέλεση των καθηκόντων που αφορούν την </w:t>
      </w:r>
      <w:proofErr w:type="spellStart"/>
      <w:r>
        <w:t>αδειοδότηση</w:t>
      </w:r>
      <w:proofErr w:type="spellEnd"/>
      <w:r>
        <w:t>, τη διαχείριση και τον έλεγχο ορισμένων τύπων τυχερών παιγνίων (στο εξής: εκτελεστικός κανονισμός), το οποίο διατυπώνεται ως εξής:</w:t>
      </w:r>
    </w:p>
    <w:p w14:paraId="1CCBA5B6" w14:textId="77777777" w:rsidR="00C9669B" w:rsidRPr="00CF2667" w:rsidRDefault="00C9669B" w:rsidP="00C9669B">
      <w:pPr>
        <w:spacing w:after="0" w:line="240" w:lineRule="auto"/>
        <w:jc w:val="both"/>
        <w:rPr>
          <w:rFonts w:eastAsia="Calibri"/>
        </w:rPr>
      </w:pPr>
    </w:p>
    <w:p w14:paraId="4BA0FDB3" w14:textId="42989738" w:rsidR="00C9669B" w:rsidRPr="00CF2667" w:rsidRDefault="00C9669B" w:rsidP="00C9669B">
      <w:pPr>
        <w:spacing w:after="0" w:line="240" w:lineRule="auto"/>
        <w:jc w:val="both"/>
        <w:rPr>
          <w:rFonts w:eastAsia="Calibri"/>
          <w:b/>
        </w:rPr>
      </w:pPr>
      <w:r>
        <w:t>«Άρθρο 2/A Όταν ο φορέας εκμετάλλευσης έχει εξουσιοδότηση να διοργανώνει πολλά τυχερά παίγνια ταυτόχρονα, θα πρέπει να καταγράφει και να τηρεί τους λογαριασμούς των εσόδων και των πραγματικών δαπανών κάθε τυχερού παιγνίου κατά τρόπο επαληθεύσιμο και χωριστά μεταξύ τους, ανεξάρτητα από οποιαδήποτε άλλη δραστηριότητα που ασκεί.»</w:t>
      </w:r>
    </w:p>
    <w:p w14:paraId="7A3199E9" w14:textId="77777777" w:rsidR="00421C27" w:rsidRPr="00CF2667" w:rsidRDefault="00421C27" w:rsidP="006E7FC5">
      <w:pPr>
        <w:spacing w:after="0" w:line="240" w:lineRule="auto"/>
        <w:jc w:val="center"/>
        <w:rPr>
          <w:rFonts w:eastAsia="Calibri"/>
          <w:b/>
        </w:rPr>
      </w:pPr>
    </w:p>
    <w:p w14:paraId="5BEA7056" w14:textId="77777777" w:rsidR="00421C27" w:rsidRPr="00CF2667" w:rsidRDefault="007F34EE" w:rsidP="006E7FC5">
      <w:pPr>
        <w:spacing w:after="0" w:line="240" w:lineRule="auto"/>
        <w:jc w:val="center"/>
        <w:rPr>
          <w:rFonts w:eastAsia="Calibri"/>
          <w:b/>
        </w:rPr>
      </w:pPr>
      <w:r>
        <w:rPr>
          <w:b/>
        </w:rPr>
        <w:t>Άρθρο 2</w:t>
      </w:r>
    </w:p>
    <w:p w14:paraId="4BE47446" w14:textId="77777777" w:rsidR="006E7FC5" w:rsidRPr="00CF2667" w:rsidRDefault="006E7FC5" w:rsidP="006E7FC5">
      <w:pPr>
        <w:spacing w:after="0" w:line="240" w:lineRule="auto"/>
        <w:jc w:val="both"/>
        <w:rPr>
          <w:rFonts w:eastAsia="Calibri"/>
        </w:rPr>
      </w:pPr>
    </w:p>
    <w:p w14:paraId="164D83E3" w14:textId="6FB86AC7" w:rsidR="00591010" w:rsidRPr="00CF2667" w:rsidRDefault="00591010" w:rsidP="00991F71">
      <w:pPr>
        <w:spacing w:after="0" w:line="240" w:lineRule="auto"/>
        <w:jc w:val="both"/>
      </w:pPr>
      <w:r>
        <w:t>(1) Το άρθρο 13 παράγραφος 3 του εκτελεστικού διατάγματος αντικαθίσταται από το ακόλουθο κείμενο:</w:t>
      </w:r>
    </w:p>
    <w:p w14:paraId="36C968DE" w14:textId="77777777" w:rsidR="00D67727" w:rsidRPr="00CF2667" w:rsidRDefault="00D67727" w:rsidP="00591010">
      <w:pPr>
        <w:tabs>
          <w:tab w:val="center" w:pos="6096"/>
        </w:tabs>
        <w:spacing w:after="0" w:line="240" w:lineRule="auto"/>
        <w:jc w:val="both"/>
      </w:pPr>
    </w:p>
    <w:p w14:paraId="67C8D879" w14:textId="77777777" w:rsidR="00591010" w:rsidRPr="00CF2667" w:rsidRDefault="005F7926" w:rsidP="00591010">
      <w:pPr>
        <w:tabs>
          <w:tab w:val="center" w:pos="6096"/>
        </w:tabs>
        <w:spacing w:after="0" w:line="240" w:lineRule="auto"/>
        <w:jc w:val="both"/>
      </w:pPr>
      <w:r>
        <w:t>«3) Οι λαχνοί είναι δυνατό να δημιουργηθούν μόνο με τη χρήση ελεγχόμενης από υπολογιστή κλειστής τεχνολογίας που διασφαλίζει</w:t>
      </w:r>
    </w:p>
    <w:p w14:paraId="1F259345" w14:textId="77777777" w:rsidR="00173F50" w:rsidRPr="00CF2667" w:rsidRDefault="00173F50" w:rsidP="00591010">
      <w:pPr>
        <w:tabs>
          <w:tab w:val="center" w:pos="6096"/>
        </w:tabs>
        <w:spacing w:after="0" w:line="240" w:lineRule="auto"/>
        <w:jc w:val="both"/>
      </w:pPr>
    </w:p>
    <w:p w14:paraId="7F8F7476" w14:textId="77777777" w:rsidR="00591010" w:rsidRPr="00CF2667" w:rsidRDefault="00591010" w:rsidP="00591010">
      <w:pPr>
        <w:tabs>
          <w:tab w:val="center" w:pos="6096"/>
        </w:tabs>
        <w:spacing w:after="0" w:line="240" w:lineRule="auto"/>
        <w:jc w:val="both"/>
      </w:pPr>
      <w:r>
        <w:rPr>
          <w:i/>
        </w:rPr>
        <w:t>a)</w:t>
      </w:r>
      <w:r>
        <w:t xml:space="preserve"> το ποσό των κερδών που καθορίζονται στον νόμο περί τυχερών παιγνίων,</w:t>
      </w:r>
    </w:p>
    <w:p w14:paraId="3D73CE20" w14:textId="77777777" w:rsidR="00591010" w:rsidRPr="00CF2667" w:rsidRDefault="00591010" w:rsidP="00591010">
      <w:pPr>
        <w:tabs>
          <w:tab w:val="center" w:pos="6096"/>
        </w:tabs>
        <w:spacing w:after="0" w:line="240" w:lineRule="auto"/>
        <w:jc w:val="both"/>
      </w:pPr>
      <w:r>
        <w:rPr>
          <w:i/>
        </w:rPr>
        <w:t>β)</w:t>
      </w:r>
      <w:r>
        <w:t xml:space="preserve"> ομοιόμορφη κατανομή των κερδοφόρων λαχνών ανά κατηγορία κέρδους εντός της επιτρεπόμενης ποσότητας ή σειράς σύμφωνα με το σχέδιο παιγνίου και</w:t>
      </w:r>
    </w:p>
    <w:p w14:paraId="1EB773D3" w14:textId="77777777" w:rsidR="00591010" w:rsidRPr="00CF2667" w:rsidRDefault="00591010" w:rsidP="00591010">
      <w:pPr>
        <w:tabs>
          <w:tab w:val="center" w:pos="6096"/>
        </w:tabs>
        <w:spacing w:after="0" w:line="240" w:lineRule="auto"/>
        <w:jc w:val="both"/>
      </w:pPr>
      <w:r>
        <w:rPr>
          <w:i/>
        </w:rPr>
        <w:t>γ)</w:t>
      </w:r>
      <w:r>
        <w:t xml:space="preserve"> ότι δημιουργείται μια πλήρης σειρά λαχνών σε κλειστή διαδικασία παραγωγής που επιτρέπει την ταυτοποίηση των κερδοφόρων λαχνών μόνο μετά την αφαίρεση του εικονικού ή φυσικού καλύμματος.»</w:t>
      </w:r>
    </w:p>
    <w:p w14:paraId="7EE32317" w14:textId="77777777" w:rsidR="00C012D4" w:rsidRPr="00CF2667" w:rsidRDefault="00C012D4" w:rsidP="00591010">
      <w:pPr>
        <w:tabs>
          <w:tab w:val="center" w:pos="6096"/>
        </w:tabs>
        <w:spacing w:after="0" w:line="240" w:lineRule="auto"/>
        <w:jc w:val="both"/>
        <w:rPr>
          <w:u w:val="single"/>
        </w:rPr>
      </w:pPr>
    </w:p>
    <w:p w14:paraId="6AC62775" w14:textId="10E53AA6" w:rsidR="00C012D4" w:rsidRPr="00CF2667" w:rsidRDefault="00C012D4" w:rsidP="00C012D4">
      <w:pPr>
        <w:spacing w:after="0"/>
        <w:jc w:val="both"/>
      </w:pPr>
      <w:r>
        <w:t>(2) Στο άρθρο 13 του εκτελεστικού διατάγματος προστίθενται οι ακόλουθες παράγραφοι 10 και 11:</w:t>
      </w:r>
    </w:p>
    <w:p w14:paraId="4EE4A851" w14:textId="77777777" w:rsidR="00B82D5A" w:rsidRPr="00CF2667" w:rsidRDefault="00B82D5A" w:rsidP="00C012D4">
      <w:pPr>
        <w:spacing w:after="0"/>
        <w:jc w:val="both"/>
      </w:pPr>
    </w:p>
    <w:p w14:paraId="351A0C29" w14:textId="5227B30D" w:rsidR="00C012D4" w:rsidRPr="00CF2667" w:rsidRDefault="00C012D4" w:rsidP="00C012D4">
      <w:pPr>
        <w:tabs>
          <w:tab w:val="center" w:pos="6096"/>
        </w:tabs>
        <w:spacing w:after="0" w:line="240" w:lineRule="auto"/>
        <w:jc w:val="both"/>
      </w:pPr>
      <w:r>
        <w:t xml:space="preserve">«10) Οι παράγραφοι 2 έως 4 και η παράγραφος 5 στοιχεία </w:t>
      </w:r>
      <w:r>
        <w:rPr>
          <w:i/>
        </w:rPr>
        <w:t>α)</w:t>
      </w:r>
      <w:r>
        <w:t xml:space="preserve"> και </w:t>
      </w:r>
      <w:r>
        <w:rPr>
          <w:i/>
        </w:rPr>
        <w:t>β)</w:t>
      </w:r>
      <w:r>
        <w:t xml:space="preserve"> εφαρμόζονται, τηρουμένων των αναλογιών, στις κάρτες ξυστό που πωλούνται μέσω συσκευών και συστημάτων επικοινωνίας, υπό την προϋπόθεση ότι τα λαχεία αποθηκεύονται και τίθενται σε κυκλοφορία στην αγορά μέσω συσκευών και συστημάτων επικοινωνίας και ότι τα έγγραφα που αναφέρονται στην παράγραφο 5 στοιχείο </w:t>
      </w:r>
      <w:r>
        <w:rPr>
          <w:i/>
        </w:rPr>
        <w:t>a)</w:t>
      </w:r>
      <w:r>
        <w:t xml:space="preserve"> υποβάλλονται στην Αρχή Τυχερών Παιγνίων κατά τη διαδικασία </w:t>
      </w:r>
      <w:proofErr w:type="spellStart"/>
      <w:r>
        <w:t>αδειοδότησης</w:t>
      </w:r>
      <w:proofErr w:type="spellEnd"/>
      <w:r>
        <w:t xml:space="preserve">. </w:t>
      </w:r>
    </w:p>
    <w:p w14:paraId="386CFFD5" w14:textId="77777777" w:rsidR="00BE630A" w:rsidRDefault="00BE630A" w:rsidP="00203C3F">
      <w:pPr>
        <w:tabs>
          <w:tab w:val="center" w:pos="6096"/>
        </w:tabs>
        <w:spacing w:after="0" w:line="240" w:lineRule="auto"/>
        <w:jc w:val="both"/>
      </w:pPr>
    </w:p>
    <w:p w14:paraId="4351477A" w14:textId="1A3C832B" w:rsidR="006E7FC5" w:rsidRPr="00CF2667" w:rsidRDefault="00C012D4" w:rsidP="00203C3F">
      <w:pPr>
        <w:tabs>
          <w:tab w:val="center" w:pos="6096"/>
        </w:tabs>
        <w:spacing w:after="0" w:line="240" w:lineRule="auto"/>
        <w:jc w:val="both"/>
      </w:pPr>
      <w:r>
        <w:t xml:space="preserve">(11) Μεταξύ των διατάξεων του παρόντος κανονισμού σχετικά με τον έλεγχο των εξ αποστάσεως τυχερών παιγνίων και των διαδικτυακών παιγνίων καζίνο, το άρθρο 15 παράγραφοι 2 και 3, το παράρτημα 2, το παράρτημα 3 ενότητα I και ενότητα II στοιχείο A) και ενότητα III στοιχείο γ), το παράρτημα 4 ενότητα II παράγραφος 1 στοιχεία </w:t>
      </w:r>
      <w:proofErr w:type="spellStart"/>
      <w:r>
        <w:t>στ</w:t>
      </w:r>
      <w:proofErr w:type="spellEnd"/>
      <w:r>
        <w:t>) και η) και παράγραφος 2 στοιχεία α) έως γ) θα πρέπει να εφαρμόζονται στις κάρτες ξυστό που πωλούνται μέσω συσκευών και συστημάτων επικοινωνίας.»</w:t>
      </w:r>
    </w:p>
    <w:p w14:paraId="202FF135" w14:textId="77777777" w:rsidR="00431B0E" w:rsidRPr="00CF2667" w:rsidRDefault="00431B0E" w:rsidP="00203C3F">
      <w:pPr>
        <w:tabs>
          <w:tab w:val="center" w:pos="6096"/>
        </w:tabs>
        <w:spacing w:after="0" w:line="240" w:lineRule="auto"/>
        <w:jc w:val="both"/>
        <w:rPr>
          <w:rFonts w:eastAsia="Calibri"/>
        </w:rPr>
      </w:pPr>
    </w:p>
    <w:p w14:paraId="6A454895" w14:textId="77777777" w:rsidR="006E7FC5" w:rsidRPr="00CF2667" w:rsidRDefault="00C9669B" w:rsidP="006E7FC5">
      <w:pPr>
        <w:spacing w:after="0" w:line="240" w:lineRule="auto"/>
        <w:jc w:val="center"/>
        <w:rPr>
          <w:rFonts w:eastAsia="Calibri"/>
          <w:b/>
        </w:rPr>
      </w:pPr>
      <w:r>
        <w:rPr>
          <w:b/>
        </w:rPr>
        <w:t>Άρθρο 3</w:t>
      </w:r>
    </w:p>
    <w:p w14:paraId="7EFE5D28" w14:textId="77777777" w:rsidR="006E7FC5" w:rsidRPr="00CF2667" w:rsidRDefault="006E7FC5" w:rsidP="006E7FC5">
      <w:pPr>
        <w:spacing w:after="0" w:line="240" w:lineRule="auto"/>
        <w:jc w:val="both"/>
        <w:rPr>
          <w:rFonts w:eastAsia="Calibri"/>
        </w:rPr>
      </w:pPr>
    </w:p>
    <w:p w14:paraId="7F48D059" w14:textId="580CD7E8" w:rsidR="006E7FC5" w:rsidRPr="00CF2667" w:rsidRDefault="00B82D5A" w:rsidP="006E7FC5">
      <w:pPr>
        <w:spacing w:after="0" w:line="240" w:lineRule="auto"/>
        <w:jc w:val="both"/>
        <w:rPr>
          <w:rFonts w:eastAsia="Calibri"/>
        </w:rPr>
      </w:pPr>
      <w:r>
        <w:t>Στο κεφάλαιο III του εκτελεστικού διατάγματος προστίθεται το ακόλουθο άρθρο 7/A:</w:t>
      </w:r>
    </w:p>
    <w:p w14:paraId="276DDA3F" w14:textId="77777777" w:rsidR="006E7FC5" w:rsidRPr="00CF2667" w:rsidRDefault="006E7FC5" w:rsidP="006E7FC5">
      <w:pPr>
        <w:spacing w:after="0" w:line="240" w:lineRule="auto"/>
        <w:jc w:val="both"/>
        <w:rPr>
          <w:rFonts w:eastAsia="Calibri"/>
        </w:rPr>
      </w:pPr>
    </w:p>
    <w:p w14:paraId="3C5A7CBA" w14:textId="4E8E5C4B" w:rsidR="00B82D5A" w:rsidRPr="00CF2667" w:rsidRDefault="00B82D5A" w:rsidP="00B82D5A">
      <w:pPr>
        <w:spacing w:after="0" w:line="240" w:lineRule="auto"/>
        <w:jc w:val="center"/>
        <w:rPr>
          <w:bCs/>
        </w:rPr>
      </w:pPr>
      <w:r>
        <w:t>«Άρθρο 7/A Ειδικοί κανόνες για παίγνια λαχειοφόρων αγορών που πωλούνται αποκλειστικά μέσω συσκευών και συστημάτων επικοινωνίας</w:t>
      </w:r>
    </w:p>
    <w:p w14:paraId="766FBD3D" w14:textId="77777777" w:rsidR="00B82D5A" w:rsidRPr="00CF2667" w:rsidRDefault="00B82D5A" w:rsidP="00B82D5A">
      <w:pPr>
        <w:spacing w:after="0" w:line="240" w:lineRule="auto"/>
        <w:jc w:val="both"/>
        <w:rPr>
          <w:bCs/>
        </w:rPr>
      </w:pPr>
    </w:p>
    <w:p w14:paraId="37BBCCEA" w14:textId="111517D0" w:rsidR="00B82D5A" w:rsidRPr="00CF2667" w:rsidRDefault="008126DB" w:rsidP="00B82D5A">
      <w:pPr>
        <w:spacing w:after="0" w:line="240" w:lineRule="auto"/>
        <w:jc w:val="both"/>
        <w:rPr>
          <w:bCs/>
        </w:rPr>
      </w:pPr>
      <w:r>
        <w:t xml:space="preserve">Άρθρο 13/Α Για τα παίγνια λαχειοφόρων αγορών που πωλούνται αποκλειστικά μέσω συσκευών και συστημάτων επικοινωνίας, εφαρμόζονται οι διατάξεις του άρθρου 15 παράγραφος 2 στοιχείο </w:t>
      </w:r>
      <w:r>
        <w:rPr>
          <w:i/>
        </w:rPr>
        <w:t>a)</w:t>
      </w:r>
      <w:r>
        <w:t xml:space="preserve">, του παραρτήματος 2, του παραρτήματος 3 ενότητα I και ενότητα II στοιχείο A) και ενότητα III στοιχείο </w:t>
      </w:r>
      <w:r>
        <w:rPr>
          <w:i/>
        </w:rPr>
        <w:t>γ)</w:t>
      </w:r>
      <w:r>
        <w:t xml:space="preserve">, του παραρτήματος 4 ενότητα II παράγραφος 1 στοιχεία </w:t>
      </w:r>
      <w:proofErr w:type="spellStart"/>
      <w:r>
        <w:rPr>
          <w:i/>
        </w:rPr>
        <w:t>στ</w:t>
      </w:r>
      <w:proofErr w:type="spellEnd"/>
      <w:r>
        <w:rPr>
          <w:i/>
        </w:rPr>
        <w:t>)</w:t>
      </w:r>
      <w:r>
        <w:t xml:space="preserve"> και </w:t>
      </w:r>
      <w:r>
        <w:rPr>
          <w:i/>
        </w:rPr>
        <w:t>(η)</w:t>
      </w:r>
      <w:r>
        <w:t xml:space="preserve"> και ενότητα 2 στοιχεία </w:t>
      </w:r>
      <w:r>
        <w:rPr>
          <w:i/>
        </w:rPr>
        <w:t>a)</w:t>
      </w:r>
      <w:r>
        <w:t xml:space="preserve"> έως </w:t>
      </w:r>
      <w:r>
        <w:rPr>
          <w:i/>
        </w:rPr>
        <w:t>γ)</w:t>
      </w:r>
      <w:r>
        <w:t>.»</w:t>
      </w:r>
    </w:p>
    <w:p w14:paraId="3AB0FB4F" w14:textId="77777777" w:rsidR="006E7FC5" w:rsidRPr="00CF2667" w:rsidRDefault="006E7FC5" w:rsidP="006E7FC5">
      <w:pPr>
        <w:spacing w:after="0" w:line="240" w:lineRule="auto"/>
        <w:jc w:val="both"/>
        <w:rPr>
          <w:rFonts w:eastAsia="Calibri"/>
        </w:rPr>
      </w:pPr>
    </w:p>
    <w:p w14:paraId="32A5D86C" w14:textId="77777777" w:rsidR="006E7FC5" w:rsidRPr="00CF2667" w:rsidRDefault="00C9669B" w:rsidP="006E7FC5">
      <w:pPr>
        <w:spacing w:after="0" w:line="240" w:lineRule="auto"/>
        <w:jc w:val="center"/>
        <w:rPr>
          <w:rFonts w:eastAsia="Calibri"/>
          <w:b/>
        </w:rPr>
      </w:pPr>
      <w:r>
        <w:rPr>
          <w:b/>
        </w:rPr>
        <w:t>Άρθρο 4</w:t>
      </w:r>
    </w:p>
    <w:p w14:paraId="1F6C6F18" w14:textId="77777777" w:rsidR="00447FE9" w:rsidRPr="00CF2667" w:rsidRDefault="00447FE9" w:rsidP="00447FE9">
      <w:pPr>
        <w:spacing w:after="0" w:line="240" w:lineRule="auto"/>
        <w:jc w:val="both"/>
        <w:rPr>
          <w:rFonts w:eastAsia="Calibri"/>
          <w:b/>
        </w:rPr>
      </w:pPr>
    </w:p>
    <w:p w14:paraId="1DEEA69D" w14:textId="147BF699" w:rsidR="00447FE9" w:rsidRPr="00CF2667" w:rsidRDefault="00447FE9" w:rsidP="00447FE9">
      <w:pPr>
        <w:jc w:val="both"/>
      </w:pPr>
      <w:r>
        <w:t>Προστίθεται νέο άρθρο 16/ΣΤ στον τίτλο 9/Γ του εκτελεστικού διατάγματος, το οποίο διατυπώνεται ως εξής:</w:t>
      </w:r>
    </w:p>
    <w:p w14:paraId="677AA608" w14:textId="7DEB23EE" w:rsidR="00447FE9" w:rsidRPr="00CF2667" w:rsidRDefault="00447FE9" w:rsidP="00447FE9">
      <w:pPr>
        <w:jc w:val="both"/>
      </w:pPr>
      <w:r>
        <w:t xml:space="preserve">«Άρθρο 16/ΣΤ Σε περίπτωση πρόωρης πληρωμής, κατά την προώθηση της λειτουργίας αυτής, ο φορέας εκμετάλλευσης τυχερών παιγνίων υποχρεούται να </w:t>
      </w:r>
      <w:proofErr w:type="spellStart"/>
      <w:r>
        <w:t>εφιστά</w:t>
      </w:r>
      <w:proofErr w:type="spellEnd"/>
      <w:r>
        <w:t xml:space="preserve"> ρητώς την προσοχή του παίκτη στο γεγονός ότι η χρήση της λειτουργίας αυτής συνεπάγεται αυξημένο κίνδυνο υπερβολικής συμμετοχής και εθισμού στα τυχερά παίγνια και οι πληροφορίες αυτές θα πρέπει να εμφανίζονται στο κείμενο της προώθησης στο ίδιο μέγεθος γραμματοσειράς με το κείμενο. Ο φορέας εκμετάλλευσης τυχερών παιγνίων θα πρέπει επίσης να θέτει στη διάθεση του παίκτη στον </w:t>
      </w:r>
      <w:proofErr w:type="spellStart"/>
      <w:r>
        <w:t>ιστότοπο</w:t>
      </w:r>
      <w:proofErr w:type="spellEnd"/>
      <w:r>
        <w:t xml:space="preserve"> τυχερών παιγνίων τις πληροφορίες ότι η χρήση της λειτουργίας αυτής συνεπάγεται αυξημένο κίνδυνο υπερβολικής συμμετοχής και εθισμού στα τυχερά παίγνια.»</w:t>
      </w:r>
    </w:p>
    <w:p w14:paraId="6740684E" w14:textId="77777777" w:rsidR="0018214B" w:rsidRPr="00CF2667" w:rsidRDefault="00C9669B" w:rsidP="0018214B">
      <w:pPr>
        <w:spacing w:after="0" w:line="240" w:lineRule="auto"/>
        <w:jc w:val="center"/>
        <w:rPr>
          <w:rFonts w:eastAsia="Calibri"/>
          <w:b/>
        </w:rPr>
      </w:pPr>
      <w:r>
        <w:rPr>
          <w:b/>
        </w:rPr>
        <w:t>Άρθρο 5</w:t>
      </w:r>
    </w:p>
    <w:p w14:paraId="2CEE6BA7" w14:textId="77777777" w:rsidR="00447FE9" w:rsidRPr="00CF2667" w:rsidRDefault="00447FE9" w:rsidP="00447FE9">
      <w:pPr>
        <w:spacing w:after="0" w:line="240" w:lineRule="auto"/>
        <w:jc w:val="both"/>
        <w:rPr>
          <w:rFonts w:eastAsia="Calibri"/>
          <w:b/>
        </w:rPr>
      </w:pPr>
    </w:p>
    <w:p w14:paraId="51A4AE0C" w14:textId="77777777" w:rsidR="0018214B" w:rsidRPr="00CF2667" w:rsidRDefault="0018214B" w:rsidP="0018214B">
      <w:pPr>
        <w:spacing w:after="0"/>
        <w:jc w:val="both"/>
      </w:pPr>
      <w:r>
        <w:t xml:space="preserve">(1) Το άρθρο 22 παράγραφος 1 στοιχείο </w:t>
      </w:r>
      <w:r>
        <w:rPr>
          <w:i/>
        </w:rPr>
        <w:t>γ)</w:t>
      </w:r>
      <w:r>
        <w:t xml:space="preserve"> του εκτελεστικού διατάγματος αντικαθίσταται από το ακόλουθο κείμενο:</w:t>
      </w:r>
    </w:p>
    <w:p w14:paraId="35B5EE08" w14:textId="77777777" w:rsidR="0018214B" w:rsidRPr="00CF2667" w:rsidRDefault="0018214B" w:rsidP="00447FE9">
      <w:pPr>
        <w:spacing w:after="0" w:line="240" w:lineRule="auto"/>
        <w:jc w:val="both"/>
        <w:rPr>
          <w:rFonts w:eastAsia="Calibri"/>
          <w:b/>
        </w:rPr>
      </w:pPr>
    </w:p>
    <w:p w14:paraId="1F79836C" w14:textId="77777777" w:rsidR="0018214B" w:rsidRPr="00CF2667" w:rsidRDefault="003A5B78" w:rsidP="0018214B">
      <w:pPr>
        <w:spacing w:after="0" w:line="240" w:lineRule="auto"/>
        <w:jc w:val="both"/>
        <w:rPr>
          <w:i/>
        </w:rPr>
      </w:pPr>
      <w:r>
        <w:rPr>
          <w:i/>
        </w:rPr>
        <w:t>(Εάν ο φορέας εκμετάλλευσης διαπιστώσει μετά την καταχώριση ότι το περιεχόμενο των δεδομένων του μητρώου παρουσιάζει παρατυπίες επειδή)</w:t>
      </w:r>
    </w:p>
    <w:p w14:paraId="13B389E6" w14:textId="77777777" w:rsidR="00173F50" w:rsidRPr="00CF2667" w:rsidRDefault="00173F50" w:rsidP="0018214B">
      <w:pPr>
        <w:spacing w:after="0" w:line="240" w:lineRule="auto"/>
        <w:jc w:val="both"/>
      </w:pPr>
    </w:p>
    <w:p w14:paraId="69BDF0DA" w14:textId="77777777" w:rsidR="0018214B" w:rsidRPr="00CF2667" w:rsidRDefault="003A5B78" w:rsidP="0018214B">
      <w:pPr>
        <w:spacing w:after="0" w:line="240" w:lineRule="auto"/>
        <w:jc w:val="both"/>
      </w:pPr>
      <w:r>
        <w:lastRenderedPageBreak/>
        <w:t>«</w:t>
      </w:r>
      <w:r>
        <w:rPr>
          <w:i/>
        </w:rPr>
        <w:t>γ)</w:t>
      </w:r>
      <w:r>
        <w:t xml:space="preserve"> ο ίδιος παίκτης έχει εγγραφεί αρκετές φορές για το ίδιο παίγνιο ή για το ίδιο υπόλοιπο παίκτη,»</w:t>
      </w:r>
    </w:p>
    <w:p w14:paraId="36CDD328" w14:textId="77777777" w:rsidR="00173F50" w:rsidRPr="00CF2667" w:rsidRDefault="00173F50" w:rsidP="0018214B">
      <w:pPr>
        <w:spacing w:after="0" w:line="240" w:lineRule="auto"/>
        <w:jc w:val="both"/>
        <w:rPr>
          <w:i/>
        </w:rPr>
      </w:pPr>
    </w:p>
    <w:p w14:paraId="112A77F5" w14:textId="77777777" w:rsidR="0018214B" w:rsidRPr="00CF2667" w:rsidRDefault="003A5B78" w:rsidP="0018214B">
      <w:pPr>
        <w:spacing w:after="0" w:line="240" w:lineRule="auto"/>
        <w:jc w:val="both"/>
        <w:rPr>
          <w:i/>
        </w:rPr>
      </w:pPr>
      <w:r>
        <w:rPr>
          <w:i/>
        </w:rPr>
        <w:t>(το υπόλοιπο παίκτη θα τεθεί αμέσως σε αναστολή.)</w:t>
      </w:r>
    </w:p>
    <w:p w14:paraId="25489DFD" w14:textId="77777777" w:rsidR="00447FE9" w:rsidRPr="00CF2667" w:rsidRDefault="00447FE9" w:rsidP="0018214B">
      <w:pPr>
        <w:spacing w:after="0" w:line="240" w:lineRule="auto"/>
        <w:jc w:val="both"/>
        <w:rPr>
          <w:rFonts w:eastAsia="Calibri"/>
          <w:b/>
        </w:rPr>
      </w:pPr>
    </w:p>
    <w:p w14:paraId="6DE1BE49" w14:textId="77777777" w:rsidR="0018214B" w:rsidRPr="00CF2667" w:rsidRDefault="0018214B" w:rsidP="0018214B">
      <w:pPr>
        <w:spacing w:after="0" w:line="240" w:lineRule="auto"/>
        <w:jc w:val="both"/>
        <w:rPr>
          <w:rFonts w:eastAsia="Calibri"/>
        </w:rPr>
      </w:pPr>
      <w:r>
        <w:t>(2) Το άρθρο 22 παράγραφος 2 του εκτελεστικού διατάγματος αντικαθίσταται από το ακόλουθο κείμενο:</w:t>
      </w:r>
    </w:p>
    <w:p w14:paraId="084DEC63" w14:textId="77777777" w:rsidR="0018214B" w:rsidRPr="00CF2667" w:rsidRDefault="0018214B" w:rsidP="0018214B">
      <w:pPr>
        <w:spacing w:after="0" w:line="240" w:lineRule="auto"/>
        <w:jc w:val="both"/>
        <w:rPr>
          <w:rFonts w:eastAsia="Calibri"/>
        </w:rPr>
      </w:pPr>
    </w:p>
    <w:p w14:paraId="30723ACD" w14:textId="77777777" w:rsidR="0018214B" w:rsidRPr="00CF2667" w:rsidRDefault="0018214B" w:rsidP="0018214B">
      <w:pPr>
        <w:spacing w:after="0" w:line="240" w:lineRule="auto"/>
        <w:jc w:val="both"/>
      </w:pPr>
      <w:r>
        <w:t xml:space="preserve">«2) Σε περίπτωση πολλαπλών εγγραφών σύμφωνα με την παράγραφο 1 στοιχείο </w:t>
      </w:r>
      <w:r>
        <w:rPr>
          <w:i/>
        </w:rPr>
        <w:t>γ)</w:t>
      </w:r>
      <w:r>
        <w:t>, τα μέτρα οριστικής παύσης, διευθέτησης του υπολοίπου παίκτη και αποκλεισμού του παίκτη από το παίγνιο θα εφαρμόζονται στον παίκτη και στο σχετικό υπόλοιπο παίκτη κατά τρόπο ώστε μόνο ένα υπόλοιπο παίκτη να είναι διαθέσιμο για συμμετοχή σε ένα παίγνιο.»</w:t>
      </w:r>
    </w:p>
    <w:p w14:paraId="2946A417" w14:textId="77777777" w:rsidR="006E7FC5" w:rsidRPr="00CF2667" w:rsidRDefault="006E7FC5" w:rsidP="006E7FC5">
      <w:pPr>
        <w:spacing w:after="0" w:line="240" w:lineRule="auto"/>
        <w:jc w:val="both"/>
        <w:rPr>
          <w:rFonts w:eastAsia="Calibri"/>
        </w:rPr>
      </w:pPr>
    </w:p>
    <w:p w14:paraId="1611C320" w14:textId="77777777" w:rsidR="005F30D0" w:rsidRPr="00CF2667" w:rsidRDefault="005F30D0" w:rsidP="006E7FC5">
      <w:pPr>
        <w:spacing w:after="0" w:line="240" w:lineRule="auto"/>
        <w:jc w:val="both"/>
        <w:rPr>
          <w:rFonts w:eastAsia="Calibri"/>
        </w:rPr>
      </w:pPr>
      <w:r>
        <w:t>(3) Το άρθρο 22 παράγραφος 4 του εκτελεστικού διατάγματος αντικαθίσταται από το ακόλουθο κείμενο:</w:t>
      </w:r>
    </w:p>
    <w:p w14:paraId="42776204" w14:textId="77777777" w:rsidR="005F30D0" w:rsidRPr="00CF2667" w:rsidRDefault="005F30D0" w:rsidP="006E7FC5">
      <w:pPr>
        <w:spacing w:after="0" w:line="240" w:lineRule="auto"/>
        <w:jc w:val="both"/>
        <w:rPr>
          <w:rFonts w:eastAsia="Calibri"/>
        </w:rPr>
      </w:pPr>
    </w:p>
    <w:p w14:paraId="78F8008D" w14:textId="431D0808" w:rsidR="00CE4959" w:rsidRPr="00CF2667" w:rsidRDefault="005F30D0" w:rsidP="00CE4959">
      <w:pPr>
        <w:spacing w:after="0" w:line="240" w:lineRule="auto"/>
        <w:jc w:val="both"/>
      </w:pPr>
      <w:r>
        <w:t>«4) Εάν ο φορέας εκμετάλλευσης λάβει γνώση του γεγονότος ότι η καταχώριση ή η εγγραφή δεν είναι κατάλληλη για άλλους λόγους εκτός του πεδίου εφαρμογής που ορίζεται στο σημείο 1, ιδίως λόγω καθυστερημένης αναφοράς των αλλαγών των δεδομένων, ο φορέας εκμετάλλευσης θα πρέπει να λάβει μέτρα για την αντιμετώπιση των παρατυπιών. Εάν είναι απαραίτητο, ο φορέας εκμετάλλευσης θα πρέπει να καλέσει τον παίκτη να συμβάλει στην εξάλειψη της παρατυπίας και μπορεί να αναστείλει όλα τα σχετικά υπόλοιπα παικτών μέχρι να εξαλειφθεί η παρατυπία. Εάν η παρατυπία δεν είναι δυνατόν να εξαλειφθεί εντός 30 ημερών και, ως εκ τούτου, δεν είναι δυνατό να διεξαχθεί ένα παίγνιο σύμφωνα με τον νόμο, ο φορέας εκμετάλλευσης θα πρέπει να λάβει μέτρα για να κλείσει όλα τα σχετικά υπόλοιπα παικτών και να αποκλείσει τον παίκτη.»</w:t>
      </w:r>
    </w:p>
    <w:p w14:paraId="5D3A1DE7" w14:textId="77777777" w:rsidR="0018214B" w:rsidRPr="00CF2667" w:rsidRDefault="0018214B" w:rsidP="006E7FC5">
      <w:pPr>
        <w:spacing w:after="0" w:line="240" w:lineRule="auto"/>
        <w:jc w:val="both"/>
      </w:pPr>
    </w:p>
    <w:p w14:paraId="199A0A5A" w14:textId="77777777" w:rsidR="009817D0" w:rsidRPr="00CF2667" w:rsidRDefault="009817D0" w:rsidP="009E31C9">
      <w:pPr>
        <w:spacing w:after="0" w:line="240" w:lineRule="auto"/>
        <w:jc w:val="center"/>
        <w:rPr>
          <w:b/>
        </w:rPr>
      </w:pPr>
    </w:p>
    <w:p w14:paraId="53A4CF1C" w14:textId="38586C46" w:rsidR="00CE4959" w:rsidRPr="00CF2667" w:rsidRDefault="00CE4959" w:rsidP="006E7FC5">
      <w:pPr>
        <w:spacing w:after="0" w:line="240" w:lineRule="auto"/>
        <w:jc w:val="both"/>
        <w:rPr>
          <w:rFonts w:eastAsia="Calibri"/>
        </w:rPr>
      </w:pPr>
    </w:p>
    <w:p w14:paraId="74AA5137" w14:textId="333E8DF3" w:rsidR="0018214B" w:rsidRPr="00CF2667" w:rsidRDefault="0053730E" w:rsidP="00CA1F6D">
      <w:pPr>
        <w:spacing w:after="0" w:line="240" w:lineRule="auto"/>
        <w:jc w:val="center"/>
        <w:rPr>
          <w:rFonts w:eastAsia="Calibri"/>
          <w:b/>
        </w:rPr>
      </w:pPr>
      <w:r>
        <w:rPr>
          <w:b/>
        </w:rPr>
        <w:t>Άρθρο 6</w:t>
      </w:r>
    </w:p>
    <w:p w14:paraId="44FAA856" w14:textId="77777777" w:rsidR="00CA1F6D" w:rsidRPr="00CF2667" w:rsidRDefault="00CA1F6D" w:rsidP="006E7FC5">
      <w:pPr>
        <w:spacing w:after="0" w:line="240" w:lineRule="auto"/>
        <w:jc w:val="both"/>
        <w:rPr>
          <w:rFonts w:eastAsia="Calibri"/>
        </w:rPr>
      </w:pPr>
    </w:p>
    <w:p w14:paraId="5F18C0BC" w14:textId="77777777" w:rsidR="00CA1F6D" w:rsidRPr="00CF2667" w:rsidRDefault="0099589C" w:rsidP="00CA1F6D">
      <w:pPr>
        <w:spacing w:after="0" w:line="240" w:lineRule="auto"/>
        <w:jc w:val="both"/>
      </w:pPr>
      <w:r>
        <w:t>(1) Το άρθρο 25 παράγραφοι 1-4 του εκτελεστικού διατάγματος αντικαθίσταται ως εξής:</w:t>
      </w:r>
    </w:p>
    <w:p w14:paraId="53A6CFCD" w14:textId="77777777" w:rsidR="00CA1F6D" w:rsidRPr="00CF2667" w:rsidRDefault="00CA1F6D" w:rsidP="00CA1F6D">
      <w:pPr>
        <w:spacing w:after="0" w:line="240" w:lineRule="auto"/>
        <w:jc w:val="both"/>
      </w:pPr>
    </w:p>
    <w:p w14:paraId="417ECDB4" w14:textId="77777777" w:rsidR="00CA1F6D" w:rsidRDefault="00CA1F6D" w:rsidP="00CA1F6D">
      <w:pPr>
        <w:spacing w:after="0" w:line="240" w:lineRule="auto"/>
        <w:jc w:val="both"/>
      </w:pPr>
      <w:r>
        <w:t xml:space="preserve">«1) Εάν ο φορέας εκμετάλλευσης έχει άδεια να διοργανώνει άλλα τυχερά παίγνια εκτός από τα τυχερά παίγνια εξ αποστάσεως, η διευθέτηση και η καταγραφή των στοιχημάτων, των κερδών και άλλων συναλλαγών που σχετίζονται με τυχερά παίγνια είναι δυνατό να διατηρούνται για τον παίκτη σε ένα ή πολλαπλά κοινά υπόλοιπα παίκτη σε σχέση με όλα τα παίγνια που επηρεάζονται από ένα συγκεκριμένο υπόλοιπο παίκτη. </w:t>
      </w:r>
    </w:p>
    <w:p w14:paraId="489F5722" w14:textId="77777777" w:rsidR="00BE630A" w:rsidRPr="00CF2667" w:rsidRDefault="00BE630A" w:rsidP="00CA1F6D">
      <w:pPr>
        <w:spacing w:after="0" w:line="240" w:lineRule="auto"/>
        <w:jc w:val="both"/>
        <w:rPr>
          <w:strike/>
        </w:rPr>
      </w:pPr>
    </w:p>
    <w:p w14:paraId="38A65140" w14:textId="77777777" w:rsidR="00CA1F6D" w:rsidRDefault="00CA1F6D" w:rsidP="00CA1F6D">
      <w:pPr>
        <w:spacing w:after="0" w:line="240" w:lineRule="auto"/>
        <w:jc w:val="both"/>
      </w:pPr>
      <w:r>
        <w:t>(2) Ο διοργανωτής μπορεί να καθορίσει το κοινό υπόλοιπο παίκτη χρησιμοποιώντας το υπάρχον υπόλοιπο του παίκτη στον διοργανωτή ή χωριστά από αυτό.</w:t>
      </w:r>
    </w:p>
    <w:p w14:paraId="23DE9B81" w14:textId="77777777" w:rsidR="00BE630A" w:rsidRPr="00CF2667" w:rsidRDefault="00BE630A" w:rsidP="00CA1F6D">
      <w:pPr>
        <w:spacing w:after="0" w:line="240" w:lineRule="auto"/>
        <w:jc w:val="both"/>
      </w:pPr>
    </w:p>
    <w:p w14:paraId="5F87DC70" w14:textId="01D878ED" w:rsidR="00CA1F6D" w:rsidRDefault="00CA1F6D" w:rsidP="00CA1F6D">
      <w:pPr>
        <w:spacing w:after="0" w:line="240" w:lineRule="auto"/>
        <w:jc w:val="both"/>
      </w:pPr>
      <w:r>
        <w:t>(3) Εάν ένα κοινό υπόλοιπο παίκτη καθοριστεί με τη χρήση του υπάρχοντος υπολοίπου ή χωριστά από αυτό, η συμμετοχή του παίκτη στο εξ αποστάσεως τυχερό παίγνιο είναι δυνατό να πραγματοποιηθεί εφόσον τηρούνται οι διατάξεις που διέπουν τα εξ αποστάσεως τυχερά παίγνια.</w:t>
      </w:r>
    </w:p>
    <w:p w14:paraId="2E0069C6" w14:textId="77777777" w:rsidR="00BE630A" w:rsidRPr="00CF2667" w:rsidRDefault="00BE630A" w:rsidP="00CA1F6D">
      <w:pPr>
        <w:spacing w:after="0" w:line="240" w:lineRule="auto"/>
        <w:jc w:val="both"/>
      </w:pPr>
    </w:p>
    <w:p w14:paraId="7A20ACDF" w14:textId="77777777" w:rsidR="00CA1F6D" w:rsidRPr="00CF2667" w:rsidRDefault="00CA1F6D" w:rsidP="00CA1F6D">
      <w:pPr>
        <w:spacing w:after="0" w:line="240" w:lineRule="auto"/>
        <w:jc w:val="both"/>
      </w:pPr>
      <w:r>
        <w:t>(4) Το περιθώριο πληρωμής για τα κοινά υπόλοιπα παικτών σύμφωνα με το άρθρο 29/Η παράγραφος 5 του νόμου περί τυχερών παιγνίων πρέπει να καθορίζεται κατά τρόπο ώστε να διασφαλίζονται οι πληρωμές σε όλα τα σχετικά παίγνια.»</w:t>
      </w:r>
    </w:p>
    <w:p w14:paraId="5294CE56" w14:textId="77777777" w:rsidR="0099589C" w:rsidRPr="00CF2667" w:rsidRDefault="0099589C" w:rsidP="00CA1F6D">
      <w:pPr>
        <w:spacing w:after="0" w:line="240" w:lineRule="auto"/>
        <w:jc w:val="both"/>
      </w:pPr>
    </w:p>
    <w:p w14:paraId="31BCA5AA" w14:textId="68A3C0CF" w:rsidR="0099589C" w:rsidRPr="00CF2667" w:rsidRDefault="0099589C" w:rsidP="00CA1F6D">
      <w:pPr>
        <w:spacing w:after="0" w:line="240" w:lineRule="auto"/>
        <w:jc w:val="both"/>
      </w:pPr>
      <w:r>
        <w:t>(2) Το άρθρο 25 παράγραφοι 6 και 7 του εκτελεστικού διατάγματος αντικαθίσταται ως εξής:</w:t>
      </w:r>
    </w:p>
    <w:p w14:paraId="2D2C3E3B" w14:textId="77777777" w:rsidR="0099589C" w:rsidRPr="00CF2667" w:rsidRDefault="0099589C" w:rsidP="00CA1F6D">
      <w:pPr>
        <w:spacing w:after="0" w:line="240" w:lineRule="auto"/>
        <w:jc w:val="both"/>
      </w:pPr>
    </w:p>
    <w:p w14:paraId="155C1E40" w14:textId="77777777" w:rsidR="00CA1F6D" w:rsidRDefault="0099589C" w:rsidP="00CA1F6D">
      <w:pPr>
        <w:spacing w:after="0" w:line="240" w:lineRule="auto"/>
        <w:jc w:val="both"/>
      </w:pPr>
      <w:r>
        <w:t>«6) Κατά τη διάρκεια της περιόδου αναστολής της άδειας για ένα παίγνιο, ο φορέας εκμετάλλευσης μεταβιβάζει στο κοινό υπόλοιπο παίκτη τυχόν χρεώσεις, πιστώσεις που σχετίζονται με τη διευθέτηση των συναλλαγών τυχερών παιγνίων σε παίγνια άλλα από το εν λόγω παίγνιο, τα οποία πρέπει να ανήκουν στο κοινό υπόλοιπο, και πραγματοποιεί πληρωμές που σχετίζονται με τις εν λόγω συναλλαγές τυχερών παιγνίων. Στο πλαίσιο του παιγνίου που επηρεάζεται από την αναστολή της άδειας, ο φορέας εκμετάλλευσης μεταβιβάζει μόνο χρεώσεις και πιστώσεις για παίγνια που προηγούνται της ημερομηνίας αναστολής και μπορεί να πραγματοποιεί πληρωμές που αφορούν μόνο τη διευθέτηση των συναλλαγών τυχερών παιγνίων πριν από την ημερομηνία αναστολής.</w:t>
      </w:r>
    </w:p>
    <w:p w14:paraId="60E69676" w14:textId="77777777" w:rsidR="00BE630A" w:rsidRPr="00CF2667" w:rsidRDefault="00BE630A" w:rsidP="00CA1F6D">
      <w:pPr>
        <w:spacing w:after="0" w:line="240" w:lineRule="auto"/>
        <w:jc w:val="both"/>
      </w:pPr>
    </w:p>
    <w:p w14:paraId="0A01354D" w14:textId="77777777" w:rsidR="00CA1F6D" w:rsidRPr="00CF2667" w:rsidRDefault="00CA1F6D" w:rsidP="00CA1F6D">
      <w:pPr>
        <w:spacing w:after="0" w:line="240" w:lineRule="auto"/>
        <w:jc w:val="both"/>
      </w:pPr>
      <w:r>
        <w:t>(7) Η αναστολή ή ο τερματισμός του κοινού υπολοίπου παικτών από τον φορέα εκμετάλλευσης θεωρείται μέτρο που επηρεάζει όλα τα παίγνια. Σε περίπτωση απαγόρευσης βάσει του διατάγματος της SZTFH σχετικά με τους λεπτομερείς κανόνες που διέπουν την υπεύθυνη διοργάνωση τυχερών παιγνίων, ο φορέας εκμετάλλευσης θα καθορίσει στο σχέδιο παιγνίων και στους κανόνες συμμετοχής αν, σε περίπτωση σοβαρής παράβασης της σύμβασης, το υπόλοιπο παίκτη και η δυνατότητα πρόσβασης στα παίγνια θα παύσουν να υφίστανται για όλα τα σχετικά παίγνια.»</w:t>
      </w:r>
    </w:p>
    <w:p w14:paraId="6B66795A" w14:textId="77777777" w:rsidR="00672BEF" w:rsidRPr="00CF2667" w:rsidRDefault="00672BEF" w:rsidP="00CA1F6D">
      <w:pPr>
        <w:spacing w:after="0" w:line="240" w:lineRule="auto"/>
        <w:jc w:val="both"/>
      </w:pPr>
    </w:p>
    <w:p w14:paraId="554A5C3E" w14:textId="6D28C58D" w:rsidR="00672BEF" w:rsidRPr="00CF2667" w:rsidRDefault="0053730E" w:rsidP="008902D0">
      <w:pPr>
        <w:keepNext/>
        <w:keepLines/>
        <w:spacing w:after="0" w:line="240" w:lineRule="auto"/>
        <w:jc w:val="center"/>
        <w:rPr>
          <w:rFonts w:eastAsia="Calibri"/>
          <w:b/>
        </w:rPr>
      </w:pPr>
      <w:r>
        <w:rPr>
          <w:b/>
        </w:rPr>
        <w:t>Άρθρο 7</w:t>
      </w:r>
    </w:p>
    <w:p w14:paraId="20C19BC1" w14:textId="77777777" w:rsidR="005A6F45" w:rsidRPr="00CF2667" w:rsidRDefault="005A6F45" w:rsidP="008902D0">
      <w:pPr>
        <w:keepNext/>
        <w:keepLines/>
        <w:spacing w:after="0"/>
        <w:rPr>
          <w:b/>
        </w:rPr>
      </w:pPr>
    </w:p>
    <w:p w14:paraId="3E80FDCD" w14:textId="502FA8D5" w:rsidR="005A6F45" w:rsidRPr="00CF2667" w:rsidRDefault="005A6F45" w:rsidP="00D007AF">
      <w:pPr>
        <w:spacing w:after="0"/>
        <w:jc w:val="both"/>
      </w:pPr>
      <w:r>
        <w:t>Το άρθρο 26 παράγραφοι 2-3 του εκτελεστικού διατάγματος αντικαθίσταται ως εξής:</w:t>
      </w:r>
    </w:p>
    <w:p w14:paraId="75956E45" w14:textId="77777777" w:rsidR="005A6F45" w:rsidRPr="00CF2667" w:rsidRDefault="005A6F45" w:rsidP="005A6F45">
      <w:pPr>
        <w:spacing w:after="0" w:line="240" w:lineRule="auto"/>
        <w:jc w:val="both"/>
      </w:pPr>
    </w:p>
    <w:p w14:paraId="00B4543E" w14:textId="4F6CE1E6" w:rsidR="005A6F45" w:rsidRDefault="005A6F45" w:rsidP="005A6F45">
      <w:pPr>
        <w:spacing w:after="0" w:line="240" w:lineRule="auto"/>
        <w:jc w:val="both"/>
      </w:pPr>
      <w:r>
        <w:t>«2) Ο φορέας εκμετάλλευσης μπορεί, για άλλους λόγους που καθορίζονται στο σχέδιο παιγνίου και στους κανόνες συμμετοχής, ιδίως σε περίπτωση παράβασης των κανόνων συμμετοχής στο παίγνιο, να αναστείλει το υπόλοιπο παίκτη που ανήκει σε αυτό το παίγνιο ή ακόμα και κάθε υπόλοιπο παίκτη του παίκτη.</w:t>
      </w:r>
    </w:p>
    <w:p w14:paraId="09271C4A" w14:textId="77777777" w:rsidR="00BE630A" w:rsidRPr="00CF2667" w:rsidRDefault="00BE630A" w:rsidP="005A6F45">
      <w:pPr>
        <w:spacing w:after="0" w:line="240" w:lineRule="auto"/>
        <w:jc w:val="both"/>
      </w:pPr>
    </w:p>
    <w:p w14:paraId="211075B7" w14:textId="77777777" w:rsidR="005A6F45" w:rsidRPr="00CF2667" w:rsidRDefault="005A6F45" w:rsidP="005A6F45">
      <w:pPr>
        <w:spacing w:after="0" w:line="240" w:lineRule="auto"/>
        <w:jc w:val="both"/>
      </w:pPr>
      <w:r>
        <w:t>(3) Ο φορέας εκμετάλλευσης ενημερώνει αμέσως τον παίκτη μέσω ηλεκτρονικού ταχυδρομείου, για το γεγονός, την ημερομηνία και τον λόγο της αναστολής του υπολοίπου ή των υπολοίπων παικτών ή για το γεγονός και την ημερομηνία λήξης της αναστολής.»</w:t>
      </w:r>
    </w:p>
    <w:p w14:paraId="0F80A0E3" w14:textId="77777777" w:rsidR="00672BEF" w:rsidRPr="00CF2667" w:rsidRDefault="00672BEF" w:rsidP="00CA1F6D">
      <w:pPr>
        <w:spacing w:after="0" w:line="240" w:lineRule="auto"/>
        <w:jc w:val="both"/>
      </w:pPr>
    </w:p>
    <w:p w14:paraId="54A8D44E" w14:textId="1F230B53" w:rsidR="00CA1F6D" w:rsidRPr="00CF2667" w:rsidRDefault="006A2019" w:rsidP="00883ECB">
      <w:pPr>
        <w:spacing w:after="0" w:line="240" w:lineRule="auto"/>
        <w:jc w:val="center"/>
        <w:rPr>
          <w:rFonts w:eastAsia="Calibri"/>
          <w:b/>
        </w:rPr>
      </w:pPr>
      <w:r>
        <w:rPr>
          <w:b/>
        </w:rPr>
        <w:t>Άρθρο 8</w:t>
      </w:r>
    </w:p>
    <w:p w14:paraId="6BE5A07E" w14:textId="77777777" w:rsidR="00CA1F6D" w:rsidRPr="00CF2667" w:rsidRDefault="00CA1F6D" w:rsidP="006E7FC5">
      <w:pPr>
        <w:spacing w:after="0" w:line="240" w:lineRule="auto"/>
        <w:jc w:val="both"/>
        <w:rPr>
          <w:rFonts w:eastAsia="Calibri"/>
        </w:rPr>
      </w:pPr>
    </w:p>
    <w:p w14:paraId="634AF65C" w14:textId="77777777" w:rsidR="00883ECB" w:rsidRPr="00CF2667" w:rsidRDefault="00883ECB" w:rsidP="00883ECB">
      <w:pPr>
        <w:spacing w:after="0" w:line="240" w:lineRule="auto"/>
        <w:jc w:val="both"/>
      </w:pPr>
      <w:r>
        <w:t>Το άρθρο 29 παράγραφος 3 του εκτελεστικού διατάγματος αντικαθίσταται από το ακόλουθο κείμενο:</w:t>
      </w:r>
    </w:p>
    <w:p w14:paraId="4DDA198A" w14:textId="77777777" w:rsidR="00883ECB" w:rsidRPr="00CF2667" w:rsidRDefault="00883ECB" w:rsidP="00883ECB">
      <w:pPr>
        <w:spacing w:after="0" w:line="240" w:lineRule="auto"/>
        <w:jc w:val="both"/>
      </w:pPr>
    </w:p>
    <w:p w14:paraId="43128F1C" w14:textId="71C5936B" w:rsidR="00883ECB" w:rsidRPr="00CF2667" w:rsidRDefault="00883ECB" w:rsidP="00883ECB">
      <w:pPr>
        <w:spacing w:after="0" w:line="240" w:lineRule="auto"/>
        <w:jc w:val="both"/>
      </w:pPr>
      <w:r>
        <w:t>«3) Σε περίπτωση κοινού υπολοίπου παίκτη, ο παίκτης μπορεί να χρησιμοποιήσει το μπόνους δώρου και την ειδική προσφορά μπόνους ως στοιχήματα για τους σκοπούς του τυχερού παιγνίου στο συγκεκριμένο υπόλοιπο παίκτη, υπό την προϋπόθεση ότι ο φορέας εκμετάλλευσης το υπολογίζει με τον ίδιο τρόπο όπως ορίζεται στα εγκεκριμένα σχέδια παιγνίων.»</w:t>
      </w:r>
    </w:p>
    <w:p w14:paraId="3A09060E" w14:textId="77777777" w:rsidR="00883ECB" w:rsidRPr="00CF2667" w:rsidRDefault="00883ECB" w:rsidP="006E7FC5">
      <w:pPr>
        <w:spacing w:after="0" w:line="240" w:lineRule="auto"/>
        <w:jc w:val="both"/>
        <w:rPr>
          <w:rFonts w:eastAsia="Calibri"/>
        </w:rPr>
      </w:pPr>
    </w:p>
    <w:p w14:paraId="073A1B9C" w14:textId="1E762FAB" w:rsidR="00883ECB" w:rsidRPr="00CF2667" w:rsidRDefault="006A2019" w:rsidP="00BE416C">
      <w:pPr>
        <w:spacing w:after="0" w:line="240" w:lineRule="auto"/>
        <w:jc w:val="center"/>
        <w:rPr>
          <w:rFonts w:eastAsia="Calibri"/>
          <w:b/>
        </w:rPr>
      </w:pPr>
      <w:r>
        <w:rPr>
          <w:b/>
        </w:rPr>
        <w:t>Άρθρο 9</w:t>
      </w:r>
    </w:p>
    <w:p w14:paraId="5B41DEF3" w14:textId="77777777" w:rsidR="00BE416C" w:rsidRPr="00CF2667" w:rsidRDefault="00BE416C" w:rsidP="00BE416C">
      <w:pPr>
        <w:spacing w:after="0" w:line="240" w:lineRule="auto"/>
        <w:jc w:val="both"/>
        <w:rPr>
          <w:rFonts w:eastAsia="Calibri"/>
          <w:b/>
        </w:rPr>
      </w:pPr>
    </w:p>
    <w:p w14:paraId="091301B9" w14:textId="77777777" w:rsidR="00BE416C" w:rsidRPr="00CF2667" w:rsidRDefault="00BE416C" w:rsidP="00BE416C">
      <w:pPr>
        <w:spacing w:after="0" w:line="240" w:lineRule="auto"/>
        <w:jc w:val="both"/>
      </w:pPr>
      <w:r>
        <w:t>Το άρθρο 32 παράγραφος 2 του εκτελεστικού διατάγματος αντικαθίσταται από το ακόλουθο κείμενο:</w:t>
      </w:r>
    </w:p>
    <w:p w14:paraId="3935C9D5" w14:textId="77777777" w:rsidR="00BE416C" w:rsidRPr="00CF2667" w:rsidRDefault="00BE416C" w:rsidP="00BE416C">
      <w:pPr>
        <w:spacing w:after="0" w:line="240" w:lineRule="auto"/>
        <w:jc w:val="both"/>
      </w:pPr>
    </w:p>
    <w:p w14:paraId="5F8CCFFC" w14:textId="77777777" w:rsidR="00BE416C" w:rsidRPr="00CF2667" w:rsidRDefault="00BE416C" w:rsidP="00BE416C">
      <w:pPr>
        <w:spacing w:after="0" w:line="240" w:lineRule="auto"/>
        <w:jc w:val="both"/>
      </w:pPr>
      <w:r>
        <w:lastRenderedPageBreak/>
        <w:t xml:space="preserve">«2) Στην περίπτωση των πολλαπλών κοινών υπολοίπων παικτών τα οποία αναφέρονται στο άρθρο 25 παράγραφος 1, τα δεδομένα που αναφέρονται στο παράρτημα 3 ενότητα I στοιχεία </w:t>
      </w:r>
      <w:r>
        <w:rPr>
          <w:i/>
        </w:rPr>
        <w:t>α)</w:t>
      </w:r>
      <w:r>
        <w:t>-</w:t>
      </w:r>
      <w:r>
        <w:rPr>
          <w:i/>
        </w:rPr>
        <w:t>δ)</w:t>
      </w:r>
      <w:r>
        <w:t xml:space="preserve">, </w:t>
      </w:r>
      <w:r>
        <w:rPr>
          <w:i/>
        </w:rPr>
        <w:t>θ)</w:t>
      </w:r>
      <w:r>
        <w:t>-</w:t>
      </w:r>
      <w:r>
        <w:rPr>
          <w:i/>
        </w:rPr>
        <w:t>(</w:t>
      </w:r>
      <w:proofErr w:type="spellStart"/>
      <w:r>
        <w:rPr>
          <w:i/>
        </w:rPr>
        <w:t>ιβ</w:t>
      </w:r>
      <w:proofErr w:type="spellEnd"/>
      <w:r>
        <w:rPr>
          <w:i/>
        </w:rPr>
        <w:t>)</w:t>
      </w:r>
      <w:r>
        <w:t xml:space="preserve"> και </w:t>
      </w:r>
      <w:r>
        <w:rPr>
          <w:i/>
        </w:rPr>
        <w:t>(</w:t>
      </w:r>
      <w:proofErr w:type="spellStart"/>
      <w:r>
        <w:rPr>
          <w:i/>
        </w:rPr>
        <w:t>ιδ</w:t>
      </w:r>
      <w:proofErr w:type="spellEnd"/>
      <w:r>
        <w:rPr>
          <w:i/>
        </w:rPr>
        <w:t>)</w:t>
      </w:r>
      <w:r>
        <w:t xml:space="preserve"> παρέχονται σε σχέση με το σχετικό κοινό υπόλοιπο παίκτη.»</w:t>
      </w:r>
    </w:p>
    <w:p w14:paraId="3C2DC92C" w14:textId="77777777" w:rsidR="00EF1F0E" w:rsidRPr="00CF2667" w:rsidRDefault="00EF1F0E" w:rsidP="00D831E3">
      <w:pPr>
        <w:spacing w:after="0" w:line="240" w:lineRule="auto"/>
        <w:jc w:val="center"/>
        <w:rPr>
          <w:rFonts w:eastAsia="Calibri"/>
          <w:b/>
        </w:rPr>
      </w:pPr>
    </w:p>
    <w:p w14:paraId="3368B22F" w14:textId="77777777" w:rsidR="00CC2AA8" w:rsidRPr="00CF2667" w:rsidRDefault="00CC2AA8" w:rsidP="009B4363">
      <w:pPr>
        <w:spacing w:after="0"/>
        <w:jc w:val="both"/>
      </w:pPr>
    </w:p>
    <w:p w14:paraId="5288889E" w14:textId="005DDDB9" w:rsidR="00BE416C" w:rsidRPr="00CF2667" w:rsidRDefault="00D831E3" w:rsidP="00BE416C">
      <w:pPr>
        <w:spacing w:after="0" w:line="240" w:lineRule="auto"/>
        <w:jc w:val="center"/>
        <w:rPr>
          <w:rFonts w:eastAsia="Calibri"/>
          <w:b/>
        </w:rPr>
      </w:pPr>
      <w:r>
        <w:rPr>
          <w:b/>
        </w:rPr>
        <w:t>Άρθρο 10</w:t>
      </w:r>
    </w:p>
    <w:p w14:paraId="5AEE038B" w14:textId="77777777" w:rsidR="00883ECB" w:rsidRPr="00CF2667" w:rsidRDefault="00883ECB" w:rsidP="006E7FC5">
      <w:pPr>
        <w:spacing w:after="0" w:line="240" w:lineRule="auto"/>
        <w:jc w:val="both"/>
        <w:rPr>
          <w:rFonts w:eastAsia="Calibri"/>
        </w:rPr>
      </w:pPr>
    </w:p>
    <w:p w14:paraId="780AC5C8" w14:textId="77777777" w:rsidR="00BE416C" w:rsidRDefault="00BE416C" w:rsidP="00BE416C">
      <w:r>
        <w:t>Το άρθρο 76 παράγραφος 5 του εκτελεστικού διατάγματος αντικαθίσταται από το ακόλουθο κείμενο:</w:t>
      </w:r>
    </w:p>
    <w:p w14:paraId="7CCD7B57" w14:textId="4704AFFB" w:rsidR="00D87DB3" w:rsidRPr="00B404C3" w:rsidRDefault="00D87DB3" w:rsidP="00BE416C">
      <w:pPr>
        <w:rPr>
          <w:i/>
        </w:rPr>
      </w:pPr>
      <w:r>
        <w:rPr>
          <w:i/>
        </w:rPr>
        <w:t>(Για τους σκοπούς του παρόντος κανονισμού)</w:t>
      </w:r>
    </w:p>
    <w:p w14:paraId="50528523" w14:textId="77777777" w:rsidR="00BE416C" w:rsidRPr="00CF2667" w:rsidRDefault="00BE416C" w:rsidP="00BE416C">
      <w:pPr>
        <w:spacing w:after="0" w:line="240" w:lineRule="auto"/>
        <w:jc w:val="both"/>
      </w:pPr>
      <w:r>
        <w:t xml:space="preserve">«5. </w:t>
      </w:r>
      <w:r>
        <w:rPr>
          <w:i/>
        </w:rPr>
        <w:t>κοινό υπόλοιπο παίκτη:</w:t>
      </w:r>
      <w:r>
        <w:t xml:space="preserve"> είναι ένα υπόλοιπο παίκτη που τηρείται από φορέα εκμετάλλευσης (ο οποίος έχει άδεια να διοργανώνει πολλαπλούς τύπους τυχερών παιγνίων) με σκοπό τη διευθέτηση και την καταγραφή στοιχημάτων, κερδών και άλλων συναλλαγών τυχερών παιγνίων που σχετίζονται με τα σχετικά τυχερά παίγνια.»</w:t>
      </w:r>
    </w:p>
    <w:p w14:paraId="08CA76BF" w14:textId="77777777" w:rsidR="006E7FC5" w:rsidRPr="00CF2667" w:rsidRDefault="006E7FC5" w:rsidP="006E7FC5">
      <w:pPr>
        <w:spacing w:after="0" w:line="240" w:lineRule="auto"/>
        <w:jc w:val="both"/>
        <w:rPr>
          <w:rFonts w:eastAsia="Calibri"/>
        </w:rPr>
      </w:pPr>
    </w:p>
    <w:p w14:paraId="1A64D24D" w14:textId="6112EEA4" w:rsidR="004B77C9" w:rsidRPr="00CF2667" w:rsidRDefault="004B77C9" w:rsidP="006E7FC5">
      <w:pPr>
        <w:spacing w:after="0" w:line="240" w:lineRule="auto"/>
        <w:jc w:val="both"/>
        <w:rPr>
          <w:rFonts w:eastAsia="Calibri"/>
        </w:rPr>
      </w:pPr>
    </w:p>
    <w:p w14:paraId="28E48A86" w14:textId="77777777" w:rsidR="00024F51" w:rsidRPr="00CF2667" w:rsidRDefault="00024F51" w:rsidP="00D851ED">
      <w:pPr>
        <w:spacing w:after="0" w:line="240" w:lineRule="auto"/>
        <w:jc w:val="center"/>
        <w:rPr>
          <w:rFonts w:eastAsia="Calibri"/>
          <w:b/>
        </w:rPr>
      </w:pPr>
    </w:p>
    <w:p w14:paraId="62A2F325" w14:textId="299A9708" w:rsidR="00024F51" w:rsidRDefault="00B8585F" w:rsidP="00D851ED">
      <w:pPr>
        <w:spacing w:after="0" w:line="240" w:lineRule="auto"/>
        <w:jc w:val="center"/>
        <w:rPr>
          <w:rFonts w:eastAsia="Calibri"/>
          <w:b/>
        </w:rPr>
      </w:pPr>
      <w:r>
        <w:rPr>
          <w:b/>
        </w:rPr>
        <w:t>Άρθρο 11</w:t>
      </w:r>
    </w:p>
    <w:p w14:paraId="2AA0E041" w14:textId="77777777" w:rsidR="00B8585F" w:rsidRDefault="00B8585F" w:rsidP="00D851ED">
      <w:pPr>
        <w:spacing w:after="0" w:line="240" w:lineRule="auto"/>
        <w:jc w:val="center"/>
        <w:rPr>
          <w:rFonts w:eastAsia="Calibri"/>
          <w:b/>
        </w:rPr>
      </w:pPr>
    </w:p>
    <w:p w14:paraId="284227C6" w14:textId="77777777" w:rsidR="00B8585F" w:rsidRDefault="00B8585F" w:rsidP="00B8585F">
      <w:pPr>
        <w:spacing w:after="0" w:line="240" w:lineRule="auto"/>
        <w:jc w:val="both"/>
        <w:rPr>
          <w:rFonts w:eastAsia="Calibri"/>
        </w:rPr>
      </w:pPr>
      <w:r>
        <w:t>Στο κεφάλαιο XI του εκτελεστικού διατάγματος προστίθεται νέο άρθρο 79, το οποίο διατυπώνεται ως εξής:</w:t>
      </w:r>
    </w:p>
    <w:p w14:paraId="0CFCA622" w14:textId="77777777" w:rsidR="00B8585F" w:rsidRDefault="00B8585F" w:rsidP="00B8585F">
      <w:pPr>
        <w:spacing w:after="0" w:line="240" w:lineRule="auto"/>
        <w:jc w:val="both"/>
        <w:rPr>
          <w:rFonts w:eastAsia="Calibri"/>
          <w:b/>
        </w:rPr>
      </w:pPr>
    </w:p>
    <w:p w14:paraId="537E199A" w14:textId="5CD65CEE" w:rsidR="00B8585F" w:rsidRPr="003B294C" w:rsidRDefault="00B8585F" w:rsidP="00B8585F">
      <w:pPr>
        <w:spacing w:after="0" w:line="240" w:lineRule="auto"/>
        <w:jc w:val="both"/>
        <w:rPr>
          <w:rFonts w:eastAsia="Calibri"/>
        </w:rPr>
      </w:pPr>
      <w:r>
        <w:t xml:space="preserve">«Άρθρο 79 Το σχέδιο διατάξεων του παρόντος κανονισμού που θεσπίστηκε με το διάταγμα αριθ. …/2023 της SZTFH (......) για την τροποποίηση του διατάγματος αριθ. 20/2021 της SZTFH, της 29ης Οκτωβρίου 2021, σχετικά με την εκτέλεση των καθηκόντων που αφορούν την </w:t>
      </w:r>
      <w:proofErr w:type="spellStart"/>
      <w:r>
        <w:t>αδειοδότηση</w:t>
      </w:r>
      <w:proofErr w:type="spellEnd"/>
      <w:r>
        <w:t>, τη διαχείριση και τον έλεγχο ορισμένων τυχερών παιγνίων, ήτοι άρθρο 2/A, άρθρο 13 παράγραφοι 3, 10 και 11, τίτλος 7/A, άρθρο 16/ΣΤ, άρθρο 22 παράγραφος 1, άρθρο 22 παράγραφοι 2 και 4, άρθρο 25 παράγραφοι 1-4, 6 και 7, άρθρο 26 παράγραφοι 2 και 3, άρθρο 29 παράγραφος 3, άρθρο 32 παράγραφος 2, άρθρο 76 παράγραφος 5 και παράρτημα 2 ενότητα Γ παράγραφος 1, έχει κοινοποιηθεί εκ των προτέρων σύμφωνα με τα άρθρα 5 έως 7 της οδηγίας (ΕΕ) 2015/1535 του Ευρωπαϊκού Κοινοβουλίου και του Συμβουλίου, της 9ης Σεπτεμβρίου 2015, για την καθιέρωση μιας διαδικασίας πληροφόρησης στον τομέα των τεχνικών προδιαγραφών και των κανόνων σχετικά με τις υπηρεσίες της κοινωνίας των πληροφοριών.»</w:t>
      </w:r>
    </w:p>
    <w:p w14:paraId="78C7E8FD" w14:textId="77777777" w:rsidR="00B8585F" w:rsidRPr="00CF2667" w:rsidRDefault="00B8585F" w:rsidP="00D851ED">
      <w:pPr>
        <w:spacing w:after="0" w:line="240" w:lineRule="auto"/>
        <w:jc w:val="center"/>
        <w:rPr>
          <w:rFonts w:eastAsia="Calibri"/>
          <w:b/>
        </w:rPr>
      </w:pPr>
    </w:p>
    <w:p w14:paraId="2056C2B0" w14:textId="77777777" w:rsidR="00024F51" w:rsidRPr="00CF2667" w:rsidRDefault="00024F51" w:rsidP="00D851ED">
      <w:pPr>
        <w:spacing w:after="0" w:line="240" w:lineRule="auto"/>
        <w:jc w:val="center"/>
        <w:rPr>
          <w:rFonts w:eastAsia="Calibri"/>
          <w:b/>
        </w:rPr>
      </w:pPr>
    </w:p>
    <w:p w14:paraId="115BBCEA" w14:textId="2E59E0DF" w:rsidR="00B8585F" w:rsidRPr="00CF2667" w:rsidRDefault="00D831E3" w:rsidP="00B8585F">
      <w:pPr>
        <w:spacing w:after="0" w:line="240" w:lineRule="auto"/>
        <w:jc w:val="center"/>
        <w:rPr>
          <w:rFonts w:eastAsia="Calibri"/>
          <w:b/>
        </w:rPr>
      </w:pPr>
      <w:r>
        <w:rPr>
          <w:b/>
        </w:rPr>
        <w:t>Άρθρο 12</w:t>
      </w:r>
    </w:p>
    <w:p w14:paraId="7508A6B6" w14:textId="77777777" w:rsidR="006E7FC5" w:rsidRPr="00CF2667" w:rsidRDefault="006E7FC5" w:rsidP="006E7FC5">
      <w:pPr>
        <w:spacing w:after="0" w:line="240" w:lineRule="auto"/>
        <w:jc w:val="both"/>
        <w:rPr>
          <w:rFonts w:eastAsia="Calibri"/>
        </w:rPr>
      </w:pPr>
    </w:p>
    <w:p w14:paraId="67F085A2" w14:textId="718B856E" w:rsidR="00173F50" w:rsidRPr="00CF2667" w:rsidRDefault="00CB7CD2" w:rsidP="006E7FC5">
      <w:pPr>
        <w:spacing w:after="0" w:line="240" w:lineRule="auto"/>
        <w:jc w:val="both"/>
        <w:rPr>
          <w:rFonts w:eastAsia="Calibri"/>
        </w:rPr>
      </w:pPr>
      <w:r>
        <w:t xml:space="preserve">Στο εκτελεστικό διάταγμα, </w:t>
      </w:r>
    </w:p>
    <w:p w14:paraId="1AD1CF86" w14:textId="6E94142C" w:rsidR="00A52272" w:rsidRPr="00CF2667" w:rsidRDefault="00F63205" w:rsidP="006E7FC5">
      <w:pPr>
        <w:spacing w:after="0" w:line="240" w:lineRule="auto"/>
        <w:jc w:val="both"/>
        <w:rPr>
          <w:rFonts w:eastAsia="Calibri"/>
        </w:rPr>
      </w:pPr>
      <w:r>
        <w:rPr>
          <w:i/>
        </w:rPr>
        <w:t>α)</w:t>
      </w:r>
      <w:r>
        <w:t xml:space="preserve"> στο άρθρο 22 παράγραφος 1, οι λέξεις «το υπόλοιπο παίκτη» αντικαθίστανται από τις λέξεις «όλα τα σχετικά υπόλοιπα παίκτη»,</w:t>
      </w:r>
    </w:p>
    <w:p w14:paraId="0E38F8A0" w14:textId="10A0D320" w:rsidR="00F63205" w:rsidRPr="008D4778" w:rsidRDefault="00F63205" w:rsidP="00F63205">
      <w:pPr>
        <w:spacing w:after="0" w:line="240" w:lineRule="auto"/>
        <w:jc w:val="both"/>
        <w:rPr>
          <w:rFonts w:eastAsia="Calibri"/>
        </w:rPr>
      </w:pPr>
      <w:r>
        <w:rPr>
          <w:i/>
        </w:rPr>
        <w:t>β)</w:t>
      </w:r>
      <w:r>
        <w:t xml:space="preserve"> στο παράρτημα 2 ενότητα Γ παράγραφος 1 οι λέξεις «για το κοινό υπόλοιπο παίκτη» αντικαθίστανται από τις λέξεις «για το σχετικό κοινό υπόλοιπο παίκτη».</w:t>
      </w:r>
    </w:p>
    <w:p w14:paraId="3DF148E3" w14:textId="77777777" w:rsidR="00BF5C0C" w:rsidRPr="00CF2667" w:rsidRDefault="00BF5C0C" w:rsidP="006E7FC5">
      <w:pPr>
        <w:spacing w:after="0" w:line="240" w:lineRule="auto"/>
        <w:jc w:val="both"/>
        <w:rPr>
          <w:rFonts w:eastAsia="Calibri"/>
        </w:rPr>
      </w:pPr>
    </w:p>
    <w:p w14:paraId="1B62B26B" w14:textId="77777777" w:rsidR="00A52272" w:rsidRPr="00CF2667" w:rsidRDefault="00A52272" w:rsidP="006E7FC5">
      <w:pPr>
        <w:spacing w:after="0" w:line="240" w:lineRule="auto"/>
        <w:jc w:val="both"/>
        <w:rPr>
          <w:rFonts w:eastAsia="Calibri"/>
        </w:rPr>
      </w:pPr>
    </w:p>
    <w:p w14:paraId="34636380" w14:textId="61602DFD" w:rsidR="00421C27" w:rsidRPr="00CF2667" w:rsidRDefault="00D831E3" w:rsidP="00421C27">
      <w:pPr>
        <w:spacing w:after="0" w:line="240" w:lineRule="auto"/>
        <w:jc w:val="center"/>
        <w:rPr>
          <w:rFonts w:eastAsia="Calibri"/>
          <w:b/>
        </w:rPr>
      </w:pPr>
      <w:r>
        <w:rPr>
          <w:b/>
        </w:rPr>
        <w:t>Άρθρο 13</w:t>
      </w:r>
    </w:p>
    <w:p w14:paraId="63ECFAEB" w14:textId="45A2EF41" w:rsidR="00BF5C0C" w:rsidRPr="00CF2667" w:rsidRDefault="00BF5C0C" w:rsidP="006E7FC5">
      <w:pPr>
        <w:spacing w:after="0" w:line="240" w:lineRule="auto"/>
        <w:jc w:val="both"/>
        <w:rPr>
          <w:rFonts w:eastAsia="Calibri"/>
        </w:rPr>
      </w:pPr>
    </w:p>
    <w:p w14:paraId="1562E5E9" w14:textId="77777777" w:rsidR="00C9669B" w:rsidRPr="00CF2667" w:rsidRDefault="00D851ED" w:rsidP="006E7FC5">
      <w:pPr>
        <w:spacing w:after="0" w:line="240" w:lineRule="auto"/>
        <w:jc w:val="both"/>
        <w:rPr>
          <w:rFonts w:eastAsia="Calibri"/>
        </w:rPr>
      </w:pPr>
      <w:r>
        <w:t>Οι ακόλουθες διατάξεις του εκτελεστικού διατάγματος καταργούνται:</w:t>
      </w:r>
    </w:p>
    <w:p w14:paraId="0E1ADBA3" w14:textId="77777777" w:rsidR="00BF5C0C" w:rsidRPr="00CF2667" w:rsidRDefault="00BF5C0C" w:rsidP="006E7FC5">
      <w:pPr>
        <w:spacing w:after="0" w:line="240" w:lineRule="auto"/>
        <w:jc w:val="both"/>
        <w:rPr>
          <w:rFonts w:eastAsia="Calibri"/>
        </w:rPr>
      </w:pPr>
    </w:p>
    <w:p w14:paraId="3768B456" w14:textId="77777777" w:rsidR="00C9669B" w:rsidRPr="00CF2667" w:rsidRDefault="00C9669B" w:rsidP="006E7FC5">
      <w:pPr>
        <w:spacing w:after="0" w:line="240" w:lineRule="auto"/>
        <w:jc w:val="both"/>
        <w:rPr>
          <w:rFonts w:eastAsia="Calibri"/>
        </w:rPr>
      </w:pPr>
      <w:r>
        <w:rPr>
          <w:i/>
        </w:rPr>
        <w:lastRenderedPageBreak/>
        <w:t>α)</w:t>
      </w:r>
      <w:r>
        <w:t xml:space="preserve"> άρθρο 11 παράγραφος 2,</w:t>
      </w:r>
    </w:p>
    <w:p w14:paraId="46DB22F4" w14:textId="77777777" w:rsidR="00D851ED" w:rsidRPr="00CF2667" w:rsidRDefault="00C9669B" w:rsidP="006E7FC5">
      <w:pPr>
        <w:spacing w:after="0" w:line="240" w:lineRule="auto"/>
        <w:jc w:val="both"/>
        <w:rPr>
          <w:rFonts w:eastAsia="Calibri"/>
        </w:rPr>
      </w:pPr>
      <w:r>
        <w:rPr>
          <w:i/>
        </w:rPr>
        <w:t>β)</w:t>
      </w:r>
      <w:r>
        <w:t xml:space="preserve"> άρθρο 76 παράγραφος 1.</w:t>
      </w:r>
    </w:p>
    <w:p w14:paraId="5FD8D111" w14:textId="77777777" w:rsidR="006D702B" w:rsidRPr="00CF2667" w:rsidRDefault="006D702B" w:rsidP="006E7FC5">
      <w:pPr>
        <w:spacing w:after="0" w:line="240" w:lineRule="auto"/>
        <w:jc w:val="both"/>
        <w:rPr>
          <w:rFonts w:eastAsia="Calibri"/>
        </w:rPr>
      </w:pPr>
    </w:p>
    <w:p w14:paraId="1BD95EA2" w14:textId="41D12212" w:rsidR="00BF5C0C" w:rsidRPr="00CF2667" w:rsidRDefault="00BF5C0C" w:rsidP="00CF2667">
      <w:pPr>
        <w:spacing w:after="0" w:line="240" w:lineRule="auto"/>
        <w:jc w:val="center"/>
        <w:rPr>
          <w:rFonts w:eastAsia="Calibri"/>
          <w:b/>
        </w:rPr>
      </w:pPr>
      <w:r>
        <w:rPr>
          <w:b/>
        </w:rPr>
        <w:t>Άρθρο 14</w:t>
      </w:r>
    </w:p>
    <w:p w14:paraId="7D101E13" w14:textId="173FDD3E" w:rsidR="00BF5C0C" w:rsidRPr="00CF2667" w:rsidRDefault="00BF5C0C" w:rsidP="006E7FC5">
      <w:pPr>
        <w:spacing w:after="0" w:line="240" w:lineRule="auto"/>
        <w:jc w:val="both"/>
        <w:rPr>
          <w:rFonts w:eastAsia="Calibri"/>
        </w:rPr>
      </w:pPr>
    </w:p>
    <w:p w14:paraId="6E5ECC11" w14:textId="77777777" w:rsidR="006D702B" w:rsidRPr="00CF2667" w:rsidRDefault="006D702B" w:rsidP="006E7FC5">
      <w:pPr>
        <w:spacing w:after="0" w:line="240" w:lineRule="auto"/>
        <w:jc w:val="both"/>
        <w:rPr>
          <w:rFonts w:eastAsia="Calibri"/>
        </w:rPr>
      </w:pPr>
      <w:r>
        <w:t>Το παρόν διάταγμα τίθεται σε ισχύ στις ......... 2023.</w:t>
      </w:r>
    </w:p>
    <w:p w14:paraId="45C78A1B" w14:textId="77777777" w:rsidR="006D702B" w:rsidRPr="00CF2667" w:rsidRDefault="006D702B" w:rsidP="006E7FC5">
      <w:pPr>
        <w:spacing w:after="0" w:line="240" w:lineRule="auto"/>
        <w:jc w:val="center"/>
        <w:rPr>
          <w:rFonts w:eastAsia="Calibri"/>
          <w:b/>
        </w:rPr>
      </w:pPr>
    </w:p>
    <w:p w14:paraId="130A173C" w14:textId="0F14DA3E" w:rsidR="006E7FC5" w:rsidRPr="00CF2667" w:rsidRDefault="00BF5C0C" w:rsidP="006E7FC5">
      <w:pPr>
        <w:jc w:val="center"/>
        <w:rPr>
          <w:rFonts w:eastAsia="Calibri"/>
          <w:b/>
        </w:rPr>
      </w:pPr>
      <w:r>
        <w:rPr>
          <w:b/>
        </w:rPr>
        <w:t>Άρθρο 15</w:t>
      </w:r>
    </w:p>
    <w:p w14:paraId="052A2215" w14:textId="79C4090E" w:rsidR="006E7FC5" w:rsidRPr="00CF2667" w:rsidRDefault="00D669AC" w:rsidP="006E7FC5">
      <w:pPr>
        <w:jc w:val="both"/>
        <w:rPr>
          <w:rFonts w:eastAsia="Calibri"/>
        </w:rPr>
      </w:pPr>
      <w:r>
        <w:t>Έχει τηρηθεί η απαίτηση για προηγούμενη κοινοποίηση του παρόντος σχεδίου κανονισμού, όπως ορίζεται στα άρθρα 5–7 της οδηγίας (ΕΕ) 2015/1535 του Ευρωπαϊκού Κοινοβουλίου και του Συμβουλίου, της 9ης Σεπτεμβρίου 2015, για την καθιέρωση μιας διαδικασίας πληροφόρησης στον τομέα των τεχνικών προδιαγραφών και των κανόνων σχετικά με τις υπηρεσίες της κοινωνίας των πληροφοριών.</w:t>
      </w:r>
    </w:p>
    <w:p w14:paraId="3C6A2578" w14:textId="77777777" w:rsidR="007F34EE" w:rsidRPr="00CF2667" w:rsidRDefault="006E7FC5" w:rsidP="007F34EE">
      <w:pPr>
        <w:jc w:val="center"/>
        <w:rPr>
          <w:rFonts w:eastAsia="Calibri"/>
        </w:rPr>
      </w:pPr>
      <w:r>
        <w:t xml:space="preserve">   </w:t>
      </w:r>
    </w:p>
    <w:p w14:paraId="7E631094" w14:textId="5CD1C4E6" w:rsidR="006E7FC5" w:rsidRPr="00F135C5" w:rsidRDefault="006E7FC5" w:rsidP="00F135C5">
      <w:pPr>
        <w:rPr>
          <w:rFonts w:eastAsia="Calibri"/>
          <w:b/>
          <w:bCs/>
        </w:rPr>
      </w:pPr>
    </w:p>
    <w:sectPr w:rsidR="006E7FC5" w:rsidRPr="00F13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2167"/>
    <w:multiLevelType w:val="hybridMultilevel"/>
    <w:tmpl w:val="0078767E"/>
    <w:lvl w:ilvl="0" w:tplc="A63243D0">
      <w:start w:val="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4745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C5"/>
    <w:rsid w:val="0001079C"/>
    <w:rsid w:val="00012DCD"/>
    <w:rsid w:val="00024F51"/>
    <w:rsid w:val="00041F7B"/>
    <w:rsid w:val="0009293C"/>
    <w:rsid w:val="000A7196"/>
    <w:rsid w:val="000B3671"/>
    <w:rsid w:val="000E02F3"/>
    <w:rsid w:val="000F2AD6"/>
    <w:rsid w:val="001052C1"/>
    <w:rsid w:val="00127FAE"/>
    <w:rsid w:val="0015599C"/>
    <w:rsid w:val="0016206A"/>
    <w:rsid w:val="00173F50"/>
    <w:rsid w:val="00181F7A"/>
    <w:rsid w:val="0018214B"/>
    <w:rsid w:val="00193CE0"/>
    <w:rsid w:val="0020391A"/>
    <w:rsid w:val="00203C3F"/>
    <w:rsid w:val="00206AC5"/>
    <w:rsid w:val="0021203C"/>
    <w:rsid w:val="00212B64"/>
    <w:rsid w:val="0023017A"/>
    <w:rsid w:val="00234A70"/>
    <w:rsid w:val="002572BC"/>
    <w:rsid w:val="002662A1"/>
    <w:rsid w:val="002A7C40"/>
    <w:rsid w:val="00334106"/>
    <w:rsid w:val="003A5B78"/>
    <w:rsid w:val="003A78F0"/>
    <w:rsid w:val="003D5B7A"/>
    <w:rsid w:val="00421C27"/>
    <w:rsid w:val="00431B0E"/>
    <w:rsid w:val="00444CCE"/>
    <w:rsid w:val="00447FE9"/>
    <w:rsid w:val="00460640"/>
    <w:rsid w:val="0047373B"/>
    <w:rsid w:val="00482857"/>
    <w:rsid w:val="00497BD3"/>
    <w:rsid w:val="004B777D"/>
    <w:rsid w:val="004B77C9"/>
    <w:rsid w:val="005034BC"/>
    <w:rsid w:val="00517308"/>
    <w:rsid w:val="00521538"/>
    <w:rsid w:val="00526197"/>
    <w:rsid w:val="0053730E"/>
    <w:rsid w:val="00591010"/>
    <w:rsid w:val="005A5938"/>
    <w:rsid w:val="005A6F45"/>
    <w:rsid w:val="005C402F"/>
    <w:rsid w:val="005D223D"/>
    <w:rsid w:val="005E07CA"/>
    <w:rsid w:val="005F0267"/>
    <w:rsid w:val="005F0F64"/>
    <w:rsid w:val="005F30D0"/>
    <w:rsid w:val="005F7926"/>
    <w:rsid w:val="00605AC6"/>
    <w:rsid w:val="00632E1B"/>
    <w:rsid w:val="00634997"/>
    <w:rsid w:val="00655C54"/>
    <w:rsid w:val="00667115"/>
    <w:rsid w:val="00672BEF"/>
    <w:rsid w:val="006A0AD9"/>
    <w:rsid w:val="006A2019"/>
    <w:rsid w:val="006D702B"/>
    <w:rsid w:val="006E7FC5"/>
    <w:rsid w:val="0070150D"/>
    <w:rsid w:val="007176D9"/>
    <w:rsid w:val="00723037"/>
    <w:rsid w:val="00743DA6"/>
    <w:rsid w:val="0076793D"/>
    <w:rsid w:val="00774591"/>
    <w:rsid w:val="00782E0A"/>
    <w:rsid w:val="00785E70"/>
    <w:rsid w:val="007919A4"/>
    <w:rsid w:val="007B051F"/>
    <w:rsid w:val="007F34EE"/>
    <w:rsid w:val="00803C4C"/>
    <w:rsid w:val="00806F38"/>
    <w:rsid w:val="008120A6"/>
    <w:rsid w:val="008126DB"/>
    <w:rsid w:val="00815C73"/>
    <w:rsid w:val="00816C55"/>
    <w:rsid w:val="00836DF7"/>
    <w:rsid w:val="0084156F"/>
    <w:rsid w:val="00846670"/>
    <w:rsid w:val="00883ECB"/>
    <w:rsid w:val="008902D0"/>
    <w:rsid w:val="008A5958"/>
    <w:rsid w:val="008C4599"/>
    <w:rsid w:val="008F4AEA"/>
    <w:rsid w:val="0094265F"/>
    <w:rsid w:val="00965042"/>
    <w:rsid w:val="009817D0"/>
    <w:rsid w:val="00991F71"/>
    <w:rsid w:val="0099589C"/>
    <w:rsid w:val="009B4363"/>
    <w:rsid w:val="009C02BE"/>
    <w:rsid w:val="009C35BE"/>
    <w:rsid w:val="009E31C9"/>
    <w:rsid w:val="009E5ECF"/>
    <w:rsid w:val="009F37D4"/>
    <w:rsid w:val="00A23564"/>
    <w:rsid w:val="00A52272"/>
    <w:rsid w:val="00A654AB"/>
    <w:rsid w:val="00A93213"/>
    <w:rsid w:val="00B12456"/>
    <w:rsid w:val="00B162E1"/>
    <w:rsid w:val="00B2554E"/>
    <w:rsid w:val="00B2666F"/>
    <w:rsid w:val="00B404C3"/>
    <w:rsid w:val="00B47621"/>
    <w:rsid w:val="00B60400"/>
    <w:rsid w:val="00B82D5A"/>
    <w:rsid w:val="00B8585F"/>
    <w:rsid w:val="00BB0F1A"/>
    <w:rsid w:val="00BC68A9"/>
    <w:rsid w:val="00BE416C"/>
    <w:rsid w:val="00BE630A"/>
    <w:rsid w:val="00BF5A71"/>
    <w:rsid w:val="00BF5C0C"/>
    <w:rsid w:val="00C012D4"/>
    <w:rsid w:val="00C350BD"/>
    <w:rsid w:val="00C50A71"/>
    <w:rsid w:val="00C536ED"/>
    <w:rsid w:val="00C63619"/>
    <w:rsid w:val="00C84F9C"/>
    <w:rsid w:val="00C9669B"/>
    <w:rsid w:val="00CA1F6D"/>
    <w:rsid w:val="00CB1E4B"/>
    <w:rsid w:val="00CB7CD2"/>
    <w:rsid w:val="00CC134D"/>
    <w:rsid w:val="00CC2AA8"/>
    <w:rsid w:val="00CE4959"/>
    <w:rsid w:val="00CF2667"/>
    <w:rsid w:val="00D007AF"/>
    <w:rsid w:val="00D32BE4"/>
    <w:rsid w:val="00D42C8A"/>
    <w:rsid w:val="00D65715"/>
    <w:rsid w:val="00D669AC"/>
    <w:rsid w:val="00D67727"/>
    <w:rsid w:val="00D831E3"/>
    <w:rsid w:val="00D851ED"/>
    <w:rsid w:val="00D87DB3"/>
    <w:rsid w:val="00DD6AA8"/>
    <w:rsid w:val="00E147A9"/>
    <w:rsid w:val="00E25CE6"/>
    <w:rsid w:val="00E261AE"/>
    <w:rsid w:val="00E35F25"/>
    <w:rsid w:val="00E64453"/>
    <w:rsid w:val="00EA2A22"/>
    <w:rsid w:val="00ED1E39"/>
    <w:rsid w:val="00EF1F0E"/>
    <w:rsid w:val="00F135C5"/>
    <w:rsid w:val="00F34A5B"/>
    <w:rsid w:val="00F42DAC"/>
    <w:rsid w:val="00F63205"/>
    <w:rsid w:val="00F96C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C289"/>
  <w15:docId w15:val="{689E1621-4457-4042-BDCB-0C05FD9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C5"/>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1010"/>
    <w:rPr>
      <w:sz w:val="16"/>
      <w:szCs w:val="16"/>
    </w:rPr>
  </w:style>
  <w:style w:type="paragraph" w:styleId="CommentText">
    <w:name w:val="annotation text"/>
    <w:basedOn w:val="Normal"/>
    <w:link w:val="CommentTextChar"/>
    <w:uiPriority w:val="99"/>
    <w:unhideWhenUsed/>
    <w:rsid w:val="00591010"/>
    <w:pPr>
      <w:spacing w:after="200" w:line="240"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59101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91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10"/>
    <w:rPr>
      <w:rFonts w:ascii="Tahoma" w:eastAsia="Times New Roman" w:hAnsi="Tahoma" w:cs="Tahoma"/>
      <w:sz w:val="16"/>
      <w:szCs w:val="16"/>
      <w:lang w:eastAsia="hu-HU"/>
    </w:rPr>
  </w:style>
  <w:style w:type="paragraph" w:styleId="NormalWeb">
    <w:name w:val="Normal (Web)"/>
    <w:basedOn w:val="Normal"/>
    <w:uiPriority w:val="99"/>
    <w:semiHidden/>
    <w:unhideWhenUsed/>
    <w:rsid w:val="00EF1F0E"/>
    <w:pPr>
      <w:spacing w:before="100" w:beforeAutospacing="1" w:after="100" w:afterAutospacing="1" w:line="240" w:lineRule="auto"/>
    </w:pPr>
    <w:rPr>
      <w:rFonts w:eastAsiaTheme="minorHAnsi"/>
    </w:rPr>
  </w:style>
  <w:style w:type="paragraph" w:styleId="CommentSubject">
    <w:name w:val="annotation subject"/>
    <w:basedOn w:val="CommentText"/>
    <w:next w:val="CommentText"/>
    <w:link w:val="CommentSubjectChar"/>
    <w:uiPriority w:val="99"/>
    <w:semiHidden/>
    <w:unhideWhenUsed/>
    <w:rsid w:val="00EF1F0E"/>
    <w:pPr>
      <w:spacing w:after="160"/>
    </w:pPr>
    <w:rPr>
      <w:rFonts w:ascii="Times New Roman" w:eastAsia="Times New Roman" w:hAnsi="Times New Roman"/>
      <w:b/>
      <w:bCs/>
      <w:lang w:eastAsia="hu-HU"/>
    </w:rPr>
  </w:style>
  <w:style w:type="character" w:customStyle="1" w:styleId="CommentSubjectChar">
    <w:name w:val="Comment Subject Char"/>
    <w:basedOn w:val="CommentTextChar"/>
    <w:link w:val="CommentSubject"/>
    <w:uiPriority w:val="99"/>
    <w:semiHidden/>
    <w:rsid w:val="00EF1F0E"/>
    <w:rPr>
      <w:rFonts w:ascii="Times New Roman" w:eastAsia="Times New Roman" w:hAnsi="Times New Roman" w:cs="Times New Roman"/>
      <w:b/>
      <w:bCs/>
      <w:sz w:val="20"/>
      <w:szCs w:val="20"/>
      <w:lang w:eastAsia="hu-HU"/>
    </w:rPr>
  </w:style>
  <w:style w:type="paragraph" w:styleId="ListParagraph">
    <w:name w:val="List Paragraph"/>
    <w:basedOn w:val="Normal"/>
    <w:uiPriority w:val="34"/>
    <w:qFormat/>
    <w:rsid w:val="00173F50"/>
    <w:pPr>
      <w:ind w:left="720"/>
      <w:contextualSpacing/>
    </w:pPr>
  </w:style>
  <w:style w:type="paragraph" w:styleId="Revision">
    <w:name w:val="Revision"/>
    <w:hidden/>
    <w:uiPriority w:val="99"/>
    <w:semiHidden/>
    <w:rsid w:val="00806F38"/>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0427">
      <w:bodyDiv w:val="1"/>
      <w:marLeft w:val="0"/>
      <w:marRight w:val="0"/>
      <w:marTop w:val="0"/>
      <w:marBottom w:val="0"/>
      <w:divBdr>
        <w:top w:val="none" w:sz="0" w:space="0" w:color="auto"/>
        <w:left w:val="none" w:sz="0" w:space="0" w:color="auto"/>
        <w:bottom w:val="none" w:sz="0" w:space="0" w:color="auto"/>
        <w:right w:val="none" w:sz="0" w:space="0" w:color="auto"/>
      </w:divBdr>
    </w:div>
    <w:div w:id="145586802">
      <w:bodyDiv w:val="1"/>
      <w:marLeft w:val="0"/>
      <w:marRight w:val="0"/>
      <w:marTop w:val="0"/>
      <w:marBottom w:val="0"/>
      <w:divBdr>
        <w:top w:val="none" w:sz="0" w:space="0" w:color="auto"/>
        <w:left w:val="none" w:sz="0" w:space="0" w:color="auto"/>
        <w:bottom w:val="none" w:sz="0" w:space="0" w:color="auto"/>
        <w:right w:val="none" w:sz="0" w:space="0" w:color="auto"/>
      </w:divBdr>
    </w:div>
    <w:div w:id="164908087">
      <w:bodyDiv w:val="1"/>
      <w:marLeft w:val="0"/>
      <w:marRight w:val="0"/>
      <w:marTop w:val="0"/>
      <w:marBottom w:val="0"/>
      <w:divBdr>
        <w:top w:val="none" w:sz="0" w:space="0" w:color="auto"/>
        <w:left w:val="none" w:sz="0" w:space="0" w:color="auto"/>
        <w:bottom w:val="none" w:sz="0" w:space="0" w:color="auto"/>
        <w:right w:val="none" w:sz="0" w:space="0" w:color="auto"/>
      </w:divBdr>
    </w:div>
    <w:div w:id="429547432">
      <w:bodyDiv w:val="1"/>
      <w:marLeft w:val="0"/>
      <w:marRight w:val="0"/>
      <w:marTop w:val="0"/>
      <w:marBottom w:val="0"/>
      <w:divBdr>
        <w:top w:val="none" w:sz="0" w:space="0" w:color="auto"/>
        <w:left w:val="none" w:sz="0" w:space="0" w:color="auto"/>
        <w:bottom w:val="none" w:sz="0" w:space="0" w:color="auto"/>
        <w:right w:val="none" w:sz="0" w:space="0" w:color="auto"/>
      </w:divBdr>
    </w:div>
    <w:div w:id="5292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3259-9B7A-46FB-A08F-3149266F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1913</Words>
  <Characters>10905</Characters>
  <Application>Microsoft Office Word</Application>
  <DocSecurity>0</DocSecurity>
  <Lines>90</Lines>
  <Paragraphs>25</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Krisztina dr.</dc:creator>
  <cp:lastModifiedBy>Anastasia Stavroulaki</cp:lastModifiedBy>
  <cp:revision>5</cp:revision>
  <cp:lastPrinted>2023-03-21T08:45:00Z</cp:lastPrinted>
  <dcterms:created xsi:type="dcterms:W3CDTF">2023-03-22T13:23:00Z</dcterms:created>
  <dcterms:modified xsi:type="dcterms:W3CDTF">2023-03-29T14:48:00Z</dcterms:modified>
</cp:coreProperties>
</file>