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0C443F" w14:textId="77777777" w:rsidR="006E7FC5" w:rsidRPr="00CF2667" w:rsidRDefault="006E7FC5" w:rsidP="006E7FC5">
      <w:pPr>
        <w:spacing w:after="0" w:line="240" w:lineRule="auto"/>
        <w:jc w:val="center"/>
        <w:rPr>
          <w:rFonts w:eastAsia="Calibri"/>
          <w:b/>
        </w:rPr>
      </w:pPr>
      <w:r w:rsidRPr="00CF2667">
        <w:rPr>
          <w:rFonts w:eastAsia="Calibri"/>
          <w:b/>
        </w:rPr>
        <w:t>A Szabályozott Tevékenységek Felügyeleti Hatósága elnökének</w:t>
      </w:r>
    </w:p>
    <w:p w14:paraId="78A2EE9D" w14:textId="77777777" w:rsidR="006E7FC5" w:rsidRPr="00CF2667" w:rsidRDefault="006E7FC5" w:rsidP="006E7FC5">
      <w:pPr>
        <w:spacing w:after="0" w:line="240" w:lineRule="auto"/>
        <w:jc w:val="center"/>
        <w:rPr>
          <w:rFonts w:eastAsia="Calibri"/>
          <w:b/>
        </w:rPr>
      </w:pPr>
    </w:p>
    <w:p w14:paraId="1DA8F30D" w14:textId="77777777" w:rsidR="006E7FC5" w:rsidRPr="00CF2667" w:rsidRDefault="006E7FC5" w:rsidP="006E7FC5">
      <w:pPr>
        <w:spacing w:after="0" w:line="240" w:lineRule="auto"/>
        <w:jc w:val="center"/>
        <w:rPr>
          <w:rFonts w:eastAsia="Calibri"/>
          <w:b/>
        </w:rPr>
      </w:pPr>
      <w:r w:rsidRPr="00CF2667">
        <w:rPr>
          <w:rFonts w:eastAsia="Calibri"/>
          <w:b/>
        </w:rPr>
        <w:t>…/202</w:t>
      </w:r>
      <w:r w:rsidR="00591010" w:rsidRPr="00CF2667">
        <w:rPr>
          <w:rFonts w:eastAsia="Calibri"/>
          <w:b/>
        </w:rPr>
        <w:t>3</w:t>
      </w:r>
      <w:r w:rsidRPr="00CF2667">
        <w:rPr>
          <w:rFonts w:eastAsia="Calibri"/>
          <w:b/>
        </w:rPr>
        <w:t>. (…) SZTFH rendelete</w:t>
      </w:r>
    </w:p>
    <w:p w14:paraId="7580F07E" w14:textId="77777777" w:rsidR="006E7FC5" w:rsidRPr="00CF2667" w:rsidRDefault="006E7FC5" w:rsidP="006E7FC5">
      <w:pPr>
        <w:spacing w:after="0" w:line="240" w:lineRule="auto"/>
        <w:jc w:val="center"/>
        <w:rPr>
          <w:rFonts w:eastAsia="Calibri"/>
          <w:b/>
        </w:rPr>
      </w:pPr>
    </w:p>
    <w:p w14:paraId="6E970982" w14:textId="77777777" w:rsidR="006E7FC5" w:rsidRPr="00CF2667" w:rsidRDefault="006E7FC5" w:rsidP="006E7FC5">
      <w:pPr>
        <w:spacing w:after="0" w:line="240" w:lineRule="auto"/>
        <w:jc w:val="center"/>
        <w:rPr>
          <w:rFonts w:eastAsia="Calibri"/>
          <w:b/>
        </w:rPr>
      </w:pPr>
      <w:proofErr w:type="gramStart"/>
      <w:r w:rsidRPr="00CF2667">
        <w:rPr>
          <w:rFonts w:eastAsia="Calibri"/>
          <w:b/>
        </w:rPr>
        <w:t>az</w:t>
      </w:r>
      <w:proofErr w:type="gramEnd"/>
      <w:r w:rsidRPr="00CF2667">
        <w:rPr>
          <w:rFonts w:eastAsia="Calibri"/>
          <w:b/>
        </w:rPr>
        <w:t xml:space="preserve"> egyes szerencsejátékok engedélyezésével, lebonyolításával és ellenőrzésével kapcsolatos feladatok végrehajtásáról szóló 20/2021. (X.29.) SZTFH rendelet módosításáról</w:t>
      </w:r>
    </w:p>
    <w:p w14:paraId="3354A442" w14:textId="77777777" w:rsidR="006E7FC5" w:rsidRPr="00CF2667" w:rsidRDefault="006E7FC5" w:rsidP="006E7FC5">
      <w:pPr>
        <w:spacing w:after="0" w:line="240" w:lineRule="auto"/>
        <w:jc w:val="center"/>
        <w:rPr>
          <w:rFonts w:eastAsia="Calibri"/>
          <w:b/>
        </w:rPr>
      </w:pPr>
    </w:p>
    <w:p w14:paraId="27B80967" w14:textId="77777777" w:rsidR="00BE630A" w:rsidRDefault="00BE630A" w:rsidP="00BE630A">
      <w:pPr>
        <w:spacing w:after="0" w:line="240" w:lineRule="auto"/>
        <w:jc w:val="both"/>
        <w:rPr>
          <w:rFonts w:eastAsia="Calibri"/>
        </w:rPr>
      </w:pPr>
    </w:p>
    <w:p w14:paraId="5A4D706F" w14:textId="77777777" w:rsidR="00BE630A" w:rsidRDefault="00BE630A" w:rsidP="00BE630A">
      <w:pPr>
        <w:spacing w:after="0" w:line="240" w:lineRule="auto"/>
        <w:jc w:val="both"/>
        <w:rPr>
          <w:rFonts w:eastAsia="Calibri"/>
        </w:rPr>
      </w:pPr>
      <w:r>
        <w:rPr>
          <w:rFonts w:eastAsia="Calibri"/>
        </w:rPr>
        <w:t>A</w:t>
      </w:r>
      <w:r w:rsidRPr="00CF2667">
        <w:rPr>
          <w:rFonts w:eastAsia="Calibri"/>
        </w:rPr>
        <w:t xml:space="preserve"> szerencsejáték szervezéséről szóló 1991. évi XXXIV. törvény 38. § (2) bekezdés </w:t>
      </w:r>
      <w:r w:rsidRPr="00444CCE">
        <w:rPr>
          <w:rFonts w:eastAsia="Calibri"/>
          <w:i/>
        </w:rPr>
        <w:t>a)</w:t>
      </w:r>
      <w:r>
        <w:rPr>
          <w:rFonts w:eastAsia="Calibri"/>
          <w:i/>
        </w:rPr>
        <w:t xml:space="preserve"> és </w:t>
      </w:r>
      <w:r w:rsidRPr="00444CCE">
        <w:rPr>
          <w:rFonts w:eastAsia="Calibri"/>
          <w:i/>
        </w:rPr>
        <w:t>b)</w:t>
      </w:r>
      <w:r>
        <w:rPr>
          <w:rFonts w:eastAsia="Calibri"/>
          <w:i/>
        </w:rPr>
        <w:t xml:space="preserve"> </w:t>
      </w:r>
      <w:r w:rsidRPr="00CF2667">
        <w:rPr>
          <w:rFonts w:eastAsia="Calibri"/>
        </w:rPr>
        <w:t>pontjában kapott felhatalmazás alapján,</w:t>
      </w:r>
      <w:r>
        <w:rPr>
          <w:rFonts w:eastAsia="Calibri"/>
        </w:rPr>
        <w:t xml:space="preserve"> </w:t>
      </w:r>
    </w:p>
    <w:p w14:paraId="67DF3F1E" w14:textId="258A6756" w:rsidR="00BE630A" w:rsidRDefault="00BE630A" w:rsidP="00BE630A">
      <w:pPr>
        <w:spacing w:after="0" w:line="240" w:lineRule="auto"/>
        <w:jc w:val="both"/>
        <w:rPr>
          <w:rFonts w:eastAsia="Calibri"/>
        </w:rPr>
      </w:pPr>
      <w:proofErr w:type="gramStart"/>
      <w:r>
        <w:rPr>
          <w:rFonts w:eastAsia="Calibri"/>
        </w:rPr>
        <w:t>a</w:t>
      </w:r>
      <w:proofErr w:type="gramEnd"/>
      <w:r>
        <w:rPr>
          <w:rFonts w:eastAsia="Calibri"/>
        </w:rPr>
        <w:t xml:space="preserve"> 2. és a 3. §</w:t>
      </w:r>
      <w:r w:rsidR="00193CE0">
        <w:rPr>
          <w:rFonts w:eastAsia="Calibri"/>
        </w:rPr>
        <w:t>, valamint a 13. § b) pontja</w:t>
      </w:r>
      <w:r>
        <w:rPr>
          <w:rFonts w:eastAsia="Calibri"/>
        </w:rPr>
        <w:t xml:space="preserve"> tekintetében a</w:t>
      </w:r>
      <w:r w:rsidRPr="00CF2667">
        <w:rPr>
          <w:rFonts w:eastAsia="Calibri"/>
        </w:rPr>
        <w:t xml:space="preserve"> szerencsejáték szervezéséről szóló 1991. évi XXXIV. törvény 38. § (2) bekezdés</w:t>
      </w:r>
      <w:r>
        <w:rPr>
          <w:rFonts w:eastAsia="Calibri"/>
        </w:rPr>
        <w:t xml:space="preserve"> </w:t>
      </w:r>
      <w:r w:rsidRPr="008B439A">
        <w:rPr>
          <w:rFonts w:eastAsia="Calibri"/>
          <w:i/>
        </w:rPr>
        <w:t>d)</w:t>
      </w:r>
      <w:r>
        <w:rPr>
          <w:rFonts w:eastAsia="Calibri"/>
        </w:rPr>
        <w:t xml:space="preserve"> pontjában kapott felhatalmazás alapján,</w:t>
      </w:r>
    </w:p>
    <w:p w14:paraId="7A855835" w14:textId="77777777" w:rsidR="00BE630A" w:rsidRDefault="00BE630A" w:rsidP="00BE630A">
      <w:pPr>
        <w:spacing w:after="0" w:line="240" w:lineRule="auto"/>
        <w:jc w:val="both"/>
        <w:rPr>
          <w:rFonts w:eastAsia="Calibri"/>
        </w:rPr>
      </w:pPr>
      <w:proofErr w:type="gramStart"/>
      <w:r>
        <w:rPr>
          <w:rFonts w:eastAsia="Calibri"/>
        </w:rPr>
        <w:t>a</w:t>
      </w:r>
      <w:proofErr w:type="gramEnd"/>
      <w:r>
        <w:rPr>
          <w:rFonts w:eastAsia="Calibri"/>
        </w:rPr>
        <w:t xml:space="preserve"> 4-10. § és a 12. § tekintetében a </w:t>
      </w:r>
      <w:r w:rsidRPr="00CF2667">
        <w:rPr>
          <w:rFonts w:eastAsia="Calibri"/>
        </w:rPr>
        <w:t>szerencsejáték szervezéséről szóló 1991. évi XXXIV. törvény 38. § (2) bekezdés</w:t>
      </w:r>
      <w:r>
        <w:rPr>
          <w:rFonts w:eastAsia="Calibri"/>
        </w:rPr>
        <w:t xml:space="preserve"> </w:t>
      </w:r>
      <w:r w:rsidRPr="008B439A">
        <w:rPr>
          <w:rFonts w:eastAsia="Calibri"/>
          <w:i/>
        </w:rPr>
        <w:t>g)</w:t>
      </w:r>
      <w:r>
        <w:rPr>
          <w:rFonts w:eastAsia="Calibri"/>
        </w:rPr>
        <w:t xml:space="preserve"> pontjában kapott felhatalmazás alapján,</w:t>
      </w:r>
    </w:p>
    <w:p w14:paraId="6895E230" w14:textId="77777777" w:rsidR="00BE630A" w:rsidRDefault="00BE630A" w:rsidP="00BE630A">
      <w:pPr>
        <w:spacing w:after="0" w:line="240" w:lineRule="auto"/>
        <w:jc w:val="both"/>
        <w:rPr>
          <w:rFonts w:eastAsia="Calibri"/>
        </w:rPr>
      </w:pPr>
      <w:proofErr w:type="gramStart"/>
      <w:r>
        <w:rPr>
          <w:rFonts w:eastAsia="Calibri"/>
        </w:rPr>
        <w:t>a</w:t>
      </w:r>
      <w:proofErr w:type="gramEnd"/>
      <w:r w:rsidRPr="00940906">
        <w:rPr>
          <w:rFonts w:eastAsia="Calibri"/>
        </w:rPr>
        <w:t xml:space="preserve"> Szabályozott Tevékenységek Felügyeleti Hatóságáról szóló 2021. évi XXXII. törvény 13. § </w:t>
      </w:r>
      <w:r w:rsidRPr="00940906">
        <w:rPr>
          <w:rFonts w:eastAsia="Calibri"/>
          <w:i/>
        </w:rPr>
        <w:t>i)</w:t>
      </w:r>
      <w:r w:rsidRPr="00940906">
        <w:rPr>
          <w:rFonts w:eastAsia="Calibri"/>
        </w:rPr>
        <w:t xml:space="preserve"> és </w:t>
      </w:r>
      <w:r w:rsidRPr="00940906">
        <w:rPr>
          <w:rFonts w:eastAsia="Calibri"/>
          <w:i/>
        </w:rPr>
        <w:t>n)</w:t>
      </w:r>
      <w:r w:rsidRPr="00940906">
        <w:rPr>
          <w:rFonts w:eastAsia="Calibri"/>
        </w:rPr>
        <w:t xml:space="preserve"> pontjában foglalt feladatkörömben eljárva</w:t>
      </w:r>
    </w:p>
    <w:p w14:paraId="59132BDE" w14:textId="77777777" w:rsidR="00BE630A" w:rsidRDefault="00BE630A" w:rsidP="00BE630A">
      <w:pPr>
        <w:spacing w:after="0" w:line="240" w:lineRule="auto"/>
        <w:jc w:val="both"/>
        <w:rPr>
          <w:rFonts w:eastAsia="Calibri"/>
        </w:rPr>
      </w:pPr>
      <w:proofErr w:type="gramStart"/>
      <w:r w:rsidRPr="00CF2667">
        <w:rPr>
          <w:rFonts w:eastAsia="Calibri"/>
        </w:rPr>
        <w:t>a</w:t>
      </w:r>
      <w:proofErr w:type="gramEnd"/>
      <w:r w:rsidRPr="00CF2667">
        <w:rPr>
          <w:rFonts w:eastAsia="Calibri"/>
        </w:rPr>
        <w:t xml:space="preserve"> következőket rendelem el</w:t>
      </w:r>
      <w:r>
        <w:rPr>
          <w:rFonts w:eastAsia="Calibri"/>
        </w:rPr>
        <w:t>:</w:t>
      </w:r>
    </w:p>
    <w:p w14:paraId="0EB70FA2" w14:textId="77777777" w:rsidR="00BE630A" w:rsidRPr="00CF2667" w:rsidRDefault="00BE630A" w:rsidP="006E7FC5">
      <w:pPr>
        <w:spacing w:after="0" w:line="240" w:lineRule="auto"/>
        <w:jc w:val="both"/>
        <w:rPr>
          <w:rFonts w:eastAsia="Calibri"/>
        </w:rPr>
      </w:pPr>
    </w:p>
    <w:p w14:paraId="66058B66" w14:textId="77777777" w:rsidR="006E7FC5" w:rsidRPr="00CF2667" w:rsidRDefault="006E7FC5" w:rsidP="006E7FC5">
      <w:pPr>
        <w:spacing w:after="0" w:line="240" w:lineRule="auto"/>
        <w:jc w:val="center"/>
        <w:rPr>
          <w:rFonts w:eastAsia="Calibri"/>
          <w:b/>
        </w:rPr>
      </w:pPr>
      <w:r w:rsidRPr="00CF2667">
        <w:rPr>
          <w:rFonts w:eastAsia="Calibri"/>
          <w:b/>
        </w:rPr>
        <w:t>1. §</w:t>
      </w:r>
    </w:p>
    <w:p w14:paraId="7DC1A809" w14:textId="77777777" w:rsidR="00C9669B" w:rsidRPr="00CF2667" w:rsidRDefault="00C9669B" w:rsidP="006E7FC5">
      <w:pPr>
        <w:spacing w:after="0" w:line="240" w:lineRule="auto"/>
        <w:jc w:val="center"/>
        <w:rPr>
          <w:rFonts w:eastAsia="Calibri"/>
          <w:b/>
        </w:rPr>
      </w:pPr>
    </w:p>
    <w:p w14:paraId="09585543" w14:textId="0173393E" w:rsidR="00C9669B" w:rsidRPr="00CF2667" w:rsidRDefault="00C9669B" w:rsidP="00C9669B">
      <w:pPr>
        <w:spacing w:after="0" w:line="240" w:lineRule="auto"/>
        <w:jc w:val="both"/>
        <w:rPr>
          <w:rFonts w:eastAsia="Calibri"/>
        </w:rPr>
      </w:pPr>
      <w:r w:rsidRPr="00CF2667">
        <w:rPr>
          <w:rFonts w:eastAsia="Calibri"/>
        </w:rPr>
        <w:t>Az egyes szerencsejátékok engedélyezésével, lebonyolításával és ellenőrzésével kapcsolatos feladatok végrehajtásáról szóló 20/2021. (X. 29.) SZTFH rendelet (a továbbiakban: Vhr.)</w:t>
      </w:r>
      <w:r w:rsidR="00041F7B">
        <w:rPr>
          <w:rFonts w:eastAsia="Calibri"/>
        </w:rPr>
        <w:t xml:space="preserve"> I. </w:t>
      </w:r>
      <w:r w:rsidR="0047373B">
        <w:rPr>
          <w:rFonts w:eastAsia="Calibri"/>
        </w:rPr>
        <w:t>F</w:t>
      </w:r>
      <w:r w:rsidR="00041F7B">
        <w:rPr>
          <w:rFonts w:eastAsia="Calibri"/>
        </w:rPr>
        <w:t>ejezete</w:t>
      </w:r>
      <w:r w:rsidRPr="00CF2667">
        <w:rPr>
          <w:rFonts w:eastAsia="Calibri"/>
        </w:rPr>
        <w:t xml:space="preserve"> a következő 2/A.</w:t>
      </w:r>
      <w:r w:rsidR="0047373B">
        <w:rPr>
          <w:rFonts w:eastAsia="Calibri"/>
        </w:rPr>
        <w:t xml:space="preserve"> </w:t>
      </w:r>
      <w:r w:rsidRPr="00CF2667">
        <w:rPr>
          <w:rFonts w:eastAsia="Calibri"/>
        </w:rPr>
        <w:t>§</w:t>
      </w:r>
      <w:proofErr w:type="spellStart"/>
      <w:r w:rsidRPr="00CF2667">
        <w:rPr>
          <w:rFonts w:eastAsia="Calibri"/>
        </w:rPr>
        <w:t>-</w:t>
      </w:r>
      <w:r w:rsidR="0020391A" w:rsidRPr="00CF2667">
        <w:rPr>
          <w:rFonts w:eastAsia="Calibri"/>
        </w:rPr>
        <w:t>s</w:t>
      </w:r>
      <w:r w:rsidRPr="00CF2667">
        <w:rPr>
          <w:rFonts w:eastAsia="Calibri"/>
        </w:rPr>
        <w:t>al</w:t>
      </w:r>
      <w:proofErr w:type="spellEnd"/>
      <w:r w:rsidRPr="00CF2667">
        <w:rPr>
          <w:rFonts w:eastAsia="Calibri"/>
        </w:rPr>
        <w:t xml:space="preserve"> egészül ki:</w:t>
      </w:r>
    </w:p>
    <w:p w14:paraId="1CCBA5B6" w14:textId="77777777" w:rsidR="00C9669B" w:rsidRPr="00CF2667" w:rsidRDefault="00C9669B" w:rsidP="00C9669B">
      <w:pPr>
        <w:spacing w:after="0" w:line="240" w:lineRule="auto"/>
        <w:jc w:val="both"/>
        <w:rPr>
          <w:rFonts w:eastAsia="Calibri"/>
        </w:rPr>
      </w:pPr>
    </w:p>
    <w:p w14:paraId="4BA0FDB3" w14:textId="77777777" w:rsidR="00C9669B" w:rsidRPr="00CF2667" w:rsidRDefault="00C9669B" w:rsidP="00C9669B">
      <w:pPr>
        <w:spacing w:after="0" w:line="240" w:lineRule="auto"/>
        <w:jc w:val="both"/>
        <w:rPr>
          <w:rFonts w:eastAsia="Calibri"/>
          <w:b/>
        </w:rPr>
      </w:pPr>
      <w:r w:rsidRPr="00CF2667">
        <w:rPr>
          <w:rFonts w:eastAsia="Calibri"/>
        </w:rPr>
        <w:t>„2/A. § Ha a szervezőnek egyidejűleg több szerencsejáték szervezésére van engedélye, az egyes szerencsejátékok bevételének és tényleges költségének elszámolását egymástól és más, általa folytatott tevékenységektől elkülönítetten, ellenőrizhető módon kell nyilvántartania és vezetnie.”</w:t>
      </w:r>
    </w:p>
    <w:p w14:paraId="7A3199E9" w14:textId="77777777" w:rsidR="00421C27" w:rsidRPr="00CF2667" w:rsidRDefault="00421C27" w:rsidP="006E7FC5">
      <w:pPr>
        <w:spacing w:after="0" w:line="240" w:lineRule="auto"/>
        <w:jc w:val="center"/>
        <w:rPr>
          <w:rFonts w:eastAsia="Calibri"/>
          <w:b/>
        </w:rPr>
      </w:pPr>
    </w:p>
    <w:p w14:paraId="5BEA7056" w14:textId="77777777" w:rsidR="00421C27" w:rsidRPr="00CF2667" w:rsidRDefault="007F34EE" w:rsidP="006E7FC5">
      <w:pPr>
        <w:spacing w:after="0" w:line="240" w:lineRule="auto"/>
        <w:jc w:val="center"/>
        <w:rPr>
          <w:rFonts w:eastAsia="Calibri"/>
          <w:b/>
        </w:rPr>
      </w:pPr>
      <w:r w:rsidRPr="00CF2667">
        <w:rPr>
          <w:rFonts w:eastAsia="Calibri"/>
          <w:b/>
        </w:rPr>
        <w:t>2</w:t>
      </w:r>
      <w:r w:rsidR="00421C27" w:rsidRPr="00CF2667">
        <w:rPr>
          <w:rFonts w:eastAsia="Calibri"/>
          <w:b/>
        </w:rPr>
        <w:t>. §</w:t>
      </w:r>
    </w:p>
    <w:p w14:paraId="4BE47446" w14:textId="77777777" w:rsidR="006E7FC5" w:rsidRPr="00CF2667" w:rsidRDefault="006E7FC5" w:rsidP="006E7FC5">
      <w:pPr>
        <w:spacing w:after="0" w:line="240" w:lineRule="auto"/>
        <w:jc w:val="both"/>
        <w:rPr>
          <w:rFonts w:eastAsia="Calibri"/>
        </w:rPr>
      </w:pPr>
    </w:p>
    <w:p w14:paraId="164D83E3" w14:textId="6FB86AC7" w:rsidR="00591010" w:rsidRPr="00CF2667" w:rsidRDefault="00591010" w:rsidP="00991F71">
      <w:pPr>
        <w:spacing w:after="0" w:line="240" w:lineRule="auto"/>
        <w:jc w:val="both"/>
      </w:pPr>
      <w:r w:rsidRPr="00CF2667">
        <w:t>(1)</w:t>
      </w:r>
      <w:r w:rsidR="00991F71" w:rsidRPr="00CF2667">
        <w:t xml:space="preserve"> </w:t>
      </w:r>
      <w:r w:rsidR="00991F71" w:rsidRPr="00CF2667">
        <w:rPr>
          <w:rFonts w:eastAsia="Calibri"/>
        </w:rPr>
        <w:t>A Vhr.</w:t>
      </w:r>
      <w:r w:rsidRPr="00CF2667">
        <w:t xml:space="preserve"> 13. § (3) bekezdés</w:t>
      </w:r>
      <w:r w:rsidR="00444CCE">
        <w:t>e</w:t>
      </w:r>
      <w:r w:rsidRPr="00CF2667">
        <w:t xml:space="preserve"> helyébe a következő rendelkezés lép:</w:t>
      </w:r>
    </w:p>
    <w:p w14:paraId="36C968DE" w14:textId="77777777" w:rsidR="00D67727" w:rsidRPr="00CF2667" w:rsidRDefault="00D67727" w:rsidP="00591010">
      <w:pPr>
        <w:tabs>
          <w:tab w:val="center" w:pos="6096"/>
        </w:tabs>
        <w:spacing w:after="0" w:line="240" w:lineRule="auto"/>
        <w:jc w:val="both"/>
      </w:pPr>
    </w:p>
    <w:p w14:paraId="67C8D879" w14:textId="77777777" w:rsidR="00591010" w:rsidRPr="00CF2667" w:rsidRDefault="005F7926" w:rsidP="00591010">
      <w:pPr>
        <w:tabs>
          <w:tab w:val="center" w:pos="6096"/>
        </w:tabs>
        <w:spacing w:after="0" w:line="240" w:lineRule="auto"/>
        <w:jc w:val="both"/>
      </w:pPr>
      <w:r w:rsidRPr="00CF2667">
        <w:t>„</w:t>
      </w:r>
      <w:r w:rsidR="00591010" w:rsidRPr="00CF2667">
        <w:t>(3) A sorsjegyek kizárólag olyan számítógéppel vezérelt zárt technológiával állíthatók elő, amely biztosítja</w:t>
      </w:r>
    </w:p>
    <w:p w14:paraId="1F259345" w14:textId="77777777" w:rsidR="00173F50" w:rsidRPr="00CF2667" w:rsidRDefault="00173F50" w:rsidP="00591010">
      <w:pPr>
        <w:tabs>
          <w:tab w:val="center" w:pos="6096"/>
        </w:tabs>
        <w:spacing w:after="0" w:line="240" w:lineRule="auto"/>
        <w:jc w:val="both"/>
      </w:pPr>
    </w:p>
    <w:p w14:paraId="7F8F7476" w14:textId="77777777" w:rsidR="00591010" w:rsidRPr="00CF2667" w:rsidRDefault="00591010" w:rsidP="00591010">
      <w:pPr>
        <w:tabs>
          <w:tab w:val="center" w:pos="6096"/>
        </w:tabs>
        <w:spacing w:after="0" w:line="240" w:lineRule="auto"/>
        <w:jc w:val="both"/>
      </w:pPr>
      <w:proofErr w:type="gramStart"/>
      <w:r w:rsidRPr="00CF2667">
        <w:rPr>
          <w:i/>
        </w:rPr>
        <w:t>a</w:t>
      </w:r>
      <w:proofErr w:type="gramEnd"/>
      <w:r w:rsidRPr="00CF2667">
        <w:rPr>
          <w:i/>
        </w:rPr>
        <w:t>)</w:t>
      </w:r>
      <w:r w:rsidRPr="00CF2667">
        <w:t xml:space="preserve"> </w:t>
      </w:r>
      <w:proofErr w:type="spellStart"/>
      <w:r w:rsidRPr="00CF2667">
        <w:t>a</w:t>
      </w:r>
      <w:proofErr w:type="spellEnd"/>
      <w:r w:rsidRPr="00CF2667">
        <w:t xml:space="preserve"> nyeremények összegének az </w:t>
      </w:r>
      <w:proofErr w:type="spellStart"/>
      <w:r w:rsidRPr="00CF2667">
        <w:t>Szjtv.-ben</w:t>
      </w:r>
      <w:proofErr w:type="spellEnd"/>
      <w:r w:rsidRPr="00CF2667">
        <w:t xml:space="preserve"> meghatározott nagyságát,</w:t>
      </w:r>
    </w:p>
    <w:p w14:paraId="3D73CE20" w14:textId="77777777" w:rsidR="00591010" w:rsidRPr="00CF2667" w:rsidRDefault="00591010" w:rsidP="00591010">
      <w:pPr>
        <w:tabs>
          <w:tab w:val="center" w:pos="6096"/>
        </w:tabs>
        <w:spacing w:after="0" w:line="240" w:lineRule="auto"/>
        <w:jc w:val="both"/>
      </w:pPr>
      <w:r w:rsidRPr="00CF2667">
        <w:rPr>
          <w:i/>
        </w:rPr>
        <w:lastRenderedPageBreak/>
        <w:t>b)</w:t>
      </w:r>
      <w:r w:rsidRPr="00CF2667">
        <w:t xml:space="preserve"> a nyerőosztályonkénti nyertes sorsjegyeknek az engedélyezett mennyiségen, illetve a sorozaton belüli egyenletes, játékterv szerinti megoszlását, továbbá</w:t>
      </w:r>
    </w:p>
    <w:p w14:paraId="1EB773D3" w14:textId="77777777" w:rsidR="00591010" w:rsidRPr="00CF2667" w:rsidRDefault="00591010" w:rsidP="00591010">
      <w:pPr>
        <w:tabs>
          <w:tab w:val="center" w:pos="6096"/>
        </w:tabs>
        <w:spacing w:after="0" w:line="240" w:lineRule="auto"/>
        <w:jc w:val="both"/>
      </w:pPr>
      <w:r w:rsidRPr="00CF2667">
        <w:rPr>
          <w:i/>
        </w:rPr>
        <w:t>c)</w:t>
      </w:r>
      <w:r w:rsidRPr="00CF2667">
        <w:t xml:space="preserve"> azt, hogy a sorsjegyek egy teljes sorozata olyan zárt gyártási folyamatban készül, amely csak a virtuális vagy fizikális takarás eltávolítása után teszi lehetővé a nyertes sorsjegyek azonosítását.</w:t>
      </w:r>
      <w:r w:rsidR="00C012D4" w:rsidRPr="00CF2667">
        <w:t>”</w:t>
      </w:r>
    </w:p>
    <w:p w14:paraId="7EE32317" w14:textId="77777777" w:rsidR="00C012D4" w:rsidRPr="00CF2667" w:rsidRDefault="00C012D4" w:rsidP="00591010">
      <w:pPr>
        <w:tabs>
          <w:tab w:val="center" w:pos="6096"/>
        </w:tabs>
        <w:spacing w:after="0" w:line="240" w:lineRule="auto"/>
        <w:jc w:val="both"/>
        <w:rPr>
          <w:u w:val="single"/>
        </w:rPr>
      </w:pPr>
    </w:p>
    <w:p w14:paraId="6AC62775" w14:textId="10E53AA6" w:rsidR="00C012D4" w:rsidRPr="00CF2667" w:rsidRDefault="00C012D4" w:rsidP="00C012D4">
      <w:pPr>
        <w:spacing w:after="0"/>
        <w:jc w:val="both"/>
      </w:pPr>
      <w:r w:rsidRPr="00CF2667">
        <w:t>(2) A Vhr. 13. §</w:t>
      </w:r>
      <w:proofErr w:type="spellStart"/>
      <w:r w:rsidRPr="00CF2667">
        <w:t>-</w:t>
      </w:r>
      <w:proofErr w:type="gramStart"/>
      <w:r w:rsidRPr="00CF2667">
        <w:t>a</w:t>
      </w:r>
      <w:proofErr w:type="spellEnd"/>
      <w:proofErr w:type="gramEnd"/>
      <w:r w:rsidRPr="00CF2667">
        <w:t xml:space="preserve"> a következő (10) és (11) bekezdés</w:t>
      </w:r>
      <w:r w:rsidR="00444CCE">
        <w:t>s</w:t>
      </w:r>
      <w:r w:rsidRPr="00CF2667">
        <w:t>el egészül ki:</w:t>
      </w:r>
    </w:p>
    <w:p w14:paraId="4EE4A851" w14:textId="77777777" w:rsidR="00B82D5A" w:rsidRPr="00CF2667" w:rsidRDefault="00B82D5A" w:rsidP="00C012D4">
      <w:pPr>
        <w:spacing w:after="0"/>
        <w:jc w:val="both"/>
      </w:pPr>
    </w:p>
    <w:p w14:paraId="351A0C29" w14:textId="5227B30D" w:rsidR="00C012D4" w:rsidRPr="00CF2667" w:rsidRDefault="00C012D4" w:rsidP="00C012D4">
      <w:pPr>
        <w:tabs>
          <w:tab w:val="center" w:pos="6096"/>
        </w:tabs>
        <w:spacing w:after="0" w:line="240" w:lineRule="auto"/>
        <w:jc w:val="both"/>
      </w:pPr>
      <w:r w:rsidRPr="00CF2667">
        <w:t xml:space="preserve">„(10) A hírközlő eszköz és rendszer útján értékesített kaparós sorsjegyekre </w:t>
      </w:r>
      <w:proofErr w:type="gramStart"/>
      <w:r w:rsidRPr="00CF2667">
        <w:t>a  (</w:t>
      </w:r>
      <w:proofErr w:type="gramEnd"/>
      <w:r w:rsidRPr="00CF2667">
        <w:t xml:space="preserve">2)-(4) bekezdést és </w:t>
      </w:r>
      <w:r w:rsidR="00846670">
        <w:t xml:space="preserve">az </w:t>
      </w:r>
      <w:r w:rsidRPr="00CF2667">
        <w:t xml:space="preserve">(5) bekezdés </w:t>
      </w:r>
      <w:r w:rsidRPr="00CF2667">
        <w:rPr>
          <w:i/>
        </w:rPr>
        <w:t>a)</w:t>
      </w:r>
      <w:r w:rsidRPr="00CF2667">
        <w:t xml:space="preserve"> és </w:t>
      </w:r>
      <w:r w:rsidRPr="00CF2667">
        <w:rPr>
          <w:i/>
        </w:rPr>
        <w:t>b)</w:t>
      </w:r>
      <w:r w:rsidRPr="00CF2667">
        <w:t xml:space="preserve"> pontját megfelelően alkalmazni kell azzal, hogy a sorsjegyek tárolása és forgalomba hozatala hírközlő eszköz és rendszer útján történik, valamint az (5) bekezdés </w:t>
      </w:r>
      <w:r w:rsidRPr="00CF2667">
        <w:rPr>
          <w:i/>
        </w:rPr>
        <w:t>a)</w:t>
      </w:r>
      <w:r w:rsidRPr="00CF2667">
        <w:t xml:space="preserve"> pontja szerinti dokumentumokat az engedélyezési eljárás során kell a szerencsejáték-felügyeleti hatóságnak benyújtani. </w:t>
      </w:r>
    </w:p>
    <w:p w14:paraId="386CFFD5" w14:textId="77777777" w:rsidR="00BE630A" w:rsidRDefault="00BE630A" w:rsidP="00203C3F">
      <w:pPr>
        <w:tabs>
          <w:tab w:val="center" w:pos="6096"/>
        </w:tabs>
        <w:spacing w:after="0" w:line="240" w:lineRule="auto"/>
        <w:jc w:val="both"/>
      </w:pPr>
    </w:p>
    <w:p w14:paraId="4351477A" w14:textId="1A3C832B" w:rsidR="006E7FC5" w:rsidRPr="00CF2667" w:rsidRDefault="00C012D4" w:rsidP="00203C3F">
      <w:pPr>
        <w:tabs>
          <w:tab w:val="center" w:pos="6096"/>
        </w:tabs>
        <w:spacing w:after="0" w:line="240" w:lineRule="auto"/>
        <w:jc w:val="both"/>
      </w:pPr>
      <w:r w:rsidRPr="00CF2667">
        <w:t xml:space="preserve">(11) </w:t>
      </w:r>
      <w:r w:rsidR="00203C3F" w:rsidRPr="00CF2667">
        <w:t>A hírközlő eszköz és rendszer útján értékesített kaparós sorsjegyekre e rendelet távszerencsejáték és online kaszinójáték auditálására vonatkozó előírásai közül a 15. § (2) bekezdésé</w:t>
      </w:r>
      <w:r w:rsidR="0016206A" w:rsidRPr="00CF2667">
        <w:t>t</w:t>
      </w:r>
      <w:r w:rsidR="00203C3F" w:rsidRPr="00CF2667">
        <w:t>, (3) bekezdésé</w:t>
      </w:r>
      <w:r w:rsidR="0016206A" w:rsidRPr="00CF2667">
        <w:t>t</w:t>
      </w:r>
      <w:r w:rsidR="00203C3F" w:rsidRPr="00CF2667">
        <w:t>, 2. mellékletét, 3. mellékletének I. pontját és II. pont A) alpontját, III. pont c) alpontját, 4. mellékletének II. pont 1. f) és h) alpontját, és 2. a)</w:t>
      </w:r>
      <w:proofErr w:type="spellStart"/>
      <w:r w:rsidR="00203C3F" w:rsidRPr="00CF2667">
        <w:t>-c</w:t>
      </w:r>
      <w:proofErr w:type="spellEnd"/>
      <w:r w:rsidR="00203C3F" w:rsidRPr="00CF2667">
        <w:t>) alpontját alkalmazni kell.”</w:t>
      </w:r>
    </w:p>
    <w:p w14:paraId="202FF135" w14:textId="77777777" w:rsidR="00431B0E" w:rsidRPr="00CF2667" w:rsidRDefault="00431B0E" w:rsidP="00203C3F">
      <w:pPr>
        <w:tabs>
          <w:tab w:val="center" w:pos="6096"/>
        </w:tabs>
        <w:spacing w:after="0" w:line="240" w:lineRule="auto"/>
        <w:jc w:val="both"/>
        <w:rPr>
          <w:rFonts w:eastAsia="Calibri"/>
        </w:rPr>
      </w:pPr>
    </w:p>
    <w:p w14:paraId="6A454895" w14:textId="77777777" w:rsidR="006E7FC5" w:rsidRPr="00CF2667" w:rsidRDefault="00C9669B" w:rsidP="006E7FC5">
      <w:pPr>
        <w:spacing w:after="0" w:line="240" w:lineRule="auto"/>
        <w:jc w:val="center"/>
        <w:rPr>
          <w:rFonts w:eastAsia="Calibri"/>
          <w:b/>
        </w:rPr>
      </w:pPr>
      <w:r w:rsidRPr="00CF2667">
        <w:rPr>
          <w:rFonts w:eastAsia="Calibri"/>
          <w:b/>
        </w:rPr>
        <w:t>3</w:t>
      </w:r>
      <w:r w:rsidR="006E7FC5" w:rsidRPr="00CF2667">
        <w:rPr>
          <w:rFonts w:eastAsia="Calibri"/>
          <w:b/>
        </w:rPr>
        <w:t>. §</w:t>
      </w:r>
    </w:p>
    <w:p w14:paraId="7EFE5D28" w14:textId="77777777" w:rsidR="006E7FC5" w:rsidRPr="00CF2667" w:rsidRDefault="006E7FC5" w:rsidP="006E7FC5">
      <w:pPr>
        <w:spacing w:after="0" w:line="240" w:lineRule="auto"/>
        <w:jc w:val="both"/>
        <w:rPr>
          <w:rFonts w:eastAsia="Calibri"/>
        </w:rPr>
      </w:pPr>
    </w:p>
    <w:p w14:paraId="7F48D059" w14:textId="580CD7E8" w:rsidR="006E7FC5" w:rsidRPr="00CF2667" w:rsidRDefault="00B82D5A" w:rsidP="006E7FC5">
      <w:pPr>
        <w:spacing w:after="0" w:line="240" w:lineRule="auto"/>
        <w:jc w:val="both"/>
        <w:rPr>
          <w:rFonts w:eastAsia="Calibri"/>
        </w:rPr>
      </w:pPr>
      <w:r w:rsidRPr="00CF2667">
        <w:rPr>
          <w:rFonts w:eastAsia="Calibri"/>
        </w:rPr>
        <w:t>A Vhr.</w:t>
      </w:r>
      <w:r w:rsidR="00460640">
        <w:rPr>
          <w:rFonts w:eastAsia="Calibri"/>
        </w:rPr>
        <w:t xml:space="preserve"> III. </w:t>
      </w:r>
      <w:r w:rsidR="00846670">
        <w:rPr>
          <w:rFonts w:eastAsia="Calibri"/>
        </w:rPr>
        <w:t>F</w:t>
      </w:r>
      <w:r w:rsidR="00460640">
        <w:rPr>
          <w:rFonts w:eastAsia="Calibri"/>
        </w:rPr>
        <w:t>ejezete</w:t>
      </w:r>
      <w:r w:rsidRPr="00CF2667">
        <w:rPr>
          <w:rFonts w:eastAsia="Calibri"/>
        </w:rPr>
        <w:t xml:space="preserve"> a</w:t>
      </w:r>
      <w:r w:rsidR="006E7FC5" w:rsidRPr="00CF2667">
        <w:rPr>
          <w:rFonts w:eastAsia="Calibri"/>
        </w:rPr>
        <w:t xml:space="preserve"> következő </w:t>
      </w:r>
      <w:r w:rsidRPr="00CF2667">
        <w:rPr>
          <w:rFonts w:eastAsia="Calibri"/>
        </w:rPr>
        <w:t>7/A</w:t>
      </w:r>
      <w:r w:rsidR="00447FE9" w:rsidRPr="00CF2667">
        <w:rPr>
          <w:rFonts w:eastAsia="Calibri"/>
        </w:rPr>
        <w:t>.</w:t>
      </w:r>
      <w:r w:rsidR="006E7FC5" w:rsidRPr="00CF2667">
        <w:rPr>
          <w:rFonts w:eastAsia="Calibri"/>
        </w:rPr>
        <w:t xml:space="preserve"> </w:t>
      </w:r>
      <w:r w:rsidRPr="00CF2667">
        <w:rPr>
          <w:rFonts w:eastAsia="Calibri"/>
        </w:rPr>
        <w:t xml:space="preserve">alcímmel </w:t>
      </w:r>
      <w:r w:rsidR="006E7FC5" w:rsidRPr="00CF2667">
        <w:rPr>
          <w:rFonts w:eastAsia="Calibri"/>
        </w:rPr>
        <w:t>egészül ki:</w:t>
      </w:r>
    </w:p>
    <w:p w14:paraId="276DDA3F" w14:textId="77777777" w:rsidR="006E7FC5" w:rsidRPr="00CF2667" w:rsidRDefault="006E7FC5" w:rsidP="006E7FC5">
      <w:pPr>
        <w:spacing w:after="0" w:line="240" w:lineRule="auto"/>
        <w:jc w:val="both"/>
        <w:rPr>
          <w:rFonts w:eastAsia="Calibri"/>
        </w:rPr>
      </w:pPr>
    </w:p>
    <w:p w14:paraId="3C5A7CBA" w14:textId="4E8E5C4B" w:rsidR="00B82D5A" w:rsidRPr="00CF2667" w:rsidRDefault="00B82D5A" w:rsidP="00B82D5A">
      <w:pPr>
        <w:spacing w:after="0" w:line="240" w:lineRule="auto"/>
        <w:jc w:val="center"/>
        <w:rPr>
          <w:bCs/>
        </w:rPr>
      </w:pPr>
      <w:r w:rsidRPr="00CF2667">
        <w:rPr>
          <w:bCs/>
        </w:rPr>
        <w:t xml:space="preserve">„7/A. Kizárólag hírközlő eszköz és rendszer útján értékesített számsorsjátékra vonatkozó </w:t>
      </w:r>
      <w:r w:rsidR="00173F50" w:rsidRPr="00CF2667">
        <w:rPr>
          <w:bCs/>
        </w:rPr>
        <w:t xml:space="preserve">különös </w:t>
      </w:r>
      <w:r w:rsidRPr="00CF2667">
        <w:rPr>
          <w:bCs/>
        </w:rPr>
        <w:t>szabályok</w:t>
      </w:r>
    </w:p>
    <w:p w14:paraId="766FBD3D" w14:textId="77777777" w:rsidR="00B82D5A" w:rsidRPr="00CF2667" w:rsidRDefault="00B82D5A" w:rsidP="00B82D5A">
      <w:pPr>
        <w:spacing w:after="0" w:line="240" w:lineRule="auto"/>
        <w:jc w:val="both"/>
        <w:rPr>
          <w:bCs/>
        </w:rPr>
      </w:pPr>
    </w:p>
    <w:p w14:paraId="37BBCCEA" w14:textId="111517D0" w:rsidR="00B82D5A" w:rsidRPr="00CF2667" w:rsidRDefault="008126DB" w:rsidP="00B82D5A">
      <w:pPr>
        <w:spacing w:after="0" w:line="240" w:lineRule="auto"/>
        <w:jc w:val="both"/>
        <w:rPr>
          <w:bCs/>
        </w:rPr>
      </w:pPr>
      <w:r w:rsidRPr="00CF2667">
        <w:rPr>
          <w:bCs/>
        </w:rPr>
        <w:t>13/A.</w:t>
      </w:r>
      <w:r w:rsidR="00431B0E" w:rsidRPr="00CF2667">
        <w:rPr>
          <w:bCs/>
        </w:rPr>
        <w:t xml:space="preserve"> </w:t>
      </w:r>
      <w:r w:rsidRPr="00CF2667">
        <w:rPr>
          <w:bCs/>
        </w:rPr>
        <w:t xml:space="preserve">§ </w:t>
      </w:r>
      <w:r w:rsidR="00173F50" w:rsidRPr="00CF2667">
        <w:rPr>
          <w:bCs/>
        </w:rPr>
        <w:t>A k</w:t>
      </w:r>
      <w:r w:rsidR="00431B0E" w:rsidRPr="00CF2667">
        <w:rPr>
          <w:bCs/>
        </w:rPr>
        <w:t xml:space="preserve">izárólag hírközlő eszköz és rendszer útján értékesített számsorsjátékra a 15. § (2) bekezdés </w:t>
      </w:r>
      <w:r w:rsidR="00431B0E" w:rsidRPr="00CF2667">
        <w:rPr>
          <w:bCs/>
          <w:i/>
        </w:rPr>
        <w:t>a)</w:t>
      </w:r>
      <w:r w:rsidR="00431B0E" w:rsidRPr="00CF2667">
        <w:rPr>
          <w:bCs/>
        </w:rPr>
        <w:t xml:space="preserve"> pontját, 2. mellékletét, 3. melléklet I. pontját és II. pont A) alpontját, III. pont </w:t>
      </w:r>
      <w:r w:rsidR="00431B0E" w:rsidRPr="00CF2667">
        <w:rPr>
          <w:bCs/>
          <w:i/>
        </w:rPr>
        <w:t>c)</w:t>
      </w:r>
      <w:r w:rsidR="00431B0E" w:rsidRPr="00CF2667">
        <w:rPr>
          <w:bCs/>
        </w:rPr>
        <w:t xml:space="preserve"> alpontját, 4. melléklet II. pont 1. </w:t>
      </w:r>
      <w:r w:rsidR="00173F50" w:rsidRPr="00CF2667">
        <w:rPr>
          <w:bCs/>
        </w:rPr>
        <w:t xml:space="preserve">pont </w:t>
      </w:r>
      <w:r w:rsidR="00431B0E" w:rsidRPr="00CF2667">
        <w:rPr>
          <w:bCs/>
          <w:i/>
        </w:rPr>
        <w:t>f)</w:t>
      </w:r>
      <w:r w:rsidR="00431B0E" w:rsidRPr="00CF2667">
        <w:rPr>
          <w:bCs/>
        </w:rPr>
        <w:t xml:space="preserve"> és </w:t>
      </w:r>
      <w:r w:rsidR="00431B0E" w:rsidRPr="00CF2667">
        <w:rPr>
          <w:bCs/>
          <w:i/>
        </w:rPr>
        <w:t>h)</w:t>
      </w:r>
      <w:r w:rsidR="00431B0E" w:rsidRPr="00CF2667">
        <w:rPr>
          <w:bCs/>
        </w:rPr>
        <w:t xml:space="preserve"> alpontját, </w:t>
      </w:r>
      <w:r w:rsidR="00173F50" w:rsidRPr="00CF2667">
        <w:rPr>
          <w:bCs/>
        </w:rPr>
        <w:t xml:space="preserve">valamint </w:t>
      </w:r>
      <w:r w:rsidR="00431B0E" w:rsidRPr="00CF2667">
        <w:rPr>
          <w:bCs/>
        </w:rPr>
        <w:t xml:space="preserve">2. </w:t>
      </w:r>
      <w:r w:rsidR="00173F50" w:rsidRPr="00CF2667">
        <w:rPr>
          <w:bCs/>
        </w:rPr>
        <w:t xml:space="preserve">pont </w:t>
      </w:r>
      <w:r w:rsidR="00431B0E" w:rsidRPr="00CF2667">
        <w:rPr>
          <w:bCs/>
          <w:i/>
        </w:rPr>
        <w:t>a)</w:t>
      </w:r>
      <w:proofErr w:type="spellStart"/>
      <w:r w:rsidR="00431B0E" w:rsidRPr="00CF2667">
        <w:rPr>
          <w:bCs/>
        </w:rPr>
        <w:t>-</w:t>
      </w:r>
      <w:r w:rsidR="00431B0E" w:rsidRPr="00CF2667">
        <w:rPr>
          <w:bCs/>
          <w:i/>
        </w:rPr>
        <w:t>c</w:t>
      </w:r>
      <w:proofErr w:type="spellEnd"/>
      <w:r w:rsidR="00431B0E" w:rsidRPr="00CF2667">
        <w:rPr>
          <w:bCs/>
          <w:i/>
        </w:rPr>
        <w:t>)</w:t>
      </w:r>
      <w:r w:rsidR="00431B0E" w:rsidRPr="00CF2667">
        <w:rPr>
          <w:bCs/>
        </w:rPr>
        <w:t xml:space="preserve"> alpontját alkalmazni kell.</w:t>
      </w:r>
      <w:r w:rsidR="00B82D5A" w:rsidRPr="00CF2667">
        <w:rPr>
          <w:bCs/>
        </w:rPr>
        <w:t>”</w:t>
      </w:r>
    </w:p>
    <w:p w14:paraId="3AB0FB4F" w14:textId="77777777" w:rsidR="006E7FC5" w:rsidRPr="00CF2667" w:rsidRDefault="006E7FC5" w:rsidP="006E7FC5">
      <w:pPr>
        <w:spacing w:after="0" w:line="240" w:lineRule="auto"/>
        <w:jc w:val="both"/>
        <w:rPr>
          <w:rFonts w:eastAsia="Calibri"/>
        </w:rPr>
      </w:pPr>
    </w:p>
    <w:p w14:paraId="32A5D86C" w14:textId="77777777" w:rsidR="006E7FC5" w:rsidRPr="00CF2667" w:rsidRDefault="00C9669B" w:rsidP="006E7FC5">
      <w:pPr>
        <w:spacing w:after="0" w:line="240" w:lineRule="auto"/>
        <w:jc w:val="center"/>
        <w:rPr>
          <w:rFonts w:eastAsia="Calibri"/>
          <w:b/>
        </w:rPr>
      </w:pPr>
      <w:r w:rsidRPr="00CF2667">
        <w:rPr>
          <w:rFonts w:eastAsia="Calibri"/>
          <w:b/>
        </w:rPr>
        <w:t>4</w:t>
      </w:r>
      <w:r w:rsidR="006E7FC5" w:rsidRPr="00CF2667">
        <w:rPr>
          <w:rFonts w:eastAsia="Calibri"/>
          <w:b/>
        </w:rPr>
        <w:t>. §</w:t>
      </w:r>
    </w:p>
    <w:p w14:paraId="1F6C6F18" w14:textId="77777777" w:rsidR="00447FE9" w:rsidRPr="00CF2667" w:rsidRDefault="00447FE9" w:rsidP="00447FE9">
      <w:pPr>
        <w:spacing w:after="0" w:line="240" w:lineRule="auto"/>
        <w:jc w:val="both"/>
        <w:rPr>
          <w:rFonts w:eastAsia="Calibri"/>
          <w:b/>
        </w:rPr>
      </w:pPr>
    </w:p>
    <w:p w14:paraId="1DEEA69D" w14:textId="147BF699" w:rsidR="00447FE9" w:rsidRPr="00CF2667" w:rsidRDefault="00447FE9" w:rsidP="00447FE9">
      <w:pPr>
        <w:jc w:val="both"/>
      </w:pPr>
      <w:r w:rsidRPr="00CF2667">
        <w:t>A Vhr.</w:t>
      </w:r>
      <w:r w:rsidR="00723037">
        <w:t xml:space="preserve"> </w:t>
      </w:r>
      <w:r w:rsidR="00667115">
        <w:t xml:space="preserve">9/C. </w:t>
      </w:r>
      <w:proofErr w:type="gramStart"/>
      <w:r w:rsidR="00667115">
        <w:t xml:space="preserve">alcíme </w:t>
      </w:r>
      <w:r w:rsidR="00173F50" w:rsidRPr="00CF2667">
        <w:t xml:space="preserve"> </w:t>
      </w:r>
      <w:r w:rsidRPr="00CF2667">
        <w:t>a</w:t>
      </w:r>
      <w:proofErr w:type="gramEnd"/>
      <w:r w:rsidRPr="00CF2667">
        <w:t xml:space="preserve"> következő 16/F. §</w:t>
      </w:r>
      <w:proofErr w:type="spellStart"/>
      <w:r w:rsidRPr="00CF2667">
        <w:t>-</w:t>
      </w:r>
      <w:r w:rsidR="00F42DAC" w:rsidRPr="00CF2667">
        <w:t>s</w:t>
      </w:r>
      <w:r w:rsidRPr="00CF2667">
        <w:t>al</w:t>
      </w:r>
      <w:proofErr w:type="spellEnd"/>
      <w:r w:rsidRPr="00CF2667">
        <w:t xml:space="preserve"> egészül ki:</w:t>
      </w:r>
    </w:p>
    <w:p w14:paraId="677AA608" w14:textId="7DEB23EE" w:rsidR="00447FE9" w:rsidRPr="00CF2667" w:rsidRDefault="00447FE9" w:rsidP="00447FE9">
      <w:pPr>
        <w:jc w:val="both"/>
      </w:pPr>
      <w:r w:rsidRPr="00CF2667">
        <w:lastRenderedPageBreak/>
        <w:t xml:space="preserve">„16/F. § Korai kifizetés biztosítása </w:t>
      </w:r>
      <w:r w:rsidRPr="005C402F">
        <w:t xml:space="preserve">esetén </w:t>
      </w:r>
      <w:r w:rsidR="0053730E" w:rsidRPr="005C402F">
        <w:t xml:space="preserve">a szerencsejáték-szervező köteles e funkció népszerűsítésekor – </w:t>
      </w:r>
      <w:r w:rsidR="00846670" w:rsidRPr="005C402F">
        <w:t>a népszerűsítést szolgáló szövegben, a szöveggel azonos</w:t>
      </w:r>
      <w:r w:rsidR="0053730E" w:rsidRPr="005C402F">
        <w:t xml:space="preserve"> betűméretben – kifejezetten felhívni a játékos figyelmét arra is, hogy e funkció alkalmazása a túlzásba vitt szerencsejáték és játékfüggőség kialakulásának megnövekedett veszélyével jár. A</w:t>
      </w:r>
      <w:r w:rsidRPr="005C402F">
        <w:t xml:space="preserve"> szerencsejáték-szervező köteles </w:t>
      </w:r>
      <w:proofErr w:type="gramStart"/>
      <w:r w:rsidRPr="005C402F">
        <w:t xml:space="preserve">a </w:t>
      </w:r>
      <w:r w:rsidR="00785E70" w:rsidRPr="005C402F">
        <w:t xml:space="preserve"> </w:t>
      </w:r>
      <w:r w:rsidR="0053730E" w:rsidRPr="005C402F">
        <w:t>szerencsejátékot</w:t>
      </w:r>
      <w:proofErr w:type="gramEnd"/>
      <w:r w:rsidR="0053730E" w:rsidRPr="005C402F">
        <w:t xml:space="preserve"> kínáló honlapján a </w:t>
      </w:r>
      <w:r w:rsidR="00785E70" w:rsidRPr="005C402F">
        <w:t>játékos számára elérhetővé tenni</w:t>
      </w:r>
      <w:r w:rsidR="00785E70" w:rsidRPr="00CF2667">
        <w:t xml:space="preserve"> azon tájékoztatást </w:t>
      </w:r>
      <w:r w:rsidR="0053730E">
        <w:t>is</w:t>
      </w:r>
      <w:r w:rsidRPr="00CF2667">
        <w:t>, hogy e funkció alkalmazása a túlzásba vitt szerencsejáték és játékfüggőség kialakulásának megnövekedett veszélyével jár.”</w:t>
      </w:r>
    </w:p>
    <w:p w14:paraId="6740684E" w14:textId="77777777" w:rsidR="0018214B" w:rsidRPr="00CF2667" w:rsidRDefault="00C9669B" w:rsidP="0018214B">
      <w:pPr>
        <w:spacing w:after="0" w:line="240" w:lineRule="auto"/>
        <w:jc w:val="center"/>
        <w:rPr>
          <w:rFonts w:eastAsia="Calibri"/>
          <w:b/>
        </w:rPr>
      </w:pPr>
      <w:r w:rsidRPr="00CF2667">
        <w:rPr>
          <w:rFonts w:eastAsia="Calibri"/>
          <w:b/>
        </w:rPr>
        <w:t>5</w:t>
      </w:r>
      <w:r w:rsidR="0018214B" w:rsidRPr="00CF2667">
        <w:rPr>
          <w:rFonts w:eastAsia="Calibri"/>
          <w:b/>
        </w:rPr>
        <w:t>. §</w:t>
      </w:r>
    </w:p>
    <w:p w14:paraId="2CEE6BA7" w14:textId="77777777" w:rsidR="00447FE9" w:rsidRPr="00CF2667" w:rsidRDefault="00447FE9" w:rsidP="00447FE9">
      <w:pPr>
        <w:spacing w:after="0" w:line="240" w:lineRule="auto"/>
        <w:jc w:val="both"/>
        <w:rPr>
          <w:rFonts w:eastAsia="Calibri"/>
          <w:b/>
        </w:rPr>
      </w:pPr>
    </w:p>
    <w:p w14:paraId="51A4AE0C" w14:textId="77777777" w:rsidR="0018214B" w:rsidRPr="00CF2667" w:rsidRDefault="0018214B" w:rsidP="0018214B">
      <w:pPr>
        <w:spacing w:after="0"/>
        <w:jc w:val="both"/>
      </w:pPr>
      <w:r w:rsidRPr="00CF2667">
        <w:rPr>
          <w:rFonts w:eastAsia="Calibri"/>
        </w:rPr>
        <w:t xml:space="preserve">(1) </w:t>
      </w:r>
      <w:r w:rsidRPr="00CF2667">
        <w:t xml:space="preserve">A Vhr. 22. § (1) bekezdésének </w:t>
      </w:r>
      <w:r w:rsidRPr="00CF2667">
        <w:rPr>
          <w:i/>
        </w:rPr>
        <w:t>c)</w:t>
      </w:r>
      <w:r w:rsidRPr="00CF2667">
        <w:t xml:space="preserve"> pontja helyébe a következő rendelkezés lép:</w:t>
      </w:r>
    </w:p>
    <w:p w14:paraId="35B5EE08" w14:textId="77777777" w:rsidR="0018214B" w:rsidRPr="00CF2667" w:rsidRDefault="0018214B" w:rsidP="00447FE9">
      <w:pPr>
        <w:spacing w:after="0" w:line="240" w:lineRule="auto"/>
        <w:jc w:val="both"/>
        <w:rPr>
          <w:rFonts w:eastAsia="Calibri"/>
          <w:b/>
        </w:rPr>
      </w:pPr>
    </w:p>
    <w:p w14:paraId="1F79836C" w14:textId="77777777" w:rsidR="0018214B" w:rsidRPr="00CF2667" w:rsidRDefault="003A5B78" w:rsidP="0018214B">
      <w:pPr>
        <w:spacing w:after="0" w:line="240" w:lineRule="auto"/>
        <w:jc w:val="both"/>
        <w:rPr>
          <w:i/>
        </w:rPr>
      </w:pPr>
      <w:r w:rsidRPr="00CF2667">
        <w:rPr>
          <w:i/>
        </w:rPr>
        <w:t>(</w:t>
      </w:r>
      <w:r w:rsidR="0018214B" w:rsidRPr="00CF2667">
        <w:rPr>
          <w:i/>
        </w:rPr>
        <w:t>Ha a szervező a nyilvántartásba vételt követően tárja fel, hogy a nyilvántartás adatt</w:t>
      </w:r>
      <w:r w:rsidRPr="00CF2667">
        <w:rPr>
          <w:i/>
        </w:rPr>
        <w:t>artalma azért szabálytalan, mert)</w:t>
      </w:r>
    </w:p>
    <w:p w14:paraId="13B389E6" w14:textId="77777777" w:rsidR="00173F50" w:rsidRPr="00CF2667" w:rsidRDefault="00173F50" w:rsidP="0018214B">
      <w:pPr>
        <w:spacing w:after="0" w:line="240" w:lineRule="auto"/>
        <w:jc w:val="both"/>
      </w:pPr>
    </w:p>
    <w:p w14:paraId="69BDF0DA" w14:textId="77777777" w:rsidR="0018214B" w:rsidRPr="00CF2667" w:rsidRDefault="003A5B78" w:rsidP="0018214B">
      <w:pPr>
        <w:spacing w:after="0" w:line="240" w:lineRule="auto"/>
        <w:jc w:val="both"/>
      </w:pPr>
      <w:r w:rsidRPr="00CF2667">
        <w:t>„</w:t>
      </w:r>
      <w:r w:rsidR="0018214B" w:rsidRPr="00CF2667">
        <w:rPr>
          <w:i/>
        </w:rPr>
        <w:t>c)</w:t>
      </w:r>
      <w:r w:rsidR="0018214B" w:rsidRPr="00CF2667">
        <w:t xml:space="preserve"> ugyanazon játékos ugyanarra a játékra, vagy egyazon játékosi egyenlegre nézve többször szerepel a nyilvántartásban</w:t>
      </w:r>
      <w:r w:rsidRPr="00CF2667">
        <w:t>,”</w:t>
      </w:r>
    </w:p>
    <w:p w14:paraId="36CDD328" w14:textId="77777777" w:rsidR="00173F50" w:rsidRPr="00CF2667" w:rsidRDefault="00173F50" w:rsidP="0018214B">
      <w:pPr>
        <w:spacing w:after="0" w:line="240" w:lineRule="auto"/>
        <w:jc w:val="both"/>
        <w:rPr>
          <w:i/>
        </w:rPr>
      </w:pPr>
    </w:p>
    <w:p w14:paraId="112A77F5" w14:textId="77777777" w:rsidR="0018214B" w:rsidRPr="00CF2667" w:rsidRDefault="003A5B78" w:rsidP="0018214B">
      <w:pPr>
        <w:spacing w:after="0" w:line="240" w:lineRule="auto"/>
        <w:jc w:val="both"/>
        <w:rPr>
          <w:i/>
        </w:rPr>
      </w:pPr>
      <w:r w:rsidRPr="00CF2667">
        <w:rPr>
          <w:i/>
        </w:rPr>
        <w:t>(</w:t>
      </w:r>
      <w:r w:rsidR="000F2AD6" w:rsidRPr="00CF2667">
        <w:rPr>
          <w:i/>
        </w:rPr>
        <w:t>a</w:t>
      </w:r>
      <w:r w:rsidR="0018214B" w:rsidRPr="00CF2667">
        <w:rPr>
          <w:i/>
        </w:rPr>
        <w:t xml:space="preserve"> játékosi egyenleget haladéktalanul felfüggeszti.</w:t>
      </w:r>
      <w:r w:rsidRPr="00CF2667">
        <w:rPr>
          <w:i/>
        </w:rPr>
        <w:t>)</w:t>
      </w:r>
    </w:p>
    <w:p w14:paraId="25489DFD" w14:textId="77777777" w:rsidR="00447FE9" w:rsidRPr="00CF2667" w:rsidRDefault="00447FE9" w:rsidP="0018214B">
      <w:pPr>
        <w:spacing w:after="0" w:line="240" w:lineRule="auto"/>
        <w:jc w:val="both"/>
        <w:rPr>
          <w:rFonts w:eastAsia="Calibri"/>
          <w:b/>
        </w:rPr>
      </w:pPr>
    </w:p>
    <w:p w14:paraId="6DE1BE49" w14:textId="77777777" w:rsidR="0018214B" w:rsidRPr="00CF2667" w:rsidRDefault="0018214B" w:rsidP="0018214B">
      <w:pPr>
        <w:spacing w:after="0" w:line="240" w:lineRule="auto"/>
        <w:jc w:val="both"/>
        <w:rPr>
          <w:rFonts w:eastAsia="Calibri"/>
        </w:rPr>
      </w:pPr>
      <w:r w:rsidRPr="00CF2667">
        <w:rPr>
          <w:rFonts w:eastAsia="Calibri"/>
        </w:rPr>
        <w:t>(2) A Vhr. 22. § (2) bekezdése helyébe a következő rendelkezés lép:</w:t>
      </w:r>
    </w:p>
    <w:p w14:paraId="084DEC63" w14:textId="77777777" w:rsidR="0018214B" w:rsidRPr="00CF2667" w:rsidRDefault="0018214B" w:rsidP="0018214B">
      <w:pPr>
        <w:spacing w:after="0" w:line="240" w:lineRule="auto"/>
        <w:jc w:val="both"/>
        <w:rPr>
          <w:rFonts w:eastAsia="Calibri"/>
        </w:rPr>
      </w:pPr>
    </w:p>
    <w:p w14:paraId="30723ACD" w14:textId="77777777" w:rsidR="0018214B" w:rsidRPr="00CF2667" w:rsidRDefault="0018214B" w:rsidP="0018214B">
      <w:pPr>
        <w:spacing w:after="0" w:line="240" w:lineRule="auto"/>
        <w:jc w:val="both"/>
      </w:pPr>
      <w:r w:rsidRPr="00CF2667">
        <w:rPr>
          <w:rFonts w:eastAsia="Calibri"/>
        </w:rPr>
        <w:t>„</w:t>
      </w:r>
      <w:r w:rsidRPr="00CF2667">
        <w:t xml:space="preserve">(2) Az (1) bekezdés </w:t>
      </w:r>
      <w:r w:rsidRPr="00CF2667">
        <w:rPr>
          <w:i/>
        </w:rPr>
        <w:t>c)</w:t>
      </w:r>
      <w:r w:rsidRPr="00CF2667">
        <w:t xml:space="preserve"> pontja szerinti többszörös nyilvántartásba vétel esetén a játékosi egyenleg végleges lezárására, elszámolására és a játékos játékból való kizárására irányuló intézkedéseket az érintett játékosra és játékosi egyenlegre úgy kell alkalmazni, hogy egy játékban történő részvétel céljára kizárólag egy játékosi egyenleg álljon rendelkezésre.</w:t>
      </w:r>
      <w:r w:rsidR="005F30D0" w:rsidRPr="00CF2667">
        <w:t>”</w:t>
      </w:r>
    </w:p>
    <w:p w14:paraId="2946A417" w14:textId="77777777" w:rsidR="006E7FC5" w:rsidRPr="00CF2667" w:rsidRDefault="006E7FC5" w:rsidP="006E7FC5">
      <w:pPr>
        <w:spacing w:after="0" w:line="240" w:lineRule="auto"/>
        <w:jc w:val="both"/>
        <w:rPr>
          <w:rFonts w:eastAsia="Calibri"/>
        </w:rPr>
      </w:pPr>
    </w:p>
    <w:p w14:paraId="1611C320" w14:textId="77777777" w:rsidR="005F30D0" w:rsidRPr="00CF2667" w:rsidRDefault="005F30D0" w:rsidP="006E7FC5">
      <w:pPr>
        <w:spacing w:after="0" w:line="240" w:lineRule="auto"/>
        <w:jc w:val="both"/>
        <w:rPr>
          <w:rFonts w:eastAsia="Calibri"/>
        </w:rPr>
      </w:pPr>
      <w:r w:rsidRPr="00CF2667">
        <w:rPr>
          <w:rFonts w:eastAsia="Calibri"/>
        </w:rPr>
        <w:t>(3) A Vhr. 22. § (4) bekezdése helyébe a következő rendelkezés lép:</w:t>
      </w:r>
    </w:p>
    <w:p w14:paraId="42776204" w14:textId="77777777" w:rsidR="005F30D0" w:rsidRPr="00CF2667" w:rsidRDefault="005F30D0" w:rsidP="006E7FC5">
      <w:pPr>
        <w:spacing w:after="0" w:line="240" w:lineRule="auto"/>
        <w:jc w:val="both"/>
        <w:rPr>
          <w:rFonts w:eastAsia="Calibri"/>
        </w:rPr>
      </w:pPr>
    </w:p>
    <w:p w14:paraId="78F8008D" w14:textId="431D0808" w:rsidR="00CE4959" w:rsidRPr="00CF2667" w:rsidRDefault="005F30D0" w:rsidP="00CE4959">
      <w:pPr>
        <w:spacing w:after="0" w:line="240" w:lineRule="auto"/>
        <w:jc w:val="both"/>
      </w:pPr>
      <w:r w:rsidRPr="00CF2667">
        <w:rPr>
          <w:rFonts w:eastAsia="Calibri"/>
        </w:rPr>
        <w:t>„</w:t>
      </w:r>
      <w:r w:rsidR="00CE4959" w:rsidRPr="00CF2667">
        <w:rPr>
          <w:rFonts w:eastAsia="Calibri"/>
        </w:rPr>
        <w:t xml:space="preserve">(4) </w:t>
      </w:r>
      <w:r w:rsidR="00CE4959" w:rsidRPr="00CF2667">
        <w:t xml:space="preserve">Ha a szervező tudomására jut, hogy a nyilvántartásba vétel vagy a nyilvántartás az (1) </w:t>
      </w:r>
      <w:proofErr w:type="gramStart"/>
      <w:r w:rsidR="00CE4959" w:rsidRPr="00CF2667">
        <w:t>bekezdésben</w:t>
      </w:r>
      <w:proofErr w:type="gramEnd"/>
      <w:r w:rsidR="00CE4959" w:rsidRPr="00CF2667">
        <w:t xml:space="preserve"> meghatározottakon kívüli, egyéb okból </w:t>
      </w:r>
      <w:r w:rsidR="00C63619" w:rsidRPr="00CF2667">
        <w:t>–</w:t>
      </w:r>
      <w:r w:rsidR="00CE4959" w:rsidRPr="00CF2667">
        <w:t xml:space="preserve"> különösen az adatváltozás késedelmes bejelentése miatt </w:t>
      </w:r>
      <w:r w:rsidR="00C63619" w:rsidRPr="00CF2667">
        <w:t>–</w:t>
      </w:r>
      <w:r w:rsidR="00CE4959" w:rsidRPr="00CF2667">
        <w:t xml:space="preserve"> szabálytalan, a szervező a szabálytalanság kiküszöbölése iránt intézkedik. A szervező szükség esetén a játékost felhívja a szabálytalanság kiküszöbölésében való közreműködésre, és valamennyi érintett játékosi egyenleget a szabálytalanság kiküszöböléséig felfüggesztheti. Ha a szabálytalanság 30 napon belül sem küszöbölhető</w:t>
      </w:r>
      <w:r w:rsidR="00173F50" w:rsidRPr="00CF2667">
        <w:t xml:space="preserve"> ki</w:t>
      </w:r>
      <w:r w:rsidR="00CE4959" w:rsidRPr="00CF2667">
        <w:t xml:space="preserve">, és emiatt a jogszabálynak </w:t>
      </w:r>
      <w:r w:rsidR="00CE4959" w:rsidRPr="00CF2667">
        <w:lastRenderedPageBreak/>
        <w:t>megfelelő játék nem biztosítható, a szervező valamennyi érintett játékosi egyenleg lezárása és a játékos kizárása iránt intézkedik.”</w:t>
      </w:r>
    </w:p>
    <w:p w14:paraId="5D3A1DE7" w14:textId="77777777" w:rsidR="0018214B" w:rsidRPr="00CF2667" w:rsidRDefault="0018214B" w:rsidP="006E7FC5">
      <w:pPr>
        <w:spacing w:after="0" w:line="240" w:lineRule="auto"/>
        <w:jc w:val="both"/>
      </w:pPr>
    </w:p>
    <w:p w14:paraId="199A0A5A" w14:textId="77777777" w:rsidR="009817D0" w:rsidRPr="00CF2667" w:rsidRDefault="009817D0" w:rsidP="009E31C9">
      <w:pPr>
        <w:spacing w:after="0" w:line="240" w:lineRule="auto"/>
        <w:jc w:val="center"/>
        <w:rPr>
          <w:b/>
        </w:rPr>
      </w:pPr>
    </w:p>
    <w:p w14:paraId="53A4CF1C" w14:textId="38586C46" w:rsidR="00CE4959" w:rsidRPr="00CF2667" w:rsidRDefault="00CE4959" w:rsidP="006E7FC5">
      <w:pPr>
        <w:spacing w:after="0" w:line="240" w:lineRule="auto"/>
        <w:jc w:val="both"/>
        <w:rPr>
          <w:rFonts w:eastAsia="Calibri"/>
        </w:rPr>
      </w:pPr>
    </w:p>
    <w:p w14:paraId="74AA5137" w14:textId="333E8DF3" w:rsidR="0018214B" w:rsidRPr="00CF2667" w:rsidRDefault="0053730E" w:rsidP="00CA1F6D">
      <w:pPr>
        <w:spacing w:after="0" w:line="240" w:lineRule="auto"/>
        <w:jc w:val="center"/>
        <w:rPr>
          <w:rFonts w:eastAsia="Calibri"/>
          <w:b/>
        </w:rPr>
      </w:pPr>
      <w:r>
        <w:rPr>
          <w:rFonts w:eastAsia="Calibri"/>
          <w:b/>
        </w:rPr>
        <w:t>6</w:t>
      </w:r>
      <w:r w:rsidR="00CA1F6D" w:rsidRPr="00CF2667">
        <w:rPr>
          <w:rFonts w:eastAsia="Calibri"/>
          <w:b/>
        </w:rPr>
        <w:t>. §</w:t>
      </w:r>
    </w:p>
    <w:p w14:paraId="44FAA856" w14:textId="77777777" w:rsidR="00CA1F6D" w:rsidRPr="00CF2667" w:rsidRDefault="00CA1F6D" w:rsidP="006E7FC5">
      <w:pPr>
        <w:spacing w:after="0" w:line="240" w:lineRule="auto"/>
        <w:jc w:val="both"/>
        <w:rPr>
          <w:rFonts w:eastAsia="Calibri"/>
        </w:rPr>
      </w:pPr>
    </w:p>
    <w:p w14:paraId="5F18C0BC" w14:textId="77777777" w:rsidR="00CA1F6D" w:rsidRPr="00CF2667" w:rsidRDefault="0099589C" w:rsidP="00CA1F6D">
      <w:pPr>
        <w:spacing w:after="0" w:line="240" w:lineRule="auto"/>
        <w:jc w:val="both"/>
      </w:pPr>
      <w:r w:rsidRPr="00CF2667">
        <w:t xml:space="preserve">(1) </w:t>
      </w:r>
      <w:r w:rsidR="00CA1F6D" w:rsidRPr="00CF2667">
        <w:t>A Vhr. 25. § (1)-(</w:t>
      </w:r>
      <w:r w:rsidRPr="00CF2667">
        <w:t>4</w:t>
      </w:r>
      <w:r w:rsidR="00CA1F6D" w:rsidRPr="00CF2667">
        <w:t>) bekezdése helyébe a következő rendelkezések lépnek:</w:t>
      </w:r>
    </w:p>
    <w:p w14:paraId="53A6CFCD" w14:textId="77777777" w:rsidR="00CA1F6D" w:rsidRPr="00CF2667" w:rsidRDefault="00CA1F6D" w:rsidP="00CA1F6D">
      <w:pPr>
        <w:spacing w:after="0" w:line="240" w:lineRule="auto"/>
        <w:jc w:val="both"/>
      </w:pPr>
    </w:p>
    <w:p w14:paraId="417ECDB4" w14:textId="77777777" w:rsidR="00CA1F6D" w:rsidRDefault="00CA1F6D" w:rsidP="00CA1F6D">
      <w:pPr>
        <w:spacing w:after="0" w:line="240" w:lineRule="auto"/>
        <w:jc w:val="both"/>
      </w:pPr>
      <w:r w:rsidRPr="00CF2667">
        <w:t xml:space="preserve">„(1) Ha a szervező távszerencsejátéknak minősülő játék mellett más szerencsejáték szervezésére is engedéllyel rendelkezik, az egy vagy több közös játékosi egyenlegen a játékos részére valamennyi, adott játékosi egyenleggel érintett játékkal összefüggésben vezethető a szerencsejátékkal kapcsolatos tétek, nyeremények és egyéb ügyletek elszámolása és nyilvántartása. </w:t>
      </w:r>
    </w:p>
    <w:p w14:paraId="489F5722" w14:textId="77777777" w:rsidR="00BE630A" w:rsidRPr="00CF2667" w:rsidRDefault="00BE630A" w:rsidP="00CA1F6D">
      <w:pPr>
        <w:spacing w:after="0" w:line="240" w:lineRule="auto"/>
        <w:jc w:val="both"/>
        <w:rPr>
          <w:strike/>
        </w:rPr>
      </w:pPr>
    </w:p>
    <w:p w14:paraId="38A65140" w14:textId="77777777" w:rsidR="00CA1F6D" w:rsidRDefault="00CA1F6D" w:rsidP="00CA1F6D">
      <w:pPr>
        <w:spacing w:after="0" w:line="240" w:lineRule="auto"/>
        <w:jc w:val="both"/>
      </w:pPr>
      <w:r w:rsidRPr="00CF2667">
        <w:t>(2) A szervező a közös játékosi egyenleget a játékos szervezőnél már meglévő játékosi egyenlegének felhasználásával vagy attól elkülönítetten is kialakíthatja.</w:t>
      </w:r>
    </w:p>
    <w:p w14:paraId="23DE9B81" w14:textId="77777777" w:rsidR="00BE630A" w:rsidRPr="00CF2667" w:rsidRDefault="00BE630A" w:rsidP="00CA1F6D">
      <w:pPr>
        <w:spacing w:after="0" w:line="240" w:lineRule="auto"/>
        <w:jc w:val="both"/>
      </w:pPr>
    </w:p>
    <w:p w14:paraId="5F87DC70" w14:textId="01D878ED" w:rsidR="00CA1F6D" w:rsidRDefault="00CA1F6D" w:rsidP="00CA1F6D">
      <w:pPr>
        <w:spacing w:after="0" w:line="240" w:lineRule="auto"/>
        <w:jc w:val="both"/>
      </w:pPr>
      <w:r w:rsidRPr="00CF2667">
        <w:t>(3) A közös játékosi egyenleg már meglévő egyenleg felhasználásával vagy attól elkülönítetten történő kialakítása esetén a játékosnak a távszerencsejátékban való részvételére a távszerencsejátékra irányadó rendelkezések teljesülését követően kerülhet sor.</w:t>
      </w:r>
    </w:p>
    <w:p w14:paraId="2E0069C6" w14:textId="77777777" w:rsidR="00BE630A" w:rsidRPr="00CF2667" w:rsidRDefault="00BE630A" w:rsidP="00CA1F6D">
      <w:pPr>
        <w:spacing w:after="0" w:line="240" w:lineRule="auto"/>
        <w:jc w:val="both"/>
      </w:pPr>
    </w:p>
    <w:p w14:paraId="7A20ACDF" w14:textId="77777777" w:rsidR="00CA1F6D" w:rsidRPr="00CF2667" w:rsidRDefault="00CA1F6D" w:rsidP="00CA1F6D">
      <w:pPr>
        <w:spacing w:after="0" w:line="240" w:lineRule="auto"/>
        <w:jc w:val="both"/>
      </w:pPr>
      <w:r w:rsidRPr="00CF2667">
        <w:t xml:space="preserve">(4) A közös játékosi egyenlegek </w:t>
      </w:r>
      <w:proofErr w:type="spellStart"/>
      <w:r w:rsidRPr="00CF2667">
        <w:t>Szjtv</w:t>
      </w:r>
      <w:proofErr w:type="spellEnd"/>
      <w:r w:rsidRPr="00CF2667">
        <w:t>. 29/H. § (5) bekezdése szerinti kifizetésre alkalmas fedezetét úgy kell megállapítani, hogy az valamennyi érintett játékban történő kifizetést biztosítsa.</w:t>
      </w:r>
      <w:r w:rsidR="0099589C" w:rsidRPr="00CF2667">
        <w:t>”</w:t>
      </w:r>
    </w:p>
    <w:p w14:paraId="5294CE56" w14:textId="77777777" w:rsidR="0099589C" w:rsidRPr="00CF2667" w:rsidRDefault="0099589C" w:rsidP="00CA1F6D">
      <w:pPr>
        <w:spacing w:after="0" w:line="240" w:lineRule="auto"/>
        <w:jc w:val="both"/>
      </w:pPr>
    </w:p>
    <w:p w14:paraId="31BCA5AA" w14:textId="68A3C0CF" w:rsidR="0099589C" w:rsidRPr="00CF2667" w:rsidRDefault="0099589C" w:rsidP="00CA1F6D">
      <w:pPr>
        <w:spacing w:after="0" w:line="240" w:lineRule="auto"/>
        <w:jc w:val="both"/>
      </w:pPr>
      <w:r w:rsidRPr="00CF2667">
        <w:t>(2) A Vhr. 25. § (6)</w:t>
      </w:r>
      <w:r w:rsidR="0053730E">
        <w:t xml:space="preserve"> és </w:t>
      </w:r>
      <w:r w:rsidRPr="00CF2667">
        <w:t>(7) bekezdése helyébe a következő rendelkezések lépnek:</w:t>
      </w:r>
    </w:p>
    <w:p w14:paraId="2D2C3E3B" w14:textId="77777777" w:rsidR="0099589C" w:rsidRPr="00CF2667" w:rsidRDefault="0099589C" w:rsidP="00CA1F6D">
      <w:pPr>
        <w:spacing w:after="0" w:line="240" w:lineRule="auto"/>
        <w:jc w:val="both"/>
      </w:pPr>
    </w:p>
    <w:p w14:paraId="155C1E40" w14:textId="77777777" w:rsidR="00CA1F6D" w:rsidRDefault="0099589C" w:rsidP="00CA1F6D">
      <w:pPr>
        <w:spacing w:after="0" w:line="240" w:lineRule="auto"/>
        <w:jc w:val="both"/>
      </w:pPr>
      <w:r w:rsidRPr="00CF2667">
        <w:t>„</w:t>
      </w:r>
      <w:r w:rsidR="00CA1F6D" w:rsidRPr="00CF2667">
        <w:t>(6) Az egy játékra vonatkozó engedély felfüggesztésének időtartama alatt a közös játékosi egyenlegen a szervező az érintett</w:t>
      </w:r>
      <w:r w:rsidR="008F4AEA" w:rsidRPr="00CF2667">
        <w:t xml:space="preserve"> </w:t>
      </w:r>
      <w:r w:rsidR="00CA1F6D" w:rsidRPr="00CF2667">
        <w:t>játékon kívüli, a közös egyenleghez tartozó játékok játékügyleteinek elszámolásával kapcsolatos terheléseket, jóváírásokat átvezeti, valamint az ilyen játékügyletekkel kapcsolatos kifizetéseket teljesíti. Az engedély felfüggesztésével érintett játékkal összefüggésben a szervező csak a felfüggesztés napját megelőző játékügyletek elszámolásával kapcsolatos terheléseket, jóváírásokat vezetheti át, valamint csak ilyen játékügyletekkel kapcsolatos kifizetéseket teljesíthet.</w:t>
      </w:r>
    </w:p>
    <w:p w14:paraId="60E69676" w14:textId="77777777" w:rsidR="00BE630A" w:rsidRPr="00CF2667" w:rsidRDefault="00BE630A" w:rsidP="00CA1F6D">
      <w:pPr>
        <w:spacing w:after="0" w:line="240" w:lineRule="auto"/>
        <w:jc w:val="both"/>
      </w:pPr>
    </w:p>
    <w:p w14:paraId="0A01354D" w14:textId="77777777" w:rsidR="00CA1F6D" w:rsidRPr="00CF2667" w:rsidRDefault="00CA1F6D" w:rsidP="00CA1F6D">
      <w:pPr>
        <w:spacing w:after="0" w:line="240" w:lineRule="auto"/>
        <w:jc w:val="both"/>
      </w:pPr>
      <w:r w:rsidRPr="00CF2667">
        <w:t xml:space="preserve">(7) A közös játékosi egyenlegnek a szervező általi felfüggesztése vagy megszüntetése valamennyi játékot érintő intézkedésnek minősül. A felelős játékszervezés részletes szabályairól szóló </w:t>
      </w:r>
      <w:r w:rsidRPr="00CF2667">
        <w:lastRenderedPageBreak/>
        <w:t>SZTFH rendelet szerinti kitiltás esetén a szervező a játéktervben és a részvételi szabályzatban határozza meg, hogy súlyos szerződésszegés esetén valamennyi érintett játékra nézve megszűnik-e a játékosi egyenleg és a játékokhoz történő hozzáférés lehetősége.</w:t>
      </w:r>
      <w:r w:rsidR="008F4AEA" w:rsidRPr="00CF2667">
        <w:t>”</w:t>
      </w:r>
    </w:p>
    <w:p w14:paraId="6B66795A" w14:textId="77777777" w:rsidR="00672BEF" w:rsidRPr="00CF2667" w:rsidRDefault="00672BEF" w:rsidP="00CA1F6D">
      <w:pPr>
        <w:spacing w:after="0" w:line="240" w:lineRule="auto"/>
        <w:jc w:val="both"/>
      </w:pPr>
    </w:p>
    <w:p w14:paraId="554A5C3E" w14:textId="6D28C58D" w:rsidR="00672BEF" w:rsidRPr="00CF2667" w:rsidRDefault="0053730E" w:rsidP="00672BEF">
      <w:pPr>
        <w:spacing w:after="0" w:line="240" w:lineRule="auto"/>
        <w:jc w:val="center"/>
        <w:rPr>
          <w:rFonts w:eastAsia="Calibri"/>
          <w:b/>
        </w:rPr>
      </w:pPr>
      <w:r>
        <w:rPr>
          <w:rFonts w:eastAsia="Calibri"/>
          <w:b/>
        </w:rPr>
        <w:t>7</w:t>
      </w:r>
      <w:r w:rsidR="00672BEF" w:rsidRPr="00CF2667">
        <w:rPr>
          <w:rFonts w:eastAsia="Calibri"/>
          <w:b/>
        </w:rPr>
        <w:t>. §</w:t>
      </w:r>
    </w:p>
    <w:p w14:paraId="20C19BC1" w14:textId="77777777" w:rsidR="005A6F45" w:rsidRPr="00CF2667" w:rsidRDefault="005A6F45" w:rsidP="00D007AF">
      <w:pPr>
        <w:spacing w:after="0"/>
        <w:rPr>
          <w:b/>
        </w:rPr>
      </w:pPr>
    </w:p>
    <w:p w14:paraId="3E80FDCD" w14:textId="502FA8D5" w:rsidR="005A6F45" w:rsidRPr="00CF2667" w:rsidRDefault="005A6F45" w:rsidP="00D007AF">
      <w:pPr>
        <w:spacing w:after="0"/>
        <w:jc w:val="both"/>
      </w:pPr>
      <w:r w:rsidRPr="00CF2667">
        <w:t>A Vhr. 26. § (2)</w:t>
      </w:r>
      <w:r w:rsidR="0053730E">
        <w:t xml:space="preserve"> </w:t>
      </w:r>
      <w:proofErr w:type="gramStart"/>
      <w:r w:rsidR="0053730E">
        <w:t>és</w:t>
      </w:r>
      <w:r w:rsidR="00634997" w:rsidRPr="00CF2667">
        <w:t>(</w:t>
      </w:r>
      <w:proofErr w:type="gramEnd"/>
      <w:r w:rsidR="00634997" w:rsidRPr="00CF2667">
        <w:t>3)</w:t>
      </w:r>
      <w:r w:rsidRPr="00CF2667">
        <w:t xml:space="preserve"> bekezdése helyébe a következő rendelkezés</w:t>
      </w:r>
      <w:r w:rsidR="00634997" w:rsidRPr="00CF2667">
        <w:t>ek lépnek</w:t>
      </w:r>
      <w:r w:rsidRPr="00CF2667">
        <w:t>:</w:t>
      </w:r>
    </w:p>
    <w:p w14:paraId="75956E45" w14:textId="77777777" w:rsidR="005A6F45" w:rsidRPr="00CF2667" w:rsidRDefault="005A6F45" w:rsidP="005A6F45">
      <w:pPr>
        <w:spacing w:after="0" w:line="240" w:lineRule="auto"/>
        <w:jc w:val="both"/>
      </w:pPr>
    </w:p>
    <w:p w14:paraId="00B4543E" w14:textId="4F6CE1E6" w:rsidR="005A6F45" w:rsidRDefault="005A6F45" w:rsidP="005A6F45">
      <w:pPr>
        <w:spacing w:after="0" w:line="240" w:lineRule="auto"/>
        <w:jc w:val="both"/>
      </w:pPr>
      <w:r w:rsidRPr="00CF2667">
        <w:t>„(2) A szervező a játéktervben és a részvételi szabályzatban meghatározott egyéb okokból</w:t>
      </w:r>
      <w:r w:rsidR="00BE630A">
        <w:t xml:space="preserve"> </w:t>
      </w:r>
      <w:r w:rsidR="00E261AE" w:rsidRPr="00CF2667">
        <w:t xml:space="preserve">– különösen a játékban való részvételi szabályok megsértése esetén – </w:t>
      </w:r>
      <w:r w:rsidRPr="00CF2667">
        <w:t>és eljárásrend szerint az adott játékhoz tartozó vagy akár a játékos valamennyi játékosi egyenlegét felfüggesztheti.</w:t>
      </w:r>
    </w:p>
    <w:p w14:paraId="09271C4A" w14:textId="77777777" w:rsidR="00BE630A" w:rsidRPr="00CF2667" w:rsidRDefault="00BE630A" w:rsidP="005A6F45">
      <w:pPr>
        <w:spacing w:after="0" w:line="240" w:lineRule="auto"/>
        <w:jc w:val="both"/>
      </w:pPr>
    </w:p>
    <w:p w14:paraId="211075B7" w14:textId="77777777" w:rsidR="005A6F45" w:rsidRPr="00CF2667" w:rsidRDefault="005A6F45" w:rsidP="005A6F45">
      <w:pPr>
        <w:spacing w:after="0" w:line="240" w:lineRule="auto"/>
        <w:jc w:val="both"/>
      </w:pPr>
      <w:r w:rsidRPr="00CF2667">
        <w:t xml:space="preserve">(3) A felfüggesztés </w:t>
      </w:r>
      <w:proofErr w:type="spellStart"/>
      <w:r w:rsidRPr="00CF2667">
        <w:t>tényéről</w:t>
      </w:r>
      <w:proofErr w:type="spellEnd"/>
      <w:r w:rsidRPr="00CF2667">
        <w:t xml:space="preserve">, időpontjáról, okáról, az érintett játékosi egyenlegről vagy egyenlegekről, illetve a felfüggesztés megszüntetésének </w:t>
      </w:r>
      <w:proofErr w:type="spellStart"/>
      <w:r w:rsidRPr="00CF2667">
        <w:t>tényéről</w:t>
      </w:r>
      <w:proofErr w:type="spellEnd"/>
      <w:r w:rsidRPr="00CF2667">
        <w:t xml:space="preserve"> és időpontjáról a szervező a játékost haladéktalanul elektronikus levélben értesíti.”</w:t>
      </w:r>
    </w:p>
    <w:p w14:paraId="0F80A0E3" w14:textId="77777777" w:rsidR="00672BEF" w:rsidRPr="00CF2667" w:rsidRDefault="00672BEF" w:rsidP="00CA1F6D">
      <w:pPr>
        <w:spacing w:after="0" w:line="240" w:lineRule="auto"/>
        <w:jc w:val="both"/>
      </w:pPr>
    </w:p>
    <w:p w14:paraId="54A8D44E" w14:textId="1F230B53" w:rsidR="00CA1F6D" w:rsidRPr="00CF2667" w:rsidRDefault="006A2019" w:rsidP="00883ECB">
      <w:pPr>
        <w:spacing w:after="0" w:line="240" w:lineRule="auto"/>
        <w:jc w:val="center"/>
        <w:rPr>
          <w:rFonts w:eastAsia="Calibri"/>
          <w:b/>
        </w:rPr>
      </w:pPr>
      <w:r>
        <w:rPr>
          <w:rFonts w:eastAsia="Calibri"/>
          <w:b/>
        </w:rPr>
        <w:t>8</w:t>
      </w:r>
      <w:r w:rsidR="00883ECB" w:rsidRPr="00CF2667">
        <w:rPr>
          <w:rFonts w:eastAsia="Calibri"/>
          <w:b/>
        </w:rPr>
        <w:t>. §</w:t>
      </w:r>
    </w:p>
    <w:p w14:paraId="6BE5A07E" w14:textId="77777777" w:rsidR="00CA1F6D" w:rsidRPr="00CF2667" w:rsidRDefault="00CA1F6D" w:rsidP="006E7FC5">
      <w:pPr>
        <w:spacing w:after="0" w:line="240" w:lineRule="auto"/>
        <w:jc w:val="both"/>
        <w:rPr>
          <w:rFonts w:eastAsia="Calibri"/>
        </w:rPr>
      </w:pPr>
    </w:p>
    <w:p w14:paraId="634AF65C" w14:textId="77777777" w:rsidR="00883ECB" w:rsidRPr="00CF2667" w:rsidRDefault="00883ECB" w:rsidP="00883ECB">
      <w:pPr>
        <w:spacing w:after="0" w:line="240" w:lineRule="auto"/>
        <w:jc w:val="both"/>
      </w:pPr>
      <w:r w:rsidRPr="00CF2667">
        <w:t>A Vhr. 29. § (3) bekezdése helyébe a következő rendelkezés lép:</w:t>
      </w:r>
    </w:p>
    <w:p w14:paraId="4DDA198A" w14:textId="77777777" w:rsidR="00883ECB" w:rsidRPr="00CF2667" w:rsidRDefault="00883ECB" w:rsidP="00883ECB">
      <w:pPr>
        <w:spacing w:after="0" w:line="240" w:lineRule="auto"/>
        <w:jc w:val="both"/>
      </w:pPr>
    </w:p>
    <w:p w14:paraId="43128F1C" w14:textId="71C5936B" w:rsidR="00883ECB" w:rsidRPr="00CF2667" w:rsidRDefault="00883ECB" w:rsidP="00883ECB">
      <w:pPr>
        <w:spacing w:after="0" w:line="240" w:lineRule="auto"/>
        <w:jc w:val="both"/>
      </w:pPr>
      <w:r w:rsidRPr="00CF2667">
        <w:t>„(3) Közös játékosi egyenleg esetén az ajándék bónuszt és a speciális bónusz ajánlatot a játékos az adott játékosi egyenlegben érintett szerencsejáték céljára tétként felhasználhatja</w:t>
      </w:r>
      <w:r w:rsidR="006A0AD9" w:rsidRPr="00CF2667">
        <w:t>, feltéve, hogy a jóváhagyott játéktervek alapján a szervező azt azonos módon számolja el</w:t>
      </w:r>
      <w:r w:rsidRPr="00CF2667">
        <w:t>.</w:t>
      </w:r>
      <w:r w:rsidR="00D32BE4" w:rsidRPr="00CF2667">
        <w:t>”</w:t>
      </w:r>
    </w:p>
    <w:p w14:paraId="3A09060E" w14:textId="77777777" w:rsidR="00883ECB" w:rsidRPr="00CF2667" w:rsidRDefault="00883ECB" w:rsidP="006E7FC5">
      <w:pPr>
        <w:spacing w:after="0" w:line="240" w:lineRule="auto"/>
        <w:jc w:val="both"/>
        <w:rPr>
          <w:rFonts w:eastAsia="Calibri"/>
        </w:rPr>
      </w:pPr>
    </w:p>
    <w:p w14:paraId="073A1B9C" w14:textId="1E762FAB" w:rsidR="00883ECB" w:rsidRPr="00CF2667" w:rsidRDefault="006A2019" w:rsidP="00BE416C">
      <w:pPr>
        <w:spacing w:after="0" w:line="240" w:lineRule="auto"/>
        <w:jc w:val="center"/>
        <w:rPr>
          <w:rFonts w:eastAsia="Calibri"/>
          <w:b/>
        </w:rPr>
      </w:pPr>
      <w:r>
        <w:rPr>
          <w:rFonts w:eastAsia="Calibri"/>
          <w:b/>
        </w:rPr>
        <w:t>9</w:t>
      </w:r>
      <w:r w:rsidR="00BE416C" w:rsidRPr="00CF2667">
        <w:rPr>
          <w:rFonts w:eastAsia="Calibri"/>
          <w:b/>
        </w:rPr>
        <w:t>. §</w:t>
      </w:r>
    </w:p>
    <w:p w14:paraId="5B41DEF3" w14:textId="77777777" w:rsidR="00BE416C" w:rsidRPr="00CF2667" w:rsidRDefault="00BE416C" w:rsidP="00BE416C">
      <w:pPr>
        <w:spacing w:after="0" w:line="240" w:lineRule="auto"/>
        <w:jc w:val="both"/>
        <w:rPr>
          <w:rFonts w:eastAsia="Calibri"/>
          <w:b/>
        </w:rPr>
      </w:pPr>
    </w:p>
    <w:p w14:paraId="091301B9" w14:textId="77777777" w:rsidR="00BE416C" w:rsidRPr="00CF2667" w:rsidRDefault="00BE416C" w:rsidP="00BE416C">
      <w:pPr>
        <w:spacing w:after="0" w:line="240" w:lineRule="auto"/>
        <w:jc w:val="both"/>
      </w:pPr>
      <w:r w:rsidRPr="00CF2667">
        <w:t>A Vhr. 32. § (2) bekezdése helyébe a következő rendelkezés lép:</w:t>
      </w:r>
    </w:p>
    <w:p w14:paraId="3935C9D5" w14:textId="77777777" w:rsidR="00BE416C" w:rsidRPr="00CF2667" w:rsidRDefault="00BE416C" w:rsidP="00BE416C">
      <w:pPr>
        <w:spacing w:after="0" w:line="240" w:lineRule="auto"/>
        <w:jc w:val="both"/>
      </w:pPr>
    </w:p>
    <w:p w14:paraId="5F8CCFFC" w14:textId="77777777" w:rsidR="00BE416C" w:rsidRPr="00CF2667" w:rsidRDefault="00BE416C" w:rsidP="00BE416C">
      <w:pPr>
        <w:spacing w:after="0" w:line="240" w:lineRule="auto"/>
        <w:jc w:val="both"/>
      </w:pPr>
      <w:r w:rsidRPr="00CF2667">
        <w:t xml:space="preserve">„(2) </w:t>
      </w:r>
      <w:r w:rsidR="00526197" w:rsidRPr="00CF2667">
        <w:t xml:space="preserve">A 25. § (1) bekezdése szerinti több közös játékosi egyenleg esetén a 3. melléklet I. pont </w:t>
      </w:r>
      <w:r w:rsidR="00526197" w:rsidRPr="00CF2667">
        <w:rPr>
          <w:i/>
        </w:rPr>
        <w:t>a)</w:t>
      </w:r>
      <w:proofErr w:type="spellStart"/>
      <w:r w:rsidR="00526197" w:rsidRPr="00CF2667">
        <w:t>-</w:t>
      </w:r>
      <w:r w:rsidR="00526197" w:rsidRPr="00CF2667">
        <w:rPr>
          <w:i/>
        </w:rPr>
        <w:t>d</w:t>
      </w:r>
      <w:proofErr w:type="spellEnd"/>
      <w:r w:rsidR="00526197" w:rsidRPr="00CF2667">
        <w:rPr>
          <w:i/>
        </w:rPr>
        <w:t>)</w:t>
      </w:r>
      <w:r w:rsidR="00526197" w:rsidRPr="00CF2667">
        <w:t xml:space="preserve">, </w:t>
      </w:r>
      <w:r w:rsidR="00526197" w:rsidRPr="00CF2667">
        <w:rPr>
          <w:i/>
        </w:rPr>
        <w:t>i)</w:t>
      </w:r>
      <w:proofErr w:type="spellStart"/>
      <w:r w:rsidR="00526197" w:rsidRPr="00CF2667">
        <w:t>-</w:t>
      </w:r>
      <w:r w:rsidR="00526197" w:rsidRPr="00CF2667">
        <w:rPr>
          <w:i/>
        </w:rPr>
        <w:t>l</w:t>
      </w:r>
      <w:proofErr w:type="spellEnd"/>
      <w:r w:rsidR="00526197" w:rsidRPr="00CF2667">
        <w:rPr>
          <w:i/>
        </w:rPr>
        <w:t>)</w:t>
      </w:r>
      <w:r w:rsidR="00526197" w:rsidRPr="00CF2667">
        <w:t xml:space="preserve"> és </w:t>
      </w:r>
      <w:r w:rsidR="00526197" w:rsidRPr="00CF2667">
        <w:rPr>
          <w:i/>
        </w:rPr>
        <w:t>n)</w:t>
      </w:r>
      <w:r w:rsidR="00526197" w:rsidRPr="00CF2667">
        <w:t xml:space="preserve"> alpontjában megjelölt adatokat az érintett közös játékosi egyenlegre vonatkoztatva kell megadni.</w:t>
      </w:r>
      <w:r w:rsidRPr="00CF2667">
        <w:t>”</w:t>
      </w:r>
    </w:p>
    <w:p w14:paraId="3C2DC92C" w14:textId="77777777" w:rsidR="00EF1F0E" w:rsidRPr="00CF2667" w:rsidRDefault="00EF1F0E" w:rsidP="00D831E3">
      <w:pPr>
        <w:spacing w:after="0" w:line="240" w:lineRule="auto"/>
        <w:jc w:val="center"/>
        <w:rPr>
          <w:rFonts w:eastAsia="Calibri"/>
          <w:b/>
        </w:rPr>
      </w:pPr>
    </w:p>
    <w:p w14:paraId="3368B22F" w14:textId="77777777" w:rsidR="00CC2AA8" w:rsidRPr="00CF2667" w:rsidRDefault="00CC2AA8" w:rsidP="009B4363">
      <w:pPr>
        <w:spacing w:after="0"/>
        <w:jc w:val="both"/>
      </w:pPr>
    </w:p>
    <w:p w14:paraId="5288889E" w14:textId="005DDDB9" w:rsidR="00BE416C" w:rsidRPr="00CF2667" w:rsidRDefault="00D831E3" w:rsidP="00BE416C">
      <w:pPr>
        <w:spacing w:after="0" w:line="240" w:lineRule="auto"/>
        <w:jc w:val="center"/>
        <w:rPr>
          <w:rFonts w:eastAsia="Calibri"/>
          <w:b/>
        </w:rPr>
      </w:pPr>
      <w:r w:rsidRPr="00CF2667">
        <w:rPr>
          <w:rFonts w:eastAsia="Calibri"/>
          <w:b/>
        </w:rPr>
        <w:t>1</w:t>
      </w:r>
      <w:r w:rsidR="00B8585F">
        <w:rPr>
          <w:rFonts w:eastAsia="Calibri"/>
          <w:b/>
        </w:rPr>
        <w:t>0</w:t>
      </w:r>
      <w:r w:rsidR="00BE416C" w:rsidRPr="00CF2667">
        <w:rPr>
          <w:rFonts w:eastAsia="Calibri"/>
          <w:b/>
        </w:rPr>
        <w:t>. §</w:t>
      </w:r>
    </w:p>
    <w:p w14:paraId="5AEE038B" w14:textId="77777777" w:rsidR="00883ECB" w:rsidRPr="00CF2667" w:rsidRDefault="00883ECB" w:rsidP="006E7FC5">
      <w:pPr>
        <w:spacing w:after="0" w:line="240" w:lineRule="auto"/>
        <w:jc w:val="both"/>
        <w:rPr>
          <w:rFonts w:eastAsia="Calibri"/>
        </w:rPr>
      </w:pPr>
    </w:p>
    <w:p w14:paraId="780AC5C8" w14:textId="77777777" w:rsidR="00BE416C" w:rsidRDefault="00BE416C" w:rsidP="00BE416C">
      <w:r w:rsidRPr="00CF2667">
        <w:rPr>
          <w:rFonts w:eastAsia="Calibri"/>
        </w:rPr>
        <w:t xml:space="preserve">A </w:t>
      </w:r>
      <w:r w:rsidRPr="00CF2667">
        <w:t>Vhr. 76. § 5. pontja helyébe a következő rendelkezés lép:</w:t>
      </w:r>
    </w:p>
    <w:p w14:paraId="7CCD7B57" w14:textId="4704AFFB" w:rsidR="00D87DB3" w:rsidRPr="00B404C3" w:rsidRDefault="00D87DB3" w:rsidP="00BE416C">
      <w:pPr>
        <w:rPr>
          <w:i/>
        </w:rPr>
      </w:pPr>
      <w:r>
        <w:rPr>
          <w:i/>
        </w:rPr>
        <w:lastRenderedPageBreak/>
        <w:t>(E rendelet alkalmazásában</w:t>
      </w:r>
      <w:proofErr w:type="gramStart"/>
      <w:r>
        <w:rPr>
          <w:i/>
        </w:rPr>
        <w:t>: )</w:t>
      </w:r>
      <w:proofErr w:type="gramEnd"/>
    </w:p>
    <w:p w14:paraId="50528523" w14:textId="77777777" w:rsidR="00BE416C" w:rsidRPr="00CF2667" w:rsidRDefault="00BE416C" w:rsidP="00BE416C">
      <w:pPr>
        <w:spacing w:after="0" w:line="240" w:lineRule="auto"/>
        <w:jc w:val="both"/>
      </w:pPr>
      <w:r w:rsidRPr="00CF2667">
        <w:t xml:space="preserve">„5. </w:t>
      </w:r>
      <w:r w:rsidRPr="00CF2667">
        <w:rPr>
          <w:i/>
        </w:rPr>
        <w:t>közös játékosi egyenleg:</w:t>
      </w:r>
      <w:r w:rsidRPr="00CF2667">
        <w:t xml:space="preserve"> többfajta szerencsejáték szervezésére engedéllyel rendelkező szervező által a játékos részére az érintett szerencsejátékokkal kapcsolatos tétek, nyeremények és egyéb játékügyletek elszámolása és nyilvántartása céljából vezetett játékosi egyenleg;”</w:t>
      </w:r>
    </w:p>
    <w:p w14:paraId="08CA76BF" w14:textId="77777777" w:rsidR="006E7FC5" w:rsidRPr="00CF2667" w:rsidRDefault="006E7FC5" w:rsidP="006E7FC5">
      <w:pPr>
        <w:spacing w:after="0" w:line="240" w:lineRule="auto"/>
        <w:jc w:val="both"/>
        <w:rPr>
          <w:rFonts w:eastAsia="Calibri"/>
        </w:rPr>
      </w:pPr>
    </w:p>
    <w:p w14:paraId="1A64D24D" w14:textId="6112EEA4" w:rsidR="004B77C9" w:rsidRPr="00CF2667" w:rsidRDefault="004B77C9" w:rsidP="006E7FC5">
      <w:pPr>
        <w:spacing w:after="0" w:line="240" w:lineRule="auto"/>
        <w:jc w:val="both"/>
        <w:rPr>
          <w:rFonts w:eastAsia="Calibri"/>
        </w:rPr>
      </w:pPr>
    </w:p>
    <w:p w14:paraId="28E48A86" w14:textId="77777777" w:rsidR="00024F51" w:rsidRPr="00CF2667" w:rsidRDefault="00024F51" w:rsidP="00D851ED">
      <w:pPr>
        <w:spacing w:after="0" w:line="240" w:lineRule="auto"/>
        <w:jc w:val="center"/>
        <w:rPr>
          <w:rFonts w:eastAsia="Calibri"/>
          <w:b/>
        </w:rPr>
      </w:pPr>
    </w:p>
    <w:p w14:paraId="62A2F325" w14:textId="299A9708" w:rsidR="00024F51" w:rsidRDefault="00B8585F" w:rsidP="00D851ED">
      <w:pPr>
        <w:spacing w:after="0" w:line="240" w:lineRule="auto"/>
        <w:jc w:val="center"/>
        <w:rPr>
          <w:rFonts w:eastAsia="Calibri"/>
          <w:b/>
        </w:rPr>
      </w:pPr>
      <w:r>
        <w:rPr>
          <w:rFonts w:eastAsia="Calibri"/>
          <w:b/>
        </w:rPr>
        <w:t>11. §</w:t>
      </w:r>
    </w:p>
    <w:p w14:paraId="2AA0E041" w14:textId="77777777" w:rsidR="00B8585F" w:rsidRDefault="00B8585F" w:rsidP="00D851ED">
      <w:pPr>
        <w:spacing w:after="0" w:line="240" w:lineRule="auto"/>
        <w:jc w:val="center"/>
        <w:rPr>
          <w:rFonts w:eastAsia="Calibri"/>
          <w:b/>
        </w:rPr>
      </w:pPr>
    </w:p>
    <w:p w14:paraId="284227C6" w14:textId="77777777" w:rsidR="00B8585F" w:rsidRDefault="00B8585F" w:rsidP="00B8585F">
      <w:pPr>
        <w:spacing w:after="0" w:line="240" w:lineRule="auto"/>
        <w:jc w:val="both"/>
        <w:rPr>
          <w:rFonts w:eastAsia="Calibri"/>
        </w:rPr>
      </w:pPr>
      <w:r>
        <w:rPr>
          <w:rFonts w:eastAsia="Calibri"/>
        </w:rPr>
        <w:t>A Vhr. XI. Fejezete a következő 79. §</w:t>
      </w:r>
      <w:proofErr w:type="spellStart"/>
      <w:r>
        <w:rPr>
          <w:rFonts w:eastAsia="Calibri"/>
        </w:rPr>
        <w:t>-sal</w:t>
      </w:r>
      <w:proofErr w:type="spellEnd"/>
      <w:r>
        <w:rPr>
          <w:rFonts w:eastAsia="Calibri"/>
        </w:rPr>
        <w:t xml:space="preserve"> egészül ki:</w:t>
      </w:r>
    </w:p>
    <w:p w14:paraId="0CFCA622" w14:textId="77777777" w:rsidR="00B8585F" w:rsidRDefault="00B8585F" w:rsidP="00B8585F">
      <w:pPr>
        <w:spacing w:after="0" w:line="240" w:lineRule="auto"/>
        <w:jc w:val="both"/>
        <w:rPr>
          <w:rFonts w:eastAsia="Calibri"/>
          <w:b/>
        </w:rPr>
      </w:pPr>
    </w:p>
    <w:p w14:paraId="537E199A" w14:textId="5CD65CEE" w:rsidR="00B8585F" w:rsidRPr="003B294C" w:rsidRDefault="00B8585F" w:rsidP="00B8585F">
      <w:pPr>
        <w:spacing w:after="0" w:line="240" w:lineRule="auto"/>
        <w:jc w:val="both"/>
        <w:rPr>
          <w:rFonts w:eastAsia="Calibri"/>
        </w:rPr>
      </w:pPr>
      <w:r w:rsidRPr="00237295">
        <w:rPr>
          <w:rFonts w:eastAsia="Calibri"/>
        </w:rPr>
        <w:t xml:space="preserve">„79. § </w:t>
      </w:r>
      <w:r>
        <w:rPr>
          <w:rFonts w:eastAsia="Calibri"/>
        </w:rPr>
        <w:t xml:space="preserve">E rendeletnek </w:t>
      </w:r>
      <w:r w:rsidRPr="00237295">
        <w:rPr>
          <w:rFonts w:eastAsia="Calibri"/>
        </w:rPr>
        <w:t>az egyes szerencsejátékok engedélyezésével, lebonyolításával és ellenőrzésével kapcsolatos feladatok végrehajtásáról szóló 20/2021. (X.29.) SZTFH rendelet módosításáról</w:t>
      </w:r>
      <w:r>
        <w:rPr>
          <w:rFonts w:eastAsia="Calibri"/>
        </w:rPr>
        <w:t xml:space="preserve"> </w:t>
      </w:r>
      <w:proofErr w:type="gramStart"/>
      <w:r>
        <w:rPr>
          <w:rFonts w:eastAsia="Calibri"/>
        </w:rPr>
        <w:t>szóló …</w:t>
      </w:r>
      <w:proofErr w:type="gramEnd"/>
      <w:r>
        <w:rPr>
          <w:rFonts w:eastAsia="Calibri"/>
        </w:rPr>
        <w:t>/2023 (… …) SZTFH rendelettel megállapított 2/A. §</w:t>
      </w:r>
      <w:proofErr w:type="spellStart"/>
      <w:r>
        <w:rPr>
          <w:rFonts w:eastAsia="Calibri"/>
        </w:rPr>
        <w:t>-</w:t>
      </w:r>
      <w:proofErr w:type="gramStart"/>
      <w:r>
        <w:rPr>
          <w:rFonts w:eastAsia="Calibri"/>
        </w:rPr>
        <w:t>a</w:t>
      </w:r>
      <w:proofErr w:type="spellEnd"/>
      <w:proofErr w:type="gramEnd"/>
      <w:r>
        <w:rPr>
          <w:rFonts w:eastAsia="Calibri"/>
        </w:rPr>
        <w:t>, 13. § (3), (10) és (11) bekezdése, 7/A. alcíme, 16/F. §</w:t>
      </w:r>
      <w:proofErr w:type="spellStart"/>
      <w:r>
        <w:rPr>
          <w:rFonts w:eastAsia="Calibri"/>
        </w:rPr>
        <w:t>-</w:t>
      </w:r>
      <w:proofErr w:type="gramStart"/>
      <w:r>
        <w:rPr>
          <w:rFonts w:eastAsia="Calibri"/>
        </w:rPr>
        <w:t>a</w:t>
      </w:r>
      <w:proofErr w:type="spellEnd"/>
      <w:proofErr w:type="gramEnd"/>
      <w:r>
        <w:rPr>
          <w:rFonts w:eastAsia="Calibri"/>
        </w:rPr>
        <w:t>, 22. § (1) bekezdés</w:t>
      </w:r>
      <w:r w:rsidR="00D669AC">
        <w:rPr>
          <w:rFonts w:eastAsia="Calibri"/>
        </w:rPr>
        <w:t>e</w:t>
      </w:r>
      <w:r>
        <w:rPr>
          <w:rFonts w:eastAsia="Calibri"/>
        </w:rPr>
        <w:t>, 22. § (2) és (4) bekezdése, 25. § (1)–(4), (6) és (7) bekezdése, 26. § (2) és (3) bekezdése, 29. § (3) bekezdése, 32. § (2) bekezdése, 76. § 5. pontja</w:t>
      </w:r>
      <w:r w:rsidR="0047373B">
        <w:rPr>
          <w:rFonts w:eastAsia="Calibri"/>
        </w:rPr>
        <w:t xml:space="preserve"> és</w:t>
      </w:r>
      <w:r w:rsidR="00774591">
        <w:rPr>
          <w:rFonts w:eastAsia="Calibri"/>
        </w:rPr>
        <w:t xml:space="preserve"> 2. melléklet C</w:t>
      </w:r>
      <w:r w:rsidR="0023017A">
        <w:rPr>
          <w:rFonts w:eastAsia="Calibri"/>
        </w:rPr>
        <w:t>)</w:t>
      </w:r>
      <w:r w:rsidR="00774591">
        <w:rPr>
          <w:rFonts w:eastAsia="Calibri"/>
        </w:rPr>
        <w:t xml:space="preserve"> pont 1. alpontja</w:t>
      </w:r>
      <w:r>
        <w:rPr>
          <w:rFonts w:eastAsia="Calibri"/>
        </w:rPr>
        <w:t xml:space="preserve"> </w:t>
      </w:r>
      <w:r w:rsidRPr="008D7684">
        <w:rPr>
          <w:rFonts w:eastAsia="Calibri"/>
        </w:rPr>
        <w:t>tervezetének a műszaki szabályokkal és az információs társadalom szolgáltatásaira vonatkozó szabályokkal kapcsolatos információszolgáltatási eljárás megállapításáról szóló, 2015. szeptember 9-i (EU) 2015/1535 európai parlamenti és tanácsi irányelv 5-7. cikke szerinti előzetes bejelentése megtörtént</w:t>
      </w:r>
      <w:r>
        <w:rPr>
          <w:rFonts w:eastAsia="Calibri"/>
        </w:rPr>
        <w:t>.</w:t>
      </w:r>
      <w:r w:rsidRPr="00237295">
        <w:rPr>
          <w:rFonts w:eastAsia="Calibri"/>
        </w:rPr>
        <w:t>”</w:t>
      </w:r>
    </w:p>
    <w:p w14:paraId="78C7E8FD" w14:textId="77777777" w:rsidR="00B8585F" w:rsidRPr="00CF2667" w:rsidRDefault="00B8585F" w:rsidP="00D851ED">
      <w:pPr>
        <w:spacing w:after="0" w:line="240" w:lineRule="auto"/>
        <w:jc w:val="center"/>
        <w:rPr>
          <w:rFonts w:eastAsia="Calibri"/>
          <w:b/>
        </w:rPr>
      </w:pPr>
    </w:p>
    <w:p w14:paraId="2056C2B0" w14:textId="77777777" w:rsidR="00024F51" w:rsidRPr="00CF2667" w:rsidRDefault="00024F51" w:rsidP="00D851ED">
      <w:pPr>
        <w:spacing w:after="0" w:line="240" w:lineRule="auto"/>
        <w:jc w:val="center"/>
        <w:rPr>
          <w:rFonts w:eastAsia="Calibri"/>
          <w:b/>
        </w:rPr>
      </w:pPr>
    </w:p>
    <w:p w14:paraId="115BBCEA" w14:textId="2E59E0DF" w:rsidR="00B8585F" w:rsidRPr="00CF2667" w:rsidRDefault="00D831E3" w:rsidP="00B8585F">
      <w:pPr>
        <w:spacing w:after="0" w:line="240" w:lineRule="auto"/>
        <w:jc w:val="center"/>
        <w:rPr>
          <w:rFonts w:eastAsia="Calibri"/>
          <w:b/>
        </w:rPr>
      </w:pPr>
      <w:r w:rsidRPr="00CF2667">
        <w:rPr>
          <w:rFonts w:eastAsia="Calibri"/>
          <w:b/>
        </w:rPr>
        <w:t>1</w:t>
      </w:r>
      <w:r w:rsidR="00F63205">
        <w:rPr>
          <w:rFonts w:eastAsia="Calibri"/>
          <w:b/>
        </w:rPr>
        <w:t>2</w:t>
      </w:r>
      <w:r w:rsidR="00D851ED" w:rsidRPr="00CF2667">
        <w:rPr>
          <w:rFonts w:eastAsia="Calibri"/>
          <w:b/>
        </w:rPr>
        <w:t>. §</w:t>
      </w:r>
    </w:p>
    <w:p w14:paraId="7508A6B6" w14:textId="77777777" w:rsidR="006E7FC5" w:rsidRPr="00CF2667" w:rsidRDefault="006E7FC5" w:rsidP="006E7FC5">
      <w:pPr>
        <w:spacing w:after="0" w:line="240" w:lineRule="auto"/>
        <w:jc w:val="both"/>
        <w:rPr>
          <w:rFonts w:eastAsia="Calibri"/>
        </w:rPr>
      </w:pPr>
    </w:p>
    <w:p w14:paraId="67F085A2" w14:textId="718B856E" w:rsidR="00173F50" w:rsidRPr="00CF2667" w:rsidRDefault="00CB7CD2" w:rsidP="006E7FC5">
      <w:pPr>
        <w:spacing w:after="0" w:line="240" w:lineRule="auto"/>
        <w:jc w:val="both"/>
        <w:rPr>
          <w:rFonts w:eastAsia="Calibri"/>
        </w:rPr>
      </w:pPr>
      <w:r w:rsidRPr="00CF2667">
        <w:rPr>
          <w:rFonts w:eastAsia="Calibri"/>
        </w:rPr>
        <w:t xml:space="preserve">A Vhr. </w:t>
      </w:r>
    </w:p>
    <w:p w14:paraId="1AD1CF86" w14:textId="6E94142C" w:rsidR="00A52272" w:rsidRPr="00CF2667" w:rsidRDefault="00F63205" w:rsidP="006E7FC5">
      <w:pPr>
        <w:spacing w:after="0" w:line="240" w:lineRule="auto"/>
        <w:jc w:val="both"/>
        <w:rPr>
          <w:rFonts w:eastAsia="Calibri"/>
        </w:rPr>
      </w:pPr>
      <w:proofErr w:type="gramStart"/>
      <w:r>
        <w:rPr>
          <w:rFonts w:eastAsia="Calibri"/>
          <w:i/>
        </w:rPr>
        <w:t>a</w:t>
      </w:r>
      <w:proofErr w:type="gramEnd"/>
      <w:r w:rsidR="00173F50" w:rsidRPr="00CF2667">
        <w:rPr>
          <w:rFonts w:eastAsia="Calibri"/>
          <w:i/>
        </w:rPr>
        <w:t>)</w:t>
      </w:r>
      <w:r w:rsidR="00A52272" w:rsidRPr="00CF2667">
        <w:rPr>
          <w:rFonts w:eastAsia="Calibri"/>
        </w:rPr>
        <w:t xml:space="preserve"> 22. § (1) bekezdés</w:t>
      </w:r>
      <w:r w:rsidRPr="00B404C3">
        <w:rPr>
          <w:rFonts w:eastAsia="Calibri"/>
        </w:rPr>
        <w:t>é</w:t>
      </w:r>
      <w:r w:rsidR="00A52272" w:rsidRPr="0047373B">
        <w:rPr>
          <w:rFonts w:eastAsia="Calibri"/>
        </w:rPr>
        <w:t>ben</w:t>
      </w:r>
      <w:r w:rsidR="00A52272" w:rsidRPr="00CF2667">
        <w:rPr>
          <w:rFonts w:eastAsia="Calibri"/>
        </w:rPr>
        <w:t xml:space="preserve"> </w:t>
      </w:r>
      <w:r w:rsidR="00173F50" w:rsidRPr="00CF2667">
        <w:rPr>
          <w:rFonts w:eastAsia="Calibri"/>
        </w:rPr>
        <w:t xml:space="preserve">az </w:t>
      </w:r>
      <w:r w:rsidR="00A52272" w:rsidRPr="00CF2667">
        <w:rPr>
          <w:rFonts w:eastAsia="Calibri"/>
        </w:rPr>
        <w:t>„</w:t>
      </w:r>
      <w:r w:rsidR="00173F50" w:rsidRPr="00CF2667">
        <w:rPr>
          <w:rFonts w:eastAsia="Calibri"/>
        </w:rPr>
        <w:t xml:space="preserve">a </w:t>
      </w:r>
      <w:r w:rsidR="00A52272" w:rsidRPr="00CF2667">
        <w:rPr>
          <w:rFonts w:eastAsia="Calibri"/>
        </w:rPr>
        <w:t>játékosi egyenleget” szövegrész helyébe a „valamennyi érintett játékosi egyenleget” szöveg</w:t>
      </w:r>
      <w:r w:rsidR="00BE630A">
        <w:rPr>
          <w:rFonts w:eastAsia="Calibri"/>
        </w:rPr>
        <w:t>,</w:t>
      </w:r>
    </w:p>
    <w:p w14:paraId="0E38F8A0" w14:textId="10A0D320" w:rsidR="00F63205" w:rsidRPr="008D4778" w:rsidRDefault="00F63205" w:rsidP="00F63205">
      <w:pPr>
        <w:spacing w:after="0" w:line="240" w:lineRule="auto"/>
        <w:jc w:val="both"/>
        <w:rPr>
          <w:rFonts w:eastAsia="Calibri"/>
        </w:rPr>
      </w:pPr>
      <w:r w:rsidRPr="00237295">
        <w:rPr>
          <w:rFonts w:eastAsia="Calibri"/>
          <w:i/>
        </w:rPr>
        <w:t>b)</w:t>
      </w:r>
      <w:r w:rsidRPr="00B404C3">
        <w:rPr>
          <w:rFonts w:eastAsia="Calibri"/>
        </w:rPr>
        <w:t xml:space="preserve"> </w:t>
      </w:r>
      <w:r w:rsidR="0023017A">
        <w:rPr>
          <w:rFonts w:eastAsia="Calibri"/>
        </w:rPr>
        <w:t>2. melléklet C)</w:t>
      </w:r>
      <w:r w:rsidRPr="008D4778">
        <w:rPr>
          <w:rFonts w:eastAsia="Calibri"/>
        </w:rPr>
        <w:t xml:space="preserve"> pont 1.</w:t>
      </w:r>
      <w:r>
        <w:rPr>
          <w:rFonts w:eastAsia="Calibri"/>
        </w:rPr>
        <w:t xml:space="preserve"> alpontjában az „</w:t>
      </w:r>
      <w:r w:rsidRPr="008D4778">
        <w:rPr>
          <w:rFonts w:eastAsia="Calibri"/>
        </w:rPr>
        <w:t>a közös játékosi egyenlegre</w:t>
      </w:r>
      <w:r>
        <w:rPr>
          <w:rFonts w:eastAsia="Calibri"/>
        </w:rPr>
        <w:t>” szövegrész helyébe az „</w:t>
      </w:r>
      <w:r w:rsidRPr="00E412C2">
        <w:rPr>
          <w:rFonts w:eastAsia="Calibri"/>
        </w:rPr>
        <w:t>az érintett közös játékosi egyenlegre</w:t>
      </w:r>
      <w:r>
        <w:rPr>
          <w:rFonts w:eastAsia="Calibri"/>
        </w:rPr>
        <w:t>” szöveg</w:t>
      </w:r>
    </w:p>
    <w:p w14:paraId="3DF148E3" w14:textId="77777777" w:rsidR="00BF5C0C" w:rsidRPr="00CF2667" w:rsidRDefault="00BF5C0C" w:rsidP="006E7FC5">
      <w:pPr>
        <w:spacing w:after="0" w:line="240" w:lineRule="auto"/>
        <w:jc w:val="both"/>
        <w:rPr>
          <w:rFonts w:eastAsia="Calibri"/>
        </w:rPr>
      </w:pPr>
      <w:proofErr w:type="gramStart"/>
      <w:r w:rsidRPr="00CF2667">
        <w:rPr>
          <w:rFonts w:eastAsia="Calibri"/>
        </w:rPr>
        <w:t>lép</w:t>
      </w:r>
      <w:proofErr w:type="gramEnd"/>
      <w:r w:rsidRPr="00CF2667">
        <w:rPr>
          <w:rFonts w:eastAsia="Calibri"/>
        </w:rPr>
        <w:t>.</w:t>
      </w:r>
    </w:p>
    <w:p w14:paraId="264E9D44" w14:textId="77777777" w:rsidR="00CC2AA8" w:rsidRPr="00CF2667" w:rsidRDefault="00CC2AA8" w:rsidP="006E7FC5">
      <w:pPr>
        <w:spacing w:after="0" w:line="240" w:lineRule="auto"/>
        <w:jc w:val="both"/>
        <w:rPr>
          <w:rFonts w:eastAsia="Calibri"/>
        </w:rPr>
      </w:pPr>
    </w:p>
    <w:p w14:paraId="1B62B26B" w14:textId="77777777" w:rsidR="00A52272" w:rsidRPr="00CF2667" w:rsidRDefault="00A52272" w:rsidP="006E7FC5">
      <w:pPr>
        <w:spacing w:after="0" w:line="240" w:lineRule="auto"/>
        <w:jc w:val="both"/>
        <w:rPr>
          <w:rFonts w:eastAsia="Calibri"/>
        </w:rPr>
      </w:pPr>
    </w:p>
    <w:p w14:paraId="34636380" w14:textId="61602DFD" w:rsidR="00421C27" w:rsidRPr="00CF2667" w:rsidRDefault="00D831E3" w:rsidP="00421C27">
      <w:pPr>
        <w:spacing w:after="0" w:line="240" w:lineRule="auto"/>
        <w:jc w:val="center"/>
        <w:rPr>
          <w:rFonts w:eastAsia="Calibri"/>
          <w:b/>
        </w:rPr>
      </w:pPr>
      <w:r w:rsidRPr="00CF2667">
        <w:rPr>
          <w:rFonts w:eastAsia="Calibri"/>
          <w:b/>
        </w:rPr>
        <w:t>1</w:t>
      </w:r>
      <w:r w:rsidR="00F63205">
        <w:rPr>
          <w:rFonts w:eastAsia="Calibri"/>
          <w:b/>
        </w:rPr>
        <w:t>3</w:t>
      </w:r>
      <w:r w:rsidR="00421C27" w:rsidRPr="00CF2667">
        <w:rPr>
          <w:rFonts w:eastAsia="Calibri"/>
          <w:b/>
        </w:rPr>
        <w:t>. §</w:t>
      </w:r>
    </w:p>
    <w:p w14:paraId="63ECFAEB" w14:textId="45A2EF41" w:rsidR="00BF5C0C" w:rsidRPr="00CF2667" w:rsidRDefault="00BF5C0C" w:rsidP="006E7FC5">
      <w:pPr>
        <w:spacing w:after="0" w:line="240" w:lineRule="auto"/>
        <w:jc w:val="both"/>
        <w:rPr>
          <w:rFonts w:eastAsia="Calibri"/>
        </w:rPr>
      </w:pPr>
    </w:p>
    <w:p w14:paraId="1562E5E9" w14:textId="77777777" w:rsidR="00C9669B" w:rsidRPr="00CF2667" w:rsidRDefault="00D851ED" w:rsidP="006E7FC5">
      <w:pPr>
        <w:spacing w:after="0" w:line="240" w:lineRule="auto"/>
        <w:jc w:val="both"/>
        <w:rPr>
          <w:rFonts w:eastAsia="Calibri"/>
        </w:rPr>
      </w:pPr>
      <w:r w:rsidRPr="00CF2667">
        <w:rPr>
          <w:rFonts w:eastAsia="Calibri"/>
        </w:rPr>
        <w:t>Hatályát veszti a</w:t>
      </w:r>
      <w:r w:rsidR="00C9669B" w:rsidRPr="00CF2667">
        <w:rPr>
          <w:rFonts w:eastAsia="Calibri"/>
        </w:rPr>
        <w:t xml:space="preserve"> Vhr.</w:t>
      </w:r>
    </w:p>
    <w:p w14:paraId="0E1ADBA3" w14:textId="77777777" w:rsidR="00BF5C0C" w:rsidRPr="00CF2667" w:rsidRDefault="00BF5C0C" w:rsidP="006E7FC5">
      <w:pPr>
        <w:spacing w:after="0" w:line="240" w:lineRule="auto"/>
        <w:jc w:val="both"/>
        <w:rPr>
          <w:rFonts w:eastAsia="Calibri"/>
        </w:rPr>
      </w:pPr>
    </w:p>
    <w:p w14:paraId="3768B456" w14:textId="77777777" w:rsidR="00C9669B" w:rsidRPr="00CF2667" w:rsidRDefault="00C9669B" w:rsidP="006E7FC5">
      <w:pPr>
        <w:spacing w:after="0" w:line="240" w:lineRule="auto"/>
        <w:jc w:val="both"/>
        <w:rPr>
          <w:rFonts w:eastAsia="Calibri"/>
        </w:rPr>
      </w:pPr>
      <w:proofErr w:type="gramStart"/>
      <w:r w:rsidRPr="00CF2667">
        <w:rPr>
          <w:rFonts w:eastAsia="Calibri"/>
          <w:i/>
        </w:rPr>
        <w:t>a</w:t>
      </w:r>
      <w:proofErr w:type="gramEnd"/>
      <w:r w:rsidRPr="00CF2667">
        <w:rPr>
          <w:rFonts w:eastAsia="Calibri"/>
          <w:i/>
        </w:rPr>
        <w:t>)</w:t>
      </w:r>
      <w:r w:rsidRPr="00CF2667">
        <w:rPr>
          <w:rFonts w:eastAsia="Calibri"/>
        </w:rPr>
        <w:t xml:space="preserve"> 11. § (2) bekezdése,</w:t>
      </w:r>
    </w:p>
    <w:p w14:paraId="46DB22F4" w14:textId="77777777" w:rsidR="00D851ED" w:rsidRPr="00CF2667" w:rsidRDefault="00C9669B" w:rsidP="006E7FC5">
      <w:pPr>
        <w:spacing w:after="0" w:line="240" w:lineRule="auto"/>
        <w:jc w:val="both"/>
        <w:rPr>
          <w:rFonts w:eastAsia="Calibri"/>
        </w:rPr>
      </w:pPr>
      <w:r w:rsidRPr="00CF2667">
        <w:rPr>
          <w:rFonts w:eastAsia="Calibri"/>
          <w:i/>
        </w:rPr>
        <w:t>b)</w:t>
      </w:r>
      <w:r w:rsidRPr="00CF2667">
        <w:rPr>
          <w:rFonts w:eastAsia="Calibri"/>
        </w:rPr>
        <w:t xml:space="preserve"> </w:t>
      </w:r>
      <w:r w:rsidR="00605AC6" w:rsidRPr="00CF2667">
        <w:rPr>
          <w:rFonts w:eastAsia="Calibri"/>
        </w:rPr>
        <w:t>76. §</w:t>
      </w:r>
      <w:r w:rsidRPr="00CF2667">
        <w:rPr>
          <w:rFonts w:eastAsia="Calibri"/>
        </w:rPr>
        <w:t xml:space="preserve"> 1</w:t>
      </w:r>
      <w:r w:rsidR="00605AC6" w:rsidRPr="00CF2667">
        <w:rPr>
          <w:rFonts w:eastAsia="Calibri"/>
        </w:rPr>
        <w:t>.</w:t>
      </w:r>
      <w:r w:rsidRPr="00CF2667">
        <w:rPr>
          <w:rFonts w:eastAsia="Calibri"/>
        </w:rPr>
        <w:t xml:space="preserve"> pontja.</w:t>
      </w:r>
    </w:p>
    <w:p w14:paraId="5FD8D111" w14:textId="77777777" w:rsidR="006D702B" w:rsidRPr="00CF2667" w:rsidRDefault="006D702B" w:rsidP="006E7FC5">
      <w:pPr>
        <w:spacing w:after="0" w:line="240" w:lineRule="auto"/>
        <w:jc w:val="both"/>
        <w:rPr>
          <w:rFonts w:eastAsia="Calibri"/>
        </w:rPr>
      </w:pPr>
    </w:p>
    <w:p w14:paraId="1BD95EA2" w14:textId="41D12212" w:rsidR="00BF5C0C" w:rsidRPr="00CF2667" w:rsidRDefault="00BF5C0C" w:rsidP="00CF2667">
      <w:pPr>
        <w:spacing w:after="0" w:line="240" w:lineRule="auto"/>
        <w:jc w:val="center"/>
        <w:rPr>
          <w:rFonts w:eastAsia="Calibri"/>
          <w:b/>
        </w:rPr>
      </w:pPr>
      <w:r w:rsidRPr="00CF2667">
        <w:rPr>
          <w:rFonts w:eastAsia="Calibri"/>
          <w:b/>
        </w:rPr>
        <w:t>1</w:t>
      </w:r>
      <w:r w:rsidR="00CB1E4B">
        <w:rPr>
          <w:rFonts w:eastAsia="Calibri"/>
          <w:b/>
        </w:rPr>
        <w:t>4</w:t>
      </w:r>
      <w:r w:rsidRPr="00CF2667">
        <w:rPr>
          <w:rFonts w:eastAsia="Calibri"/>
          <w:b/>
        </w:rPr>
        <w:t>. §</w:t>
      </w:r>
    </w:p>
    <w:p w14:paraId="7D101E13" w14:textId="173FDD3E" w:rsidR="00BF5C0C" w:rsidRPr="00CF2667" w:rsidRDefault="00BF5C0C" w:rsidP="006E7FC5">
      <w:pPr>
        <w:spacing w:after="0" w:line="240" w:lineRule="auto"/>
        <w:jc w:val="both"/>
        <w:rPr>
          <w:rFonts w:eastAsia="Calibri"/>
        </w:rPr>
      </w:pPr>
    </w:p>
    <w:p w14:paraId="6E5ECC11" w14:textId="77777777" w:rsidR="006D702B" w:rsidRPr="00CF2667" w:rsidRDefault="006D702B" w:rsidP="006E7FC5">
      <w:pPr>
        <w:spacing w:after="0" w:line="240" w:lineRule="auto"/>
        <w:jc w:val="both"/>
        <w:rPr>
          <w:rFonts w:eastAsia="Calibri"/>
        </w:rPr>
      </w:pPr>
      <w:r w:rsidRPr="00CF2667">
        <w:rPr>
          <w:rFonts w:eastAsia="Calibri"/>
        </w:rPr>
        <w:t>Ez a rendelet 2023</w:t>
      </w:r>
      <w:proofErr w:type="gramStart"/>
      <w:r w:rsidRPr="00CF2667">
        <w:rPr>
          <w:rFonts w:eastAsia="Calibri"/>
        </w:rPr>
        <w:t>……..</w:t>
      </w:r>
      <w:proofErr w:type="gramEnd"/>
      <w:r w:rsidRPr="00CF2667">
        <w:rPr>
          <w:rFonts w:eastAsia="Calibri"/>
        </w:rPr>
        <w:t xml:space="preserve">  lép hatályba</w:t>
      </w:r>
      <w:r w:rsidR="00A654AB" w:rsidRPr="00CF2667">
        <w:rPr>
          <w:rFonts w:eastAsia="Calibri"/>
        </w:rPr>
        <w:t>.</w:t>
      </w:r>
    </w:p>
    <w:p w14:paraId="45C78A1B" w14:textId="77777777" w:rsidR="006D702B" w:rsidRPr="00CF2667" w:rsidRDefault="006D702B" w:rsidP="006E7FC5">
      <w:pPr>
        <w:spacing w:after="0" w:line="240" w:lineRule="auto"/>
        <w:jc w:val="center"/>
        <w:rPr>
          <w:rFonts w:eastAsia="Calibri"/>
          <w:b/>
        </w:rPr>
      </w:pPr>
    </w:p>
    <w:p w14:paraId="130A173C" w14:textId="0F14DA3E" w:rsidR="006E7FC5" w:rsidRPr="00CF2667" w:rsidRDefault="00BF5C0C" w:rsidP="006E7FC5">
      <w:pPr>
        <w:jc w:val="center"/>
        <w:rPr>
          <w:rFonts w:eastAsia="Calibri"/>
          <w:b/>
        </w:rPr>
      </w:pPr>
      <w:r w:rsidRPr="00CF2667">
        <w:rPr>
          <w:rFonts w:eastAsia="Calibri"/>
          <w:b/>
        </w:rPr>
        <w:t>1</w:t>
      </w:r>
      <w:r w:rsidR="00CB1E4B">
        <w:rPr>
          <w:rFonts w:eastAsia="Calibri"/>
          <w:b/>
        </w:rPr>
        <w:t>5</w:t>
      </w:r>
      <w:r w:rsidR="006E7FC5" w:rsidRPr="00CF2667">
        <w:rPr>
          <w:rFonts w:eastAsia="Calibri"/>
          <w:b/>
        </w:rPr>
        <w:t>. §</w:t>
      </w:r>
    </w:p>
    <w:p w14:paraId="052A2215" w14:textId="79C4090E" w:rsidR="006E7FC5" w:rsidRPr="00CF2667" w:rsidRDefault="00D669AC" w:rsidP="006E7FC5">
      <w:pPr>
        <w:jc w:val="both"/>
        <w:rPr>
          <w:rFonts w:eastAsia="Calibri"/>
        </w:rPr>
      </w:pPr>
      <w:r>
        <w:rPr>
          <w:rFonts w:eastAsia="Calibri"/>
        </w:rPr>
        <w:t>E rendelet tervezetének</w:t>
      </w:r>
      <w:r w:rsidR="00127FAE" w:rsidRPr="00CF2667">
        <w:rPr>
          <w:rFonts w:eastAsia="Calibri"/>
        </w:rPr>
        <w:t xml:space="preserve"> </w:t>
      </w:r>
      <w:r w:rsidR="006E7FC5" w:rsidRPr="00CF2667">
        <w:rPr>
          <w:rFonts w:eastAsia="Calibri"/>
        </w:rPr>
        <w:t>a műszaki szabályokkal és az információs társadalom szolgáltatásaira vonatkozó szabályokkal kapcsolatos információszolgáltatási eljárás megállapításáról szóló, 2015. szeptember 9-i (EU) 2015/1535 európai parlamenti és tanácsi irányelv 5-7. cikke szerinti előzetes bejelentése megtörtént.</w:t>
      </w:r>
    </w:p>
    <w:p w14:paraId="3C6A2578" w14:textId="77777777" w:rsidR="007F34EE" w:rsidRPr="00CF2667" w:rsidRDefault="006E7FC5" w:rsidP="007F34EE">
      <w:pPr>
        <w:jc w:val="center"/>
        <w:rPr>
          <w:rFonts w:eastAsia="Calibri"/>
        </w:rPr>
      </w:pPr>
      <w:r w:rsidRPr="00CF2667">
        <w:rPr>
          <w:rFonts w:eastAsia="Calibri"/>
        </w:rPr>
        <w:t xml:space="preserve">   </w:t>
      </w:r>
    </w:p>
    <w:p w14:paraId="7E631094" w14:textId="5CD1C4E6" w:rsidR="006E7FC5" w:rsidRPr="00F135C5" w:rsidRDefault="006E7FC5" w:rsidP="00F135C5">
      <w:pPr>
        <w:rPr>
          <w:rFonts w:eastAsia="Calibri"/>
          <w:b/>
          <w:bCs/>
        </w:rPr>
      </w:pPr>
      <w:bookmarkStart w:id="0" w:name="_GoBack"/>
      <w:bookmarkEnd w:id="0"/>
    </w:p>
    <w:sectPr w:rsidR="006E7FC5" w:rsidRPr="00F135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BC88B2" w16cex:dateUtc="2023-03-15T17:10:00Z"/>
  <w16cex:commentExtensible w16cex:durableId="27BC89DC" w16cex:dateUtc="2023-03-15T17:15:00Z"/>
  <w16cex:commentExtensible w16cex:durableId="27BC8BB9" w16cex:dateUtc="2023-03-15T17:23:00Z"/>
  <w16cex:commentExtensible w16cex:durableId="27BC8C46" w16cex:dateUtc="2023-03-15T17:26:00Z"/>
  <w16cex:commentExtensible w16cex:durableId="27BC8CFA" w16cex:dateUtc="2023-03-15T17:29:00Z"/>
  <w16cex:commentExtensible w16cex:durableId="27BC8F33" w16cex:dateUtc="2023-03-15T17:38:00Z"/>
  <w16cex:commentExtensible w16cex:durableId="27BC8F85" w16cex:dateUtc="2023-03-15T17:40:00Z"/>
  <w16cex:commentExtensible w16cex:durableId="27BC9019" w16cex:dateUtc="2023-03-15T17:42:00Z"/>
  <w16cex:commentExtensible w16cex:durableId="27BC911B" w16cex:dateUtc="2023-03-15T17:46:00Z"/>
  <w16cex:commentExtensible w16cex:durableId="27BC9137" w16cex:dateUtc="2023-03-15T17:47:00Z"/>
  <w16cex:commentExtensible w16cex:durableId="27BC915F" w16cex:dateUtc="2023-03-15T17:4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7014234" w16cid:durableId="27BC88B2"/>
  <w16cid:commentId w16cid:paraId="27A13288" w16cid:durableId="27BC89DC"/>
  <w16cid:commentId w16cid:paraId="62742D5A" w16cid:durableId="27BC8BB9"/>
  <w16cid:commentId w16cid:paraId="3A78E2CC" w16cid:durableId="27BC8C46"/>
  <w16cid:commentId w16cid:paraId="17ADA470" w16cid:durableId="27BC8CFA"/>
  <w16cid:commentId w16cid:paraId="765AAC2B" w16cid:durableId="27BC877D"/>
  <w16cid:commentId w16cid:paraId="0C428274" w16cid:durableId="27BC8F33"/>
  <w16cid:commentId w16cid:paraId="7C34CE9E" w16cid:durableId="27BC8F85"/>
  <w16cid:commentId w16cid:paraId="39F0D1B4" w16cid:durableId="27BC9019"/>
  <w16cid:commentId w16cid:paraId="3384ABC2" w16cid:durableId="27BC911B"/>
  <w16cid:commentId w16cid:paraId="7DB3327A" w16cid:durableId="27BC9137"/>
  <w16cid:commentId w16cid:paraId="11C9696E" w16cid:durableId="27BC915F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D2167"/>
    <w:multiLevelType w:val="hybridMultilevel"/>
    <w:tmpl w:val="0078767E"/>
    <w:lvl w:ilvl="0" w:tplc="A63243D0">
      <w:start w:val="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FC5"/>
    <w:rsid w:val="0001079C"/>
    <w:rsid w:val="00012DCD"/>
    <w:rsid w:val="00024F51"/>
    <w:rsid w:val="00041F7B"/>
    <w:rsid w:val="0009293C"/>
    <w:rsid w:val="000A7196"/>
    <w:rsid w:val="000B3671"/>
    <w:rsid w:val="000E02F3"/>
    <w:rsid w:val="000F2AD6"/>
    <w:rsid w:val="001052C1"/>
    <w:rsid w:val="00127FAE"/>
    <w:rsid w:val="0015599C"/>
    <w:rsid w:val="0016206A"/>
    <w:rsid w:val="00173F50"/>
    <w:rsid w:val="00181F7A"/>
    <w:rsid w:val="0018214B"/>
    <w:rsid w:val="00193CE0"/>
    <w:rsid w:val="0020391A"/>
    <w:rsid w:val="00203C3F"/>
    <w:rsid w:val="00206AC5"/>
    <w:rsid w:val="0021203C"/>
    <w:rsid w:val="00212B64"/>
    <w:rsid w:val="0023017A"/>
    <w:rsid w:val="00234A70"/>
    <w:rsid w:val="002572BC"/>
    <w:rsid w:val="002662A1"/>
    <w:rsid w:val="002A7C40"/>
    <w:rsid w:val="00334106"/>
    <w:rsid w:val="003A5B78"/>
    <w:rsid w:val="003A78F0"/>
    <w:rsid w:val="003D5B7A"/>
    <w:rsid w:val="00421C27"/>
    <w:rsid w:val="00431B0E"/>
    <w:rsid w:val="00444CCE"/>
    <w:rsid w:val="00447FE9"/>
    <w:rsid w:val="00460640"/>
    <w:rsid w:val="0047373B"/>
    <w:rsid w:val="00482857"/>
    <w:rsid w:val="00497BD3"/>
    <w:rsid w:val="004B777D"/>
    <w:rsid w:val="004B77C9"/>
    <w:rsid w:val="005034BC"/>
    <w:rsid w:val="00517308"/>
    <w:rsid w:val="00521538"/>
    <w:rsid w:val="00526197"/>
    <w:rsid w:val="0053730E"/>
    <w:rsid w:val="00591010"/>
    <w:rsid w:val="005A5938"/>
    <w:rsid w:val="005A6F45"/>
    <w:rsid w:val="005C402F"/>
    <w:rsid w:val="005D223D"/>
    <w:rsid w:val="005E07CA"/>
    <w:rsid w:val="005F0267"/>
    <w:rsid w:val="005F0F64"/>
    <w:rsid w:val="005F30D0"/>
    <w:rsid w:val="005F7926"/>
    <w:rsid w:val="00605AC6"/>
    <w:rsid w:val="00632E1B"/>
    <w:rsid w:val="00634997"/>
    <w:rsid w:val="00655C54"/>
    <w:rsid w:val="00667115"/>
    <w:rsid w:val="00672BEF"/>
    <w:rsid w:val="006A0AD9"/>
    <w:rsid w:val="006A2019"/>
    <w:rsid w:val="006D702B"/>
    <w:rsid w:val="006E7FC5"/>
    <w:rsid w:val="0070150D"/>
    <w:rsid w:val="007176D9"/>
    <w:rsid w:val="00723037"/>
    <w:rsid w:val="00743DA6"/>
    <w:rsid w:val="0076793D"/>
    <w:rsid w:val="00774591"/>
    <w:rsid w:val="00782E0A"/>
    <w:rsid w:val="00785E70"/>
    <w:rsid w:val="007919A4"/>
    <w:rsid w:val="007B051F"/>
    <w:rsid w:val="007F34EE"/>
    <w:rsid w:val="00803C4C"/>
    <w:rsid w:val="00806F38"/>
    <w:rsid w:val="008120A6"/>
    <w:rsid w:val="008126DB"/>
    <w:rsid w:val="00815C73"/>
    <w:rsid w:val="00816C55"/>
    <w:rsid w:val="00836DF7"/>
    <w:rsid w:val="0084156F"/>
    <w:rsid w:val="00846670"/>
    <w:rsid w:val="00883ECB"/>
    <w:rsid w:val="008A5958"/>
    <w:rsid w:val="008C4599"/>
    <w:rsid w:val="008F4AEA"/>
    <w:rsid w:val="0094265F"/>
    <w:rsid w:val="00965042"/>
    <w:rsid w:val="009817D0"/>
    <w:rsid w:val="00991F71"/>
    <w:rsid w:val="0099589C"/>
    <w:rsid w:val="009B4363"/>
    <w:rsid w:val="009C02BE"/>
    <w:rsid w:val="009C35BE"/>
    <w:rsid w:val="009E31C9"/>
    <w:rsid w:val="009E5ECF"/>
    <w:rsid w:val="009F37D4"/>
    <w:rsid w:val="00A23564"/>
    <w:rsid w:val="00A52272"/>
    <w:rsid w:val="00A654AB"/>
    <w:rsid w:val="00A93213"/>
    <w:rsid w:val="00B12456"/>
    <w:rsid w:val="00B162E1"/>
    <w:rsid w:val="00B2554E"/>
    <w:rsid w:val="00B2666F"/>
    <w:rsid w:val="00B404C3"/>
    <w:rsid w:val="00B47621"/>
    <w:rsid w:val="00B60400"/>
    <w:rsid w:val="00B82D5A"/>
    <w:rsid w:val="00B8585F"/>
    <w:rsid w:val="00BB0F1A"/>
    <w:rsid w:val="00BC68A9"/>
    <w:rsid w:val="00BE416C"/>
    <w:rsid w:val="00BE630A"/>
    <w:rsid w:val="00BF5A71"/>
    <w:rsid w:val="00BF5C0C"/>
    <w:rsid w:val="00C012D4"/>
    <w:rsid w:val="00C350BD"/>
    <w:rsid w:val="00C50A71"/>
    <w:rsid w:val="00C536ED"/>
    <w:rsid w:val="00C63619"/>
    <w:rsid w:val="00C84F9C"/>
    <w:rsid w:val="00C9669B"/>
    <w:rsid w:val="00CA1F6D"/>
    <w:rsid w:val="00CB1E4B"/>
    <w:rsid w:val="00CB7CD2"/>
    <w:rsid w:val="00CC134D"/>
    <w:rsid w:val="00CC2AA8"/>
    <w:rsid w:val="00CE4959"/>
    <w:rsid w:val="00CF2667"/>
    <w:rsid w:val="00D007AF"/>
    <w:rsid w:val="00D32BE4"/>
    <w:rsid w:val="00D42C8A"/>
    <w:rsid w:val="00D65715"/>
    <w:rsid w:val="00D669AC"/>
    <w:rsid w:val="00D67727"/>
    <w:rsid w:val="00D831E3"/>
    <w:rsid w:val="00D851ED"/>
    <w:rsid w:val="00D87DB3"/>
    <w:rsid w:val="00DD6AA8"/>
    <w:rsid w:val="00E25CE6"/>
    <w:rsid w:val="00E261AE"/>
    <w:rsid w:val="00E35F25"/>
    <w:rsid w:val="00E64453"/>
    <w:rsid w:val="00EA2A22"/>
    <w:rsid w:val="00ED1E39"/>
    <w:rsid w:val="00EF1F0E"/>
    <w:rsid w:val="00F135C5"/>
    <w:rsid w:val="00F34A5B"/>
    <w:rsid w:val="00F42DAC"/>
    <w:rsid w:val="00F63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2C289"/>
  <w15:docId w15:val="{689E1621-4457-4042-BDCB-0C05FD9E2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E7FC5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uiPriority w:val="99"/>
    <w:semiHidden/>
    <w:unhideWhenUsed/>
    <w:rsid w:val="0059101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591010"/>
    <w:pPr>
      <w:spacing w:after="200" w:line="240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591010"/>
    <w:rPr>
      <w:rFonts w:ascii="Calibri" w:eastAsia="Calibri" w:hAnsi="Calibri" w:cs="Times New Roman"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91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91010"/>
    <w:rPr>
      <w:rFonts w:ascii="Tahoma" w:eastAsia="Times New Roman" w:hAnsi="Tahoma" w:cs="Tahoma"/>
      <w:sz w:val="16"/>
      <w:szCs w:val="16"/>
      <w:lang w:eastAsia="hu-HU"/>
    </w:rPr>
  </w:style>
  <w:style w:type="paragraph" w:styleId="NormlWeb">
    <w:name w:val="Normal (Web)"/>
    <w:basedOn w:val="Norml"/>
    <w:uiPriority w:val="99"/>
    <w:semiHidden/>
    <w:unhideWhenUsed/>
    <w:rsid w:val="00EF1F0E"/>
    <w:pPr>
      <w:spacing w:before="100" w:beforeAutospacing="1" w:after="100" w:afterAutospacing="1" w:line="240" w:lineRule="auto"/>
    </w:pPr>
    <w:rPr>
      <w:rFonts w:eastAsiaTheme="minorHAnsi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F1F0E"/>
    <w:pPr>
      <w:spacing w:after="160"/>
    </w:pPr>
    <w:rPr>
      <w:rFonts w:ascii="Times New Roman" w:eastAsia="Times New Roman" w:hAnsi="Times New Roman"/>
      <w:b/>
      <w:bCs/>
      <w:lang w:eastAsia="hu-HU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F1F0E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173F50"/>
    <w:pPr>
      <w:ind w:left="720"/>
      <w:contextualSpacing/>
    </w:pPr>
  </w:style>
  <w:style w:type="paragraph" w:styleId="Vltozat">
    <w:name w:val="Revision"/>
    <w:hidden/>
    <w:uiPriority w:val="99"/>
    <w:semiHidden/>
    <w:rsid w:val="00806F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6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D53259-9B7A-46FB-A08F-3149266FA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1397</Words>
  <Characters>9645</Characters>
  <Application>Microsoft Office Word</Application>
  <DocSecurity>4</DocSecurity>
  <Lines>80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Egységes InfraStruktúra</Company>
  <LinksUpToDate>false</LinksUpToDate>
  <CharactersWithSpaces>11020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Juhász Krisztina dr.</dc:creator>
  <cp:lastModifiedBy>Juhász Krisztina dr.</cp:lastModifiedBy>
  <cp:revision>2</cp:revision>
  <cp:lastPrinted>2023-03-21T08:45:00Z</cp:lastPrinted>
  <dcterms:created xsi:type="dcterms:W3CDTF">2023-03-22T13:23:00Z</dcterms:created>
  <dcterms:modified xsi:type="dcterms:W3CDTF">2023-03-22T13:23:00Z</dcterms:modified>
</cp:coreProperties>
</file>