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C443F" w14:textId="77777777" w:rsidR="006E7FC5" w:rsidRPr="00CF2667" w:rsidRDefault="006E7FC5" w:rsidP="006E7FC5">
      <w:pPr>
        <w:spacing w:after="0" w:line="240" w:lineRule="auto"/>
        <w:jc w:val="center"/>
        <w:rPr>
          <w:rFonts w:eastAsia="Calibri"/>
          <w:b/>
        </w:rPr>
      </w:pPr>
      <w:r>
        <w:rPr>
          <w:b/>
        </w:rPr>
        <w:t>Reguliavimo reikalų priežiūros institucijos pirmininko</w:t>
      </w:r>
    </w:p>
    <w:p w14:paraId="78A2EE9D" w14:textId="77777777" w:rsidR="006E7FC5" w:rsidRPr="00CF2667" w:rsidRDefault="006E7FC5" w:rsidP="006E7FC5">
      <w:pPr>
        <w:spacing w:after="0" w:line="240" w:lineRule="auto"/>
        <w:jc w:val="center"/>
        <w:rPr>
          <w:rFonts w:eastAsia="Calibri"/>
          <w:b/>
        </w:rPr>
      </w:pPr>
    </w:p>
    <w:p w14:paraId="1DA8F30D" w14:textId="77777777" w:rsidR="006E7FC5" w:rsidRPr="00CF2667" w:rsidRDefault="006E7FC5" w:rsidP="006E7FC5">
      <w:pPr>
        <w:spacing w:after="0" w:line="240" w:lineRule="auto"/>
        <w:jc w:val="center"/>
        <w:rPr>
          <w:rFonts w:eastAsia="Calibri"/>
          <w:b/>
        </w:rPr>
      </w:pPr>
      <w:r>
        <w:rPr>
          <w:b/>
        </w:rPr>
        <w:t>SZTFH Dekretas Nr. .../2023 (...),</w:t>
      </w:r>
    </w:p>
    <w:p w14:paraId="7580F07E" w14:textId="77777777" w:rsidR="006E7FC5" w:rsidRPr="00CF2667" w:rsidRDefault="006E7FC5" w:rsidP="006E7FC5">
      <w:pPr>
        <w:spacing w:after="0" w:line="240" w:lineRule="auto"/>
        <w:jc w:val="center"/>
        <w:rPr>
          <w:rFonts w:eastAsia="Calibri"/>
          <w:b/>
        </w:rPr>
      </w:pPr>
    </w:p>
    <w:p w14:paraId="6E970982" w14:textId="77777777" w:rsidR="006E7FC5" w:rsidRPr="00CF2667" w:rsidRDefault="006E7FC5" w:rsidP="006E7FC5">
      <w:pPr>
        <w:spacing w:after="0" w:line="240" w:lineRule="auto"/>
        <w:jc w:val="center"/>
        <w:rPr>
          <w:rFonts w:eastAsia="Calibri"/>
          <w:b/>
        </w:rPr>
      </w:pPr>
      <w:r>
        <w:rPr>
          <w:b/>
        </w:rPr>
        <w:t>kuriuo iš dalies keičiamas 2021 m. spalio 29 d. SZTFH dekretas Nr. 20/2021 dėl užduočių, susijusių su tam tikrų azartinių žaidimų leidimu, valdymu ir kontrole, įgyvendinimo</w:t>
      </w:r>
    </w:p>
    <w:p w14:paraId="3354A442" w14:textId="77777777" w:rsidR="006E7FC5" w:rsidRPr="00CF2667" w:rsidRDefault="006E7FC5" w:rsidP="006E7FC5">
      <w:pPr>
        <w:spacing w:after="0" w:line="240" w:lineRule="auto"/>
        <w:jc w:val="center"/>
        <w:rPr>
          <w:rFonts w:eastAsia="Calibri"/>
          <w:b/>
        </w:rPr>
      </w:pPr>
    </w:p>
    <w:p w14:paraId="27B80967" w14:textId="77777777" w:rsidR="00BE630A" w:rsidRDefault="00BE630A" w:rsidP="00BE630A">
      <w:pPr>
        <w:spacing w:after="0" w:line="240" w:lineRule="auto"/>
        <w:jc w:val="both"/>
        <w:rPr>
          <w:rFonts w:eastAsia="Calibri"/>
        </w:rPr>
      </w:pPr>
    </w:p>
    <w:p w14:paraId="5A4D706F" w14:textId="77777777" w:rsidR="00BE630A" w:rsidRDefault="00BE630A" w:rsidP="00BE630A">
      <w:pPr>
        <w:spacing w:after="0" w:line="240" w:lineRule="auto"/>
        <w:jc w:val="both"/>
        <w:rPr>
          <w:rFonts w:eastAsia="Calibri"/>
        </w:rPr>
      </w:pPr>
      <w:r>
        <w:t xml:space="preserve">Remdamasis leidimu, suteiktu pagal 1991 m. Įstatymo Nr. XXXIV dėl lošimų operacijų 38 skirsnio 2 dalies </w:t>
      </w:r>
      <w:r>
        <w:rPr>
          <w:i/>
        </w:rPr>
        <w:t>a</w:t>
      </w:r>
      <w:r>
        <w:t xml:space="preserve"> ir </w:t>
      </w:r>
      <w:r>
        <w:rPr>
          <w:i/>
        </w:rPr>
        <w:t>b</w:t>
      </w:r>
      <w:r>
        <w:t xml:space="preserve"> punktus, </w:t>
      </w:r>
    </w:p>
    <w:p w14:paraId="67DF3F1E" w14:textId="258A6756" w:rsidR="00BE630A" w:rsidRDefault="00BE630A" w:rsidP="00BE630A">
      <w:pPr>
        <w:spacing w:after="0" w:line="240" w:lineRule="auto"/>
        <w:jc w:val="both"/>
        <w:rPr>
          <w:rFonts w:eastAsia="Calibri"/>
        </w:rPr>
      </w:pPr>
      <w:r>
        <w:t xml:space="preserve">atsižvelgdamas į 2 ir 3 skirsnius, taip pat 13 skirsnio b punktą, remdamasis leidimu, suteiktu pagal 1991 m. Įstatymo Nr. XXXIV dėl lošimų operacijų 38 skirsnio 2 dalies </w:t>
      </w:r>
      <w:r>
        <w:rPr>
          <w:i/>
        </w:rPr>
        <w:t>d</w:t>
      </w:r>
      <w:r>
        <w:t xml:space="preserve"> punktą,</w:t>
      </w:r>
    </w:p>
    <w:p w14:paraId="7A855835" w14:textId="77777777" w:rsidR="00BE630A" w:rsidRDefault="00BE630A" w:rsidP="00BE630A">
      <w:pPr>
        <w:spacing w:after="0" w:line="240" w:lineRule="auto"/>
        <w:jc w:val="both"/>
        <w:rPr>
          <w:rFonts w:eastAsia="Calibri"/>
        </w:rPr>
      </w:pPr>
      <w:r>
        <w:t xml:space="preserve">atsižvelgdamas į 4–10 ir 12 skirsnius, remdamasis leidimu, suteiktu pagal 1991 m. Įstatymo Nr. XXXIV dėl lošimų operacijų 38 skirsnio 2 dalies </w:t>
      </w:r>
      <w:r>
        <w:rPr>
          <w:i/>
        </w:rPr>
        <w:t>g</w:t>
      </w:r>
      <w:r>
        <w:t xml:space="preserve"> punktą,</w:t>
      </w:r>
    </w:p>
    <w:p w14:paraId="6895E230" w14:textId="77777777" w:rsidR="00BE630A" w:rsidRDefault="00BE630A" w:rsidP="00BE630A">
      <w:pPr>
        <w:spacing w:after="0" w:line="240" w:lineRule="auto"/>
        <w:jc w:val="both"/>
        <w:rPr>
          <w:rFonts w:eastAsia="Calibri"/>
        </w:rPr>
      </w:pPr>
      <w:r>
        <w:t xml:space="preserve">ir vykdydamas savo pareigas, apibrėžtas 2021 m. Įstatymo Nr. XXXII dėl reguliavimo reikalų priežiūros institucijos 13 skirsnio </w:t>
      </w:r>
      <w:r>
        <w:rPr>
          <w:i/>
        </w:rPr>
        <w:t>i</w:t>
      </w:r>
      <w:r>
        <w:t xml:space="preserve"> ir </w:t>
      </w:r>
      <w:r>
        <w:rPr>
          <w:i/>
        </w:rPr>
        <w:t>n</w:t>
      </w:r>
      <w:r>
        <w:t xml:space="preserve"> punktuose,</w:t>
      </w:r>
    </w:p>
    <w:p w14:paraId="59132BDE" w14:textId="77777777" w:rsidR="00BE630A" w:rsidRDefault="00BE630A" w:rsidP="00BE630A">
      <w:pPr>
        <w:spacing w:after="0" w:line="240" w:lineRule="auto"/>
        <w:jc w:val="both"/>
        <w:rPr>
          <w:rFonts w:eastAsia="Calibri"/>
        </w:rPr>
      </w:pPr>
      <w:r>
        <w:t>įsakau:</w:t>
      </w:r>
    </w:p>
    <w:p w14:paraId="0EB70FA2" w14:textId="77777777" w:rsidR="00BE630A" w:rsidRPr="00CF2667" w:rsidRDefault="00BE630A" w:rsidP="006E7FC5">
      <w:pPr>
        <w:spacing w:after="0" w:line="240" w:lineRule="auto"/>
        <w:jc w:val="both"/>
        <w:rPr>
          <w:rFonts w:eastAsia="Calibri"/>
        </w:rPr>
      </w:pPr>
    </w:p>
    <w:p w14:paraId="66058B66" w14:textId="77777777" w:rsidR="006E7FC5" w:rsidRPr="00CF2667" w:rsidRDefault="006E7FC5" w:rsidP="006E7FC5">
      <w:pPr>
        <w:spacing w:after="0" w:line="240" w:lineRule="auto"/>
        <w:jc w:val="center"/>
        <w:rPr>
          <w:rFonts w:eastAsia="Calibri"/>
          <w:b/>
        </w:rPr>
      </w:pPr>
      <w:r>
        <w:rPr>
          <w:b/>
        </w:rPr>
        <w:t>1 skirsnis</w:t>
      </w:r>
    </w:p>
    <w:p w14:paraId="7DC1A809" w14:textId="77777777" w:rsidR="00C9669B" w:rsidRPr="00CF2667" w:rsidRDefault="00C9669B" w:rsidP="006E7FC5">
      <w:pPr>
        <w:spacing w:after="0" w:line="240" w:lineRule="auto"/>
        <w:jc w:val="center"/>
        <w:rPr>
          <w:rFonts w:eastAsia="Calibri"/>
          <w:b/>
        </w:rPr>
      </w:pPr>
    </w:p>
    <w:p w14:paraId="09585543" w14:textId="0173393E" w:rsidR="00C9669B" w:rsidRPr="00CF2667" w:rsidRDefault="00C9669B" w:rsidP="00C9669B">
      <w:pPr>
        <w:spacing w:after="0" w:line="240" w:lineRule="auto"/>
        <w:jc w:val="both"/>
        <w:rPr>
          <w:rFonts w:eastAsia="Calibri"/>
        </w:rPr>
      </w:pPr>
      <w:r>
        <w:t>2021 m. spalio 29 d. SZTFH dekreto Nr. 20/2021 dėl tam tikrų rūšių lošimų leidimų, valdymo ir kontrolės užduočių įgyvendinimo (toliau – Įgyvendinimo reglamentas) I skyriuje įterpiamas 2/A skirsnis, kuris išdėstomas taip:</w:t>
      </w:r>
    </w:p>
    <w:p w14:paraId="1CCBA5B6" w14:textId="77777777" w:rsidR="00C9669B" w:rsidRPr="00CF2667" w:rsidRDefault="00C9669B" w:rsidP="00C9669B">
      <w:pPr>
        <w:spacing w:after="0" w:line="240" w:lineRule="auto"/>
        <w:jc w:val="both"/>
        <w:rPr>
          <w:rFonts w:eastAsia="Calibri"/>
        </w:rPr>
      </w:pPr>
    </w:p>
    <w:p w14:paraId="4BA0FDB3" w14:textId="42989738" w:rsidR="00C9669B" w:rsidRPr="00CF2667" w:rsidRDefault="00C9669B" w:rsidP="00C9669B">
      <w:pPr>
        <w:spacing w:after="0" w:line="240" w:lineRule="auto"/>
        <w:jc w:val="both"/>
        <w:rPr>
          <w:rFonts w:eastAsia="Calibri"/>
          <w:b/>
        </w:rPr>
      </w:pPr>
      <w:r>
        <w:t>„2/A skirsnis. Kai organizatorius turi teisę tuo pat metu organizuoti kelis azartinius žaidimus, jis registruoja ir tvarko kiekvieno azartinio žaidimo pajamų ir faktinių išlaidų apskaitą atskirai, patikrinamu būdu, nepriklausomai nuo bet kokios kitos jo vykdomos veiklos.“</w:t>
      </w:r>
    </w:p>
    <w:p w14:paraId="7A3199E9" w14:textId="77777777" w:rsidR="00421C27" w:rsidRPr="00CF2667" w:rsidRDefault="00421C27" w:rsidP="006E7FC5">
      <w:pPr>
        <w:spacing w:after="0" w:line="240" w:lineRule="auto"/>
        <w:jc w:val="center"/>
        <w:rPr>
          <w:rFonts w:eastAsia="Calibri"/>
          <w:b/>
        </w:rPr>
      </w:pPr>
    </w:p>
    <w:p w14:paraId="5BEA7056" w14:textId="77777777" w:rsidR="00421C27" w:rsidRPr="00CF2667" w:rsidRDefault="007F34EE" w:rsidP="006E7FC5">
      <w:pPr>
        <w:spacing w:after="0" w:line="240" w:lineRule="auto"/>
        <w:jc w:val="center"/>
        <w:rPr>
          <w:rFonts w:eastAsia="Calibri"/>
          <w:b/>
        </w:rPr>
      </w:pPr>
      <w:r>
        <w:rPr>
          <w:b/>
        </w:rPr>
        <w:t>2 skirsnis</w:t>
      </w:r>
    </w:p>
    <w:p w14:paraId="4BE47446" w14:textId="77777777" w:rsidR="006E7FC5" w:rsidRPr="00CF2667" w:rsidRDefault="006E7FC5" w:rsidP="006E7FC5">
      <w:pPr>
        <w:spacing w:after="0" w:line="240" w:lineRule="auto"/>
        <w:jc w:val="both"/>
        <w:rPr>
          <w:rFonts w:eastAsia="Calibri"/>
        </w:rPr>
      </w:pPr>
    </w:p>
    <w:p w14:paraId="164D83E3" w14:textId="6FB86AC7" w:rsidR="00591010" w:rsidRPr="00CF2667" w:rsidRDefault="00591010" w:rsidP="00991F71">
      <w:pPr>
        <w:spacing w:after="0" w:line="240" w:lineRule="auto"/>
        <w:jc w:val="both"/>
      </w:pPr>
      <w:r>
        <w:t>(1) Įgyvendinimo dekreto 13 skirsnio 3 dalis pakeičiama taip:</w:t>
      </w:r>
    </w:p>
    <w:p w14:paraId="36C968DE" w14:textId="77777777" w:rsidR="00D67727" w:rsidRPr="00CF2667" w:rsidRDefault="00D67727" w:rsidP="00591010">
      <w:pPr>
        <w:tabs>
          <w:tab w:val="center" w:pos="6096"/>
        </w:tabs>
        <w:spacing w:after="0" w:line="240" w:lineRule="auto"/>
        <w:jc w:val="both"/>
      </w:pPr>
    </w:p>
    <w:p w14:paraId="67C8D879" w14:textId="77777777" w:rsidR="00591010" w:rsidRPr="00CF2667" w:rsidRDefault="005F7926" w:rsidP="00591010">
      <w:pPr>
        <w:tabs>
          <w:tab w:val="center" w:pos="6096"/>
        </w:tabs>
        <w:spacing w:after="0" w:line="240" w:lineRule="auto"/>
        <w:jc w:val="both"/>
      </w:pPr>
      <w:r>
        <w:t>„3. Loterijos bilietai gali būti gaminami tik naudojant kompiuteriu valdomą uždarą technologiją, kuri užtikrina</w:t>
      </w:r>
    </w:p>
    <w:p w14:paraId="1F259345" w14:textId="77777777" w:rsidR="00173F50" w:rsidRPr="00CF2667" w:rsidRDefault="00173F50" w:rsidP="00591010">
      <w:pPr>
        <w:tabs>
          <w:tab w:val="center" w:pos="6096"/>
        </w:tabs>
        <w:spacing w:after="0" w:line="240" w:lineRule="auto"/>
        <w:jc w:val="both"/>
      </w:pPr>
    </w:p>
    <w:p w14:paraId="7F8F7476" w14:textId="77777777" w:rsidR="00591010" w:rsidRPr="00CF2667" w:rsidRDefault="00591010" w:rsidP="00591010">
      <w:pPr>
        <w:tabs>
          <w:tab w:val="center" w:pos="6096"/>
        </w:tabs>
        <w:spacing w:after="0" w:line="240" w:lineRule="auto"/>
        <w:jc w:val="both"/>
      </w:pPr>
      <w:r>
        <w:rPr>
          <w:i/>
        </w:rPr>
        <w:t>a)</w:t>
      </w:r>
      <w:r>
        <w:t xml:space="preserve"> laimėjimų sumą, nurodytą Lošimų įstatyme,</w:t>
      </w:r>
    </w:p>
    <w:p w14:paraId="3D73CE20" w14:textId="77777777" w:rsidR="00591010" w:rsidRPr="00CF2667" w:rsidRDefault="00591010" w:rsidP="00591010">
      <w:pPr>
        <w:tabs>
          <w:tab w:val="center" w:pos="6096"/>
        </w:tabs>
        <w:spacing w:after="0" w:line="240" w:lineRule="auto"/>
        <w:jc w:val="both"/>
      </w:pPr>
      <w:r>
        <w:rPr>
          <w:i/>
        </w:rPr>
        <w:t>b)</w:t>
      </w:r>
      <w:r>
        <w:t xml:space="preserve"> tolygų laimingų loterijos bilietų paskirstymą vienai laimėjimo klasei pagal leidžiamą kiekį ar seriją pagal žaidimo planą, ir</w:t>
      </w:r>
    </w:p>
    <w:p w14:paraId="1EB773D3" w14:textId="77777777" w:rsidR="00591010" w:rsidRPr="00CF2667" w:rsidRDefault="00591010" w:rsidP="00591010">
      <w:pPr>
        <w:tabs>
          <w:tab w:val="center" w:pos="6096"/>
        </w:tabs>
        <w:spacing w:after="0" w:line="240" w:lineRule="auto"/>
        <w:jc w:val="both"/>
      </w:pPr>
      <w:r>
        <w:rPr>
          <w:i/>
        </w:rPr>
        <w:t>c)</w:t>
      </w:r>
      <w:r>
        <w:t xml:space="preserve"> kad visa loterijos bilietų serija gaminama uždarame gamybos procese, kuris leidžia identifikuoti laimingus loterijos bilietus tik pašalinus virtualų arba fizinį viršelį.“</w:t>
      </w:r>
    </w:p>
    <w:p w14:paraId="7EE32317" w14:textId="77777777" w:rsidR="00C012D4" w:rsidRPr="00CF2667" w:rsidRDefault="00C012D4" w:rsidP="00591010">
      <w:pPr>
        <w:tabs>
          <w:tab w:val="center" w:pos="6096"/>
        </w:tabs>
        <w:spacing w:after="0" w:line="240" w:lineRule="auto"/>
        <w:jc w:val="both"/>
        <w:rPr>
          <w:u w:val="single"/>
        </w:rPr>
      </w:pPr>
    </w:p>
    <w:p w14:paraId="6AC62775" w14:textId="10E53AA6" w:rsidR="00C012D4" w:rsidRPr="00CF2667" w:rsidRDefault="00C012D4" w:rsidP="00C012D4">
      <w:pPr>
        <w:spacing w:after="0"/>
        <w:jc w:val="both"/>
      </w:pPr>
      <w:r>
        <w:t>(2) Įgyvendinimo dekreto 13 skirsnis papildomas šiomis 10 ir 11 dalimis:</w:t>
      </w:r>
    </w:p>
    <w:p w14:paraId="4EE4A851" w14:textId="77777777" w:rsidR="00B82D5A" w:rsidRPr="00CF2667" w:rsidRDefault="00B82D5A" w:rsidP="00C012D4">
      <w:pPr>
        <w:spacing w:after="0"/>
        <w:jc w:val="both"/>
      </w:pPr>
    </w:p>
    <w:p w14:paraId="351A0C29" w14:textId="5227B30D" w:rsidR="00C012D4" w:rsidRPr="00CF2667" w:rsidRDefault="00C012D4" w:rsidP="00C012D4">
      <w:pPr>
        <w:tabs>
          <w:tab w:val="center" w:pos="6096"/>
        </w:tabs>
        <w:spacing w:after="0" w:line="240" w:lineRule="auto"/>
        <w:jc w:val="both"/>
      </w:pPr>
      <w:r>
        <w:t xml:space="preserve">„10. 2–4 dalys ir 5 dalies </w:t>
      </w:r>
      <w:r>
        <w:rPr>
          <w:i/>
        </w:rPr>
        <w:t>a</w:t>
      </w:r>
      <w:r>
        <w:t xml:space="preserve"> ir </w:t>
      </w:r>
      <w:r>
        <w:rPr>
          <w:i/>
        </w:rPr>
        <w:t>b</w:t>
      </w:r>
      <w:r>
        <w:t xml:space="preserve"> punktai </w:t>
      </w:r>
      <w:r>
        <w:rPr>
          <w:i/>
          <w:iCs/>
        </w:rPr>
        <w:t>mutatis mutandis</w:t>
      </w:r>
      <w:r>
        <w:t xml:space="preserve"> taikomi nutrinamoms kortelėms, parduodamoms ryšių prietaisais ir sistemomis, kai loterijos yra saugomos ir pateikiamos rinkai ryšių prietaisais ir sistemomis, o 5 dalies </w:t>
      </w:r>
      <w:r>
        <w:rPr>
          <w:i/>
        </w:rPr>
        <w:t>a</w:t>
      </w:r>
      <w:r>
        <w:t xml:space="preserve"> punkte nurodyti dokumentai pateikiami lošimų institucijai leidimo išdavimo procedūros metu. </w:t>
      </w:r>
    </w:p>
    <w:p w14:paraId="386CFFD5" w14:textId="77777777" w:rsidR="00BE630A" w:rsidRDefault="00BE630A" w:rsidP="00203C3F">
      <w:pPr>
        <w:tabs>
          <w:tab w:val="center" w:pos="6096"/>
        </w:tabs>
        <w:spacing w:after="0" w:line="240" w:lineRule="auto"/>
        <w:jc w:val="both"/>
      </w:pPr>
    </w:p>
    <w:p w14:paraId="4351477A" w14:textId="1A3C832B" w:rsidR="006E7FC5" w:rsidRPr="00CF2667" w:rsidRDefault="00C012D4" w:rsidP="00203C3F">
      <w:pPr>
        <w:tabs>
          <w:tab w:val="center" w:pos="6096"/>
        </w:tabs>
        <w:spacing w:after="0" w:line="240" w:lineRule="auto"/>
        <w:jc w:val="both"/>
      </w:pPr>
      <w:r>
        <w:lastRenderedPageBreak/>
        <w:t>(11) Iš šio reglamento nuostatų dėl nuotolinio lošimo ir internetinių kazino žaidimų audito 15 skirsnio 2 ir 3 dalys, 2 priedas, 3 priedo I nuostata, II nuostatos A dalis ir III nuostatos c punktas, 4 priedo II nuostatos 1 dalies f ir h punktai ir 2 nuostatos a–c punktai taikomi nutrinamoms kortelėms, parduodamoms per ryšių prietaisus ir sistemas.“</w:t>
      </w:r>
    </w:p>
    <w:p w14:paraId="202FF135" w14:textId="77777777" w:rsidR="00431B0E" w:rsidRPr="00CF2667" w:rsidRDefault="00431B0E" w:rsidP="00203C3F">
      <w:pPr>
        <w:tabs>
          <w:tab w:val="center" w:pos="6096"/>
        </w:tabs>
        <w:spacing w:after="0" w:line="240" w:lineRule="auto"/>
        <w:jc w:val="both"/>
        <w:rPr>
          <w:rFonts w:eastAsia="Calibri"/>
        </w:rPr>
      </w:pPr>
    </w:p>
    <w:p w14:paraId="6A454895" w14:textId="77777777" w:rsidR="006E7FC5" w:rsidRPr="00CF2667" w:rsidRDefault="00C9669B" w:rsidP="006E7FC5">
      <w:pPr>
        <w:spacing w:after="0" w:line="240" w:lineRule="auto"/>
        <w:jc w:val="center"/>
        <w:rPr>
          <w:rFonts w:eastAsia="Calibri"/>
          <w:b/>
        </w:rPr>
      </w:pPr>
      <w:r>
        <w:rPr>
          <w:b/>
        </w:rPr>
        <w:t>3 skirsnis</w:t>
      </w:r>
    </w:p>
    <w:p w14:paraId="7EFE5D28" w14:textId="77777777" w:rsidR="006E7FC5" w:rsidRPr="00CF2667" w:rsidRDefault="006E7FC5" w:rsidP="006E7FC5">
      <w:pPr>
        <w:spacing w:after="0" w:line="240" w:lineRule="auto"/>
        <w:jc w:val="both"/>
        <w:rPr>
          <w:rFonts w:eastAsia="Calibri"/>
        </w:rPr>
      </w:pPr>
    </w:p>
    <w:p w14:paraId="7F48D059" w14:textId="580CD7E8" w:rsidR="006E7FC5" w:rsidRPr="00CF2667" w:rsidRDefault="00B82D5A" w:rsidP="006E7FC5">
      <w:pPr>
        <w:spacing w:after="0" w:line="240" w:lineRule="auto"/>
        <w:jc w:val="both"/>
        <w:rPr>
          <w:rFonts w:eastAsia="Calibri"/>
        </w:rPr>
      </w:pPr>
      <w:r>
        <w:t>Įgyvendinimo dekreto III skyrius papildomas šia 7/A antraštine dalimi:</w:t>
      </w:r>
    </w:p>
    <w:p w14:paraId="276DDA3F" w14:textId="77777777" w:rsidR="006E7FC5" w:rsidRPr="00CF2667" w:rsidRDefault="006E7FC5" w:rsidP="006E7FC5">
      <w:pPr>
        <w:spacing w:after="0" w:line="240" w:lineRule="auto"/>
        <w:jc w:val="both"/>
        <w:rPr>
          <w:rFonts w:eastAsia="Calibri"/>
        </w:rPr>
      </w:pPr>
    </w:p>
    <w:p w14:paraId="3C5A7CBA" w14:textId="4E8E5C4B" w:rsidR="00B82D5A" w:rsidRPr="00CF2667" w:rsidRDefault="00B82D5A" w:rsidP="00B82D5A">
      <w:pPr>
        <w:spacing w:after="0" w:line="240" w:lineRule="auto"/>
        <w:jc w:val="center"/>
        <w:rPr>
          <w:bCs/>
        </w:rPr>
      </w:pPr>
      <w:r>
        <w:t>„7/A skirsnis. Specialios taisyklės, taikomos loterijų žaidimams, parduodamiems tik per ryšių įrenginius ir sistemas</w:t>
      </w:r>
    </w:p>
    <w:p w14:paraId="766FBD3D" w14:textId="77777777" w:rsidR="00B82D5A" w:rsidRPr="00CF2667" w:rsidRDefault="00B82D5A" w:rsidP="00B82D5A">
      <w:pPr>
        <w:spacing w:after="0" w:line="240" w:lineRule="auto"/>
        <w:jc w:val="both"/>
        <w:rPr>
          <w:bCs/>
        </w:rPr>
      </w:pPr>
    </w:p>
    <w:p w14:paraId="37BBCCEA" w14:textId="111517D0" w:rsidR="00B82D5A" w:rsidRPr="00CF2667" w:rsidRDefault="008126DB" w:rsidP="00B82D5A">
      <w:pPr>
        <w:spacing w:after="0" w:line="240" w:lineRule="auto"/>
        <w:jc w:val="both"/>
        <w:rPr>
          <w:bCs/>
        </w:rPr>
      </w:pPr>
      <w:r>
        <w:t xml:space="preserve">13/A skirsnis. Loterijų žaidimams, parduodamiems tik per ryšių įrenginius ir sistemas, taikomos 15 skirsnio 2 dalies </w:t>
      </w:r>
      <w:r>
        <w:rPr>
          <w:i/>
        </w:rPr>
        <w:t>a</w:t>
      </w:r>
      <w:r>
        <w:t xml:space="preserve"> punkto nuostatos, 2 priedas, 3 priedo I nuostata, II nuostatos A dalis ir III nuostatos </w:t>
      </w:r>
      <w:r>
        <w:rPr>
          <w:i/>
        </w:rPr>
        <w:t>c</w:t>
      </w:r>
      <w:r>
        <w:t xml:space="preserve"> punktas, 4 priedo II nuostatos 1 dalie </w:t>
      </w:r>
      <w:r>
        <w:rPr>
          <w:i/>
        </w:rPr>
        <w:t>f</w:t>
      </w:r>
      <w:r>
        <w:t xml:space="preserve"> ir </w:t>
      </w:r>
      <w:r>
        <w:rPr>
          <w:i/>
        </w:rPr>
        <w:t>h</w:t>
      </w:r>
      <w:r>
        <w:t xml:space="preserve"> punktai ir 2 nuostatos</w:t>
      </w:r>
      <w:r>
        <w:rPr>
          <w:i/>
        </w:rPr>
        <w:t>a</w:t>
      </w:r>
      <w:r>
        <w:t>–</w:t>
      </w:r>
      <w:r>
        <w:rPr>
          <w:i/>
        </w:rPr>
        <w:t>c</w:t>
      </w:r>
      <w:r>
        <w:t xml:space="preserve"> punktai.“</w:t>
      </w:r>
    </w:p>
    <w:p w14:paraId="3AB0FB4F" w14:textId="77777777" w:rsidR="006E7FC5" w:rsidRPr="00CF2667" w:rsidRDefault="006E7FC5" w:rsidP="006E7FC5">
      <w:pPr>
        <w:spacing w:after="0" w:line="240" w:lineRule="auto"/>
        <w:jc w:val="both"/>
        <w:rPr>
          <w:rFonts w:eastAsia="Calibri"/>
        </w:rPr>
      </w:pPr>
    </w:p>
    <w:p w14:paraId="32A5D86C" w14:textId="77777777" w:rsidR="006E7FC5" w:rsidRPr="00CF2667" w:rsidRDefault="00C9669B" w:rsidP="006E7FC5">
      <w:pPr>
        <w:spacing w:after="0" w:line="240" w:lineRule="auto"/>
        <w:jc w:val="center"/>
        <w:rPr>
          <w:rFonts w:eastAsia="Calibri"/>
          <w:b/>
        </w:rPr>
      </w:pPr>
      <w:r>
        <w:rPr>
          <w:b/>
        </w:rPr>
        <w:t>4 skirsnis</w:t>
      </w:r>
    </w:p>
    <w:p w14:paraId="1F6C6F18" w14:textId="77777777" w:rsidR="00447FE9" w:rsidRPr="00CF2667" w:rsidRDefault="00447FE9" w:rsidP="00447FE9">
      <w:pPr>
        <w:spacing w:after="0" w:line="240" w:lineRule="auto"/>
        <w:jc w:val="both"/>
        <w:rPr>
          <w:rFonts w:eastAsia="Calibri"/>
          <w:b/>
        </w:rPr>
      </w:pPr>
    </w:p>
    <w:p w14:paraId="1DEEA69D" w14:textId="147BF699" w:rsidR="00447FE9" w:rsidRPr="00CF2667" w:rsidRDefault="00447FE9" w:rsidP="00447FE9">
      <w:pPr>
        <w:jc w:val="both"/>
      </w:pPr>
      <w:r>
        <w:t>Įgyvendinimo dekreto 9/C antraštinė dalis papildoma nauju 16/F skirsniu, kuris išdėstomas taip:</w:t>
      </w:r>
    </w:p>
    <w:p w14:paraId="677AA608" w14:textId="7DEB23EE" w:rsidR="00447FE9" w:rsidRPr="00CF2667" w:rsidRDefault="00447FE9" w:rsidP="00447FE9">
      <w:pPr>
        <w:jc w:val="both"/>
      </w:pPr>
      <w:r>
        <w:t>„16/F skirsnis. Išankstinio mokėjimo atveju lošimų organizatorius, reklamuodamas šią funkciją, privalo aiškiai atkreipti žaidėjo dėmesį į tai, kad dėl šios funkcijos naudojimo padidėja pernelyg didelio lošimo ir priklausomybės nuo lošimų rizika, ir ši informacija pateikiama reklamos tekste tokiu pat šrifto dydžiu kaip ir tekstas. Lošimų organizatorius lošimų interneto svetainėje taip pat pateikia žaidėjui informaciją, kad dėl šios funkcijos naudojimo padidėja pernelyg didelio lošimo ir priklausomybės nuo lošimų rizika.“</w:t>
      </w:r>
    </w:p>
    <w:p w14:paraId="6740684E" w14:textId="77777777" w:rsidR="0018214B" w:rsidRPr="00CF2667" w:rsidRDefault="00C9669B" w:rsidP="0018214B">
      <w:pPr>
        <w:spacing w:after="0" w:line="240" w:lineRule="auto"/>
        <w:jc w:val="center"/>
        <w:rPr>
          <w:rFonts w:eastAsia="Calibri"/>
          <w:b/>
        </w:rPr>
      </w:pPr>
      <w:r>
        <w:rPr>
          <w:b/>
        </w:rPr>
        <w:t>5 skirsnis</w:t>
      </w:r>
    </w:p>
    <w:p w14:paraId="2CEE6BA7" w14:textId="77777777" w:rsidR="00447FE9" w:rsidRPr="00CF2667" w:rsidRDefault="00447FE9" w:rsidP="00447FE9">
      <w:pPr>
        <w:spacing w:after="0" w:line="240" w:lineRule="auto"/>
        <w:jc w:val="both"/>
        <w:rPr>
          <w:rFonts w:eastAsia="Calibri"/>
          <w:b/>
        </w:rPr>
      </w:pPr>
    </w:p>
    <w:p w14:paraId="51A4AE0C" w14:textId="77777777" w:rsidR="0018214B" w:rsidRPr="00CF2667" w:rsidRDefault="0018214B" w:rsidP="0018214B">
      <w:pPr>
        <w:spacing w:after="0"/>
        <w:jc w:val="both"/>
      </w:pPr>
      <w:r>
        <w:t xml:space="preserve">(1) Įgyvendinimo dekreto 22 skirsnio 1 dalies </w:t>
      </w:r>
      <w:r>
        <w:rPr>
          <w:i/>
        </w:rPr>
        <w:t>c</w:t>
      </w:r>
      <w:r>
        <w:t xml:space="preserve"> punktas pakeičiamas taip:</w:t>
      </w:r>
    </w:p>
    <w:p w14:paraId="35B5EE08" w14:textId="77777777" w:rsidR="0018214B" w:rsidRPr="00CF2667" w:rsidRDefault="0018214B" w:rsidP="00447FE9">
      <w:pPr>
        <w:spacing w:after="0" w:line="240" w:lineRule="auto"/>
        <w:jc w:val="both"/>
        <w:rPr>
          <w:rFonts w:eastAsia="Calibri"/>
          <w:b/>
        </w:rPr>
      </w:pPr>
    </w:p>
    <w:p w14:paraId="1F79836C" w14:textId="77777777" w:rsidR="0018214B" w:rsidRPr="00CF2667" w:rsidRDefault="003A5B78" w:rsidP="0018214B">
      <w:pPr>
        <w:spacing w:after="0" w:line="240" w:lineRule="auto"/>
        <w:jc w:val="both"/>
        <w:rPr>
          <w:i/>
        </w:rPr>
      </w:pPr>
      <w:r>
        <w:rPr>
          <w:i/>
        </w:rPr>
        <w:t>(Jei po registracijos organizatorius nustato, kad registro duomenų turinys rodo neatitikimus, nes)</w:t>
      </w:r>
    </w:p>
    <w:p w14:paraId="13B389E6" w14:textId="77777777" w:rsidR="00173F50" w:rsidRPr="00CF2667" w:rsidRDefault="00173F50" w:rsidP="0018214B">
      <w:pPr>
        <w:spacing w:after="0" w:line="240" w:lineRule="auto"/>
        <w:jc w:val="both"/>
      </w:pPr>
    </w:p>
    <w:p w14:paraId="69BDF0DA" w14:textId="77777777" w:rsidR="0018214B" w:rsidRPr="00CF2667" w:rsidRDefault="003A5B78" w:rsidP="0018214B">
      <w:pPr>
        <w:spacing w:after="0" w:line="240" w:lineRule="auto"/>
        <w:jc w:val="both"/>
      </w:pPr>
      <w:r>
        <w:t>„</w:t>
      </w:r>
      <w:r>
        <w:rPr>
          <w:i/>
        </w:rPr>
        <w:t>c)</w:t>
      </w:r>
      <w:r>
        <w:t xml:space="preserve"> tas pats žaidėjas yra kelis kartus registruojamas tam pačiam žaidimui arba tam pačiam žaidėjo balansui,“</w:t>
      </w:r>
    </w:p>
    <w:p w14:paraId="36CDD328" w14:textId="77777777" w:rsidR="00173F50" w:rsidRPr="00CF2667" w:rsidRDefault="00173F50" w:rsidP="0018214B">
      <w:pPr>
        <w:spacing w:after="0" w:line="240" w:lineRule="auto"/>
        <w:jc w:val="both"/>
        <w:rPr>
          <w:i/>
        </w:rPr>
      </w:pPr>
    </w:p>
    <w:p w14:paraId="112A77F5" w14:textId="77777777" w:rsidR="0018214B" w:rsidRPr="00CF2667" w:rsidRDefault="003A5B78" w:rsidP="0018214B">
      <w:pPr>
        <w:spacing w:after="0" w:line="240" w:lineRule="auto"/>
        <w:jc w:val="both"/>
        <w:rPr>
          <w:i/>
        </w:rPr>
      </w:pPr>
      <w:r>
        <w:rPr>
          <w:i/>
        </w:rPr>
        <w:t>(žaidėjo balansas bus nedelsiant sustabdytas.)</w:t>
      </w:r>
    </w:p>
    <w:p w14:paraId="25489DFD" w14:textId="77777777" w:rsidR="00447FE9" w:rsidRPr="00CF2667" w:rsidRDefault="00447FE9" w:rsidP="0018214B">
      <w:pPr>
        <w:spacing w:after="0" w:line="240" w:lineRule="auto"/>
        <w:jc w:val="both"/>
        <w:rPr>
          <w:rFonts w:eastAsia="Calibri"/>
          <w:b/>
        </w:rPr>
      </w:pPr>
    </w:p>
    <w:p w14:paraId="6DE1BE49" w14:textId="77777777" w:rsidR="0018214B" w:rsidRPr="00CF2667" w:rsidRDefault="0018214B" w:rsidP="0018214B">
      <w:pPr>
        <w:spacing w:after="0" w:line="240" w:lineRule="auto"/>
        <w:jc w:val="both"/>
        <w:rPr>
          <w:rFonts w:eastAsia="Calibri"/>
        </w:rPr>
      </w:pPr>
      <w:r>
        <w:t>(2) Įgyvendinimo dekreto 22 straipsnio 2 dalis pakeičiama taip:</w:t>
      </w:r>
    </w:p>
    <w:p w14:paraId="084DEC63" w14:textId="77777777" w:rsidR="0018214B" w:rsidRPr="00CF2667" w:rsidRDefault="0018214B" w:rsidP="0018214B">
      <w:pPr>
        <w:spacing w:after="0" w:line="240" w:lineRule="auto"/>
        <w:jc w:val="both"/>
        <w:rPr>
          <w:rFonts w:eastAsia="Calibri"/>
        </w:rPr>
      </w:pPr>
    </w:p>
    <w:p w14:paraId="30723ACD" w14:textId="77777777" w:rsidR="0018214B" w:rsidRPr="00CF2667" w:rsidRDefault="0018214B" w:rsidP="0018214B">
      <w:pPr>
        <w:spacing w:after="0" w:line="240" w:lineRule="auto"/>
        <w:jc w:val="both"/>
      </w:pPr>
      <w:r>
        <w:t xml:space="preserve">„2. Tais atvejais, kai registruojamasi daug kartų pagal 1 dalies </w:t>
      </w:r>
      <w:r>
        <w:rPr>
          <w:i/>
        </w:rPr>
        <w:t>c</w:t>
      </w:r>
      <w:r>
        <w:t xml:space="preserve"> punktą, priemonės, skirtos galutinai užbaigti, nustatyti ir pašalinti žaidėjo balansui iš žaidimo, taikomos žaidėjui ir paveikto žaidėjo balansui taip, kad jame galėtų dalyvauti tik vienas žaidėjo balansas.“</w:t>
      </w:r>
    </w:p>
    <w:p w14:paraId="2946A417" w14:textId="77777777" w:rsidR="006E7FC5" w:rsidRPr="00CF2667" w:rsidRDefault="006E7FC5" w:rsidP="006E7FC5">
      <w:pPr>
        <w:spacing w:after="0" w:line="240" w:lineRule="auto"/>
        <w:jc w:val="both"/>
        <w:rPr>
          <w:rFonts w:eastAsia="Calibri"/>
        </w:rPr>
      </w:pPr>
    </w:p>
    <w:p w14:paraId="1611C320" w14:textId="77777777" w:rsidR="005F30D0" w:rsidRPr="00CF2667" w:rsidRDefault="005F30D0" w:rsidP="006E7FC5">
      <w:pPr>
        <w:spacing w:after="0" w:line="240" w:lineRule="auto"/>
        <w:jc w:val="both"/>
        <w:rPr>
          <w:rFonts w:eastAsia="Calibri"/>
        </w:rPr>
      </w:pPr>
      <w:r>
        <w:t>(3) Įgyvendinimo dekreto 22 straipsnio 4 dalis pakeičiama taip:</w:t>
      </w:r>
    </w:p>
    <w:p w14:paraId="42776204" w14:textId="77777777" w:rsidR="005F30D0" w:rsidRPr="00CF2667" w:rsidRDefault="005F30D0" w:rsidP="006E7FC5">
      <w:pPr>
        <w:spacing w:after="0" w:line="240" w:lineRule="auto"/>
        <w:jc w:val="both"/>
        <w:rPr>
          <w:rFonts w:eastAsia="Calibri"/>
        </w:rPr>
      </w:pPr>
    </w:p>
    <w:p w14:paraId="78F8008D" w14:textId="431D0808" w:rsidR="00CE4959" w:rsidRPr="00CF2667" w:rsidRDefault="005F30D0" w:rsidP="00CE4959">
      <w:pPr>
        <w:spacing w:after="0" w:line="240" w:lineRule="auto"/>
        <w:jc w:val="both"/>
      </w:pPr>
      <w:r>
        <w:t xml:space="preserve">„4. Jei organizatorius sužino, kad registracija ar įrašas nėra tinkami dėl kitų priežasčių, nepatenkančių į 1 dalyje apibrėžtą taikymo sritį, ypač dėl pavėluoto pranešimo apie duomenų </w:t>
      </w:r>
      <w:r>
        <w:lastRenderedPageBreak/>
        <w:t>pasikeitimus, organizatorius imasi priemonių pažeidimams pašalinti. Jei reikia, organizatorius paragina žaidėją prisidėti prie pažeidimo pašalinimo ir gali sustabdyti visus paveikto žaidėjo balansus, kol pažeidimas bus pašalintas. Jei pažeidimas negali būti pašalintas per 30 dienų ir todėl negalima užtikrinti žaidimo pagal įstatymą, organizatorius imasi veiksmų, kad uždarytų visus atitinkamus žaidėjų balansus ir diskvalifikuotų žaidėją.“</w:t>
      </w:r>
    </w:p>
    <w:p w14:paraId="5D3A1DE7" w14:textId="77777777" w:rsidR="0018214B" w:rsidRPr="00CF2667" w:rsidRDefault="0018214B" w:rsidP="006E7FC5">
      <w:pPr>
        <w:spacing w:after="0" w:line="240" w:lineRule="auto"/>
        <w:jc w:val="both"/>
      </w:pPr>
    </w:p>
    <w:p w14:paraId="199A0A5A" w14:textId="77777777" w:rsidR="009817D0" w:rsidRPr="00CF2667" w:rsidRDefault="009817D0" w:rsidP="009E31C9">
      <w:pPr>
        <w:spacing w:after="0" w:line="240" w:lineRule="auto"/>
        <w:jc w:val="center"/>
        <w:rPr>
          <w:b/>
        </w:rPr>
      </w:pPr>
    </w:p>
    <w:p w14:paraId="74AA5137" w14:textId="333E8DF3" w:rsidR="0018214B" w:rsidRPr="00CF2667" w:rsidRDefault="0053730E" w:rsidP="00CA1F6D">
      <w:pPr>
        <w:spacing w:after="0" w:line="240" w:lineRule="auto"/>
        <w:jc w:val="center"/>
        <w:rPr>
          <w:rFonts w:eastAsia="Calibri"/>
          <w:b/>
        </w:rPr>
      </w:pPr>
      <w:r>
        <w:rPr>
          <w:b/>
        </w:rPr>
        <w:t>6 skirsnis</w:t>
      </w:r>
    </w:p>
    <w:p w14:paraId="44FAA856" w14:textId="77777777" w:rsidR="00CA1F6D" w:rsidRPr="00CF2667" w:rsidRDefault="00CA1F6D" w:rsidP="006E7FC5">
      <w:pPr>
        <w:spacing w:after="0" w:line="240" w:lineRule="auto"/>
        <w:jc w:val="both"/>
        <w:rPr>
          <w:rFonts w:eastAsia="Calibri"/>
        </w:rPr>
      </w:pPr>
    </w:p>
    <w:p w14:paraId="5F18C0BC" w14:textId="77777777" w:rsidR="00CA1F6D" w:rsidRPr="00CF2667" w:rsidRDefault="0099589C" w:rsidP="00CA1F6D">
      <w:pPr>
        <w:spacing w:after="0" w:line="240" w:lineRule="auto"/>
        <w:jc w:val="both"/>
      </w:pPr>
      <w:r>
        <w:t>(1) Įgyvendinimo dekreto 25 straipsnio 1–4 dalys pakeičiamos taip:</w:t>
      </w:r>
    </w:p>
    <w:p w14:paraId="53A6CFCD" w14:textId="77777777" w:rsidR="00CA1F6D" w:rsidRPr="00CF2667" w:rsidRDefault="00CA1F6D" w:rsidP="00CA1F6D">
      <w:pPr>
        <w:spacing w:after="0" w:line="240" w:lineRule="auto"/>
        <w:jc w:val="both"/>
      </w:pPr>
    </w:p>
    <w:p w14:paraId="417ECDB4" w14:textId="77777777" w:rsidR="00CA1F6D" w:rsidRDefault="00CA1F6D" w:rsidP="00CA1F6D">
      <w:pPr>
        <w:spacing w:after="0" w:line="240" w:lineRule="auto"/>
        <w:jc w:val="both"/>
      </w:pPr>
      <w:r>
        <w:t xml:space="preserve">„1. Jei organizatorius turi licenciją organizuoti azartinius lošimus, išskyrus nuotolinius lošimus, lažybų, laimėjimų ir kitų su lošimu susijusių sandorių atsiskaitymas ir registravimas gali būti saugomi žaidėjui viename ar keliuose bendruose žaidėjo balansuose, palyginti su visais žaidimais, kuriems įtakos turi konkretaus žaidėjo balansas. </w:t>
      </w:r>
    </w:p>
    <w:p w14:paraId="489F5722" w14:textId="77777777" w:rsidR="00BE630A" w:rsidRPr="00CF2667" w:rsidRDefault="00BE630A" w:rsidP="00CA1F6D">
      <w:pPr>
        <w:spacing w:after="0" w:line="240" w:lineRule="auto"/>
        <w:jc w:val="both"/>
        <w:rPr>
          <w:strike/>
        </w:rPr>
      </w:pPr>
    </w:p>
    <w:p w14:paraId="38A65140" w14:textId="77777777" w:rsidR="00CA1F6D" w:rsidRDefault="00CA1F6D" w:rsidP="00CA1F6D">
      <w:pPr>
        <w:spacing w:after="0" w:line="240" w:lineRule="auto"/>
        <w:jc w:val="both"/>
      </w:pPr>
      <w:r>
        <w:t>(2) Organizatorius gali nustatyti bendrą žaidėjo balansą, naudodamasis organizatoriaus jau turimu žaidėjo balansu arba atskirai nuo jo.</w:t>
      </w:r>
    </w:p>
    <w:p w14:paraId="23DE9B81" w14:textId="77777777" w:rsidR="00BE630A" w:rsidRPr="00CF2667" w:rsidRDefault="00BE630A" w:rsidP="00CA1F6D">
      <w:pPr>
        <w:spacing w:after="0" w:line="240" w:lineRule="auto"/>
        <w:jc w:val="both"/>
      </w:pPr>
    </w:p>
    <w:p w14:paraId="5F87DC70" w14:textId="01D878ED" w:rsidR="00CA1F6D" w:rsidRDefault="00CA1F6D" w:rsidP="00CA1F6D">
      <w:pPr>
        <w:spacing w:after="0" w:line="240" w:lineRule="auto"/>
        <w:jc w:val="both"/>
      </w:pPr>
      <w:r>
        <w:t>(3) Jei bendras žaidėjo balansas nustatomas naudojant esamą balansą arba atskirai nuo jo, žaidėjas gali dalyvauti nuotoliniame lošime, kai laikomasi nuotolinius lošimus reglamentuojančių nuostatų.</w:t>
      </w:r>
    </w:p>
    <w:p w14:paraId="2E0069C6" w14:textId="77777777" w:rsidR="00BE630A" w:rsidRPr="00CF2667" w:rsidRDefault="00BE630A" w:rsidP="00CA1F6D">
      <w:pPr>
        <w:spacing w:after="0" w:line="240" w:lineRule="auto"/>
        <w:jc w:val="both"/>
      </w:pPr>
    </w:p>
    <w:p w14:paraId="7A20ACDF" w14:textId="77777777" w:rsidR="00CA1F6D" w:rsidRPr="00CF2667" w:rsidRDefault="00CA1F6D" w:rsidP="00CA1F6D">
      <w:pPr>
        <w:spacing w:after="0" w:line="240" w:lineRule="auto"/>
        <w:jc w:val="both"/>
      </w:pPr>
      <w:r>
        <w:t>(4) Bendro žaidėjo balanso išmokėjimo marža pagal Lošimų įstatymo 29/H skirsnio 5 dalį turi būti nustatyta taip, kad būtų užtikrintos išmokos visuose susijusiuose žaidimuose.“</w:t>
      </w:r>
    </w:p>
    <w:p w14:paraId="5294CE56" w14:textId="77777777" w:rsidR="0099589C" w:rsidRPr="00CF2667" w:rsidRDefault="0099589C" w:rsidP="00CA1F6D">
      <w:pPr>
        <w:spacing w:after="0" w:line="240" w:lineRule="auto"/>
        <w:jc w:val="both"/>
      </w:pPr>
    </w:p>
    <w:p w14:paraId="31BCA5AA" w14:textId="68A3C0CF" w:rsidR="0099589C" w:rsidRPr="00CF2667" w:rsidRDefault="0099589C" w:rsidP="00CA1F6D">
      <w:pPr>
        <w:spacing w:after="0" w:line="240" w:lineRule="auto"/>
        <w:jc w:val="both"/>
      </w:pPr>
      <w:r>
        <w:t>(2) Įgyvendinimo dekreto 25 straipsnio 6 ir 7 dalys pakeičiamos taip:</w:t>
      </w:r>
    </w:p>
    <w:p w14:paraId="2D2C3E3B" w14:textId="77777777" w:rsidR="0099589C" w:rsidRPr="00CF2667" w:rsidRDefault="0099589C" w:rsidP="00CA1F6D">
      <w:pPr>
        <w:spacing w:after="0" w:line="240" w:lineRule="auto"/>
        <w:jc w:val="both"/>
      </w:pPr>
    </w:p>
    <w:p w14:paraId="155C1E40" w14:textId="77777777" w:rsidR="00CA1F6D" w:rsidRDefault="0099589C" w:rsidP="00CA1F6D">
      <w:pPr>
        <w:spacing w:after="0" w:line="240" w:lineRule="auto"/>
        <w:jc w:val="both"/>
      </w:pPr>
      <w:r>
        <w:t>„6. Licencijos žaidimui sustabdymo laikotarpiu organizatorius perveda į bendrą žaidėjo balansą visus mokesčius, kreditus, susijusius su atsiskaitymu už žaidimų sandorius, išskyrus susijusius žaidimus, kurie turi priklausyti bendram balansui, ir atlieka mokėjimus, susijusius su tokiais žaidimų sandoriais. Kalbant apie žaidimą, kuriam turi įtakos licencijos galiojimo sustabdymas, organizatorius perveda tik mokesčius ir kreditus už žaidimus iki sustabdymo dienos ir gali atlikti tik mokėjimus, susijusius su atsiskaitymu už žaidimų sandorius iki sustabdymo dienos.</w:t>
      </w:r>
    </w:p>
    <w:p w14:paraId="60E69676" w14:textId="77777777" w:rsidR="00BE630A" w:rsidRPr="00CF2667" w:rsidRDefault="00BE630A" w:rsidP="00CA1F6D">
      <w:pPr>
        <w:spacing w:after="0" w:line="240" w:lineRule="auto"/>
        <w:jc w:val="both"/>
      </w:pPr>
    </w:p>
    <w:p w14:paraId="0A01354D" w14:textId="77777777" w:rsidR="00CA1F6D" w:rsidRPr="00CF2667" w:rsidRDefault="00CA1F6D" w:rsidP="00CA1F6D">
      <w:pPr>
        <w:spacing w:after="0" w:line="240" w:lineRule="auto"/>
        <w:jc w:val="both"/>
      </w:pPr>
      <w:r>
        <w:t>(7) Organizatoriaus atliekamas bendro žaidėjo balanso sustabdymas arba nutraukimas laikomas priemone, darančia poveikį visiems žaidimams. Jei pagal SZTFH dekretą dėl taisyklių, kuriomis reglamentuojamas atsakingas žaidimų organizavimas, taikomas draudimas, organizatorius žaidimo plane ir dalyvavimo taisyklėse nurodo, ar, rimtai pažeidus sutartį, žaidėjo balansas ir galimybė dalyvauti žaidimuose bus panaikinta visiems atitinkamiems žaidimams.“</w:t>
      </w:r>
    </w:p>
    <w:p w14:paraId="6B66795A" w14:textId="77777777" w:rsidR="00672BEF" w:rsidRPr="00CF2667" w:rsidRDefault="00672BEF" w:rsidP="00CA1F6D">
      <w:pPr>
        <w:spacing w:after="0" w:line="240" w:lineRule="auto"/>
        <w:jc w:val="both"/>
      </w:pPr>
    </w:p>
    <w:p w14:paraId="554A5C3E" w14:textId="6D28C58D" w:rsidR="00672BEF" w:rsidRPr="00CF2667" w:rsidRDefault="0053730E" w:rsidP="008902D0">
      <w:pPr>
        <w:keepNext/>
        <w:keepLines/>
        <w:spacing w:after="0" w:line="240" w:lineRule="auto"/>
        <w:jc w:val="center"/>
        <w:rPr>
          <w:rFonts w:eastAsia="Calibri"/>
          <w:b/>
        </w:rPr>
      </w:pPr>
      <w:r>
        <w:rPr>
          <w:b/>
        </w:rPr>
        <w:t>7 skirsnis</w:t>
      </w:r>
    </w:p>
    <w:p w14:paraId="20C19BC1" w14:textId="77777777" w:rsidR="005A6F45" w:rsidRPr="00CF2667" w:rsidRDefault="005A6F45" w:rsidP="008902D0">
      <w:pPr>
        <w:keepNext/>
        <w:keepLines/>
        <w:spacing w:after="0"/>
        <w:rPr>
          <w:b/>
        </w:rPr>
      </w:pPr>
    </w:p>
    <w:p w14:paraId="3E80FDCD" w14:textId="502FA8D5" w:rsidR="005A6F45" w:rsidRPr="00CF2667" w:rsidRDefault="005A6F45" w:rsidP="00D007AF">
      <w:pPr>
        <w:spacing w:after="0"/>
        <w:jc w:val="both"/>
      </w:pPr>
      <w:r>
        <w:t>Įgyvendinimo dekreto 26 straipsnio 2–3 dalys pakeičiamos taip:</w:t>
      </w:r>
    </w:p>
    <w:p w14:paraId="75956E45" w14:textId="77777777" w:rsidR="005A6F45" w:rsidRPr="00CF2667" w:rsidRDefault="005A6F45" w:rsidP="005A6F45">
      <w:pPr>
        <w:spacing w:after="0" w:line="240" w:lineRule="auto"/>
        <w:jc w:val="both"/>
      </w:pPr>
    </w:p>
    <w:p w14:paraId="00B4543E" w14:textId="4F6CE1E6" w:rsidR="005A6F45" w:rsidRDefault="005A6F45" w:rsidP="005A6F45">
      <w:pPr>
        <w:spacing w:after="0" w:line="240" w:lineRule="auto"/>
        <w:jc w:val="both"/>
      </w:pPr>
      <w:r>
        <w:t>„2. Organizatorius dėl kitų priežasčių, nurodytų žaidimo plane ir dalyvavimo taisyklėse, visų pirma tuo atveju, kai pažeidžiamos dalyvavimo žaidime taisyklės, gali sustabdyti tam žaidimui priklausantį žaidėjo balansą arba net kiekvieno žaidėjo balansą.</w:t>
      </w:r>
    </w:p>
    <w:p w14:paraId="09271C4A" w14:textId="77777777" w:rsidR="00BE630A" w:rsidRPr="00CF2667" w:rsidRDefault="00BE630A" w:rsidP="005A6F45">
      <w:pPr>
        <w:spacing w:after="0" w:line="240" w:lineRule="auto"/>
        <w:jc w:val="both"/>
      </w:pPr>
    </w:p>
    <w:p w14:paraId="211075B7" w14:textId="77777777" w:rsidR="005A6F45" w:rsidRPr="00CF2667" w:rsidRDefault="005A6F45" w:rsidP="005A6F45">
      <w:pPr>
        <w:spacing w:after="0" w:line="240" w:lineRule="auto"/>
        <w:jc w:val="both"/>
      </w:pPr>
      <w:r>
        <w:lastRenderedPageBreak/>
        <w:t>(3) Organizatorius nedelsdamas elektroniniu paštu praneša žaidėjo balanso ar likučių sustabdymo faktą, datą ir priežastį arba sustabdymo faktą ir datą.“</w:t>
      </w:r>
    </w:p>
    <w:p w14:paraId="0F80A0E3" w14:textId="77777777" w:rsidR="00672BEF" w:rsidRPr="00CF2667" w:rsidRDefault="00672BEF" w:rsidP="00CA1F6D">
      <w:pPr>
        <w:spacing w:after="0" w:line="240" w:lineRule="auto"/>
        <w:jc w:val="both"/>
      </w:pPr>
    </w:p>
    <w:p w14:paraId="54A8D44E" w14:textId="1F230B53" w:rsidR="00CA1F6D" w:rsidRPr="00CF2667" w:rsidRDefault="006A2019" w:rsidP="00883ECB">
      <w:pPr>
        <w:spacing w:after="0" w:line="240" w:lineRule="auto"/>
        <w:jc w:val="center"/>
        <w:rPr>
          <w:rFonts w:eastAsia="Calibri"/>
          <w:b/>
        </w:rPr>
      </w:pPr>
      <w:r>
        <w:rPr>
          <w:b/>
        </w:rPr>
        <w:t>8 skirsnis</w:t>
      </w:r>
    </w:p>
    <w:p w14:paraId="6BE5A07E" w14:textId="77777777" w:rsidR="00CA1F6D" w:rsidRPr="00CF2667" w:rsidRDefault="00CA1F6D" w:rsidP="006E7FC5">
      <w:pPr>
        <w:spacing w:after="0" w:line="240" w:lineRule="auto"/>
        <w:jc w:val="both"/>
        <w:rPr>
          <w:rFonts w:eastAsia="Calibri"/>
        </w:rPr>
      </w:pPr>
    </w:p>
    <w:p w14:paraId="634AF65C" w14:textId="77777777" w:rsidR="00883ECB" w:rsidRPr="00CF2667" w:rsidRDefault="00883ECB" w:rsidP="00883ECB">
      <w:pPr>
        <w:spacing w:after="0" w:line="240" w:lineRule="auto"/>
        <w:jc w:val="both"/>
      </w:pPr>
      <w:r>
        <w:t>Įgyvendinimo dekreto 29 straipsnio 3 dalis pakeičiama taip:</w:t>
      </w:r>
    </w:p>
    <w:p w14:paraId="4DDA198A" w14:textId="77777777" w:rsidR="00883ECB" w:rsidRPr="00CF2667" w:rsidRDefault="00883ECB" w:rsidP="00883ECB">
      <w:pPr>
        <w:spacing w:after="0" w:line="240" w:lineRule="auto"/>
        <w:jc w:val="both"/>
      </w:pPr>
    </w:p>
    <w:p w14:paraId="43128F1C" w14:textId="71C5936B" w:rsidR="00883ECB" w:rsidRPr="00CF2667" w:rsidRDefault="00883ECB" w:rsidP="00883ECB">
      <w:pPr>
        <w:spacing w:after="0" w:line="240" w:lineRule="auto"/>
        <w:jc w:val="both"/>
      </w:pPr>
      <w:r>
        <w:t>„3. Bendro žaidėjo balanso atveju dovanų premija ir specialus premijos pasiūlymas gali būti naudojami kaip lažybos šio žaidėjo balanse, su sąlyga, kad organizatorius atsiskaito už tai taip pat, kaip nustatyta patvirtintuose žaidimų planuose.“</w:t>
      </w:r>
    </w:p>
    <w:p w14:paraId="3A09060E" w14:textId="77777777" w:rsidR="00883ECB" w:rsidRPr="00CF2667" w:rsidRDefault="00883ECB" w:rsidP="006E7FC5">
      <w:pPr>
        <w:spacing w:after="0" w:line="240" w:lineRule="auto"/>
        <w:jc w:val="both"/>
        <w:rPr>
          <w:rFonts w:eastAsia="Calibri"/>
        </w:rPr>
      </w:pPr>
    </w:p>
    <w:p w14:paraId="073A1B9C" w14:textId="1E762FAB" w:rsidR="00883ECB" w:rsidRPr="00CF2667" w:rsidRDefault="006A2019" w:rsidP="00BE416C">
      <w:pPr>
        <w:spacing w:after="0" w:line="240" w:lineRule="auto"/>
        <w:jc w:val="center"/>
        <w:rPr>
          <w:rFonts w:eastAsia="Calibri"/>
          <w:b/>
        </w:rPr>
      </w:pPr>
      <w:r>
        <w:rPr>
          <w:b/>
        </w:rPr>
        <w:t>9 skirsnis</w:t>
      </w:r>
    </w:p>
    <w:p w14:paraId="5B41DEF3" w14:textId="77777777" w:rsidR="00BE416C" w:rsidRPr="00CF2667" w:rsidRDefault="00BE416C" w:rsidP="00BE416C">
      <w:pPr>
        <w:spacing w:after="0" w:line="240" w:lineRule="auto"/>
        <w:jc w:val="both"/>
        <w:rPr>
          <w:rFonts w:eastAsia="Calibri"/>
          <w:b/>
        </w:rPr>
      </w:pPr>
    </w:p>
    <w:p w14:paraId="091301B9" w14:textId="77777777" w:rsidR="00BE416C" w:rsidRPr="00CF2667" w:rsidRDefault="00BE416C" w:rsidP="00BE416C">
      <w:pPr>
        <w:spacing w:after="0" w:line="240" w:lineRule="auto"/>
        <w:jc w:val="both"/>
      </w:pPr>
      <w:r>
        <w:t>Įgyvendinimo dekreto 32 straipsnio 2 dalis pakeičiama taip:</w:t>
      </w:r>
    </w:p>
    <w:p w14:paraId="3935C9D5" w14:textId="77777777" w:rsidR="00BE416C" w:rsidRPr="00CF2667" w:rsidRDefault="00BE416C" w:rsidP="00BE416C">
      <w:pPr>
        <w:spacing w:after="0" w:line="240" w:lineRule="auto"/>
        <w:jc w:val="both"/>
      </w:pPr>
    </w:p>
    <w:p w14:paraId="5F8CCFFC" w14:textId="77777777" w:rsidR="00BE416C" w:rsidRPr="00CF2667" w:rsidRDefault="00BE416C" w:rsidP="00BE416C">
      <w:pPr>
        <w:spacing w:after="0" w:line="240" w:lineRule="auto"/>
        <w:jc w:val="both"/>
      </w:pPr>
      <w:r>
        <w:t xml:space="preserve">„2. Jei tai yra 25 skirsnio 1 dalyje nurodyti keli bendri žaidėjų balansai, teikiami duomenys, nurodyti 3 priedo I nuostatos </w:t>
      </w:r>
      <w:r>
        <w:rPr>
          <w:i/>
        </w:rPr>
        <w:t>a</w:t>
      </w:r>
      <w:r>
        <w:t>–</w:t>
      </w:r>
      <w:r>
        <w:rPr>
          <w:i/>
        </w:rPr>
        <w:t>d</w:t>
      </w:r>
      <w:r>
        <w:t xml:space="preserve">, </w:t>
      </w:r>
      <w:r>
        <w:rPr>
          <w:i/>
        </w:rPr>
        <w:t>i</w:t>
      </w:r>
      <w:r>
        <w:t>–</w:t>
      </w:r>
      <w:r>
        <w:rPr>
          <w:i/>
        </w:rPr>
        <w:t>l</w:t>
      </w:r>
      <w:r>
        <w:t xml:space="preserve"> ir </w:t>
      </w:r>
      <w:r>
        <w:rPr>
          <w:i/>
        </w:rPr>
        <w:t>n</w:t>
      </w:r>
      <w:r>
        <w:t xml:space="preserve"> punktuose, susiję su atitinkamu bendru žaidėjo balansu.“</w:t>
      </w:r>
    </w:p>
    <w:p w14:paraId="3C2DC92C" w14:textId="77777777" w:rsidR="00EF1F0E" w:rsidRPr="00CF2667" w:rsidRDefault="00EF1F0E" w:rsidP="00D831E3">
      <w:pPr>
        <w:spacing w:after="0" w:line="240" w:lineRule="auto"/>
        <w:jc w:val="center"/>
        <w:rPr>
          <w:rFonts w:eastAsia="Calibri"/>
          <w:b/>
        </w:rPr>
      </w:pPr>
    </w:p>
    <w:p w14:paraId="3368B22F" w14:textId="77777777" w:rsidR="00CC2AA8" w:rsidRPr="00CF2667" w:rsidRDefault="00CC2AA8" w:rsidP="009B4363">
      <w:pPr>
        <w:spacing w:after="0"/>
        <w:jc w:val="both"/>
      </w:pPr>
    </w:p>
    <w:p w14:paraId="5288889E" w14:textId="005DDDB9" w:rsidR="00BE416C" w:rsidRPr="00CF2667" w:rsidRDefault="00D831E3" w:rsidP="00BE416C">
      <w:pPr>
        <w:spacing w:after="0" w:line="240" w:lineRule="auto"/>
        <w:jc w:val="center"/>
        <w:rPr>
          <w:rFonts w:eastAsia="Calibri"/>
          <w:b/>
        </w:rPr>
      </w:pPr>
      <w:r>
        <w:rPr>
          <w:b/>
        </w:rPr>
        <w:t>10 skirsnis</w:t>
      </w:r>
    </w:p>
    <w:p w14:paraId="5AEE038B" w14:textId="77777777" w:rsidR="00883ECB" w:rsidRPr="00CF2667" w:rsidRDefault="00883ECB" w:rsidP="006E7FC5">
      <w:pPr>
        <w:spacing w:after="0" w:line="240" w:lineRule="auto"/>
        <w:jc w:val="both"/>
        <w:rPr>
          <w:rFonts w:eastAsia="Calibri"/>
        </w:rPr>
      </w:pPr>
    </w:p>
    <w:p w14:paraId="780AC5C8" w14:textId="77777777" w:rsidR="00BE416C" w:rsidRDefault="00BE416C" w:rsidP="00BE416C">
      <w:r>
        <w:t>Įgyvendinimo dekreto 76 straipsnio 5 dalis pakeičiama taip:</w:t>
      </w:r>
    </w:p>
    <w:p w14:paraId="7CCD7B57" w14:textId="4704AFFB" w:rsidR="00D87DB3" w:rsidRPr="00B404C3" w:rsidRDefault="00D87DB3" w:rsidP="00BE416C">
      <w:pPr>
        <w:rPr>
          <w:i/>
        </w:rPr>
      </w:pPr>
      <w:r>
        <w:rPr>
          <w:i/>
        </w:rPr>
        <w:t>(Šiame reglamente:)</w:t>
      </w:r>
    </w:p>
    <w:p w14:paraId="50528523" w14:textId="77777777" w:rsidR="00BE416C" w:rsidRPr="00CF2667" w:rsidRDefault="00BE416C" w:rsidP="00BE416C">
      <w:pPr>
        <w:spacing w:after="0" w:line="240" w:lineRule="auto"/>
        <w:jc w:val="both"/>
      </w:pPr>
      <w:r>
        <w:t xml:space="preserve">„5. </w:t>
      </w:r>
      <w:r>
        <w:rPr>
          <w:i/>
        </w:rPr>
        <w:t>bendras žaidėjų balansas –</w:t>
      </w:r>
      <w:r>
        <w:t xml:space="preserve"> žaidėjo balansas, laikomas su organizatoriumi (kuris turi teisę organizuoti įvairių rūšių azartinius žaidimus) statymų, laimėjimų ir kitų žaidimo sandorių, susijusių su atitinkamais žaidimais, apskaitai ir įrašymui.“</w:t>
      </w:r>
    </w:p>
    <w:p w14:paraId="08CA76BF" w14:textId="77777777" w:rsidR="006E7FC5" w:rsidRPr="00CF2667" w:rsidRDefault="006E7FC5" w:rsidP="006E7FC5">
      <w:pPr>
        <w:spacing w:after="0" w:line="240" w:lineRule="auto"/>
        <w:jc w:val="both"/>
        <w:rPr>
          <w:rFonts w:eastAsia="Calibri"/>
        </w:rPr>
      </w:pPr>
    </w:p>
    <w:p w14:paraId="1A64D24D" w14:textId="6112EEA4" w:rsidR="004B77C9" w:rsidRPr="00CF2667" w:rsidRDefault="004B77C9" w:rsidP="006E7FC5">
      <w:pPr>
        <w:spacing w:after="0" w:line="240" w:lineRule="auto"/>
        <w:jc w:val="both"/>
        <w:rPr>
          <w:rFonts w:eastAsia="Calibri"/>
        </w:rPr>
      </w:pPr>
    </w:p>
    <w:p w14:paraId="28E48A86" w14:textId="77777777" w:rsidR="00024F51" w:rsidRPr="00CF2667" w:rsidRDefault="00024F51" w:rsidP="00D851ED">
      <w:pPr>
        <w:spacing w:after="0" w:line="240" w:lineRule="auto"/>
        <w:jc w:val="center"/>
        <w:rPr>
          <w:rFonts w:eastAsia="Calibri"/>
          <w:b/>
        </w:rPr>
      </w:pPr>
    </w:p>
    <w:p w14:paraId="62A2F325" w14:textId="299A9708" w:rsidR="00024F51" w:rsidRDefault="00B8585F" w:rsidP="00D851ED">
      <w:pPr>
        <w:spacing w:after="0" w:line="240" w:lineRule="auto"/>
        <w:jc w:val="center"/>
        <w:rPr>
          <w:rFonts w:eastAsia="Calibri"/>
          <w:b/>
        </w:rPr>
      </w:pPr>
      <w:r>
        <w:rPr>
          <w:b/>
        </w:rPr>
        <w:t>11 skirsnis</w:t>
      </w:r>
    </w:p>
    <w:p w14:paraId="2AA0E041" w14:textId="77777777" w:rsidR="00B8585F" w:rsidRDefault="00B8585F" w:rsidP="00D851ED">
      <w:pPr>
        <w:spacing w:after="0" w:line="240" w:lineRule="auto"/>
        <w:jc w:val="center"/>
        <w:rPr>
          <w:rFonts w:eastAsia="Calibri"/>
          <w:b/>
        </w:rPr>
      </w:pPr>
    </w:p>
    <w:p w14:paraId="284227C6" w14:textId="77777777" w:rsidR="00B8585F" w:rsidRDefault="00B8585F" w:rsidP="00B8585F">
      <w:pPr>
        <w:spacing w:after="0" w:line="240" w:lineRule="auto"/>
        <w:jc w:val="both"/>
        <w:rPr>
          <w:rFonts w:eastAsia="Calibri"/>
        </w:rPr>
      </w:pPr>
      <w:r>
        <w:t>Įgyvendinimo dekreto XI skyrius papildomas nauju 79 skirsniu, kuris išdėstomas taip:</w:t>
      </w:r>
    </w:p>
    <w:p w14:paraId="0CFCA622" w14:textId="77777777" w:rsidR="00B8585F" w:rsidRDefault="00B8585F" w:rsidP="00B8585F">
      <w:pPr>
        <w:spacing w:after="0" w:line="240" w:lineRule="auto"/>
        <w:jc w:val="both"/>
        <w:rPr>
          <w:rFonts w:eastAsia="Calibri"/>
          <w:b/>
        </w:rPr>
      </w:pPr>
    </w:p>
    <w:p w14:paraId="537E199A" w14:textId="5CD65CEE" w:rsidR="00B8585F" w:rsidRPr="003B294C" w:rsidRDefault="00B8585F" w:rsidP="00B8585F">
      <w:pPr>
        <w:spacing w:after="0" w:line="240" w:lineRule="auto"/>
        <w:jc w:val="both"/>
        <w:rPr>
          <w:rFonts w:eastAsia="Calibri"/>
        </w:rPr>
      </w:pPr>
      <w:r>
        <w:t>„79 skirsnis. Šio reglamento nuostatų projektas, nustatytas SZTFH dekretu Nr. .../2023 (...), kuriuo iš dalies keičiamas 2021 m. spalio 29 d. SZTFH dekretas Nr. 20/2021 dėl užduočių, susijusių su tam tikrų azartinių žaidimų leidimu, valdymu ir kontrole, įgyvendinimo, t. y. apie 2/A skirsnį, 13 skirsnio 3, 10 ir 11 dalis, 7/A antraštinę dalį, 16/F skirsnį, 22 skirsnio 1 dalį, 22 skirsnio 2 ir 4 dalis, 25 skirsnio 1–4 dalis, 6 ir 7 dalis, 26 skirsnio 2 ir 3 dalis, 29 skirsnio 3 dalį, 32 skirsnio 2 dalį, 76 skirsnio 5 dalį ir 2 priedo C nuostatos 1 dalį buvo pranešta iš anksto pagal 2015 m. rugsėjo 9 d. Europos Parlamento ir Tarybos direktyvos (ES) 2015/1535, kuria nustatoma informacijos apie techninius reglamentus ir informacinės visuomenės paslaugų taisykles teikimo tvarka, 5–7 straipsnius.“</w:t>
      </w:r>
    </w:p>
    <w:p w14:paraId="78C7E8FD" w14:textId="77777777" w:rsidR="00B8585F" w:rsidRPr="00CF2667" w:rsidRDefault="00B8585F" w:rsidP="00D851ED">
      <w:pPr>
        <w:spacing w:after="0" w:line="240" w:lineRule="auto"/>
        <w:jc w:val="center"/>
        <w:rPr>
          <w:rFonts w:eastAsia="Calibri"/>
          <w:b/>
        </w:rPr>
      </w:pPr>
    </w:p>
    <w:p w14:paraId="2056C2B0" w14:textId="77777777" w:rsidR="00024F51" w:rsidRPr="00CF2667" w:rsidRDefault="00024F51" w:rsidP="00D851ED">
      <w:pPr>
        <w:spacing w:after="0" w:line="240" w:lineRule="auto"/>
        <w:jc w:val="center"/>
        <w:rPr>
          <w:rFonts w:eastAsia="Calibri"/>
          <w:b/>
        </w:rPr>
      </w:pPr>
    </w:p>
    <w:p w14:paraId="115BBCEA" w14:textId="2E59E0DF" w:rsidR="00B8585F" w:rsidRPr="00CF2667" w:rsidRDefault="00D831E3" w:rsidP="00B8585F">
      <w:pPr>
        <w:spacing w:after="0" w:line="240" w:lineRule="auto"/>
        <w:jc w:val="center"/>
        <w:rPr>
          <w:rFonts w:eastAsia="Calibri"/>
          <w:b/>
        </w:rPr>
      </w:pPr>
      <w:r>
        <w:rPr>
          <w:b/>
        </w:rPr>
        <w:t>12 skirsnis</w:t>
      </w:r>
    </w:p>
    <w:p w14:paraId="7508A6B6" w14:textId="77777777" w:rsidR="006E7FC5" w:rsidRPr="00CF2667" w:rsidRDefault="006E7FC5" w:rsidP="006E7FC5">
      <w:pPr>
        <w:spacing w:after="0" w:line="240" w:lineRule="auto"/>
        <w:jc w:val="both"/>
        <w:rPr>
          <w:rFonts w:eastAsia="Calibri"/>
        </w:rPr>
      </w:pPr>
    </w:p>
    <w:p w14:paraId="67F085A2" w14:textId="718B856E" w:rsidR="00173F50" w:rsidRPr="00CF2667" w:rsidRDefault="00CB7CD2" w:rsidP="006E7FC5">
      <w:pPr>
        <w:spacing w:after="0" w:line="240" w:lineRule="auto"/>
        <w:jc w:val="both"/>
        <w:rPr>
          <w:rFonts w:eastAsia="Calibri"/>
        </w:rPr>
      </w:pPr>
      <w:r>
        <w:t xml:space="preserve">Įgyvendinimo dekrete: </w:t>
      </w:r>
    </w:p>
    <w:p w14:paraId="1AD1CF86" w14:textId="6E94142C" w:rsidR="00A52272" w:rsidRPr="00CF2667" w:rsidRDefault="00F63205" w:rsidP="006E7FC5">
      <w:pPr>
        <w:spacing w:after="0" w:line="240" w:lineRule="auto"/>
        <w:jc w:val="both"/>
        <w:rPr>
          <w:rFonts w:eastAsia="Calibri"/>
        </w:rPr>
      </w:pPr>
      <w:r>
        <w:rPr>
          <w:i/>
        </w:rPr>
        <w:lastRenderedPageBreak/>
        <w:t>a)</w:t>
      </w:r>
      <w:r>
        <w:t xml:space="preserve"> 22 skirsnio 1 dalyje žodžiai „žaidėjo balansas“ pakeičiami žodžiais „visi susiję žaidėjų balansai“,</w:t>
      </w:r>
    </w:p>
    <w:p w14:paraId="0E38F8A0" w14:textId="10A0D320" w:rsidR="00F63205" w:rsidRPr="008D4778" w:rsidRDefault="00F63205" w:rsidP="00F63205">
      <w:pPr>
        <w:spacing w:after="0" w:line="240" w:lineRule="auto"/>
        <w:jc w:val="both"/>
        <w:rPr>
          <w:rFonts w:eastAsia="Calibri"/>
        </w:rPr>
      </w:pPr>
      <w:r>
        <w:rPr>
          <w:i/>
        </w:rPr>
        <w:t>b)</w:t>
      </w:r>
      <w:r>
        <w:t xml:space="preserve"> 2 priedo C nuostatos 1 dalyje žodžiai „bendram žaidėjo balansui“ pakeičiami žodžiais „atitinkamam bendram žaidėjo balansui“.</w:t>
      </w:r>
    </w:p>
    <w:p w14:paraId="3DF148E3" w14:textId="77777777" w:rsidR="00BF5C0C" w:rsidRPr="00CF2667" w:rsidRDefault="00BF5C0C" w:rsidP="006E7FC5">
      <w:pPr>
        <w:spacing w:after="0" w:line="240" w:lineRule="auto"/>
        <w:jc w:val="both"/>
        <w:rPr>
          <w:rFonts w:eastAsia="Calibri"/>
        </w:rPr>
      </w:pPr>
    </w:p>
    <w:p w14:paraId="264E9D44" w14:textId="77777777" w:rsidR="00CC2AA8" w:rsidRPr="00CF2667" w:rsidRDefault="00CC2AA8" w:rsidP="006E7FC5">
      <w:pPr>
        <w:spacing w:after="0" w:line="240" w:lineRule="auto"/>
        <w:jc w:val="both"/>
        <w:rPr>
          <w:rFonts w:eastAsia="Calibri"/>
        </w:rPr>
      </w:pPr>
    </w:p>
    <w:p w14:paraId="1B62B26B" w14:textId="77777777" w:rsidR="00A52272" w:rsidRPr="00CF2667" w:rsidRDefault="00A52272" w:rsidP="006E7FC5">
      <w:pPr>
        <w:spacing w:after="0" w:line="240" w:lineRule="auto"/>
        <w:jc w:val="both"/>
        <w:rPr>
          <w:rFonts w:eastAsia="Calibri"/>
        </w:rPr>
      </w:pPr>
    </w:p>
    <w:p w14:paraId="34636380" w14:textId="61602DFD" w:rsidR="00421C27" w:rsidRPr="00CF2667" w:rsidRDefault="00D831E3" w:rsidP="00421C27">
      <w:pPr>
        <w:spacing w:after="0" w:line="240" w:lineRule="auto"/>
        <w:jc w:val="center"/>
        <w:rPr>
          <w:rFonts w:eastAsia="Calibri"/>
          <w:b/>
        </w:rPr>
      </w:pPr>
      <w:r>
        <w:rPr>
          <w:b/>
        </w:rPr>
        <w:t>13 skirsnis</w:t>
      </w:r>
    </w:p>
    <w:p w14:paraId="63ECFAEB" w14:textId="45A2EF41" w:rsidR="00BF5C0C" w:rsidRPr="00CF2667" w:rsidRDefault="00BF5C0C" w:rsidP="006E7FC5">
      <w:pPr>
        <w:spacing w:after="0" w:line="240" w:lineRule="auto"/>
        <w:jc w:val="both"/>
        <w:rPr>
          <w:rFonts w:eastAsia="Calibri"/>
        </w:rPr>
      </w:pPr>
    </w:p>
    <w:p w14:paraId="1562E5E9" w14:textId="77777777" w:rsidR="00C9669B" w:rsidRPr="00CF2667" w:rsidRDefault="00D851ED" w:rsidP="006E7FC5">
      <w:pPr>
        <w:spacing w:after="0" w:line="240" w:lineRule="auto"/>
        <w:jc w:val="both"/>
        <w:rPr>
          <w:rFonts w:eastAsia="Calibri"/>
        </w:rPr>
      </w:pPr>
      <w:r>
        <w:t>Panaikinamos šios Įgyvendinimo dekreto nuostatos:</w:t>
      </w:r>
    </w:p>
    <w:p w14:paraId="0E1ADBA3" w14:textId="77777777" w:rsidR="00BF5C0C" w:rsidRPr="00CF2667" w:rsidRDefault="00BF5C0C" w:rsidP="006E7FC5">
      <w:pPr>
        <w:spacing w:after="0" w:line="240" w:lineRule="auto"/>
        <w:jc w:val="both"/>
        <w:rPr>
          <w:rFonts w:eastAsia="Calibri"/>
        </w:rPr>
      </w:pPr>
    </w:p>
    <w:p w14:paraId="3768B456" w14:textId="77777777" w:rsidR="00C9669B" w:rsidRPr="00CF2667" w:rsidRDefault="00C9669B" w:rsidP="006E7FC5">
      <w:pPr>
        <w:spacing w:after="0" w:line="240" w:lineRule="auto"/>
        <w:jc w:val="both"/>
        <w:rPr>
          <w:rFonts w:eastAsia="Calibri"/>
        </w:rPr>
      </w:pPr>
      <w:r>
        <w:rPr>
          <w:i/>
        </w:rPr>
        <w:t>a)</w:t>
      </w:r>
      <w:r>
        <w:t xml:space="preserve"> 11 skirsnio 2 dalis,</w:t>
      </w:r>
    </w:p>
    <w:p w14:paraId="46DB22F4" w14:textId="77777777" w:rsidR="00D851ED" w:rsidRPr="00CF2667" w:rsidRDefault="00C9669B" w:rsidP="006E7FC5">
      <w:pPr>
        <w:spacing w:after="0" w:line="240" w:lineRule="auto"/>
        <w:jc w:val="both"/>
        <w:rPr>
          <w:rFonts w:eastAsia="Calibri"/>
        </w:rPr>
      </w:pPr>
      <w:r>
        <w:rPr>
          <w:i/>
        </w:rPr>
        <w:t>b)</w:t>
      </w:r>
      <w:r>
        <w:t xml:space="preserve"> 76 skirsnio 1 dalis.</w:t>
      </w:r>
    </w:p>
    <w:p w14:paraId="5FD8D111" w14:textId="77777777" w:rsidR="006D702B" w:rsidRPr="00CF2667" w:rsidRDefault="006D702B" w:rsidP="006E7FC5">
      <w:pPr>
        <w:spacing w:after="0" w:line="240" w:lineRule="auto"/>
        <w:jc w:val="both"/>
        <w:rPr>
          <w:rFonts w:eastAsia="Calibri"/>
        </w:rPr>
      </w:pPr>
    </w:p>
    <w:p w14:paraId="1BD95EA2" w14:textId="41D12212" w:rsidR="00BF5C0C" w:rsidRPr="00CF2667" w:rsidRDefault="00BF5C0C" w:rsidP="00CF2667">
      <w:pPr>
        <w:spacing w:after="0" w:line="240" w:lineRule="auto"/>
        <w:jc w:val="center"/>
        <w:rPr>
          <w:rFonts w:eastAsia="Calibri"/>
          <w:b/>
        </w:rPr>
      </w:pPr>
      <w:r>
        <w:rPr>
          <w:b/>
        </w:rPr>
        <w:t>14 skirsnis</w:t>
      </w:r>
    </w:p>
    <w:p w14:paraId="7D101E13" w14:textId="173FDD3E" w:rsidR="00BF5C0C" w:rsidRPr="00CF2667" w:rsidRDefault="00BF5C0C" w:rsidP="006E7FC5">
      <w:pPr>
        <w:spacing w:after="0" w:line="240" w:lineRule="auto"/>
        <w:jc w:val="both"/>
        <w:rPr>
          <w:rFonts w:eastAsia="Calibri"/>
        </w:rPr>
      </w:pPr>
    </w:p>
    <w:p w14:paraId="6E5ECC11" w14:textId="77777777" w:rsidR="006D702B" w:rsidRPr="00CF2667" w:rsidRDefault="006D702B" w:rsidP="006E7FC5">
      <w:pPr>
        <w:spacing w:after="0" w:line="240" w:lineRule="auto"/>
        <w:jc w:val="both"/>
        <w:rPr>
          <w:rFonts w:eastAsia="Calibri"/>
        </w:rPr>
      </w:pPr>
      <w:r>
        <w:t>Šis dekretas įsigalioja .......... 2023 m.</w:t>
      </w:r>
    </w:p>
    <w:p w14:paraId="45C78A1B" w14:textId="77777777" w:rsidR="006D702B" w:rsidRPr="00CF2667" w:rsidRDefault="006D702B" w:rsidP="006E7FC5">
      <w:pPr>
        <w:spacing w:after="0" w:line="240" w:lineRule="auto"/>
        <w:jc w:val="center"/>
        <w:rPr>
          <w:rFonts w:eastAsia="Calibri"/>
          <w:b/>
        </w:rPr>
      </w:pPr>
    </w:p>
    <w:p w14:paraId="130A173C" w14:textId="0F14DA3E" w:rsidR="006E7FC5" w:rsidRPr="00CF2667" w:rsidRDefault="00BF5C0C" w:rsidP="006E7FC5">
      <w:pPr>
        <w:jc w:val="center"/>
        <w:rPr>
          <w:rFonts w:eastAsia="Calibri"/>
          <w:b/>
        </w:rPr>
      </w:pPr>
      <w:r>
        <w:rPr>
          <w:b/>
        </w:rPr>
        <w:t>15 skirsnis</w:t>
      </w:r>
    </w:p>
    <w:p w14:paraId="052A2215" w14:textId="79C4090E" w:rsidR="006E7FC5" w:rsidRPr="00CF2667" w:rsidRDefault="00D669AC" w:rsidP="006E7FC5">
      <w:pPr>
        <w:jc w:val="both"/>
        <w:rPr>
          <w:rFonts w:eastAsia="Calibri"/>
        </w:rPr>
      </w:pPr>
      <w:r>
        <w:t>Reikalavimas iš anksto pranešti apie šio reglamento projektą, kaip nustatyta 2015 m. rugsėjo 9 d. Europos Parlamento ir Tarybos direktyvos (ES) 2015/1535, kuria nustatoma informacijos apie techninius reglamentus ir informacinės visuomenės paslaugų taisykles teikimo tvarka, 5–7 straipsniuose, yra įvykdytas.</w:t>
      </w:r>
    </w:p>
    <w:p w14:paraId="3C6A2578" w14:textId="77777777" w:rsidR="007F34EE" w:rsidRPr="00CF2667" w:rsidRDefault="006E7FC5" w:rsidP="007F34EE">
      <w:pPr>
        <w:jc w:val="center"/>
        <w:rPr>
          <w:rFonts w:eastAsia="Calibri"/>
        </w:rPr>
      </w:pPr>
      <w:r>
        <w:t xml:space="preserve">   </w:t>
      </w:r>
    </w:p>
    <w:p w14:paraId="7E631094" w14:textId="5CD1C4E6" w:rsidR="006E7FC5" w:rsidRPr="00F135C5" w:rsidRDefault="006E7FC5" w:rsidP="00F135C5">
      <w:pPr>
        <w:rPr>
          <w:rFonts w:eastAsia="Calibri"/>
          <w:b/>
          <w:bCs/>
        </w:rPr>
      </w:pPr>
    </w:p>
    <w:sectPr w:rsidR="006E7FC5" w:rsidRPr="00F135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D2167"/>
    <w:multiLevelType w:val="hybridMultilevel"/>
    <w:tmpl w:val="0078767E"/>
    <w:lvl w:ilvl="0" w:tplc="A63243D0">
      <w:start w:val="8"/>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747456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C5"/>
    <w:rsid w:val="0001079C"/>
    <w:rsid w:val="00012DCD"/>
    <w:rsid w:val="00024F51"/>
    <w:rsid w:val="00041F7B"/>
    <w:rsid w:val="0009293C"/>
    <w:rsid w:val="000A7196"/>
    <w:rsid w:val="000B3671"/>
    <w:rsid w:val="000E02F3"/>
    <w:rsid w:val="000F2AD6"/>
    <w:rsid w:val="001052C1"/>
    <w:rsid w:val="00127FAE"/>
    <w:rsid w:val="0015599C"/>
    <w:rsid w:val="0016206A"/>
    <w:rsid w:val="00173F50"/>
    <w:rsid w:val="00181F7A"/>
    <w:rsid w:val="0018214B"/>
    <w:rsid w:val="00193CE0"/>
    <w:rsid w:val="0020391A"/>
    <w:rsid w:val="00203C3F"/>
    <w:rsid w:val="00206AC5"/>
    <w:rsid w:val="0021203C"/>
    <w:rsid w:val="00212B64"/>
    <w:rsid w:val="0023017A"/>
    <w:rsid w:val="00234A70"/>
    <w:rsid w:val="002572BC"/>
    <w:rsid w:val="002662A1"/>
    <w:rsid w:val="002A7C40"/>
    <w:rsid w:val="00334106"/>
    <w:rsid w:val="003A5B78"/>
    <w:rsid w:val="003A78F0"/>
    <w:rsid w:val="003D5B7A"/>
    <w:rsid w:val="00421C27"/>
    <w:rsid w:val="00431B0E"/>
    <w:rsid w:val="00444CCE"/>
    <w:rsid w:val="00447FE9"/>
    <w:rsid w:val="00460640"/>
    <w:rsid w:val="0047373B"/>
    <w:rsid w:val="00482857"/>
    <w:rsid w:val="00497BD3"/>
    <w:rsid w:val="004B777D"/>
    <w:rsid w:val="004B77C9"/>
    <w:rsid w:val="005034BC"/>
    <w:rsid w:val="00517308"/>
    <w:rsid w:val="00521538"/>
    <w:rsid w:val="00526197"/>
    <w:rsid w:val="0053730E"/>
    <w:rsid w:val="00591010"/>
    <w:rsid w:val="005A5938"/>
    <w:rsid w:val="005A6F45"/>
    <w:rsid w:val="005C402F"/>
    <w:rsid w:val="005D223D"/>
    <w:rsid w:val="005E07CA"/>
    <w:rsid w:val="005F0267"/>
    <w:rsid w:val="005F0F64"/>
    <w:rsid w:val="005F30D0"/>
    <w:rsid w:val="005F7926"/>
    <w:rsid w:val="00605AC6"/>
    <w:rsid w:val="00632E1B"/>
    <w:rsid w:val="00634997"/>
    <w:rsid w:val="00655C54"/>
    <w:rsid w:val="00667115"/>
    <w:rsid w:val="00672BEF"/>
    <w:rsid w:val="006A0AD9"/>
    <w:rsid w:val="006A2019"/>
    <w:rsid w:val="006D702B"/>
    <w:rsid w:val="006E7FC5"/>
    <w:rsid w:val="0070150D"/>
    <w:rsid w:val="007176D9"/>
    <w:rsid w:val="00723037"/>
    <w:rsid w:val="00743DA6"/>
    <w:rsid w:val="0076793D"/>
    <w:rsid w:val="00774591"/>
    <w:rsid w:val="00782E0A"/>
    <w:rsid w:val="00785185"/>
    <w:rsid w:val="00785E70"/>
    <w:rsid w:val="007919A4"/>
    <w:rsid w:val="007B051F"/>
    <w:rsid w:val="007F34EE"/>
    <w:rsid w:val="00803C4C"/>
    <w:rsid w:val="00806F38"/>
    <w:rsid w:val="008120A6"/>
    <w:rsid w:val="008126DB"/>
    <w:rsid w:val="00815C73"/>
    <w:rsid w:val="00816C55"/>
    <w:rsid w:val="00836DF7"/>
    <w:rsid w:val="0084156F"/>
    <w:rsid w:val="00846670"/>
    <w:rsid w:val="00883ECB"/>
    <w:rsid w:val="008902D0"/>
    <w:rsid w:val="008A5958"/>
    <w:rsid w:val="008C4599"/>
    <w:rsid w:val="008F4AEA"/>
    <w:rsid w:val="0094265F"/>
    <w:rsid w:val="00965042"/>
    <w:rsid w:val="009817D0"/>
    <w:rsid w:val="00991F71"/>
    <w:rsid w:val="0099589C"/>
    <w:rsid w:val="009B4363"/>
    <w:rsid w:val="009C02BE"/>
    <w:rsid w:val="009C35BE"/>
    <w:rsid w:val="009E31C9"/>
    <w:rsid w:val="009E5ECF"/>
    <w:rsid w:val="009F37D4"/>
    <w:rsid w:val="00A23564"/>
    <w:rsid w:val="00A52272"/>
    <w:rsid w:val="00A654AB"/>
    <w:rsid w:val="00A93213"/>
    <w:rsid w:val="00B12456"/>
    <w:rsid w:val="00B162E1"/>
    <w:rsid w:val="00B2554E"/>
    <w:rsid w:val="00B2666F"/>
    <w:rsid w:val="00B404C3"/>
    <w:rsid w:val="00B47621"/>
    <w:rsid w:val="00B60400"/>
    <w:rsid w:val="00B82D5A"/>
    <w:rsid w:val="00B8585F"/>
    <w:rsid w:val="00BB0F1A"/>
    <w:rsid w:val="00BC68A9"/>
    <w:rsid w:val="00BE416C"/>
    <w:rsid w:val="00BE630A"/>
    <w:rsid w:val="00BF5A71"/>
    <w:rsid w:val="00BF5C0C"/>
    <w:rsid w:val="00C012D4"/>
    <w:rsid w:val="00C350BD"/>
    <w:rsid w:val="00C50A71"/>
    <w:rsid w:val="00C536ED"/>
    <w:rsid w:val="00C63619"/>
    <w:rsid w:val="00C84F9C"/>
    <w:rsid w:val="00C9669B"/>
    <w:rsid w:val="00CA1F6D"/>
    <w:rsid w:val="00CB1E4B"/>
    <w:rsid w:val="00CB7CD2"/>
    <w:rsid w:val="00CC134D"/>
    <w:rsid w:val="00CC2AA8"/>
    <w:rsid w:val="00CE4959"/>
    <w:rsid w:val="00CF2667"/>
    <w:rsid w:val="00D007AF"/>
    <w:rsid w:val="00D32BE4"/>
    <w:rsid w:val="00D42C8A"/>
    <w:rsid w:val="00D65715"/>
    <w:rsid w:val="00D669AC"/>
    <w:rsid w:val="00D67727"/>
    <w:rsid w:val="00D831E3"/>
    <w:rsid w:val="00D851ED"/>
    <w:rsid w:val="00D87DB3"/>
    <w:rsid w:val="00DD6AA8"/>
    <w:rsid w:val="00E25CE6"/>
    <w:rsid w:val="00E261AE"/>
    <w:rsid w:val="00E35F25"/>
    <w:rsid w:val="00E64453"/>
    <w:rsid w:val="00EA2A22"/>
    <w:rsid w:val="00ED1E39"/>
    <w:rsid w:val="00EF1F0E"/>
    <w:rsid w:val="00F135C5"/>
    <w:rsid w:val="00F34A5B"/>
    <w:rsid w:val="00F42DAC"/>
    <w:rsid w:val="00F632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2C289"/>
  <w15:docId w15:val="{689E1621-4457-4042-BDCB-0C05FD9E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FC5"/>
    <w:rPr>
      <w:rFonts w:ascii="Times New Roman" w:eastAsia="Times New Roman" w:hAnsi="Times New Roman" w:cs="Times New Roman"/>
      <w:sz w:val="24"/>
      <w:szCs w:val="24"/>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91010"/>
    <w:rPr>
      <w:sz w:val="16"/>
      <w:szCs w:val="16"/>
    </w:rPr>
  </w:style>
  <w:style w:type="paragraph" w:styleId="CommentText">
    <w:name w:val="annotation text"/>
    <w:basedOn w:val="Normal"/>
    <w:link w:val="CommentTextChar"/>
    <w:uiPriority w:val="99"/>
    <w:unhideWhenUsed/>
    <w:rsid w:val="00591010"/>
    <w:pPr>
      <w:spacing w:after="200" w:line="240"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591010"/>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591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010"/>
    <w:rPr>
      <w:rFonts w:ascii="Tahoma" w:eastAsia="Times New Roman" w:hAnsi="Tahoma" w:cs="Tahoma"/>
      <w:sz w:val="16"/>
      <w:szCs w:val="16"/>
      <w:lang w:eastAsia="hu-HU"/>
    </w:rPr>
  </w:style>
  <w:style w:type="paragraph" w:styleId="NormalWeb">
    <w:name w:val="Normal (Web)"/>
    <w:basedOn w:val="Normal"/>
    <w:uiPriority w:val="99"/>
    <w:semiHidden/>
    <w:unhideWhenUsed/>
    <w:rsid w:val="00EF1F0E"/>
    <w:pPr>
      <w:spacing w:before="100" w:beforeAutospacing="1" w:after="100" w:afterAutospacing="1" w:line="240" w:lineRule="auto"/>
    </w:pPr>
    <w:rPr>
      <w:rFonts w:eastAsiaTheme="minorHAnsi"/>
    </w:rPr>
  </w:style>
  <w:style w:type="paragraph" w:styleId="CommentSubject">
    <w:name w:val="annotation subject"/>
    <w:basedOn w:val="CommentText"/>
    <w:next w:val="CommentText"/>
    <w:link w:val="CommentSubjectChar"/>
    <w:uiPriority w:val="99"/>
    <w:semiHidden/>
    <w:unhideWhenUsed/>
    <w:rsid w:val="00EF1F0E"/>
    <w:pPr>
      <w:spacing w:after="160"/>
    </w:pPr>
    <w:rPr>
      <w:rFonts w:ascii="Times New Roman" w:eastAsia="Times New Roman" w:hAnsi="Times New Roman"/>
      <w:b/>
      <w:bCs/>
      <w:lang w:eastAsia="hu-HU"/>
    </w:rPr>
  </w:style>
  <w:style w:type="character" w:customStyle="1" w:styleId="CommentSubjectChar">
    <w:name w:val="Comment Subject Char"/>
    <w:basedOn w:val="CommentTextChar"/>
    <w:link w:val="CommentSubject"/>
    <w:uiPriority w:val="99"/>
    <w:semiHidden/>
    <w:rsid w:val="00EF1F0E"/>
    <w:rPr>
      <w:rFonts w:ascii="Times New Roman" w:eastAsia="Times New Roman" w:hAnsi="Times New Roman" w:cs="Times New Roman"/>
      <w:b/>
      <w:bCs/>
      <w:sz w:val="20"/>
      <w:szCs w:val="20"/>
      <w:lang w:eastAsia="hu-HU"/>
    </w:rPr>
  </w:style>
  <w:style w:type="paragraph" w:styleId="ListParagraph">
    <w:name w:val="List Paragraph"/>
    <w:basedOn w:val="Normal"/>
    <w:uiPriority w:val="34"/>
    <w:qFormat/>
    <w:rsid w:val="00173F50"/>
    <w:pPr>
      <w:ind w:left="720"/>
      <w:contextualSpacing/>
    </w:pPr>
  </w:style>
  <w:style w:type="paragraph" w:styleId="Revision">
    <w:name w:val="Revision"/>
    <w:hidden/>
    <w:uiPriority w:val="99"/>
    <w:semiHidden/>
    <w:rsid w:val="00806F38"/>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80427">
      <w:bodyDiv w:val="1"/>
      <w:marLeft w:val="0"/>
      <w:marRight w:val="0"/>
      <w:marTop w:val="0"/>
      <w:marBottom w:val="0"/>
      <w:divBdr>
        <w:top w:val="none" w:sz="0" w:space="0" w:color="auto"/>
        <w:left w:val="none" w:sz="0" w:space="0" w:color="auto"/>
        <w:bottom w:val="none" w:sz="0" w:space="0" w:color="auto"/>
        <w:right w:val="none" w:sz="0" w:space="0" w:color="auto"/>
      </w:divBdr>
    </w:div>
    <w:div w:id="145586802">
      <w:bodyDiv w:val="1"/>
      <w:marLeft w:val="0"/>
      <w:marRight w:val="0"/>
      <w:marTop w:val="0"/>
      <w:marBottom w:val="0"/>
      <w:divBdr>
        <w:top w:val="none" w:sz="0" w:space="0" w:color="auto"/>
        <w:left w:val="none" w:sz="0" w:space="0" w:color="auto"/>
        <w:bottom w:val="none" w:sz="0" w:space="0" w:color="auto"/>
        <w:right w:val="none" w:sz="0" w:space="0" w:color="auto"/>
      </w:divBdr>
    </w:div>
    <w:div w:id="164908087">
      <w:bodyDiv w:val="1"/>
      <w:marLeft w:val="0"/>
      <w:marRight w:val="0"/>
      <w:marTop w:val="0"/>
      <w:marBottom w:val="0"/>
      <w:divBdr>
        <w:top w:val="none" w:sz="0" w:space="0" w:color="auto"/>
        <w:left w:val="none" w:sz="0" w:space="0" w:color="auto"/>
        <w:bottom w:val="none" w:sz="0" w:space="0" w:color="auto"/>
        <w:right w:val="none" w:sz="0" w:space="0" w:color="auto"/>
      </w:divBdr>
    </w:div>
    <w:div w:id="429547432">
      <w:bodyDiv w:val="1"/>
      <w:marLeft w:val="0"/>
      <w:marRight w:val="0"/>
      <w:marTop w:val="0"/>
      <w:marBottom w:val="0"/>
      <w:divBdr>
        <w:top w:val="none" w:sz="0" w:space="0" w:color="auto"/>
        <w:left w:val="none" w:sz="0" w:space="0" w:color="auto"/>
        <w:bottom w:val="none" w:sz="0" w:space="0" w:color="auto"/>
        <w:right w:val="none" w:sz="0" w:space="0" w:color="auto"/>
      </w:divBdr>
    </w:div>
    <w:div w:id="52922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53259-9B7A-46FB-A08F-3149266FA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1535</Words>
  <Characters>8750</Characters>
  <Application>Microsoft Office Word</Application>
  <DocSecurity>0</DocSecurity>
  <Lines>72</Lines>
  <Paragraphs>20</Paragraphs>
  <ScaleCrop>false</ScaleCrop>
  <HeadingPairs>
    <vt:vector size="2" baseType="variant">
      <vt:variant>
        <vt:lpstr>Cím</vt:lpstr>
      </vt:variant>
      <vt:variant>
        <vt:i4>1</vt:i4>
      </vt:variant>
    </vt:vector>
  </HeadingPairs>
  <TitlesOfParts>
    <vt:vector size="1" baseType="lpstr">
      <vt:lpstr/>
    </vt:vector>
  </TitlesOfParts>
  <Company>Egységes InfraStruktúra</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Juhász Krisztina dr.</dc:creator>
  <cp:lastModifiedBy>Dimitris Dimitriadis</cp:lastModifiedBy>
  <cp:revision>4</cp:revision>
  <cp:lastPrinted>2023-03-21T08:45:00Z</cp:lastPrinted>
  <dcterms:created xsi:type="dcterms:W3CDTF">2023-03-22T13:23:00Z</dcterms:created>
  <dcterms:modified xsi:type="dcterms:W3CDTF">2023-03-30T10:54:00Z</dcterms:modified>
</cp:coreProperties>
</file>