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443F" w14:textId="77777777" w:rsidR="006E7FC5" w:rsidRPr="00CF2667" w:rsidRDefault="006E7FC5" w:rsidP="006E7FC5">
      <w:pPr>
        <w:spacing w:after="0" w:line="240" w:lineRule="auto"/>
        <w:jc w:val="center"/>
        <w:rPr>
          <w:rFonts w:eastAsia="Calibri"/>
          <w:b/>
        </w:rPr>
      </w:pPr>
      <w:r>
        <w:rPr>
          <w:b/>
        </w:rPr>
        <w:t>Regulatīvo lietu uzraudzības iestādes (SZTFH)</w:t>
      </w:r>
    </w:p>
    <w:p w14:paraId="78A2EE9D" w14:textId="77777777" w:rsidR="006E7FC5" w:rsidRPr="00CF2667" w:rsidRDefault="006E7FC5" w:rsidP="006E7FC5">
      <w:pPr>
        <w:spacing w:after="0" w:line="240" w:lineRule="auto"/>
        <w:jc w:val="center"/>
        <w:rPr>
          <w:rFonts w:eastAsia="Calibri"/>
          <w:b/>
        </w:rPr>
      </w:pPr>
    </w:p>
    <w:p w14:paraId="1DA8F30D" w14:textId="77777777" w:rsidR="006E7FC5" w:rsidRPr="00CF2667" w:rsidRDefault="006E7FC5" w:rsidP="006E7FC5">
      <w:pPr>
        <w:spacing w:after="0" w:line="240" w:lineRule="auto"/>
        <w:jc w:val="center"/>
        <w:rPr>
          <w:rFonts w:eastAsia="Calibri"/>
          <w:b/>
        </w:rPr>
      </w:pPr>
      <w:r>
        <w:rPr>
          <w:b/>
        </w:rPr>
        <w:t>prezidenta Dekrēts Nr. .../2023 (...),</w:t>
      </w:r>
    </w:p>
    <w:p w14:paraId="7580F07E" w14:textId="77777777" w:rsidR="006E7FC5" w:rsidRPr="00CF2667" w:rsidRDefault="006E7FC5" w:rsidP="006E7FC5">
      <w:pPr>
        <w:spacing w:after="0" w:line="240" w:lineRule="auto"/>
        <w:jc w:val="center"/>
        <w:rPr>
          <w:rFonts w:eastAsia="Calibri"/>
          <w:b/>
        </w:rPr>
      </w:pPr>
    </w:p>
    <w:p w14:paraId="6E970982" w14:textId="77777777" w:rsidR="006E7FC5" w:rsidRPr="00CF2667" w:rsidRDefault="006E7FC5" w:rsidP="006E7FC5">
      <w:pPr>
        <w:spacing w:after="0" w:line="240" w:lineRule="auto"/>
        <w:jc w:val="center"/>
        <w:rPr>
          <w:rFonts w:eastAsia="Calibri"/>
          <w:b/>
        </w:rPr>
      </w:pPr>
      <w:r>
        <w:rPr>
          <w:b/>
        </w:rPr>
        <w:t>ar ko groza SZTFH 2021. gada 29. oktobra Dekrētu Nr. 20/2021 par tādu uzdevumu īstenošanu, kas saistīti ar noteiktu veidu azartspēļu atļaušanu, pārvaldību un uzraudzību</w:t>
      </w:r>
    </w:p>
    <w:p w14:paraId="3354A442" w14:textId="77777777" w:rsidR="006E7FC5" w:rsidRPr="00CF2667" w:rsidRDefault="006E7FC5" w:rsidP="006E7FC5">
      <w:pPr>
        <w:spacing w:after="0" w:line="240" w:lineRule="auto"/>
        <w:jc w:val="center"/>
        <w:rPr>
          <w:rFonts w:eastAsia="Calibri"/>
          <w:b/>
        </w:rPr>
      </w:pPr>
    </w:p>
    <w:p w14:paraId="27B80967" w14:textId="77777777" w:rsidR="00BE630A" w:rsidRDefault="00BE630A" w:rsidP="00BE630A">
      <w:pPr>
        <w:spacing w:after="0" w:line="240" w:lineRule="auto"/>
        <w:jc w:val="both"/>
        <w:rPr>
          <w:rFonts w:eastAsia="Calibri"/>
        </w:rPr>
      </w:pPr>
    </w:p>
    <w:p w14:paraId="5A4D706F" w14:textId="77777777" w:rsidR="00BE630A" w:rsidRDefault="00BE630A" w:rsidP="00BE630A">
      <w:pPr>
        <w:spacing w:after="0" w:line="240" w:lineRule="auto"/>
        <w:jc w:val="both"/>
        <w:rPr>
          <w:rFonts w:eastAsia="Calibri"/>
        </w:rPr>
      </w:pPr>
      <w:r>
        <w:t xml:space="preserve">Pamatojoties uz atļauju, kas piešķirta ar 1991. gada Likuma Nr. XXXIV par azartspēlēm 38. panta 2. punkta </w:t>
      </w:r>
      <w:r>
        <w:rPr>
          <w:i/>
        </w:rPr>
        <w:t>a)</w:t>
      </w:r>
      <w:r>
        <w:t xml:space="preserve"> un </w:t>
      </w:r>
      <w:r>
        <w:rPr>
          <w:i/>
        </w:rPr>
        <w:t>b)</w:t>
      </w:r>
      <w:r>
        <w:t xml:space="preserve"> apakšpunktu, </w:t>
      </w:r>
    </w:p>
    <w:p w14:paraId="67DF3F1E" w14:textId="258A6756" w:rsidR="00BE630A" w:rsidRDefault="00BE630A" w:rsidP="00BE630A">
      <w:pPr>
        <w:spacing w:after="0" w:line="240" w:lineRule="auto"/>
        <w:jc w:val="both"/>
        <w:rPr>
          <w:rFonts w:eastAsia="Calibri"/>
        </w:rPr>
      </w:pPr>
      <w:r>
        <w:t xml:space="preserve">attiecībā uz 2. un 3. pantu, kā arī 13. panta b) punktu, pamatojoties uz atļauju, kas piešķirta ar 1991. gada Likuma Nr. XXXIV par azartspēlēm 38. panta 2. punkta </w:t>
      </w:r>
      <w:r>
        <w:rPr>
          <w:i/>
        </w:rPr>
        <w:t>d)</w:t>
      </w:r>
      <w:r>
        <w:t> apakšpunktu,</w:t>
      </w:r>
    </w:p>
    <w:p w14:paraId="7A855835" w14:textId="77777777" w:rsidR="00BE630A" w:rsidRDefault="00BE630A" w:rsidP="00BE630A">
      <w:pPr>
        <w:spacing w:after="0" w:line="240" w:lineRule="auto"/>
        <w:jc w:val="both"/>
        <w:rPr>
          <w:rFonts w:eastAsia="Calibri"/>
        </w:rPr>
      </w:pPr>
      <w:r>
        <w:t xml:space="preserve">attiecībā uz 4.–10. pantu un 12. pantu, pamatojoties uz atļauju, kas piešķirta ar 1991. gada Likuma Nr. XXXIV par azartspēlēm 38. panta 2. punkta </w:t>
      </w:r>
      <w:r>
        <w:rPr>
          <w:i/>
        </w:rPr>
        <w:t>g)</w:t>
      </w:r>
      <w:r>
        <w:t> apakšpunktu,</w:t>
      </w:r>
    </w:p>
    <w:p w14:paraId="6895E230" w14:textId="77777777" w:rsidR="00BE630A" w:rsidRDefault="00BE630A" w:rsidP="00BE630A">
      <w:pPr>
        <w:spacing w:after="0" w:line="240" w:lineRule="auto"/>
        <w:jc w:val="both"/>
        <w:rPr>
          <w:rFonts w:eastAsia="Calibri"/>
        </w:rPr>
      </w:pPr>
      <w:r>
        <w:t xml:space="preserve">un, rīkojoties savu pienākumu ietvaros, kas noteikti 2021. gada Likuma Nr. XXXII par Regulatīvo lietu uzraudzības iestādi 13. panta </w:t>
      </w:r>
      <w:r>
        <w:rPr>
          <w:i/>
        </w:rPr>
        <w:t>i)</w:t>
      </w:r>
      <w:r>
        <w:t xml:space="preserve"> un </w:t>
      </w:r>
      <w:r>
        <w:rPr>
          <w:i/>
        </w:rPr>
        <w:t>n)</w:t>
      </w:r>
      <w:r>
        <w:t> apakšpunktā,</w:t>
      </w:r>
    </w:p>
    <w:p w14:paraId="59132BDE" w14:textId="77777777" w:rsidR="00BE630A" w:rsidRDefault="00BE630A" w:rsidP="00BE630A">
      <w:pPr>
        <w:spacing w:after="0" w:line="240" w:lineRule="auto"/>
        <w:jc w:val="both"/>
        <w:rPr>
          <w:rFonts w:eastAsia="Calibri"/>
        </w:rPr>
      </w:pPr>
      <w:r>
        <w:t>es izdodu šādu dekrētu.</w:t>
      </w:r>
    </w:p>
    <w:p w14:paraId="0EB70FA2" w14:textId="77777777" w:rsidR="00BE630A" w:rsidRPr="00CF2667" w:rsidRDefault="00BE630A" w:rsidP="006E7FC5">
      <w:pPr>
        <w:spacing w:after="0" w:line="240" w:lineRule="auto"/>
        <w:jc w:val="both"/>
        <w:rPr>
          <w:rFonts w:eastAsia="Calibri"/>
        </w:rPr>
      </w:pPr>
    </w:p>
    <w:p w14:paraId="66058B66" w14:textId="77777777" w:rsidR="006E7FC5" w:rsidRPr="00CF2667" w:rsidRDefault="006E7FC5" w:rsidP="006E7FC5">
      <w:pPr>
        <w:spacing w:after="0" w:line="240" w:lineRule="auto"/>
        <w:jc w:val="center"/>
        <w:rPr>
          <w:rFonts w:eastAsia="Calibri"/>
          <w:b/>
        </w:rPr>
      </w:pPr>
      <w:r>
        <w:rPr>
          <w:b/>
        </w:rPr>
        <w:t>1. pants</w:t>
      </w:r>
    </w:p>
    <w:p w14:paraId="7DC1A809" w14:textId="77777777" w:rsidR="00C9669B" w:rsidRPr="00CF2667" w:rsidRDefault="00C9669B" w:rsidP="006E7FC5">
      <w:pPr>
        <w:spacing w:after="0" w:line="240" w:lineRule="auto"/>
        <w:jc w:val="center"/>
        <w:rPr>
          <w:rFonts w:eastAsia="Calibri"/>
          <w:b/>
        </w:rPr>
      </w:pPr>
    </w:p>
    <w:p w14:paraId="09585543" w14:textId="0173393E" w:rsidR="00C9669B" w:rsidRPr="00CF2667" w:rsidRDefault="00C9669B" w:rsidP="00C9669B">
      <w:pPr>
        <w:spacing w:after="0" w:line="240" w:lineRule="auto"/>
        <w:jc w:val="both"/>
        <w:rPr>
          <w:rFonts w:eastAsia="Calibri"/>
        </w:rPr>
      </w:pPr>
      <w:r>
        <w:t>SZTFH 2021. gada 29. oktobra Dekrēta Nr. 20/2021 par tādu uzdevumu īstenošanu, kas saistīti ar noteiktu veidu azartspēļu atļaušanu, pārvaldību un uzraudzību (turpmāk “Īstenošanas dekrēts”) tiek pievienots jauns 2/A. pants, ko izsaka šādi:</w:t>
      </w:r>
    </w:p>
    <w:p w14:paraId="1CCBA5B6" w14:textId="77777777" w:rsidR="00C9669B" w:rsidRPr="00CF2667" w:rsidRDefault="00C9669B" w:rsidP="00C9669B">
      <w:pPr>
        <w:spacing w:after="0" w:line="240" w:lineRule="auto"/>
        <w:jc w:val="both"/>
        <w:rPr>
          <w:rFonts w:eastAsia="Calibri"/>
        </w:rPr>
      </w:pPr>
    </w:p>
    <w:p w14:paraId="4BA0FDB3" w14:textId="42989738" w:rsidR="00C9669B" w:rsidRPr="00CF2667" w:rsidRDefault="00C9669B" w:rsidP="00C9669B">
      <w:pPr>
        <w:spacing w:after="0" w:line="240" w:lineRule="auto"/>
        <w:jc w:val="both"/>
        <w:rPr>
          <w:rFonts w:eastAsia="Calibri"/>
          <w:b/>
        </w:rPr>
      </w:pPr>
      <w:r>
        <w:t>“2/A. pants. Ja uzņēmējam ir atļauts rīkot vairākas azartspēles vienlaikus, tas reģistrē un kārto katras azartspēles ieņēmumu un faktisko izmaksu uzskaiti pārbaudāmā veidā un atsevišķi citu no citas neatkarīgi no citām viņa veiktajām darbībām.”</w:t>
      </w:r>
    </w:p>
    <w:p w14:paraId="7A3199E9" w14:textId="77777777" w:rsidR="00421C27" w:rsidRPr="00CF2667" w:rsidRDefault="00421C27" w:rsidP="006E7FC5">
      <w:pPr>
        <w:spacing w:after="0" w:line="240" w:lineRule="auto"/>
        <w:jc w:val="center"/>
        <w:rPr>
          <w:rFonts w:eastAsia="Calibri"/>
          <w:b/>
        </w:rPr>
      </w:pPr>
    </w:p>
    <w:p w14:paraId="5BEA7056" w14:textId="77777777" w:rsidR="00421C27" w:rsidRPr="00CF2667" w:rsidRDefault="007F34EE" w:rsidP="006E7FC5">
      <w:pPr>
        <w:spacing w:after="0" w:line="240" w:lineRule="auto"/>
        <w:jc w:val="center"/>
        <w:rPr>
          <w:rFonts w:eastAsia="Calibri"/>
          <w:b/>
        </w:rPr>
      </w:pPr>
      <w:r>
        <w:rPr>
          <w:b/>
        </w:rPr>
        <w:t>2. pants</w:t>
      </w:r>
    </w:p>
    <w:p w14:paraId="4BE47446" w14:textId="77777777" w:rsidR="006E7FC5" w:rsidRPr="00CF2667" w:rsidRDefault="006E7FC5" w:rsidP="006E7FC5">
      <w:pPr>
        <w:spacing w:after="0" w:line="240" w:lineRule="auto"/>
        <w:jc w:val="both"/>
        <w:rPr>
          <w:rFonts w:eastAsia="Calibri"/>
        </w:rPr>
      </w:pPr>
    </w:p>
    <w:p w14:paraId="164D83E3" w14:textId="6FB86AC7" w:rsidR="00591010" w:rsidRPr="00CF2667" w:rsidRDefault="00591010" w:rsidP="00991F71">
      <w:pPr>
        <w:spacing w:after="0" w:line="240" w:lineRule="auto"/>
        <w:jc w:val="both"/>
      </w:pPr>
      <w:r>
        <w:t>(1) Īstenošanas dekrēta 13. panta 3. punktu aizstāj ar šādu:</w:t>
      </w:r>
    </w:p>
    <w:p w14:paraId="36C968DE" w14:textId="77777777" w:rsidR="00D67727" w:rsidRPr="00CF2667" w:rsidRDefault="00D67727" w:rsidP="00591010">
      <w:pPr>
        <w:tabs>
          <w:tab w:val="center" w:pos="6096"/>
        </w:tabs>
        <w:spacing w:after="0" w:line="240" w:lineRule="auto"/>
        <w:jc w:val="both"/>
      </w:pPr>
    </w:p>
    <w:p w14:paraId="67C8D879" w14:textId="77777777" w:rsidR="00591010" w:rsidRPr="00CF2667" w:rsidRDefault="005F7926" w:rsidP="00591010">
      <w:pPr>
        <w:tabs>
          <w:tab w:val="center" w:pos="6096"/>
        </w:tabs>
        <w:spacing w:after="0" w:line="240" w:lineRule="auto"/>
        <w:jc w:val="both"/>
      </w:pPr>
      <w:r>
        <w:t>“3. Loterijas biļetes var izgatavot tikai, izmantojot ar datoru kontrolētu slēgtu tehnoloģiju, kas nodrošina:</w:t>
      </w:r>
    </w:p>
    <w:p w14:paraId="1F259345" w14:textId="77777777" w:rsidR="00173F50" w:rsidRPr="00CF2667" w:rsidRDefault="00173F50" w:rsidP="00591010">
      <w:pPr>
        <w:tabs>
          <w:tab w:val="center" w:pos="6096"/>
        </w:tabs>
        <w:spacing w:after="0" w:line="240" w:lineRule="auto"/>
        <w:jc w:val="both"/>
      </w:pPr>
    </w:p>
    <w:p w14:paraId="7F8F7476" w14:textId="77777777" w:rsidR="00591010" w:rsidRPr="00CF2667" w:rsidRDefault="00591010" w:rsidP="00591010">
      <w:pPr>
        <w:tabs>
          <w:tab w:val="center" w:pos="6096"/>
        </w:tabs>
        <w:spacing w:after="0" w:line="240" w:lineRule="auto"/>
        <w:jc w:val="both"/>
      </w:pPr>
      <w:r>
        <w:rPr>
          <w:i/>
        </w:rPr>
        <w:t>a)</w:t>
      </w:r>
      <w:r>
        <w:t xml:space="preserve"> Azartspēļu likumā noteikto laimestu summu;</w:t>
      </w:r>
    </w:p>
    <w:p w14:paraId="3D73CE20" w14:textId="77777777" w:rsidR="00591010" w:rsidRPr="00CF2667" w:rsidRDefault="00591010" w:rsidP="00591010">
      <w:pPr>
        <w:tabs>
          <w:tab w:val="center" w:pos="6096"/>
        </w:tabs>
        <w:spacing w:after="0" w:line="240" w:lineRule="auto"/>
        <w:jc w:val="both"/>
      </w:pPr>
      <w:r>
        <w:rPr>
          <w:i/>
        </w:rPr>
        <w:t>b)</w:t>
      </w:r>
      <w:r>
        <w:t xml:space="preserve"> uzvarējušo loterijas biļešu vienmērīgu sadalījumu katrai laimesta klasei atļautajā daudzumā vai sērijā saskaņā ar spēles plānu, un</w:t>
      </w:r>
    </w:p>
    <w:p w14:paraId="1EB773D3" w14:textId="77777777" w:rsidR="00591010" w:rsidRPr="00CF2667" w:rsidRDefault="00591010" w:rsidP="00591010">
      <w:pPr>
        <w:tabs>
          <w:tab w:val="center" w:pos="6096"/>
        </w:tabs>
        <w:spacing w:after="0" w:line="240" w:lineRule="auto"/>
        <w:jc w:val="both"/>
      </w:pPr>
      <w:r>
        <w:rPr>
          <w:i/>
        </w:rPr>
        <w:t>c)</w:t>
      </w:r>
      <w:r>
        <w:t xml:space="preserve"> ka pilna loterijas biļešu sērija tiek ražota slēgtā ražošanas procesā, kas ļauj identificēt loterijas biļetes tikai pēc tam, kad ir noņemts virtuālais vai fiziskais segums.”</w:t>
      </w:r>
    </w:p>
    <w:p w14:paraId="7EE32317" w14:textId="77777777" w:rsidR="00C012D4" w:rsidRPr="00CF2667" w:rsidRDefault="00C012D4" w:rsidP="00591010">
      <w:pPr>
        <w:tabs>
          <w:tab w:val="center" w:pos="6096"/>
        </w:tabs>
        <w:spacing w:after="0" w:line="240" w:lineRule="auto"/>
        <w:jc w:val="both"/>
        <w:rPr>
          <w:u w:val="single"/>
        </w:rPr>
      </w:pPr>
    </w:p>
    <w:p w14:paraId="6AC62775" w14:textId="10E53AA6" w:rsidR="00C012D4" w:rsidRPr="00CF2667" w:rsidRDefault="00C012D4" w:rsidP="00C012D4">
      <w:pPr>
        <w:spacing w:after="0"/>
        <w:jc w:val="both"/>
      </w:pPr>
      <w:r>
        <w:t>(2) Īstenošanas dekrēta 13. pantam pievieno šādu 10. un 11. punktu:</w:t>
      </w:r>
    </w:p>
    <w:p w14:paraId="4EE4A851" w14:textId="77777777" w:rsidR="00B82D5A" w:rsidRPr="00CF2667" w:rsidRDefault="00B82D5A" w:rsidP="00C012D4">
      <w:pPr>
        <w:spacing w:after="0"/>
        <w:jc w:val="both"/>
      </w:pPr>
    </w:p>
    <w:p w14:paraId="351A0C29" w14:textId="5227B30D" w:rsidR="00C012D4" w:rsidRPr="00CF2667" w:rsidRDefault="00C012D4" w:rsidP="00C012D4">
      <w:pPr>
        <w:tabs>
          <w:tab w:val="center" w:pos="6096"/>
        </w:tabs>
        <w:spacing w:after="0" w:line="240" w:lineRule="auto"/>
        <w:jc w:val="both"/>
      </w:pPr>
      <w:r>
        <w:t xml:space="preserve">“10. Šā panta 2.–4. punktu un 5. punkta </w:t>
      </w:r>
      <w:r>
        <w:rPr>
          <w:i/>
        </w:rPr>
        <w:t>a)</w:t>
      </w:r>
      <w:r>
        <w:t xml:space="preserve"> un </w:t>
      </w:r>
      <w:r>
        <w:rPr>
          <w:i/>
        </w:rPr>
        <w:t>b)</w:t>
      </w:r>
      <w:r>
        <w:t xml:space="preserve"> apakšpunktu </w:t>
      </w:r>
      <w:r>
        <w:rPr>
          <w:i/>
          <w:iCs/>
        </w:rPr>
        <w:t>mutatis mutandis</w:t>
      </w:r>
      <w:r>
        <w:t xml:space="preserve"> piemēro skrāpējamām kartītēm, ko pārdod, izmantojot sakaru ierīces un sistēmas, ar kurām loterijas tiek glabātas un laistas tirgū, izmantojot sakaru ierīces un sistēmas, un dokumentiem, kas minēti šā panta 5. punkta </w:t>
      </w:r>
      <w:r>
        <w:rPr>
          <w:i/>
        </w:rPr>
        <w:t>a)</w:t>
      </w:r>
      <w:r>
        <w:t xml:space="preserve"> apakšpunktā un tiek iesniegti azartspēļu iestādei atļaujas piešķiršanas procedūras laikā. </w:t>
      </w:r>
    </w:p>
    <w:p w14:paraId="386CFFD5" w14:textId="77777777" w:rsidR="00BE630A" w:rsidRDefault="00BE630A" w:rsidP="00203C3F">
      <w:pPr>
        <w:tabs>
          <w:tab w:val="center" w:pos="6096"/>
        </w:tabs>
        <w:spacing w:after="0" w:line="240" w:lineRule="auto"/>
        <w:jc w:val="both"/>
      </w:pPr>
    </w:p>
    <w:p w14:paraId="4351477A" w14:textId="1A3C832B" w:rsidR="006E7FC5" w:rsidRPr="00CF2667" w:rsidRDefault="00C012D4" w:rsidP="00203C3F">
      <w:pPr>
        <w:tabs>
          <w:tab w:val="center" w:pos="6096"/>
        </w:tabs>
        <w:spacing w:after="0" w:line="240" w:lineRule="auto"/>
        <w:jc w:val="both"/>
      </w:pPr>
      <w:r>
        <w:lastRenderedPageBreak/>
        <w:t>(11) No šīs dekrēta noteikumiem par attālināto azartspēļu un tiešsaistes kazino spēļu revīziju 15. panta 2. un 3. punktu, 2. pielikumu, 3. pielikuma I klauzulu, II klauzulas A punktu un III klauzulas c) punktu, 4. pielikuma II klauzulas 1. punkta f) un h) apakšpunktu un 2. punkta a) līdz c) apakšpunktu piemēro skrāpējamām kartītēm, ko pārdod, izmantojot sakaru ierīces un sistēmas.”</w:t>
      </w:r>
    </w:p>
    <w:p w14:paraId="202FF135" w14:textId="77777777" w:rsidR="00431B0E" w:rsidRPr="00CF2667" w:rsidRDefault="00431B0E" w:rsidP="00203C3F">
      <w:pPr>
        <w:tabs>
          <w:tab w:val="center" w:pos="6096"/>
        </w:tabs>
        <w:spacing w:after="0" w:line="240" w:lineRule="auto"/>
        <w:jc w:val="both"/>
        <w:rPr>
          <w:rFonts w:eastAsia="Calibri"/>
        </w:rPr>
      </w:pPr>
    </w:p>
    <w:p w14:paraId="6A454895" w14:textId="77777777" w:rsidR="006E7FC5" w:rsidRPr="00CF2667" w:rsidRDefault="00C9669B" w:rsidP="006E7FC5">
      <w:pPr>
        <w:spacing w:after="0" w:line="240" w:lineRule="auto"/>
        <w:jc w:val="center"/>
        <w:rPr>
          <w:rFonts w:eastAsia="Calibri"/>
          <w:b/>
        </w:rPr>
      </w:pPr>
      <w:r>
        <w:rPr>
          <w:b/>
        </w:rPr>
        <w:t>3. pants</w:t>
      </w:r>
    </w:p>
    <w:p w14:paraId="7EFE5D28" w14:textId="77777777" w:rsidR="006E7FC5" w:rsidRPr="00CF2667" w:rsidRDefault="006E7FC5" w:rsidP="006E7FC5">
      <w:pPr>
        <w:spacing w:after="0" w:line="240" w:lineRule="auto"/>
        <w:jc w:val="both"/>
        <w:rPr>
          <w:rFonts w:eastAsia="Calibri"/>
        </w:rPr>
      </w:pPr>
    </w:p>
    <w:p w14:paraId="7F48D059" w14:textId="580CD7E8" w:rsidR="006E7FC5" w:rsidRPr="00CF2667" w:rsidRDefault="00B82D5A" w:rsidP="006E7FC5">
      <w:pPr>
        <w:spacing w:after="0" w:line="240" w:lineRule="auto"/>
        <w:jc w:val="both"/>
        <w:rPr>
          <w:rFonts w:eastAsia="Calibri"/>
        </w:rPr>
      </w:pPr>
      <w:r>
        <w:t>Īstenošanas dekrēta III nodaļai pievieno šādu 7/A. iedaļu:</w:t>
      </w:r>
    </w:p>
    <w:p w14:paraId="276DDA3F" w14:textId="77777777" w:rsidR="006E7FC5" w:rsidRPr="00CF2667" w:rsidRDefault="006E7FC5" w:rsidP="006E7FC5">
      <w:pPr>
        <w:spacing w:after="0" w:line="240" w:lineRule="auto"/>
        <w:jc w:val="both"/>
        <w:rPr>
          <w:rFonts w:eastAsia="Calibri"/>
        </w:rPr>
      </w:pPr>
    </w:p>
    <w:p w14:paraId="3C5A7CBA" w14:textId="4E8E5C4B" w:rsidR="00B82D5A" w:rsidRPr="00CF2667" w:rsidRDefault="00B82D5A" w:rsidP="00B82D5A">
      <w:pPr>
        <w:spacing w:after="0" w:line="240" w:lineRule="auto"/>
        <w:jc w:val="center"/>
        <w:rPr>
          <w:bCs/>
        </w:rPr>
      </w:pPr>
      <w:r>
        <w:t>“7/A. iedaļa. Īpaši noteikumi attiecībā uz loterijām, ko pārdod tikai ar sakaru ierīču un sistēmu starpniecību</w:t>
      </w:r>
    </w:p>
    <w:p w14:paraId="766FBD3D" w14:textId="77777777" w:rsidR="00B82D5A" w:rsidRPr="00CF2667" w:rsidRDefault="00B82D5A" w:rsidP="00B82D5A">
      <w:pPr>
        <w:spacing w:after="0" w:line="240" w:lineRule="auto"/>
        <w:jc w:val="both"/>
        <w:rPr>
          <w:bCs/>
        </w:rPr>
      </w:pPr>
    </w:p>
    <w:p w14:paraId="37BBCCEA" w14:textId="111517D0" w:rsidR="00B82D5A" w:rsidRPr="00CF2667" w:rsidRDefault="008126DB" w:rsidP="00B82D5A">
      <w:pPr>
        <w:spacing w:after="0" w:line="240" w:lineRule="auto"/>
        <w:jc w:val="both"/>
        <w:rPr>
          <w:bCs/>
        </w:rPr>
      </w:pPr>
      <w:r>
        <w:t xml:space="preserve">13/A. pants. Loterijas biļetēm, ko tirgo tikai ar sakaru ierīču un sistēmu starpniecību, attiecas 15. panta 2. punkta </w:t>
      </w:r>
      <w:r>
        <w:rPr>
          <w:i/>
        </w:rPr>
        <w:t>a)</w:t>
      </w:r>
      <w:r>
        <w:t xml:space="preserve"> apakšpunkts, 2. pielikums, 3. pielikuma I klauzula un II(A) klauzula un III klauzulas </w:t>
      </w:r>
      <w:r>
        <w:rPr>
          <w:i/>
        </w:rPr>
        <w:t>c)</w:t>
      </w:r>
      <w:r>
        <w:t xml:space="preserve"> apakšpunkts, 4. pielikuma II klauzulas 1. punkta </w:t>
      </w:r>
      <w:r>
        <w:rPr>
          <w:i/>
        </w:rPr>
        <w:t>f)</w:t>
      </w:r>
      <w:r>
        <w:t xml:space="preserve"> un </w:t>
      </w:r>
      <w:r>
        <w:rPr>
          <w:i/>
        </w:rPr>
        <w:t>h)</w:t>
      </w:r>
      <w:r>
        <w:t xml:space="preserve"> apakšpunkts un 2. punkta </w:t>
      </w:r>
      <w:r>
        <w:rPr>
          <w:i/>
        </w:rPr>
        <w:t>a)</w:t>
      </w:r>
      <w:r>
        <w:t xml:space="preserve"> līdz </w:t>
      </w:r>
      <w:r>
        <w:rPr>
          <w:i/>
        </w:rPr>
        <w:t>c)</w:t>
      </w:r>
      <w:r>
        <w:t xml:space="preserve"> apakšpunkts.”</w:t>
      </w:r>
    </w:p>
    <w:p w14:paraId="3AB0FB4F" w14:textId="77777777" w:rsidR="006E7FC5" w:rsidRPr="00CF2667" w:rsidRDefault="006E7FC5" w:rsidP="006E7FC5">
      <w:pPr>
        <w:spacing w:after="0" w:line="240" w:lineRule="auto"/>
        <w:jc w:val="both"/>
        <w:rPr>
          <w:rFonts w:eastAsia="Calibri"/>
        </w:rPr>
      </w:pPr>
    </w:p>
    <w:p w14:paraId="32A5D86C" w14:textId="77777777" w:rsidR="006E7FC5" w:rsidRPr="00CF2667" w:rsidRDefault="00C9669B" w:rsidP="006E7FC5">
      <w:pPr>
        <w:spacing w:after="0" w:line="240" w:lineRule="auto"/>
        <w:jc w:val="center"/>
        <w:rPr>
          <w:rFonts w:eastAsia="Calibri"/>
          <w:b/>
        </w:rPr>
      </w:pPr>
      <w:r>
        <w:rPr>
          <w:b/>
        </w:rPr>
        <w:t>4. pants</w:t>
      </w:r>
    </w:p>
    <w:p w14:paraId="1F6C6F18" w14:textId="77777777" w:rsidR="00447FE9" w:rsidRPr="00CF2667" w:rsidRDefault="00447FE9" w:rsidP="00447FE9">
      <w:pPr>
        <w:spacing w:after="0" w:line="240" w:lineRule="auto"/>
        <w:jc w:val="both"/>
        <w:rPr>
          <w:rFonts w:eastAsia="Calibri"/>
          <w:b/>
        </w:rPr>
      </w:pPr>
    </w:p>
    <w:p w14:paraId="1DEEA69D" w14:textId="147BF699" w:rsidR="00447FE9" w:rsidRPr="00CF2667" w:rsidRDefault="00447FE9" w:rsidP="00447FE9">
      <w:pPr>
        <w:jc w:val="both"/>
      </w:pPr>
      <w:r>
        <w:t>Īstenošanas dekrēta 9/C. iedaļai pievieno jaunu 16/F. pantu šādā redakcijā:</w:t>
      </w:r>
    </w:p>
    <w:p w14:paraId="677AA608" w14:textId="7DEB23EE" w:rsidR="00447FE9" w:rsidRPr="00CF2667" w:rsidRDefault="00447FE9" w:rsidP="00447FE9">
      <w:pPr>
        <w:jc w:val="both"/>
      </w:pPr>
      <w:r>
        <w:t>“16/F. pants. Pirmstermiņa maksājuma gadījumā, veicinot šo funkciju, azartspēļu organizētājam ir pienākums skaidri vērst spēlētāja uzmanību uz to, ka šīs funkcijas izmantošana rada paaugstinātu pārmērīgas azartspēļu spēlēšanas un atkarības risku, un šī informācija ir jānorāda reklāmas tekstā tādā pašā fonta izmērā kā teksts. Azartspēļu organizētājs azartspēļu tīmekļa vietnē arī dara spēlētājam pieejamu informāciju par to, ka šīs funkcijas izmantošana rada paaugstinātu pārmērīgas azartspēļu spēlēšanas un atkarības risku.”</w:t>
      </w:r>
    </w:p>
    <w:p w14:paraId="6740684E" w14:textId="77777777" w:rsidR="0018214B" w:rsidRPr="00CF2667" w:rsidRDefault="00C9669B" w:rsidP="0018214B">
      <w:pPr>
        <w:spacing w:after="0" w:line="240" w:lineRule="auto"/>
        <w:jc w:val="center"/>
        <w:rPr>
          <w:rFonts w:eastAsia="Calibri"/>
          <w:b/>
        </w:rPr>
      </w:pPr>
      <w:r>
        <w:rPr>
          <w:b/>
        </w:rPr>
        <w:t>5. pants</w:t>
      </w:r>
    </w:p>
    <w:p w14:paraId="2CEE6BA7" w14:textId="77777777" w:rsidR="00447FE9" w:rsidRPr="00CF2667" w:rsidRDefault="00447FE9" w:rsidP="00447FE9">
      <w:pPr>
        <w:spacing w:after="0" w:line="240" w:lineRule="auto"/>
        <w:jc w:val="both"/>
        <w:rPr>
          <w:rFonts w:eastAsia="Calibri"/>
          <w:b/>
        </w:rPr>
      </w:pPr>
    </w:p>
    <w:p w14:paraId="51A4AE0C" w14:textId="77777777" w:rsidR="0018214B" w:rsidRPr="00CF2667" w:rsidRDefault="0018214B" w:rsidP="0018214B">
      <w:pPr>
        <w:spacing w:after="0"/>
        <w:jc w:val="both"/>
      </w:pPr>
      <w:r>
        <w:t xml:space="preserve">(1) Īstenošanas dekrēta 22. panta 1. punktu </w:t>
      </w:r>
      <w:r>
        <w:rPr>
          <w:i/>
        </w:rPr>
        <w:t>c)</w:t>
      </w:r>
      <w:r>
        <w:t> apakšpunktu aizstāj ar šādu:</w:t>
      </w:r>
    </w:p>
    <w:p w14:paraId="35B5EE08" w14:textId="77777777" w:rsidR="0018214B" w:rsidRPr="00CF2667" w:rsidRDefault="0018214B" w:rsidP="00447FE9">
      <w:pPr>
        <w:spacing w:after="0" w:line="240" w:lineRule="auto"/>
        <w:jc w:val="both"/>
        <w:rPr>
          <w:rFonts w:eastAsia="Calibri"/>
          <w:b/>
        </w:rPr>
      </w:pPr>
    </w:p>
    <w:p w14:paraId="1F79836C" w14:textId="77777777" w:rsidR="0018214B" w:rsidRPr="00CF2667" w:rsidRDefault="003A5B78" w:rsidP="0018214B">
      <w:pPr>
        <w:spacing w:after="0" w:line="240" w:lineRule="auto"/>
        <w:jc w:val="both"/>
        <w:rPr>
          <w:i/>
        </w:rPr>
      </w:pPr>
      <w:r>
        <w:rPr>
          <w:i/>
        </w:rPr>
        <w:t>(Ja organizētājs pēc reģistrācijas konstatē, ka reģistra datu saturs liecina par pārkāpumiem, jo:)</w:t>
      </w:r>
    </w:p>
    <w:p w14:paraId="13B389E6" w14:textId="77777777" w:rsidR="00173F50" w:rsidRPr="00CF2667" w:rsidRDefault="00173F50" w:rsidP="0018214B">
      <w:pPr>
        <w:spacing w:after="0" w:line="240" w:lineRule="auto"/>
        <w:jc w:val="both"/>
      </w:pPr>
    </w:p>
    <w:p w14:paraId="69BDF0DA" w14:textId="77777777" w:rsidR="0018214B" w:rsidRPr="00CF2667" w:rsidRDefault="003A5B78" w:rsidP="0018214B">
      <w:pPr>
        <w:spacing w:after="0" w:line="240" w:lineRule="auto"/>
        <w:jc w:val="both"/>
      </w:pPr>
      <w:r>
        <w:t>“</w:t>
      </w:r>
      <w:r>
        <w:rPr>
          <w:i/>
        </w:rPr>
        <w:t>c)</w:t>
      </w:r>
      <w:r>
        <w:t xml:space="preserve"> viens un tas pats spēlētājs ir reģistrēts vairākas reizes vienai un tai pašai spēlei vai tai pašai spēlētāja bilancei,”</w:t>
      </w:r>
    </w:p>
    <w:p w14:paraId="36CDD328" w14:textId="77777777" w:rsidR="00173F50" w:rsidRPr="00CF2667" w:rsidRDefault="00173F50" w:rsidP="0018214B">
      <w:pPr>
        <w:spacing w:after="0" w:line="240" w:lineRule="auto"/>
        <w:jc w:val="both"/>
        <w:rPr>
          <w:i/>
        </w:rPr>
      </w:pPr>
    </w:p>
    <w:p w14:paraId="112A77F5" w14:textId="77777777" w:rsidR="0018214B" w:rsidRPr="00CF2667" w:rsidRDefault="003A5B78" w:rsidP="0018214B">
      <w:pPr>
        <w:spacing w:after="0" w:line="240" w:lineRule="auto"/>
        <w:jc w:val="both"/>
        <w:rPr>
          <w:i/>
        </w:rPr>
      </w:pPr>
      <w:r>
        <w:rPr>
          <w:i/>
        </w:rPr>
        <w:t>(spēlētāja bilance nekavējoties tiek apturēta.)</w:t>
      </w:r>
    </w:p>
    <w:p w14:paraId="25489DFD" w14:textId="77777777" w:rsidR="00447FE9" w:rsidRPr="00CF2667" w:rsidRDefault="00447FE9" w:rsidP="0018214B">
      <w:pPr>
        <w:spacing w:after="0" w:line="240" w:lineRule="auto"/>
        <w:jc w:val="both"/>
        <w:rPr>
          <w:rFonts w:eastAsia="Calibri"/>
          <w:b/>
        </w:rPr>
      </w:pPr>
    </w:p>
    <w:p w14:paraId="6DE1BE49" w14:textId="77777777" w:rsidR="0018214B" w:rsidRPr="00CF2667" w:rsidRDefault="0018214B" w:rsidP="0018214B">
      <w:pPr>
        <w:spacing w:after="0" w:line="240" w:lineRule="auto"/>
        <w:jc w:val="both"/>
        <w:rPr>
          <w:rFonts w:eastAsia="Calibri"/>
        </w:rPr>
      </w:pPr>
      <w:r>
        <w:t>(2) Īstenošanas dekrēta 22. panta 2. punktu aizstāj ar šādu:</w:t>
      </w:r>
    </w:p>
    <w:p w14:paraId="084DEC63" w14:textId="77777777" w:rsidR="0018214B" w:rsidRPr="00CF2667" w:rsidRDefault="0018214B" w:rsidP="0018214B">
      <w:pPr>
        <w:spacing w:after="0" w:line="240" w:lineRule="auto"/>
        <w:jc w:val="both"/>
        <w:rPr>
          <w:rFonts w:eastAsia="Calibri"/>
        </w:rPr>
      </w:pPr>
    </w:p>
    <w:p w14:paraId="30723ACD" w14:textId="77777777" w:rsidR="0018214B" w:rsidRPr="00CF2667" w:rsidRDefault="0018214B" w:rsidP="0018214B">
      <w:pPr>
        <w:spacing w:after="0" w:line="240" w:lineRule="auto"/>
        <w:jc w:val="both"/>
      </w:pPr>
      <w:r>
        <w:t xml:space="preserve">“2. Vairākkārtējas reģistrācijas gadījumā saskaņā ar šā panta 1. punkta </w:t>
      </w:r>
      <w:r>
        <w:rPr>
          <w:i/>
        </w:rPr>
        <w:t>c)</w:t>
      </w:r>
      <w:r>
        <w:t> apakšpunktu pasākumus, lai galīgi slēgtu, nosegtu un izslēgtu spēlētāja bilanci no spēles, piemēro spēlētājam un skartā spēlētāja bilancei tā, lai dalībai spēlē būtu pieejama tikai viena spēlētāja bilance.”</w:t>
      </w:r>
    </w:p>
    <w:p w14:paraId="2946A417" w14:textId="77777777" w:rsidR="006E7FC5" w:rsidRPr="00CF2667" w:rsidRDefault="006E7FC5" w:rsidP="006E7FC5">
      <w:pPr>
        <w:spacing w:after="0" w:line="240" w:lineRule="auto"/>
        <w:jc w:val="both"/>
        <w:rPr>
          <w:rFonts w:eastAsia="Calibri"/>
        </w:rPr>
      </w:pPr>
    </w:p>
    <w:p w14:paraId="1611C320" w14:textId="77777777" w:rsidR="005F30D0" w:rsidRPr="00CF2667" w:rsidRDefault="005F30D0" w:rsidP="006E7FC5">
      <w:pPr>
        <w:spacing w:after="0" w:line="240" w:lineRule="auto"/>
        <w:jc w:val="both"/>
        <w:rPr>
          <w:rFonts w:eastAsia="Calibri"/>
        </w:rPr>
      </w:pPr>
      <w:r>
        <w:t>(3) Īstenošanas dekrēta 22. panta 4. punktu aizstāj ar šādu:</w:t>
      </w:r>
    </w:p>
    <w:p w14:paraId="42776204" w14:textId="77777777" w:rsidR="005F30D0" w:rsidRPr="00CF2667" w:rsidRDefault="005F30D0" w:rsidP="006E7FC5">
      <w:pPr>
        <w:spacing w:after="0" w:line="240" w:lineRule="auto"/>
        <w:jc w:val="both"/>
        <w:rPr>
          <w:rFonts w:eastAsia="Calibri"/>
        </w:rPr>
      </w:pPr>
    </w:p>
    <w:p w14:paraId="78F8008D" w14:textId="431D0808" w:rsidR="00CE4959" w:rsidRPr="00CF2667" w:rsidRDefault="005F30D0" w:rsidP="00CE4959">
      <w:pPr>
        <w:spacing w:after="0" w:line="240" w:lineRule="auto"/>
        <w:jc w:val="both"/>
      </w:pPr>
      <w:r>
        <w:lastRenderedPageBreak/>
        <w:t>“4. Ja organizatoram kļūst zināms, ka reģistrācija vai ieraksts nav piemērots citu iemeslu dēļ, kas neietilpst šā panta 1. punktā noteiktajā darbības jomā, jo īpaši datu izmaiņu novēlotas ziņošanas dēļ, organizators veic pasākumus, lai novērstu neatbilstības. Ja nepieciešams, organizators aicina spēlētāju piedalīties neatbilstības novēršanā un var apturēt visas skartā spēlētāja bilances līdz brīdim, kad neatbilstība ir novērsta. Ja neatbilstību nevar novērst 30 dienu laikā un tādēļ nav iespējams nodrošināt spēli saskaņā ar likumu, organizators rīkojas, lai slēgtu visas attiecīgā spēlētāja bilances un diskvalificētu spēlētāju.”</w:t>
      </w:r>
    </w:p>
    <w:p w14:paraId="5D3A1DE7" w14:textId="77777777" w:rsidR="0018214B" w:rsidRPr="00CF2667" w:rsidRDefault="0018214B" w:rsidP="006E7FC5">
      <w:pPr>
        <w:spacing w:after="0" w:line="240" w:lineRule="auto"/>
        <w:jc w:val="both"/>
      </w:pPr>
    </w:p>
    <w:p w14:paraId="199A0A5A" w14:textId="77777777" w:rsidR="009817D0" w:rsidRPr="00CF2667" w:rsidRDefault="009817D0" w:rsidP="009E31C9">
      <w:pPr>
        <w:spacing w:after="0" w:line="240" w:lineRule="auto"/>
        <w:jc w:val="center"/>
        <w:rPr>
          <w:b/>
        </w:rPr>
      </w:pPr>
    </w:p>
    <w:p w14:paraId="53A4CF1C" w14:textId="38586C46" w:rsidR="00CE4959" w:rsidRPr="00CF2667" w:rsidRDefault="00CE4959" w:rsidP="006E7FC5">
      <w:pPr>
        <w:spacing w:after="0" w:line="240" w:lineRule="auto"/>
        <w:jc w:val="both"/>
        <w:rPr>
          <w:rFonts w:eastAsia="Calibri"/>
        </w:rPr>
      </w:pPr>
    </w:p>
    <w:p w14:paraId="74AA5137" w14:textId="333E8DF3" w:rsidR="0018214B" w:rsidRPr="00CF2667" w:rsidRDefault="0053730E" w:rsidP="00CA1F6D">
      <w:pPr>
        <w:spacing w:after="0" w:line="240" w:lineRule="auto"/>
        <w:jc w:val="center"/>
        <w:rPr>
          <w:rFonts w:eastAsia="Calibri"/>
          <w:b/>
        </w:rPr>
      </w:pPr>
      <w:r>
        <w:rPr>
          <w:b/>
        </w:rPr>
        <w:t>6. pants</w:t>
      </w:r>
    </w:p>
    <w:p w14:paraId="44FAA856" w14:textId="77777777" w:rsidR="00CA1F6D" w:rsidRPr="00CF2667" w:rsidRDefault="00CA1F6D" w:rsidP="006E7FC5">
      <w:pPr>
        <w:spacing w:after="0" w:line="240" w:lineRule="auto"/>
        <w:jc w:val="both"/>
        <w:rPr>
          <w:rFonts w:eastAsia="Calibri"/>
        </w:rPr>
      </w:pPr>
    </w:p>
    <w:p w14:paraId="5F18C0BC" w14:textId="77777777" w:rsidR="00CA1F6D" w:rsidRPr="00CF2667" w:rsidRDefault="0099589C" w:rsidP="00CA1F6D">
      <w:pPr>
        <w:spacing w:after="0" w:line="240" w:lineRule="auto"/>
        <w:jc w:val="both"/>
      </w:pPr>
      <w:r>
        <w:t>(1) Īstenošanas dekrēta 25. panta 1.–4. punktu aizstāj ar šādu:</w:t>
      </w:r>
    </w:p>
    <w:p w14:paraId="53A6CFCD" w14:textId="77777777" w:rsidR="00CA1F6D" w:rsidRPr="00CF2667" w:rsidRDefault="00CA1F6D" w:rsidP="00CA1F6D">
      <w:pPr>
        <w:spacing w:after="0" w:line="240" w:lineRule="auto"/>
        <w:jc w:val="both"/>
      </w:pPr>
    </w:p>
    <w:p w14:paraId="417ECDB4" w14:textId="77777777" w:rsidR="00CA1F6D" w:rsidRDefault="00CA1F6D" w:rsidP="00CA1F6D">
      <w:pPr>
        <w:spacing w:after="0" w:line="240" w:lineRule="auto"/>
        <w:jc w:val="both"/>
      </w:pPr>
      <w:r>
        <w:t xml:space="preserve">“1. Ja organizators ir licencēts organizēt azartspēles, kas nav attālinātas azartspēles, tad derību, laimestu un citu ar azartspēlēm saistītu darījumu norēķini un reģistrācija var tikt spēlētājam saglabāta vienā vai vairākās kopējās spēlētāja bilancēs attiecībā uz visām spēlēm, kuras ietekmē konkrētā spēlētāja bilance. </w:t>
      </w:r>
    </w:p>
    <w:p w14:paraId="489F5722" w14:textId="77777777" w:rsidR="00BE630A" w:rsidRPr="00CF2667" w:rsidRDefault="00BE630A" w:rsidP="00CA1F6D">
      <w:pPr>
        <w:spacing w:after="0" w:line="240" w:lineRule="auto"/>
        <w:jc w:val="both"/>
        <w:rPr>
          <w:strike/>
        </w:rPr>
      </w:pPr>
    </w:p>
    <w:p w14:paraId="38A65140" w14:textId="77777777" w:rsidR="00CA1F6D" w:rsidRDefault="00CA1F6D" w:rsidP="00CA1F6D">
      <w:pPr>
        <w:spacing w:after="0" w:line="240" w:lineRule="auto"/>
        <w:jc w:val="both"/>
      </w:pPr>
      <w:r>
        <w:t>(2) Organizators var noteikt kopējo spēlētāja bilanci, izmantojot spēlētāja bilanci, kas jau ir spēkā pie organizatora, vai atsevišķi no tās.</w:t>
      </w:r>
    </w:p>
    <w:p w14:paraId="23DE9B81" w14:textId="77777777" w:rsidR="00BE630A" w:rsidRPr="00CF2667" w:rsidRDefault="00BE630A" w:rsidP="00CA1F6D">
      <w:pPr>
        <w:spacing w:after="0" w:line="240" w:lineRule="auto"/>
        <w:jc w:val="both"/>
      </w:pPr>
    </w:p>
    <w:p w14:paraId="5F87DC70" w14:textId="01D878ED" w:rsidR="00CA1F6D" w:rsidRDefault="00CA1F6D" w:rsidP="00CA1F6D">
      <w:pPr>
        <w:spacing w:after="0" w:line="240" w:lineRule="auto"/>
        <w:jc w:val="both"/>
      </w:pPr>
      <w:r>
        <w:t>(3) Ja kopējā spēlētāja bilance tiek noteikta, izmantojot esošo bilanci, vai atsevišķi no tās, spēlētāja dalība attālinātās azartspēlēs var notikt pēc tam, kad ir ievēroti noteikumi, kas reglamentē attālinātās azartspēles.</w:t>
      </w:r>
    </w:p>
    <w:p w14:paraId="2E0069C6" w14:textId="77777777" w:rsidR="00BE630A" w:rsidRPr="00CF2667" w:rsidRDefault="00BE630A" w:rsidP="00CA1F6D">
      <w:pPr>
        <w:spacing w:after="0" w:line="240" w:lineRule="auto"/>
        <w:jc w:val="both"/>
      </w:pPr>
    </w:p>
    <w:p w14:paraId="7A20ACDF" w14:textId="77777777" w:rsidR="00CA1F6D" w:rsidRPr="00CF2667" w:rsidRDefault="00CA1F6D" w:rsidP="00CA1F6D">
      <w:pPr>
        <w:spacing w:after="0" w:line="240" w:lineRule="auto"/>
        <w:jc w:val="both"/>
      </w:pPr>
      <w:r>
        <w:t>(4) Saskaņā ar Azartspēļu likuma 29/H. panta 5. punktu kopējo spēlētāju bilances izmaksas starpība ir jānosaka tā, lai nodrošinātu izmaksas visās skartajās spēlēs.”</w:t>
      </w:r>
    </w:p>
    <w:p w14:paraId="5294CE56" w14:textId="77777777" w:rsidR="0099589C" w:rsidRPr="00CF2667" w:rsidRDefault="0099589C" w:rsidP="00CA1F6D">
      <w:pPr>
        <w:spacing w:after="0" w:line="240" w:lineRule="auto"/>
        <w:jc w:val="both"/>
      </w:pPr>
    </w:p>
    <w:p w14:paraId="31BCA5AA" w14:textId="68A3C0CF" w:rsidR="0099589C" w:rsidRPr="00CF2667" w:rsidRDefault="0099589C" w:rsidP="00CA1F6D">
      <w:pPr>
        <w:spacing w:after="0" w:line="240" w:lineRule="auto"/>
        <w:jc w:val="both"/>
      </w:pPr>
      <w:r>
        <w:t>(2) Īstenošanas dekrēta 25. panta 6. un 7. punktu aizstāj ar šādu:</w:t>
      </w:r>
    </w:p>
    <w:p w14:paraId="2D2C3E3B" w14:textId="77777777" w:rsidR="0099589C" w:rsidRPr="00CF2667" w:rsidRDefault="0099589C" w:rsidP="00CA1F6D">
      <w:pPr>
        <w:spacing w:after="0" w:line="240" w:lineRule="auto"/>
        <w:jc w:val="both"/>
      </w:pPr>
    </w:p>
    <w:p w14:paraId="155C1E40" w14:textId="77777777" w:rsidR="00CA1F6D" w:rsidRDefault="0099589C" w:rsidP="00CA1F6D">
      <w:pPr>
        <w:spacing w:after="0" w:line="240" w:lineRule="auto"/>
        <w:jc w:val="both"/>
      </w:pPr>
      <w:r>
        <w:t>“6. Spēles licences apturēšanas laikā organizators pārskaita kopējā spēlētāja bilancē visas maksas, kredītus, kas saistīti ar spēļu darījumu nosegšanu spēlēs, kuras nav skartās spēles, un kam jābūt kopējā bilancē, un veic maksājumus saistībā ar šādiem spēļu darījumiem. Saistībā ar spēli, ko ietekmē licences apturēšana, organizators pārskaita tikai maksu un kredītus par spēlēm pirms apturēšanas dienas un var veikt maksājumus tikai saistībā ar spēļu darījumu nosegšanu pirms apturēšanas dienas.</w:t>
      </w:r>
    </w:p>
    <w:p w14:paraId="60E69676" w14:textId="77777777" w:rsidR="00BE630A" w:rsidRPr="00CF2667" w:rsidRDefault="00BE630A" w:rsidP="00CA1F6D">
      <w:pPr>
        <w:spacing w:after="0" w:line="240" w:lineRule="auto"/>
        <w:jc w:val="both"/>
      </w:pPr>
    </w:p>
    <w:p w14:paraId="0A01354D" w14:textId="77777777" w:rsidR="00CA1F6D" w:rsidRPr="00CF2667" w:rsidRDefault="00CA1F6D" w:rsidP="00CA1F6D">
      <w:pPr>
        <w:spacing w:after="0" w:line="240" w:lineRule="auto"/>
        <w:jc w:val="both"/>
      </w:pPr>
      <w:r>
        <w:t>(7) Spēlētāja kopējās bilances apturēšanu vai izbeigšanu, ko veic organizators, uzskata par pasākumu, kas ietekmē visas spēles. Gadījumā, ja SZTFH Dekrētā par spēļu atbildīgas organizēšanas kārtību ir noteikts aizliegums, organizators spēļu plānā un dalības noteikumos norāda, vai būtiska līguma pārkāpuma gadījumā spēlētāja bilance un iespēja piekļūt spēlēm tiks izbeigta attiecībā uz visām skartajām spēlēm.”</w:t>
      </w:r>
    </w:p>
    <w:p w14:paraId="6B66795A" w14:textId="77777777" w:rsidR="00672BEF" w:rsidRPr="00CF2667" w:rsidRDefault="00672BEF" w:rsidP="00CA1F6D">
      <w:pPr>
        <w:spacing w:after="0" w:line="240" w:lineRule="auto"/>
        <w:jc w:val="both"/>
      </w:pPr>
    </w:p>
    <w:p w14:paraId="554A5C3E" w14:textId="6D28C58D" w:rsidR="00672BEF" w:rsidRPr="00CF2667" w:rsidRDefault="0053730E" w:rsidP="008902D0">
      <w:pPr>
        <w:keepNext/>
        <w:keepLines/>
        <w:spacing w:after="0" w:line="240" w:lineRule="auto"/>
        <w:jc w:val="center"/>
        <w:rPr>
          <w:rFonts w:eastAsia="Calibri"/>
          <w:b/>
        </w:rPr>
      </w:pPr>
      <w:r>
        <w:rPr>
          <w:b/>
        </w:rPr>
        <w:t>7. pants</w:t>
      </w:r>
    </w:p>
    <w:p w14:paraId="20C19BC1" w14:textId="77777777" w:rsidR="005A6F45" w:rsidRPr="00CF2667" w:rsidRDefault="005A6F45" w:rsidP="008902D0">
      <w:pPr>
        <w:keepNext/>
        <w:keepLines/>
        <w:spacing w:after="0"/>
        <w:rPr>
          <w:b/>
        </w:rPr>
      </w:pPr>
    </w:p>
    <w:p w14:paraId="3E80FDCD" w14:textId="502FA8D5" w:rsidR="005A6F45" w:rsidRPr="00CF2667" w:rsidRDefault="005A6F45" w:rsidP="00D007AF">
      <w:pPr>
        <w:spacing w:after="0"/>
        <w:jc w:val="both"/>
      </w:pPr>
      <w:r>
        <w:t>Īstenošanas dekrēta 26. panta 2.–3. punktu aizstāj ar šādu:</w:t>
      </w:r>
    </w:p>
    <w:p w14:paraId="75956E45" w14:textId="77777777" w:rsidR="005A6F45" w:rsidRPr="00CF2667" w:rsidRDefault="005A6F45" w:rsidP="005A6F45">
      <w:pPr>
        <w:spacing w:after="0" w:line="240" w:lineRule="auto"/>
        <w:jc w:val="both"/>
      </w:pPr>
    </w:p>
    <w:p w14:paraId="00B4543E" w14:textId="4F6CE1E6" w:rsidR="005A6F45" w:rsidRDefault="005A6F45" w:rsidP="005A6F45">
      <w:pPr>
        <w:spacing w:after="0" w:line="240" w:lineRule="auto"/>
        <w:jc w:val="both"/>
      </w:pPr>
      <w:r>
        <w:lastRenderedPageBreak/>
        <w:t>“2. Organizators citu spēļu plānā un dalības noteikumos norādīto iemeslu dēļ, jo īpaši dalības noteikumu pārkāpuma gadījumā, var apturēt šai spēlei piederošo spēlētāja bilanci vai pat visas spēlētāja bilances.</w:t>
      </w:r>
    </w:p>
    <w:p w14:paraId="09271C4A" w14:textId="77777777" w:rsidR="00BE630A" w:rsidRPr="00CF2667" w:rsidRDefault="00BE630A" w:rsidP="005A6F45">
      <w:pPr>
        <w:spacing w:after="0" w:line="240" w:lineRule="auto"/>
        <w:jc w:val="both"/>
      </w:pPr>
    </w:p>
    <w:p w14:paraId="211075B7" w14:textId="77777777" w:rsidR="005A6F45" w:rsidRPr="00CF2667" w:rsidRDefault="005A6F45" w:rsidP="005A6F45">
      <w:pPr>
        <w:spacing w:after="0" w:line="240" w:lineRule="auto"/>
        <w:jc w:val="both"/>
      </w:pPr>
      <w:r>
        <w:t>(3) Organizators pa elektronisko pastu nekavējoties paziņo spēlētājam par spēlētāja bilances vai bilanču apturēšanas faktu, datumu un iemeslu vai par apturēšanas izbeigšanas faktu un datumu.”</w:t>
      </w:r>
    </w:p>
    <w:p w14:paraId="0F80A0E3" w14:textId="77777777" w:rsidR="00672BEF" w:rsidRPr="00CF2667" w:rsidRDefault="00672BEF" w:rsidP="00CA1F6D">
      <w:pPr>
        <w:spacing w:after="0" w:line="240" w:lineRule="auto"/>
        <w:jc w:val="both"/>
      </w:pPr>
    </w:p>
    <w:p w14:paraId="54A8D44E" w14:textId="1F230B53" w:rsidR="00CA1F6D" w:rsidRPr="00CF2667" w:rsidRDefault="006A2019" w:rsidP="00883ECB">
      <w:pPr>
        <w:spacing w:after="0" w:line="240" w:lineRule="auto"/>
        <w:jc w:val="center"/>
        <w:rPr>
          <w:rFonts w:eastAsia="Calibri"/>
          <w:b/>
        </w:rPr>
      </w:pPr>
      <w:r>
        <w:rPr>
          <w:b/>
        </w:rPr>
        <w:t>8. pants</w:t>
      </w:r>
    </w:p>
    <w:p w14:paraId="6BE5A07E" w14:textId="77777777" w:rsidR="00CA1F6D" w:rsidRPr="00CF2667" w:rsidRDefault="00CA1F6D" w:rsidP="006E7FC5">
      <w:pPr>
        <w:spacing w:after="0" w:line="240" w:lineRule="auto"/>
        <w:jc w:val="both"/>
        <w:rPr>
          <w:rFonts w:eastAsia="Calibri"/>
        </w:rPr>
      </w:pPr>
    </w:p>
    <w:p w14:paraId="634AF65C" w14:textId="77777777" w:rsidR="00883ECB" w:rsidRPr="00CF2667" w:rsidRDefault="00883ECB" w:rsidP="00883ECB">
      <w:pPr>
        <w:spacing w:after="0" w:line="240" w:lineRule="auto"/>
        <w:jc w:val="both"/>
      </w:pPr>
      <w:r>
        <w:t>Īstenošanas dekrēta 29. panta 3. punktu aizstāj ar šādu:</w:t>
      </w:r>
    </w:p>
    <w:p w14:paraId="4DDA198A" w14:textId="77777777" w:rsidR="00883ECB" w:rsidRPr="00CF2667" w:rsidRDefault="00883ECB" w:rsidP="00883ECB">
      <w:pPr>
        <w:spacing w:after="0" w:line="240" w:lineRule="auto"/>
        <w:jc w:val="both"/>
      </w:pPr>
    </w:p>
    <w:p w14:paraId="43128F1C" w14:textId="71C5936B" w:rsidR="00883ECB" w:rsidRPr="00CF2667" w:rsidRDefault="00883ECB" w:rsidP="00883ECB">
      <w:pPr>
        <w:spacing w:after="0" w:line="240" w:lineRule="auto"/>
        <w:jc w:val="both"/>
      </w:pPr>
      <w:r>
        <w:t>“3. Spēlētāja kopējas bilances gadījumā dāvanu bonusu un īpašo bonusa piedāvājumu spēlētājs var izmantot kā likmes azartspēlēm šā spēlētāja bilancē, ja vien organizators to uzskaita tādā pašā veidā, kā noteikts apstiprinātajos spēļu plānos.”</w:t>
      </w:r>
    </w:p>
    <w:p w14:paraId="3A09060E" w14:textId="77777777" w:rsidR="00883ECB" w:rsidRPr="00CF2667" w:rsidRDefault="00883ECB" w:rsidP="006E7FC5">
      <w:pPr>
        <w:spacing w:after="0" w:line="240" w:lineRule="auto"/>
        <w:jc w:val="both"/>
        <w:rPr>
          <w:rFonts w:eastAsia="Calibri"/>
        </w:rPr>
      </w:pPr>
    </w:p>
    <w:p w14:paraId="073A1B9C" w14:textId="1E762FAB" w:rsidR="00883ECB" w:rsidRPr="00CF2667" w:rsidRDefault="006A2019" w:rsidP="00BE416C">
      <w:pPr>
        <w:spacing w:after="0" w:line="240" w:lineRule="auto"/>
        <w:jc w:val="center"/>
        <w:rPr>
          <w:rFonts w:eastAsia="Calibri"/>
          <w:b/>
        </w:rPr>
      </w:pPr>
      <w:r>
        <w:rPr>
          <w:b/>
        </w:rPr>
        <w:t>9. pants</w:t>
      </w:r>
    </w:p>
    <w:p w14:paraId="5B41DEF3" w14:textId="77777777" w:rsidR="00BE416C" w:rsidRPr="00CF2667" w:rsidRDefault="00BE416C" w:rsidP="00BE416C">
      <w:pPr>
        <w:spacing w:after="0" w:line="240" w:lineRule="auto"/>
        <w:jc w:val="both"/>
        <w:rPr>
          <w:rFonts w:eastAsia="Calibri"/>
          <w:b/>
        </w:rPr>
      </w:pPr>
    </w:p>
    <w:p w14:paraId="091301B9" w14:textId="77777777" w:rsidR="00BE416C" w:rsidRPr="00CF2667" w:rsidRDefault="00BE416C" w:rsidP="00BE416C">
      <w:pPr>
        <w:spacing w:after="0" w:line="240" w:lineRule="auto"/>
        <w:jc w:val="both"/>
      </w:pPr>
      <w:r>
        <w:t>Īstenošanas dekrēta 32. panta 2. punktu aizstāj ar šādu:</w:t>
      </w:r>
    </w:p>
    <w:p w14:paraId="3935C9D5" w14:textId="77777777" w:rsidR="00BE416C" w:rsidRPr="00CF2667" w:rsidRDefault="00BE416C" w:rsidP="00BE416C">
      <w:pPr>
        <w:spacing w:after="0" w:line="240" w:lineRule="auto"/>
        <w:jc w:val="both"/>
      </w:pPr>
    </w:p>
    <w:p w14:paraId="5F8CCFFC" w14:textId="77777777" w:rsidR="00BE416C" w:rsidRPr="00CF2667" w:rsidRDefault="00BE416C" w:rsidP="00BE416C">
      <w:pPr>
        <w:spacing w:after="0" w:line="240" w:lineRule="auto"/>
        <w:jc w:val="both"/>
      </w:pPr>
      <w:r>
        <w:t xml:space="preserve">“2. Attiecībā uz vairākām spēlētāja kopējām bilancēm, kas minētas 25. panta 1. punktā, datus, kas norādīti 3. pielikuma I klauzulas </w:t>
      </w:r>
      <w:r>
        <w:rPr>
          <w:i/>
        </w:rPr>
        <w:t>a)</w:t>
      </w:r>
      <w:r>
        <w:t>–</w:t>
      </w:r>
      <w:r>
        <w:rPr>
          <w:i/>
        </w:rPr>
        <w:t>d)</w:t>
      </w:r>
      <w:r>
        <w:t xml:space="preserve">, </w:t>
      </w:r>
      <w:r>
        <w:rPr>
          <w:i/>
        </w:rPr>
        <w:t>i)</w:t>
      </w:r>
      <w:r>
        <w:t>–</w:t>
      </w:r>
      <w:r>
        <w:rPr>
          <w:i/>
        </w:rPr>
        <w:t>l)</w:t>
      </w:r>
      <w:r>
        <w:t xml:space="preserve"> un </w:t>
      </w:r>
      <w:r>
        <w:rPr>
          <w:i/>
        </w:rPr>
        <w:t>n)</w:t>
      </w:r>
      <w:r>
        <w:t> apakšpunktā, sniedz saistībā ar attiecīgā spēlētāja kopējo bilanci.”</w:t>
      </w:r>
    </w:p>
    <w:p w14:paraId="3C2DC92C" w14:textId="77777777" w:rsidR="00EF1F0E" w:rsidRPr="00CF2667" w:rsidRDefault="00EF1F0E" w:rsidP="00D831E3">
      <w:pPr>
        <w:spacing w:after="0" w:line="240" w:lineRule="auto"/>
        <w:jc w:val="center"/>
        <w:rPr>
          <w:rFonts w:eastAsia="Calibri"/>
          <w:b/>
        </w:rPr>
      </w:pPr>
    </w:p>
    <w:p w14:paraId="3368B22F" w14:textId="77777777" w:rsidR="00CC2AA8" w:rsidRPr="00CF2667" w:rsidRDefault="00CC2AA8" w:rsidP="009B4363">
      <w:pPr>
        <w:spacing w:after="0"/>
        <w:jc w:val="both"/>
      </w:pPr>
    </w:p>
    <w:p w14:paraId="5288889E" w14:textId="005DDDB9" w:rsidR="00BE416C" w:rsidRPr="00CF2667" w:rsidRDefault="00D831E3" w:rsidP="00BE416C">
      <w:pPr>
        <w:spacing w:after="0" w:line="240" w:lineRule="auto"/>
        <w:jc w:val="center"/>
        <w:rPr>
          <w:rFonts w:eastAsia="Calibri"/>
          <w:b/>
        </w:rPr>
      </w:pPr>
      <w:r>
        <w:rPr>
          <w:b/>
        </w:rPr>
        <w:t>10. pants</w:t>
      </w:r>
    </w:p>
    <w:p w14:paraId="5AEE038B" w14:textId="77777777" w:rsidR="00883ECB" w:rsidRPr="00CF2667" w:rsidRDefault="00883ECB" w:rsidP="006E7FC5">
      <w:pPr>
        <w:spacing w:after="0" w:line="240" w:lineRule="auto"/>
        <w:jc w:val="both"/>
        <w:rPr>
          <w:rFonts w:eastAsia="Calibri"/>
        </w:rPr>
      </w:pPr>
    </w:p>
    <w:p w14:paraId="780AC5C8" w14:textId="77777777" w:rsidR="00BE416C" w:rsidRDefault="00BE416C" w:rsidP="00BE416C">
      <w:r>
        <w:t>Īstenošanas dekrēta 76. panta 5. punktu aizstāj ar šādu:</w:t>
      </w:r>
    </w:p>
    <w:p w14:paraId="7CCD7B57" w14:textId="4704AFFB" w:rsidR="00D87DB3" w:rsidRPr="00B404C3" w:rsidRDefault="00D87DB3" w:rsidP="00BE416C">
      <w:pPr>
        <w:rPr>
          <w:i/>
        </w:rPr>
      </w:pPr>
      <w:r>
        <w:rPr>
          <w:i/>
        </w:rPr>
        <w:t>(Šajos noteikumos)</w:t>
      </w:r>
    </w:p>
    <w:p w14:paraId="50528523" w14:textId="77777777" w:rsidR="00BE416C" w:rsidRPr="00CF2667" w:rsidRDefault="00BE416C" w:rsidP="00BE416C">
      <w:pPr>
        <w:spacing w:after="0" w:line="240" w:lineRule="auto"/>
        <w:jc w:val="both"/>
      </w:pPr>
      <w:r>
        <w:t xml:space="preserve">“5. </w:t>
      </w:r>
      <w:r>
        <w:rPr>
          <w:i/>
        </w:rPr>
        <w:t>“spēlētāja kopējā bilance”</w:t>
      </w:r>
      <w:r>
        <w:t xml:space="preserve"> ir spēlētāja bilance, kas tiek turēta pie organizatora (kuram ir atļauts organizēt vairāku veidu azartspēles), lai uzskaitītu un ierakstītu likmes, laimestus un citus spēļu darījumus saistībā ar attiecīgajām spēlēm.”</w:t>
      </w:r>
    </w:p>
    <w:p w14:paraId="08CA76BF" w14:textId="77777777" w:rsidR="006E7FC5" w:rsidRPr="00CF2667" w:rsidRDefault="006E7FC5" w:rsidP="006E7FC5">
      <w:pPr>
        <w:spacing w:after="0" w:line="240" w:lineRule="auto"/>
        <w:jc w:val="both"/>
        <w:rPr>
          <w:rFonts w:eastAsia="Calibri"/>
        </w:rPr>
      </w:pPr>
    </w:p>
    <w:p w14:paraId="1A64D24D" w14:textId="6112EEA4" w:rsidR="004B77C9" w:rsidRPr="00CF2667" w:rsidRDefault="004B77C9" w:rsidP="006E7FC5">
      <w:pPr>
        <w:spacing w:after="0" w:line="240" w:lineRule="auto"/>
        <w:jc w:val="both"/>
        <w:rPr>
          <w:rFonts w:eastAsia="Calibri"/>
        </w:rPr>
      </w:pPr>
    </w:p>
    <w:p w14:paraId="28E48A86" w14:textId="77777777" w:rsidR="00024F51" w:rsidRPr="00CF2667" w:rsidRDefault="00024F51" w:rsidP="00D851ED">
      <w:pPr>
        <w:spacing w:after="0" w:line="240" w:lineRule="auto"/>
        <w:jc w:val="center"/>
        <w:rPr>
          <w:rFonts w:eastAsia="Calibri"/>
          <w:b/>
        </w:rPr>
      </w:pPr>
    </w:p>
    <w:p w14:paraId="62A2F325" w14:textId="299A9708" w:rsidR="00024F51" w:rsidRDefault="00B8585F" w:rsidP="00D851ED">
      <w:pPr>
        <w:spacing w:after="0" w:line="240" w:lineRule="auto"/>
        <w:jc w:val="center"/>
        <w:rPr>
          <w:rFonts w:eastAsia="Calibri"/>
          <w:b/>
        </w:rPr>
      </w:pPr>
      <w:r>
        <w:rPr>
          <w:b/>
        </w:rPr>
        <w:t>11. pants</w:t>
      </w:r>
    </w:p>
    <w:p w14:paraId="2AA0E041" w14:textId="77777777" w:rsidR="00B8585F" w:rsidRDefault="00B8585F" w:rsidP="00D851ED">
      <w:pPr>
        <w:spacing w:after="0" w:line="240" w:lineRule="auto"/>
        <w:jc w:val="center"/>
        <w:rPr>
          <w:rFonts w:eastAsia="Calibri"/>
          <w:b/>
        </w:rPr>
      </w:pPr>
    </w:p>
    <w:p w14:paraId="284227C6" w14:textId="77777777" w:rsidR="00B8585F" w:rsidRDefault="00B8585F" w:rsidP="00B8585F">
      <w:pPr>
        <w:spacing w:after="0" w:line="240" w:lineRule="auto"/>
        <w:jc w:val="both"/>
        <w:rPr>
          <w:rFonts w:eastAsia="Calibri"/>
        </w:rPr>
      </w:pPr>
      <w:r>
        <w:t>Īstenošanas dekrēta XI nodaļai pievieno šādu jaunu 79. pantu:</w:t>
      </w:r>
    </w:p>
    <w:p w14:paraId="0CFCA622" w14:textId="77777777" w:rsidR="00B8585F" w:rsidRDefault="00B8585F" w:rsidP="00B8585F">
      <w:pPr>
        <w:spacing w:after="0" w:line="240" w:lineRule="auto"/>
        <w:jc w:val="both"/>
        <w:rPr>
          <w:rFonts w:eastAsia="Calibri"/>
          <w:b/>
        </w:rPr>
      </w:pPr>
    </w:p>
    <w:p w14:paraId="537E199A" w14:textId="5CD65CEE" w:rsidR="00B8585F" w:rsidRPr="003B294C" w:rsidRDefault="00B8585F" w:rsidP="00B8585F">
      <w:pPr>
        <w:spacing w:after="0" w:line="240" w:lineRule="auto"/>
        <w:jc w:val="both"/>
        <w:rPr>
          <w:rFonts w:eastAsia="Calibri"/>
        </w:rPr>
      </w:pPr>
      <w:r>
        <w:t>“79. pants. Šā dekrēta projekts, kas pieņemts ar SZTFH Dekrētu Nr. …/2023 (… …), ar ko groza SZTFH 2021. gada 29. oktobra Dekrētu Nr. 20/2021 par tādu uzdevumu īstenošanu, kas saistīti ar noteiktu veidu azartspēļu atļaušanu, pārvaldību un uzraudzību, proti, 2/A. pants, 13. panta 3., 10. un 11. punkts, 7/A. pants, 16/F. pants, 22. panta 1. punkts, 22. panta 2. un 4. punkts, 25. panta 1.–4., 6. un 7. punkts, 26. panta 2. un 3. punkts, 29. panta 3. punkts, 32. panta 2. punkts, 76. panta 5. punkts un 2. pielikuma C klauzulas 1. punkts ir iepriekš paziņoti saskaņā ar 5.–7. pantu Eiropas Parlamenta un Padomes 2015. gada 9. septembra Direktīvā (ES) 2015/1535, ar ko nosaka informācijas sniegšanas kārtību tehnisko noteikumu un Informācijas sabiedrības pakalpojumu noteikumu jomā.”</w:t>
      </w:r>
    </w:p>
    <w:p w14:paraId="78C7E8FD" w14:textId="77777777" w:rsidR="00B8585F" w:rsidRPr="00CF2667" w:rsidRDefault="00B8585F" w:rsidP="00D851ED">
      <w:pPr>
        <w:spacing w:after="0" w:line="240" w:lineRule="auto"/>
        <w:jc w:val="center"/>
        <w:rPr>
          <w:rFonts w:eastAsia="Calibri"/>
          <w:b/>
        </w:rPr>
      </w:pPr>
    </w:p>
    <w:p w14:paraId="2056C2B0" w14:textId="77777777" w:rsidR="00024F51" w:rsidRPr="00CF2667" w:rsidRDefault="00024F51" w:rsidP="00D851ED">
      <w:pPr>
        <w:spacing w:after="0" w:line="240" w:lineRule="auto"/>
        <w:jc w:val="center"/>
        <w:rPr>
          <w:rFonts w:eastAsia="Calibri"/>
          <w:b/>
        </w:rPr>
      </w:pPr>
    </w:p>
    <w:p w14:paraId="115BBCEA" w14:textId="2E59E0DF" w:rsidR="00B8585F" w:rsidRPr="00CF2667" w:rsidRDefault="00D831E3" w:rsidP="00B8585F">
      <w:pPr>
        <w:spacing w:after="0" w:line="240" w:lineRule="auto"/>
        <w:jc w:val="center"/>
        <w:rPr>
          <w:rFonts w:eastAsia="Calibri"/>
          <w:b/>
        </w:rPr>
      </w:pPr>
      <w:r>
        <w:rPr>
          <w:b/>
        </w:rPr>
        <w:lastRenderedPageBreak/>
        <w:t>12. pants</w:t>
      </w:r>
    </w:p>
    <w:p w14:paraId="7508A6B6" w14:textId="77777777" w:rsidR="006E7FC5" w:rsidRPr="00CF2667" w:rsidRDefault="006E7FC5" w:rsidP="006E7FC5">
      <w:pPr>
        <w:spacing w:after="0" w:line="240" w:lineRule="auto"/>
        <w:jc w:val="both"/>
        <w:rPr>
          <w:rFonts w:eastAsia="Calibri"/>
        </w:rPr>
      </w:pPr>
    </w:p>
    <w:p w14:paraId="67F085A2" w14:textId="718B856E" w:rsidR="00173F50" w:rsidRPr="00CF2667" w:rsidRDefault="00CB7CD2" w:rsidP="006E7FC5">
      <w:pPr>
        <w:spacing w:after="0" w:line="240" w:lineRule="auto"/>
        <w:jc w:val="both"/>
        <w:rPr>
          <w:rFonts w:eastAsia="Calibri"/>
        </w:rPr>
      </w:pPr>
      <w:r>
        <w:t xml:space="preserve">Īstenošanas dekrētā: </w:t>
      </w:r>
    </w:p>
    <w:p w14:paraId="1AD1CF86" w14:textId="6E94142C" w:rsidR="00A52272" w:rsidRPr="00CF2667" w:rsidRDefault="00F63205" w:rsidP="006E7FC5">
      <w:pPr>
        <w:spacing w:after="0" w:line="240" w:lineRule="auto"/>
        <w:jc w:val="both"/>
        <w:rPr>
          <w:rFonts w:eastAsia="Calibri"/>
        </w:rPr>
      </w:pPr>
      <w:r>
        <w:rPr>
          <w:i/>
        </w:rPr>
        <w:t>a)</w:t>
      </w:r>
      <w:r>
        <w:t xml:space="preserve"> 22. panta 1. punktā tekstu “spēlētāja bilance” aizstāj ar tekstu “visas skartās spēlētāja bilances”;</w:t>
      </w:r>
    </w:p>
    <w:p w14:paraId="0E38F8A0" w14:textId="10A0D320" w:rsidR="00F63205" w:rsidRPr="008D4778" w:rsidRDefault="00F63205" w:rsidP="00F63205">
      <w:pPr>
        <w:spacing w:after="0" w:line="240" w:lineRule="auto"/>
        <w:jc w:val="both"/>
        <w:rPr>
          <w:rFonts w:eastAsia="Calibri"/>
        </w:rPr>
      </w:pPr>
      <w:r>
        <w:rPr>
          <w:i/>
        </w:rPr>
        <w:t>b)</w:t>
      </w:r>
      <w:r>
        <w:t xml:space="preserve"> 2. pielikuma C klauzulas 1. punktā tekstu “attiecībā uz spēlētāja kopējo bilanci” aizstāj ar tekstu “attiecīgā spēlētāja kopējā bilance”.</w:t>
      </w:r>
    </w:p>
    <w:p w14:paraId="3DF148E3" w14:textId="77777777" w:rsidR="00BF5C0C" w:rsidRPr="00CF2667" w:rsidRDefault="00BF5C0C" w:rsidP="006E7FC5">
      <w:pPr>
        <w:spacing w:after="0" w:line="240" w:lineRule="auto"/>
        <w:jc w:val="both"/>
        <w:rPr>
          <w:rFonts w:eastAsia="Calibri"/>
        </w:rPr>
      </w:pPr>
    </w:p>
    <w:p w14:paraId="264E9D44" w14:textId="77777777" w:rsidR="00CC2AA8" w:rsidRPr="00CF2667" w:rsidRDefault="00CC2AA8" w:rsidP="006E7FC5">
      <w:pPr>
        <w:spacing w:after="0" w:line="240" w:lineRule="auto"/>
        <w:jc w:val="both"/>
        <w:rPr>
          <w:rFonts w:eastAsia="Calibri"/>
        </w:rPr>
      </w:pPr>
    </w:p>
    <w:p w14:paraId="1B62B26B" w14:textId="77777777" w:rsidR="00A52272" w:rsidRPr="00CF2667" w:rsidRDefault="00A52272" w:rsidP="006E7FC5">
      <w:pPr>
        <w:spacing w:after="0" w:line="240" w:lineRule="auto"/>
        <w:jc w:val="both"/>
        <w:rPr>
          <w:rFonts w:eastAsia="Calibri"/>
        </w:rPr>
      </w:pPr>
    </w:p>
    <w:p w14:paraId="34636380" w14:textId="61602DFD" w:rsidR="00421C27" w:rsidRPr="00CF2667" w:rsidRDefault="00D831E3" w:rsidP="00421C27">
      <w:pPr>
        <w:spacing w:after="0" w:line="240" w:lineRule="auto"/>
        <w:jc w:val="center"/>
        <w:rPr>
          <w:rFonts w:eastAsia="Calibri"/>
          <w:b/>
        </w:rPr>
      </w:pPr>
      <w:r>
        <w:rPr>
          <w:b/>
        </w:rPr>
        <w:t>13. pants</w:t>
      </w:r>
    </w:p>
    <w:p w14:paraId="63ECFAEB" w14:textId="45A2EF41" w:rsidR="00BF5C0C" w:rsidRPr="00CF2667" w:rsidRDefault="00BF5C0C" w:rsidP="006E7FC5">
      <w:pPr>
        <w:spacing w:after="0" w:line="240" w:lineRule="auto"/>
        <w:jc w:val="both"/>
        <w:rPr>
          <w:rFonts w:eastAsia="Calibri"/>
        </w:rPr>
      </w:pPr>
    </w:p>
    <w:p w14:paraId="1562E5E9" w14:textId="77777777" w:rsidR="00C9669B" w:rsidRPr="00CF2667" w:rsidRDefault="00D851ED" w:rsidP="006E7FC5">
      <w:pPr>
        <w:spacing w:after="0" w:line="240" w:lineRule="auto"/>
        <w:jc w:val="both"/>
        <w:rPr>
          <w:rFonts w:eastAsia="Calibri"/>
        </w:rPr>
      </w:pPr>
      <w:r>
        <w:t>Atceļ šādus Īstenošanas dekrēta noteikumus:</w:t>
      </w:r>
    </w:p>
    <w:p w14:paraId="0E1ADBA3" w14:textId="77777777" w:rsidR="00BF5C0C" w:rsidRPr="00CF2667" w:rsidRDefault="00BF5C0C" w:rsidP="006E7FC5">
      <w:pPr>
        <w:spacing w:after="0" w:line="240" w:lineRule="auto"/>
        <w:jc w:val="both"/>
        <w:rPr>
          <w:rFonts w:eastAsia="Calibri"/>
        </w:rPr>
      </w:pPr>
    </w:p>
    <w:p w14:paraId="3768B456" w14:textId="192188CE" w:rsidR="00C9669B" w:rsidRPr="00CF2667" w:rsidRDefault="00C9669B" w:rsidP="006E7FC5">
      <w:pPr>
        <w:spacing w:after="0" w:line="240" w:lineRule="auto"/>
        <w:jc w:val="both"/>
        <w:rPr>
          <w:rFonts w:eastAsia="Calibri"/>
        </w:rPr>
      </w:pPr>
      <w:r>
        <w:rPr>
          <w:i/>
        </w:rPr>
        <w:t>a)</w:t>
      </w:r>
      <w:r>
        <w:t xml:space="preserve"> 11. panta 2. punkts;</w:t>
      </w:r>
    </w:p>
    <w:p w14:paraId="46DB22F4" w14:textId="77777777" w:rsidR="00D851ED" w:rsidRPr="00CF2667" w:rsidRDefault="00C9669B" w:rsidP="006E7FC5">
      <w:pPr>
        <w:spacing w:after="0" w:line="240" w:lineRule="auto"/>
        <w:jc w:val="both"/>
        <w:rPr>
          <w:rFonts w:eastAsia="Calibri"/>
        </w:rPr>
      </w:pPr>
      <w:r>
        <w:rPr>
          <w:i/>
        </w:rPr>
        <w:t>b)</w:t>
      </w:r>
      <w:r>
        <w:t xml:space="preserve"> 76. panta 1. punkts.</w:t>
      </w:r>
    </w:p>
    <w:p w14:paraId="5FD8D111" w14:textId="77777777" w:rsidR="006D702B" w:rsidRPr="00CF2667" w:rsidRDefault="006D702B" w:rsidP="006E7FC5">
      <w:pPr>
        <w:spacing w:after="0" w:line="240" w:lineRule="auto"/>
        <w:jc w:val="both"/>
        <w:rPr>
          <w:rFonts w:eastAsia="Calibri"/>
        </w:rPr>
      </w:pPr>
    </w:p>
    <w:p w14:paraId="1BD95EA2" w14:textId="41D12212" w:rsidR="00BF5C0C" w:rsidRPr="00CF2667" w:rsidRDefault="00BF5C0C" w:rsidP="00CF2667">
      <w:pPr>
        <w:spacing w:after="0" w:line="240" w:lineRule="auto"/>
        <w:jc w:val="center"/>
        <w:rPr>
          <w:rFonts w:eastAsia="Calibri"/>
          <w:b/>
        </w:rPr>
      </w:pPr>
      <w:r>
        <w:rPr>
          <w:b/>
        </w:rPr>
        <w:t>14. pants</w:t>
      </w:r>
    </w:p>
    <w:p w14:paraId="7D101E13" w14:textId="173FDD3E" w:rsidR="00BF5C0C" w:rsidRPr="00CF2667" w:rsidRDefault="00BF5C0C" w:rsidP="006E7FC5">
      <w:pPr>
        <w:spacing w:after="0" w:line="240" w:lineRule="auto"/>
        <w:jc w:val="both"/>
        <w:rPr>
          <w:rFonts w:eastAsia="Calibri"/>
        </w:rPr>
      </w:pPr>
    </w:p>
    <w:p w14:paraId="6E5ECC11" w14:textId="77777777" w:rsidR="006D702B" w:rsidRPr="00CF2667" w:rsidRDefault="006D702B" w:rsidP="006E7FC5">
      <w:pPr>
        <w:spacing w:after="0" w:line="240" w:lineRule="auto"/>
        <w:jc w:val="both"/>
        <w:rPr>
          <w:rFonts w:eastAsia="Calibri"/>
        </w:rPr>
      </w:pPr>
      <w:r>
        <w:t>Šis dekrēts stājas spēkā 2023. gada [datums].</w:t>
      </w:r>
    </w:p>
    <w:p w14:paraId="45C78A1B" w14:textId="77777777" w:rsidR="006D702B" w:rsidRPr="00CF2667" w:rsidRDefault="006D702B" w:rsidP="006E7FC5">
      <w:pPr>
        <w:spacing w:after="0" w:line="240" w:lineRule="auto"/>
        <w:jc w:val="center"/>
        <w:rPr>
          <w:rFonts w:eastAsia="Calibri"/>
          <w:b/>
        </w:rPr>
      </w:pPr>
    </w:p>
    <w:p w14:paraId="130A173C" w14:textId="0F14DA3E" w:rsidR="006E7FC5" w:rsidRPr="00CF2667" w:rsidRDefault="00BF5C0C" w:rsidP="006E7FC5">
      <w:pPr>
        <w:jc w:val="center"/>
        <w:rPr>
          <w:rFonts w:eastAsia="Calibri"/>
          <w:b/>
        </w:rPr>
      </w:pPr>
      <w:r>
        <w:rPr>
          <w:b/>
        </w:rPr>
        <w:t>15. pants</w:t>
      </w:r>
    </w:p>
    <w:p w14:paraId="052A2215" w14:textId="79C4090E" w:rsidR="006E7FC5" w:rsidRPr="00CF2667" w:rsidRDefault="00D669AC" w:rsidP="006E7FC5">
      <w:pPr>
        <w:jc w:val="both"/>
        <w:rPr>
          <w:rFonts w:eastAsia="Calibri"/>
        </w:rPr>
      </w:pPr>
      <w:r>
        <w:t>Par šā dekrēta projektu ir iepriekš paziņots saskaņā ar 5.–7. pantu Eiropas Parlamenta un Padomes 2015. gada 9. septembra Direktīvā (ES) 2015/1535, ar ko nosaka informācijas sniegšanas kārtību tehnisko noteikumu un Informācijas sabiedrības pakalpojumu noteikumu jomā.</w:t>
      </w:r>
    </w:p>
    <w:p w14:paraId="3C6A2578" w14:textId="77777777" w:rsidR="007F34EE" w:rsidRPr="00CF2667" w:rsidRDefault="006E7FC5" w:rsidP="007F34EE">
      <w:pPr>
        <w:jc w:val="center"/>
        <w:rPr>
          <w:rFonts w:eastAsia="Calibri"/>
        </w:rPr>
      </w:pPr>
      <w:r>
        <w:t xml:space="preserve">   </w:t>
      </w:r>
    </w:p>
    <w:p w14:paraId="7E631094" w14:textId="5CD1C4E6" w:rsidR="006E7FC5" w:rsidRPr="00F135C5" w:rsidRDefault="006E7FC5" w:rsidP="00F135C5">
      <w:pPr>
        <w:rPr>
          <w:rFonts w:eastAsia="Calibri"/>
          <w:b/>
          <w:bCs/>
        </w:rPr>
      </w:pPr>
    </w:p>
    <w:sectPr w:rsidR="006E7FC5" w:rsidRPr="00F13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167"/>
    <w:multiLevelType w:val="hybridMultilevel"/>
    <w:tmpl w:val="0078767E"/>
    <w:lvl w:ilvl="0" w:tplc="A63243D0">
      <w:start w:val="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4745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C5"/>
    <w:rsid w:val="0001079C"/>
    <w:rsid w:val="00012DCD"/>
    <w:rsid w:val="00024F51"/>
    <w:rsid w:val="00041F7B"/>
    <w:rsid w:val="0009293C"/>
    <w:rsid w:val="000A7196"/>
    <w:rsid w:val="000B3671"/>
    <w:rsid w:val="000E02F3"/>
    <w:rsid w:val="000F2AD6"/>
    <w:rsid w:val="001052C1"/>
    <w:rsid w:val="00127FAE"/>
    <w:rsid w:val="0015599C"/>
    <w:rsid w:val="0016206A"/>
    <w:rsid w:val="00173F50"/>
    <w:rsid w:val="00181F7A"/>
    <w:rsid w:val="0018214B"/>
    <w:rsid w:val="00193CE0"/>
    <w:rsid w:val="0020391A"/>
    <w:rsid w:val="00203C3F"/>
    <w:rsid w:val="00206AC5"/>
    <w:rsid w:val="0021203C"/>
    <w:rsid w:val="00212B64"/>
    <w:rsid w:val="0023017A"/>
    <w:rsid w:val="00234A70"/>
    <w:rsid w:val="002572BC"/>
    <w:rsid w:val="002662A1"/>
    <w:rsid w:val="002A7C40"/>
    <w:rsid w:val="00334106"/>
    <w:rsid w:val="003A5B78"/>
    <w:rsid w:val="003A78F0"/>
    <w:rsid w:val="003D5B7A"/>
    <w:rsid w:val="00421C27"/>
    <w:rsid w:val="00431B0E"/>
    <w:rsid w:val="00444CCE"/>
    <w:rsid w:val="00447FE9"/>
    <w:rsid w:val="00460640"/>
    <w:rsid w:val="0047373B"/>
    <w:rsid w:val="00482857"/>
    <w:rsid w:val="00497BD3"/>
    <w:rsid w:val="004B777D"/>
    <w:rsid w:val="004B77C9"/>
    <w:rsid w:val="005034BC"/>
    <w:rsid w:val="00517308"/>
    <w:rsid w:val="00521538"/>
    <w:rsid w:val="00526197"/>
    <w:rsid w:val="0053730E"/>
    <w:rsid w:val="00591010"/>
    <w:rsid w:val="005A5938"/>
    <w:rsid w:val="005A6F45"/>
    <w:rsid w:val="005C402F"/>
    <w:rsid w:val="005D223D"/>
    <w:rsid w:val="005E07CA"/>
    <w:rsid w:val="005F0267"/>
    <w:rsid w:val="005F0F64"/>
    <w:rsid w:val="005F30D0"/>
    <w:rsid w:val="005F7926"/>
    <w:rsid w:val="00605AC6"/>
    <w:rsid w:val="00632E1B"/>
    <w:rsid w:val="00634997"/>
    <w:rsid w:val="00655C54"/>
    <w:rsid w:val="00667115"/>
    <w:rsid w:val="00672BEF"/>
    <w:rsid w:val="006A0AD9"/>
    <w:rsid w:val="006A2019"/>
    <w:rsid w:val="006D702B"/>
    <w:rsid w:val="006E7FC5"/>
    <w:rsid w:val="0070150D"/>
    <w:rsid w:val="007176D9"/>
    <w:rsid w:val="00723037"/>
    <w:rsid w:val="00743DA6"/>
    <w:rsid w:val="0076793D"/>
    <w:rsid w:val="00774591"/>
    <w:rsid w:val="00782E0A"/>
    <w:rsid w:val="00785E70"/>
    <w:rsid w:val="007919A4"/>
    <w:rsid w:val="007B051F"/>
    <w:rsid w:val="007F34EE"/>
    <w:rsid w:val="00803C4C"/>
    <w:rsid w:val="00806F38"/>
    <w:rsid w:val="008120A6"/>
    <w:rsid w:val="008126DB"/>
    <w:rsid w:val="00815C73"/>
    <w:rsid w:val="00816C55"/>
    <w:rsid w:val="00836DF7"/>
    <w:rsid w:val="0084156F"/>
    <w:rsid w:val="00846670"/>
    <w:rsid w:val="00883ECB"/>
    <w:rsid w:val="008902D0"/>
    <w:rsid w:val="008A5958"/>
    <w:rsid w:val="008C4599"/>
    <w:rsid w:val="008F4AEA"/>
    <w:rsid w:val="0094265F"/>
    <w:rsid w:val="00965042"/>
    <w:rsid w:val="009817D0"/>
    <w:rsid w:val="00991F71"/>
    <w:rsid w:val="0099589C"/>
    <w:rsid w:val="009B4363"/>
    <w:rsid w:val="009C02BE"/>
    <w:rsid w:val="009C35BE"/>
    <w:rsid w:val="009E31C9"/>
    <w:rsid w:val="009E5ECF"/>
    <w:rsid w:val="009F37D4"/>
    <w:rsid w:val="00A23564"/>
    <w:rsid w:val="00A52272"/>
    <w:rsid w:val="00A654AB"/>
    <w:rsid w:val="00A93213"/>
    <w:rsid w:val="00B12456"/>
    <w:rsid w:val="00B162E1"/>
    <w:rsid w:val="00B2554E"/>
    <w:rsid w:val="00B2666F"/>
    <w:rsid w:val="00B404C3"/>
    <w:rsid w:val="00B47621"/>
    <w:rsid w:val="00B60400"/>
    <w:rsid w:val="00B82D5A"/>
    <w:rsid w:val="00B8585F"/>
    <w:rsid w:val="00BB0F1A"/>
    <w:rsid w:val="00BC68A9"/>
    <w:rsid w:val="00BE416C"/>
    <w:rsid w:val="00BE630A"/>
    <w:rsid w:val="00BF5A71"/>
    <w:rsid w:val="00BF5C0C"/>
    <w:rsid w:val="00C012D4"/>
    <w:rsid w:val="00C350BD"/>
    <w:rsid w:val="00C50A71"/>
    <w:rsid w:val="00C536ED"/>
    <w:rsid w:val="00C63619"/>
    <w:rsid w:val="00C84F9C"/>
    <w:rsid w:val="00C9669B"/>
    <w:rsid w:val="00CA1F6D"/>
    <w:rsid w:val="00CB1E4B"/>
    <w:rsid w:val="00CB7CD2"/>
    <w:rsid w:val="00CC134D"/>
    <w:rsid w:val="00CC2AA8"/>
    <w:rsid w:val="00CE4959"/>
    <w:rsid w:val="00CF2667"/>
    <w:rsid w:val="00D007AF"/>
    <w:rsid w:val="00D32BE4"/>
    <w:rsid w:val="00D42C8A"/>
    <w:rsid w:val="00D65715"/>
    <w:rsid w:val="00D669AC"/>
    <w:rsid w:val="00D67727"/>
    <w:rsid w:val="00D831E3"/>
    <w:rsid w:val="00D851ED"/>
    <w:rsid w:val="00D87DB3"/>
    <w:rsid w:val="00DD6AA8"/>
    <w:rsid w:val="00E25CE6"/>
    <w:rsid w:val="00E261AE"/>
    <w:rsid w:val="00E35F25"/>
    <w:rsid w:val="00E64453"/>
    <w:rsid w:val="00EA2A22"/>
    <w:rsid w:val="00EC11F7"/>
    <w:rsid w:val="00ED1E39"/>
    <w:rsid w:val="00EF1F0E"/>
    <w:rsid w:val="00F135C5"/>
    <w:rsid w:val="00F34A5B"/>
    <w:rsid w:val="00F42DAC"/>
    <w:rsid w:val="00F632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C289"/>
  <w15:docId w15:val="{689E1621-4457-4042-BDCB-0C05FD9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C5"/>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010"/>
    <w:rPr>
      <w:sz w:val="16"/>
      <w:szCs w:val="16"/>
    </w:rPr>
  </w:style>
  <w:style w:type="paragraph" w:styleId="CommentText">
    <w:name w:val="annotation text"/>
    <w:basedOn w:val="Normal"/>
    <w:link w:val="CommentTextChar"/>
    <w:uiPriority w:val="99"/>
    <w:unhideWhenUsed/>
    <w:rsid w:val="00591010"/>
    <w:pPr>
      <w:spacing w:after="200"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9101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9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10"/>
    <w:rPr>
      <w:rFonts w:ascii="Tahoma" w:eastAsia="Times New Roman" w:hAnsi="Tahoma" w:cs="Tahoma"/>
      <w:sz w:val="16"/>
      <w:szCs w:val="16"/>
      <w:lang w:eastAsia="hu-HU"/>
    </w:rPr>
  </w:style>
  <w:style w:type="paragraph" w:styleId="NormalWeb">
    <w:name w:val="Normal (Web)"/>
    <w:basedOn w:val="Normal"/>
    <w:uiPriority w:val="99"/>
    <w:semiHidden/>
    <w:unhideWhenUsed/>
    <w:rsid w:val="00EF1F0E"/>
    <w:pPr>
      <w:spacing w:before="100" w:beforeAutospacing="1" w:after="100" w:afterAutospacing="1" w:line="240" w:lineRule="auto"/>
    </w:pPr>
    <w:rPr>
      <w:rFonts w:eastAsiaTheme="minorHAnsi"/>
    </w:rPr>
  </w:style>
  <w:style w:type="paragraph" w:styleId="CommentSubject">
    <w:name w:val="annotation subject"/>
    <w:basedOn w:val="CommentText"/>
    <w:next w:val="CommentText"/>
    <w:link w:val="CommentSubjectChar"/>
    <w:uiPriority w:val="99"/>
    <w:semiHidden/>
    <w:unhideWhenUsed/>
    <w:rsid w:val="00EF1F0E"/>
    <w:pPr>
      <w:spacing w:after="160"/>
    </w:pPr>
    <w:rPr>
      <w:rFonts w:ascii="Times New Roman" w:eastAsia="Times New Roman" w:hAnsi="Times New Roman"/>
      <w:b/>
      <w:bCs/>
      <w:lang w:eastAsia="hu-HU"/>
    </w:rPr>
  </w:style>
  <w:style w:type="character" w:customStyle="1" w:styleId="CommentSubjectChar">
    <w:name w:val="Comment Subject Char"/>
    <w:basedOn w:val="CommentTextChar"/>
    <w:link w:val="CommentSubject"/>
    <w:uiPriority w:val="99"/>
    <w:semiHidden/>
    <w:rsid w:val="00EF1F0E"/>
    <w:rPr>
      <w:rFonts w:ascii="Times New Roman" w:eastAsia="Times New Roman" w:hAnsi="Times New Roman" w:cs="Times New Roman"/>
      <w:b/>
      <w:bCs/>
      <w:sz w:val="20"/>
      <w:szCs w:val="20"/>
      <w:lang w:eastAsia="hu-HU"/>
    </w:rPr>
  </w:style>
  <w:style w:type="paragraph" w:styleId="ListParagraph">
    <w:name w:val="List Paragraph"/>
    <w:basedOn w:val="Normal"/>
    <w:uiPriority w:val="34"/>
    <w:qFormat/>
    <w:rsid w:val="00173F50"/>
    <w:pPr>
      <w:ind w:left="720"/>
      <w:contextualSpacing/>
    </w:pPr>
  </w:style>
  <w:style w:type="paragraph" w:styleId="Revision">
    <w:name w:val="Revision"/>
    <w:hidden/>
    <w:uiPriority w:val="99"/>
    <w:semiHidden/>
    <w:rsid w:val="00806F38"/>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0427">
      <w:bodyDiv w:val="1"/>
      <w:marLeft w:val="0"/>
      <w:marRight w:val="0"/>
      <w:marTop w:val="0"/>
      <w:marBottom w:val="0"/>
      <w:divBdr>
        <w:top w:val="none" w:sz="0" w:space="0" w:color="auto"/>
        <w:left w:val="none" w:sz="0" w:space="0" w:color="auto"/>
        <w:bottom w:val="none" w:sz="0" w:space="0" w:color="auto"/>
        <w:right w:val="none" w:sz="0" w:space="0" w:color="auto"/>
      </w:divBdr>
    </w:div>
    <w:div w:id="145586802">
      <w:bodyDiv w:val="1"/>
      <w:marLeft w:val="0"/>
      <w:marRight w:val="0"/>
      <w:marTop w:val="0"/>
      <w:marBottom w:val="0"/>
      <w:divBdr>
        <w:top w:val="none" w:sz="0" w:space="0" w:color="auto"/>
        <w:left w:val="none" w:sz="0" w:space="0" w:color="auto"/>
        <w:bottom w:val="none" w:sz="0" w:space="0" w:color="auto"/>
        <w:right w:val="none" w:sz="0" w:space="0" w:color="auto"/>
      </w:divBdr>
    </w:div>
    <w:div w:id="164908087">
      <w:bodyDiv w:val="1"/>
      <w:marLeft w:val="0"/>
      <w:marRight w:val="0"/>
      <w:marTop w:val="0"/>
      <w:marBottom w:val="0"/>
      <w:divBdr>
        <w:top w:val="none" w:sz="0" w:space="0" w:color="auto"/>
        <w:left w:val="none" w:sz="0" w:space="0" w:color="auto"/>
        <w:bottom w:val="none" w:sz="0" w:space="0" w:color="auto"/>
        <w:right w:val="none" w:sz="0" w:space="0" w:color="auto"/>
      </w:divBdr>
    </w:div>
    <w:div w:id="429547432">
      <w:bodyDiv w:val="1"/>
      <w:marLeft w:val="0"/>
      <w:marRight w:val="0"/>
      <w:marTop w:val="0"/>
      <w:marBottom w:val="0"/>
      <w:divBdr>
        <w:top w:val="none" w:sz="0" w:space="0" w:color="auto"/>
        <w:left w:val="none" w:sz="0" w:space="0" w:color="auto"/>
        <w:bottom w:val="none" w:sz="0" w:space="0" w:color="auto"/>
        <w:right w:val="none" w:sz="0" w:space="0" w:color="auto"/>
      </w:divBdr>
    </w:div>
    <w:div w:id="5292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3259-9B7A-46FB-A08F-3149266F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1524</Words>
  <Characters>8692</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Krisztina dr.</dc:creator>
  <cp:lastModifiedBy>Anastasia Stavroulaki</cp:lastModifiedBy>
  <cp:revision>4</cp:revision>
  <cp:lastPrinted>2023-03-21T08:45:00Z</cp:lastPrinted>
  <dcterms:created xsi:type="dcterms:W3CDTF">2023-03-22T13:23:00Z</dcterms:created>
  <dcterms:modified xsi:type="dcterms:W3CDTF">2023-03-29T15:21:00Z</dcterms:modified>
</cp:coreProperties>
</file>