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9C2695" w:rsidRPr="00A857F7" w14:paraId="4EBF81A7" w14:textId="77777777" w:rsidTr="009C2695">
        <w:trPr>
          <w:cantSplit/>
        </w:trPr>
        <w:tc>
          <w:tcPr>
            <w:tcW w:w="4338" w:type="dxa"/>
            <w:gridSpan w:val="3"/>
            <w:shd w:val="clear" w:color="auto" w:fill="FFFFFF"/>
            <w:hideMark/>
          </w:tcPr>
          <w:p w14:paraId="44035422" w14:textId="77777777" w:rsidR="009C2695" w:rsidRPr="009C2695" w:rsidRDefault="009C2695" w:rsidP="00592776">
            <w:pPr>
              <w:spacing w:line="276" w:lineRule="auto"/>
              <w:jc w:val="center"/>
              <w:rPr>
                <w:rFonts w:ascii="Times New Roman" w:hAnsi="Times New Roman" w:cs="Times New Roman"/>
                <w:b/>
                <w:bCs/>
                <w:sz w:val="24"/>
                <w:szCs w:val="24"/>
              </w:rPr>
            </w:pPr>
            <w:r>
              <w:rPr>
                <w:rFonts w:ascii="Times New Roman" w:hAnsi="Times New Roman"/>
                <w:b/>
                <w:sz w:val="24"/>
              </w:rPr>
              <w:t>REPÚBLICA FRANCESA</w:t>
            </w:r>
          </w:p>
        </w:tc>
      </w:tr>
      <w:tr w:rsidR="009C2695" w:rsidRPr="00A857F7" w14:paraId="5FF23B28" w14:textId="77777777" w:rsidTr="009C2695">
        <w:trPr>
          <w:cantSplit/>
          <w:trHeight w:hRule="exact" w:val="113"/>
        </w:trPr>
        <w:tc>
          <w:tcPr>
            <w:tcW w:w="1526" w:type="dxa"/>
            <w:shd w:val="clear" w:color="auto" w:fill="FFFFFF"/>
          </w:tcPr>
          <w:p w14:paraId="23DDD3B0"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100ECF9F"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233FC195" w14:textId="77777777" w:rsidR="009C2695" w:rsidRPr="009C2695" w:rsidRDefault="009C2695" w:rsidP="00592776">
            <w:pPr>
              <w:spacing w:line="256" w:lineRule="auto"/>
              <w:rPr>
                <w:rFonts w:ascii="Times New Roman" w:eastAsia="Calibri" w:hAnsi="Times New Roman" w:cs="Times New Roman"/>
                <w:sz w:val="24"/>
                <w:szCs w:val="24"/>
              </w:rPr>
            </w:pPr>
          </w:p>
        </w:tc>
      </w:tr>
      <w:tr w:rsidR="009C2695" w:rsidRPr="00A857F7" w14:paraId="32FC57D0" w14:textId="77777777" w:rsidTr="009C2695">
        <w:trPr>
          <w:cantSplit/>
        </w:trPr>
        <w:tc>
          <w:tcPr>
            <w:tcW w:w="4338" w:type="dxa"/>
            <w:gridSpan w:val="3"/>
            <w:shd w:val="clear" w:color="auto" w:fill="FFFFFF"/>
            <w:hideMark/>
          </w:tcPr>
          <w:p w14:paraId="6AD4590D"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rPr>
            </w:pPr>
            <w:r>
              <w:rPr>
                <w:rFonts w:ascii="Times New Roman" w:hAnsi="Times New Roman"/>
                <w:sz w:val="24"/>
              </w:rPr>
              <w:t>Ministerio de Transición Ecológica y Cohesión Territorial</w:t>
            </w:r>
          </w:p>
          <w:p w14:paraId="6F693AA9"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rPr>
            </w:pPr>
            <w:r>
              <w:rPr>
                <w:rFonts w:ascii="Times New Roman" w:hAnsi="Times New Roman"/>
                <w:sz w:val="24"/>
              </w:rPr>
              <w:t>Ministerio de Sanidad y Prevención</w:t>
            </w:r>
          </w:p>
        </w:tc>
      </w:tr>
      <w:tr w:rsidR="009C2695" w:rsidRPr="00A857F7" w14:paraId="649553EA" w14:textId="77777777" w:rsidTr="009C2695">
        <w:trPr>
          <w:cantSplit/>
          <w:trHeight w:hRule="exact" w:val="227"/>
        </w:trPr>
        <w:tc>
          <w:tcPr>
            <w:tcW w:w="1526" w:type="dxa"/>
            <w:shd w:val="clear" w:color="auto" w:fill="FFFFFF"/>
          </w:tcPr>
          <w:p w14:paraId="15C18821"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3C900AFE"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7D02842B" w14:textId="77777777" w:rsidR="009C2695" w:rsidRPr="009C2695" w:rsidRDefault="009C2695" w:rsidP="00592776">
            <w:pPr>
              <w:spacing w:line="256" w:lineRule="auto"/>
              <w:rPr>
                <w:rFonts w:ascii="Times New Roman" w:eastAsia="Calibri" w:hAnsi="Times New Roman" w:cs="Times New Roman"/>
                <w:sz w:val="24"/>
                <w:szCs w:val="24"/>
              </w:rPr>
            </w:pPr>
          </w:p>
        </w:tc>
      </w:tr>
    </w:tbl>
    <w:p w14:paraId="685A481D" w14:textId="2406F2B3" w:rsidR="005C3CFF" w:rsidRPr="00176A22" w:rsidRDefault="009C2695">
      <w:pPr>
        <w:pStyle w:val="SNNature"/>
      </w:pPr>
      <w:r>
        <w:t>Proyecto de Orden de</w:t>
      </w:r>
    </w:p>
    <w:p w14:paraId="6A8D6A8E" w14:textId="5E6F0EEA" w:rsidR="005C3CFF" w:rsidRDefault="001F42AC">
      <w:pPr>
        <w:pStyle w:val="SNtitre"/>
      </w:pPr>
      <w:r>
        <w:t>sobre el suministro de información para identificar alteradores endocrinos en un producto mediante una aplicación</w:t>
      </w:r>
    </w:p>
    <w:p w14:paraId="4E3DCA9D" w14:textId="77777777" w:rsidR="005C3CFF" w:rsidRPr="00176A22" w:rsidRDefault="00B8106B">
      <w:pPr>
        <w:pStyle w:val="SNNORCentr"/>
      </w:pPr>
      <w:r>
        <w:t xml:space="preserve">NOR: </w:t>
      </w:r>
      <w:r>
        <w:rPr>
          <w:highlight w:val="yellow"/>
        </w:rPr>
        <w:t>XXXXXXXXXX</w:t>
      </w:r>
    </w:p>
    <w:p w14:paraId="3392BAA2" w14:textId="7BA809ED"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Personas a las que afecta:</w:t>
      </w:r>
      <w:r>
        <w:rPr>
          <w:rFonts w:ascii="Times New Roman" w:hAnsi="Times New Roman"/>
          <w:i/>
          <w:sz w:val="24"/>
        </w:rPr>
        <w:t xml:space="preserve"> toda persona que comercialice productos destinados a los consumidores que, al final de su fabricación, contengan sustancias con propiedades verificadas, presuntas o sospechosas de alteración endocrina, según la Agencia francesa de Salud Alimentaria, Medioambiental y de Seguridad en el Trabajo (ANSES, por su versión en francés). </w:t>
      </w:r>
    </w:p>
    <w:p w14:paraId="1F0EAB46" w14:textId="166828CB"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Objeto: </w:t>
      </w:r>
      <w:r>
        <w:rPr>
          <w:rFonts w:ascii="Times New Roman" w:hAnsi="Times New Roman"/>
          <w:i/>
          <w:sz w:val="24"/>
        </w:rPr>
        <w:t>esta Orden designa una forma alternativa de informar al público sobre la presencia en los productos de sustancias con propiedades verificadas, presuntas o sospechosas de alteración endocrina, según la Agencia de Salud Alimentaria, Medioambiental y de Seguridad en el Trabajo. Se entenderá por productos los productos alimenticios definidos en el artículo 2 del Reglamento (CE) n.º 178/2002 y sustancias, mezclas y artículos definidos en el artículo 3 del Reglamento (UE) n.º 1907/2006 («REACH»), distintos de los medicamentos.</w:t>
      </w:r>
    </w:p>
    <w:p w14:paraId="10CD6EC7" w14:textId="59B95CC6"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Entrada en vigor: </w:t>
      </w:r>
      <w:r>
        <w:rPr>
          <w:rFonts w:ascii="Times New Roman" w:hAnsi="Times New Roman"/>
          <w:i/>
          <w:sz w:val="24"/>
        </w:rPr>
        <w:t>el texto entrará en vigor el día siguiente al de su publicación.</w:t>
      </w:r>
    </w:p>
    <w:p w14:paraId="2E1650C3" w14:textId="77777777" w:rsidR="00486DD2" w:rsidRPr="00486DD2" w:rsidRDefault="00B8106B" w:rsidP="00486DD2">
      <w:pPr>
        <w:spacing w:after="120"/>
        <w:ind w:firstLine="708"/>
        <w:jc w:val="both"/>
        <w:rPr>
          <w:rFonts w:ascii="Times New Roman" w:hAnsi="Times New Roman" w:cs="Times New Roman"/>
          <w:i/>
          <w:iCs/>
          <w:sz w:val="24"/>
          <w:szCs w:val="24"/>
        </w:rPr>
      </w:pPr>
      <w:r>
        <w:rPr>
          <w:rFonts w:ascii="Times New Roman" w:hAnsi="Times New Roman"/>
          <w:b/>
          <w:i/>
          <w:sz w:val="24"/>
        </w:rPr>
        <w:t xml:space="preserve">Nota explicativa: </w:t>
      </w:r>
      <w:r>
        <w:rPr>
          <w:rFonts w:ascii="Times New Roman" w:hAnsi="Times New Roman"/>
          <w:i/>
          <w:sz w:val="24"/>
        </w:rPr>
        <w:t>el artículo 13-II de la Ley n.º 2020-105, de 10 de febrero de 2020, sobre la lucha contra los residuos y la economía circular (denominada Ley «AGEC»), establece que toda persona que comercialice productos destinados a los consumidores que contengan sustancias en relación con las cuales la Agencia francesa de Salud Alimentaria, Medioambiental y de Seguridad en el Trabajo califique las propiedades de alteración endocrina como comprobadas o sospechadas deberá «poner a disposición del público, por medios electrónicos, en un formato abierto y fácilmente reutilizable y explotable por un sistema de tratamiento automatizado, para cada uno de los productos en cuestión, la información que permita identificar la presencia de dichas sustancias en tales productos». Esta obligación también se aplica a determinadas categorías de productos con un riesgo particular de exposición, en el caso de las sustancias de las que la ANSES sospecha propiedades de alteración endocrina.</w:t>
      </w:r>
    </w:p>
    <w:p w14:paraId="292508E8" w14:textId="7CB1F488" w:rsidR="00486DD2" w:rsidRPr="00486DD2" w:rsidRDefault="00486DD2" w:rsidP="00486DD2">
      <w:pPr>
        <w:spacing w:after="120"/>
        <w:jc w:val="both"/>
        <w:rPr>
          <w:rFonts w:ascii="Times New Roman" w:hAnsi="Times New Roman" w:cs="Times New Roman"/>
          <w:i/>
          <w:iCs/>
          <w:sz w:val="24"/>
          <w:szCs w:val="24"/>
        </w:rPr>
      </w:pPr>
      <w:r>
        <w:rPr>
          <w:rFonts w:ascii="Times New Roman" w:hAnsi="Times New Roman"/>
          <w:i/>
          <w:sz w:val="24"/>
        </w:rPr>
        <w:t xml:space="preserve">Esta obligación está en consonancia con los objetivos de la segunda Estrategia nacional sobre las propiedades de alteración endocrina (NSPE2, por su versión en francés). Su objetivo es </w:t>
      </w:r>
      <w:r>
        <w:rPr>
          <w:rFonts w:ascii="Times New Roman" w:hAnsi="Times New Roman"/>
          <w:i/>
          <w:sz w:val="24"/>
        </w:rPr>
        <w:lastRenderedPageBreak/>
        <w:t>proporcionar a los ciudadanos información transparente sobre la presencia de sustancias con propiedades de alteración endocrina en los productos, en el sentido de sustancias, mezclas, artículos (tal como se definen en el Reglamento REACH) y productos alimenticios.</w:t>
      </w:r>
    </w:p>
    <w:p w14:paraId="252775FA" w14:textId="734F03C6" w:rsidR="00486DD2" w:rsidRPr="00486DD2" w:rsidRDefault="00486DD2" w:rsidP="00486DD2">
      <w:pPr>
        <w:spacing w:after="120"/>
        <w:jc w:val="both"/>
        <w:rPr>
          <w:rFonts w:ascii="Times New Roman" w:hAnsi="Times New Roman" w:cs="Times New Roman"/>
          <w:i/>
          <w:iCs/>
          <w:sz w:val="24"/>
          <w:szCs w:val="24"/>
        </w:rPr>
      </w:pPr>
      <w:r>
        <w:rPr>
          <w:rFonts w:ascii="Times New Roman" w:hAnsi="Times New Roman"/>
          <w:i/>
          <w:sz w:val="24"/>
        </w:rPr>
        <w:t>Se aplica a los productos contemplados en el artículo R. 5232-19 del Código de Salud Pública destinados a los consumidores. La puesta a disposición de esta información se aplica a todo el producto y a sus envases primarios o envases de venta en el sentido del artículo R. 543-43 del Código de Medio Ambiente</w:t>
      </w:r>
    </w:p>
    <w:p w14:paraId="341F93AC" w14:textId="3950C71B" w:rsidR="005C3CFF" w:rsidRPr="00DF11E0" w:rsidRDefault="00486DD2" w:rsidP="00486DD2">
      <w:pPr>
        <w:spacing w:after="120"/>
        <w:jc w:val="both"/>
        <w:rPr>
          <w:rFonts w:ascii="Times New Roman" w:hAnsi="Times New Roman" w:cs="Times New Roman"/>
          <w:i/>
          <w:iCs/>
          <w:sz w:val="24"/>
          <w:szCs w:val="24"/>
        </w:rPr>
      </w:pPr>
      <w:r>
        <w:rPr>
          <w:rFonts w:ascii="Times New Roman" w:hAnsi="Times New Roman"/>
          <w:i/>
          <w:sz w:val="24"/>
        </w:rPr>
        <w:t xml:space="preserve"> Las modalidades de aplicación de esta disposición legislativa se establecieron en los artículos R. 5232-19 a R. 5232-22 del Código de Salud Pública. El artículo R. 5232-20 dispone que la información prevista en el artículo L. 5232-5 del Código de Salud Pública podrá ponerse a disposición mediante una aplicación designada por orden conjunta de los Ministros encargados de la salud y del medio ambiente. Un proyecto financiado por la Comisión Europea en el marco del programa LIFE ha dado lugar a la creación de una base de datos actualizada voluntariamente de empresas sobre la presencia de sustancias de gran preocupación en los artículos definidos en el Reglamento REACH. Francia está muy implicada en este proyecto, que es una de las medidas emblemáticas del cuarto plan nacional de salud ambiental, a través de la movilización del Instituto Nacional de Medio Ambiente Industrial y Riesgos (INERIS), apoyado por el Ministerio de Medio Ambiente. La aplicación para smartphones Scan4Chem asociada a esta base de datos permite a los consumidores obtener la información que contiene, simplemente escaneando códigos de barras de productos. Por lo tanto, esta Orden designa la aplicación de Scan4Chem como una posible modalidad para poner a disposición información sobre la presencia de sustancias extremadamente preocupantes con propiedades de alteración endocrina demostradas, presuntas o sospechadas en el sentido del Reglamento REACH.</w:t>
      </w:r>
    </w:p>
    <w:p w14:paraId="307C44DF" w14:textId="77777777" w:rsidR="007D346E" w:rsidRDefault="007D346E" w:rsidP="007D346E">
      <w:pPr>
        <w:pStyle w:val="SNObjet"/>
      </w:pPr>
    </w:p>
    <w:p w14:paraId="29758403" w14:textId="1C562954" w:rsidR="007D346E" w:rsidRDefault="007D346E" w:rsidP="007D346E">
      <w:pPr>
        <w:pStyle w:val="SNObjet"/>
        <w:ind w:firstLine="708"/>
      </w:pPr>
      <w:r>
        <w:t>El Ministro de Transición Ecológica y Cohesión Territorial; y el Ministro de Sanidad</w:t>
      </w:r>
      <w:r>
        <w:rPr>
          <w:color w:val="auto"/>
        </w:rPr>
        <w:t xml:space="preserve"> y Prevención</w:t>
      </w:r>
    </w:p>
    <w:p w14:paraId="6A3F5D8D" w14:textId="55F6E79B" w:rsidR="007F3B43" w:rsidRDefault="007F3B43" w:rsidP="00FA067A">
      <w:pPr>
        <w:pStyle w:val="SNVisa"/>
        <w:rPr>
          <w:bCs/>
        </w:rPr>
      </w:pPr>
      <w:r>
        <w:t>Visto 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p>
    <w:p w14:paraId="4EF37F21" w14:textId="7C201613" w:rsidR="00FA067A" w:rsidRDefault="00FA067A" w:rsidP="00FA067A">
      <w:pPr>
        <w:pStyle w:val="SNVisa"/>
        <w:rPr>
          <w:bCs/>
        </w:rPr>
      </w:pPr>
      <w:r>
        <w:t>Visto 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w:t>
      </w:r>
    </w:p>
    <w:p w14:paraId="19B9958A" w14:textId="32FE6134" w:rsidR="00FA067A" w:rsidRPr="00AC5C8E" w:rsidRDefault="00FA067A" w:rsidP="00FA067A">
      <w:pPr>
        <w:pStyle w:val="SNVisa"/>
        <w:rPr>
          <w:shd w:val="clear" w:color="auto" w:fill="FFFFFF"/>
        </w:rPr>
      </w:pPr>
      <w:r>
        <w:t xml:space="preserve">Vista la Directiva (UE) 2015/1535 del Parlamento Europeo y del Consejo, </w:t>
      </w:r>
      <w:r>
        <w:rPr>
          <w:shd w:val="clear" w:color="auto" w:fill="FFFFFF"/>
        </w:rPr>
        <w:t>de 9 de septiembre de 2015, por la que se establece un procedimiento de información en materia de reglamentaciones técnicas y de reglas relativas a los servicios de la sociedad de la información,</w:t>
      </w:r>
      <w:r>
        <w:t xml:space="preserve"> y, en particular, la notificación n.º </w:t>
      </w:r>
      <w:r>
        <w:rPr>
          <w:highlight w:val="yellow"/>
        </w:rPr>
        <w:t>2023/XXX/F</w:t>
      </w:r>
      <w:r>
        <w:rPr>
          <w:shd w:val="clear" w:color="auto" w:fill="FFFFFF"/>
        </w:rPr>
        <w:t>;</w:t>
      </w:r>
    </w:p>
    <w:p w14:paraId="2E26C5F6" w14:textId="4A7F714F" w:rsidR="007D346E" w:rsidRPr="000A09CF" w:rsidRDefault="007D346E" w:rsidP="007D346E">
      <w:pPr>
        <w:pStyle w:val="SNVisa"/>
        <w:ind w:firstLine="708"/>
        <w:rPr>
          <w:bCs/>
        </w:rPr>
      </w:pPr>
      <w:r>
        <w:t xml:space="preserve">Vistos el </w:t>
      </w:r>
      <w:bookmarkStart w:id="0" w:name="__DdeLink__11050_299813634"/>
      <w:r>
        <w:t>Código de Salud Pública, en particular su artículo L. 5</w:t>
      </w:r>
      <w:bookmarkEnd w:id="0"/>
      <w:r>
        <w:t>232-5, redactado por el artículo 13 de la Ley n.º 2020-105, de 10 de febrero de 2020, sobre la lucha contra los residuos y la economía circular, y sus artículos R. 5232-19 y R. 5232-20,</w:t>
      </w:r>
    </w:p>
    <w:p w14:paraId="73F91CAD" w14:textId="0009B092" w:rsidR="005C3CFF" w:rsidRPr="007C2FA5" w:rsidRDefault="00F92020" w:rsidP="005B289F">
      <w:pPr>
        <w:pStyle w:val="SNActe"/>
        <w:keepNext/>
        <w:keepLines/>
      </w:pPr>
      <w:r>
        <w:lastRenderedPageBreak/>
        <w:t>Decretan:</w:t>
      </w:r>
    </w:p>
    <w:p w14:paraId="36CE1980" w14:textId="77777777" w:rsidR="005C3CFF" w:rsidRPr="007C2FA5" w:rsidRDefault="00B8106B" w:rsidP="005B289F">
      <w:pPr>
        <w:pStyle w:val="SNArticle"/>
        <w:keepNext/>
        <w:keepLines/>
      </w:pPr>
      <w:r>
        <w:t>Artículo 1</w:t>
      </w:r>
    </w:p>
    <w:p w14:paraId="4674CDC4" w14:textId="69C1EB8F" w:rsidR="00213EBB" w:rsidRDefault="00213EBB" w:rsidP="005B289F">
      <w:pPr>
        <w:pStyle w:val="BodyText"/>
        <w:keepNext/>
        <w:keepLines/>
        <w:spacing w:after="0"/>
        <w:ind w:firstLine="708"/>
      </w:pPr>
    </w:p>
    <w:p w14:paraId="51E8E353" w14:textId="22D70482" w:rsidR="00D81C91" w:rsidRPr="00726CFC" w:rsidRDefault="00756EAD" w:rsidP="005B289F">
      <w:pPr>
        <w:pStyle w:val="BodyText"/>
        <w:keepNext/>
        <w:keepLines/>
        <w:spacing w:after="0"/>
      </w:pPr>
      <w:r>
        <w:t>La información prevista en los apartados I y II del artículo L. 5232-5 del Código de Salud Pública podrá ponerse a disposición, de conformidad con lo dispuesto en el artículo R. 5232-20 de dicho Código, mediante las aplicaciones enumeradas en el anexo, siempre que estén disponibles en francés y permitan una identificación inequívoca de los productos.</w:t>
      </w:r>
    </w:p>
    <w:p w14:paraId="0D812C4D" w14:textId="77777777" w:rsidR="005C3CFF" w:rsidRDefault="005C3CFF">
      <w:pPr>
        <w:pStyle w:val="BodyText"/>
        <w:spacing w:after="0"/>
      </w:pPr>
    </w:p>
    <w:p w14:paraId="54BA5A62" w14:textId="7B8C0752" w:rsidR="007D346E" w:rsidRDefault="007D346E" w:rsidP="007D346E">
      <w:pPr>
        <w:pStyle w:val="SNArticle"/>
      </w:pPr>
      <w:r>
        <w:t>Artículo 2</w:t>
      </w:r>
    </w:p>
    <w:p w14:paraId="0C2A36E0" w14:textId="77777777" w:rsidR="007D346E" w:rsidRDefault="007D346E" w:rsidP="007D346E">
      <w:pPr>
        <w:pStyle w:val="SNArticle"/>
        <w:jc w:val="both"/>
        <w:rPr>
          <w:b w:val="0"/>
        </w:rPr>
      </w:pPr>
      <w:r>
        <w:rPr>
          <w:b w:val="0"/>
        </w:rPr>
        <w:t xml:space="preserve">Las disposiciones de la presente Orden entrarán en vigor el día siguiente a su publicación. </w:t>
      </w:r>
    </w:p>
    <w:p w14:paraId="4A87D79C" w14:textId="77777777" w:rsidR="007D346E" w:rsidRDefault="007D346E" w:rsidP="007D346E">
      <w:pPr>
        <w:pStyle w:val="SNArticle"/>
        <w:spacing w:after="0"/>
      </w:pPr>
    </w:p>
    <w:p w14:paraId="58676A44" w14:textId="5082B85E" w:rsidR="007D346E" w:rsidRDefault="007D346E" w:rsidP="007D346E">
      <w:pPr>
        <w:pStyle w:val="SNArticle"/>
      </w:pPr>
      <w:r>
        <w:t>Artículo 3</w:t>
      </w:r>
    </w:p>
    <w:p w14:paraId="12649071" w14:textId="77777777" w:rsidR="007D346E" w:rsidRDefault="007D346E" w:rsidP="007D346E">
      <w:pPr>
        <w:pStyle w:val="BodyText"/>
      </w:pPr>
      <w:r>
        <w:t xml:space="preserve">La presente Orden se publicará en el </w:t>
      </w:r>
      <w:r>
        <w:rPr>
          <w:i/>
          <w:iCs/>
        </w:rPr>
        <w:t xml:space="preserve">Boletín Oficial </w:t>
      </w:r>
      <w:r>
        <w:t>de la República Francesa.</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032C06DC" w14:textId="1C3B454F" w:rsidR="007E33DE" w:rsidRDefault="00B8106B" w:rsidP="007D346E">
      <w:pPr>
        <w:pStyle w:val="SNDate"/>
      </w:pPr>
      <w:r>
        <w:t>A</w:t>
      </w:r>
    </w:p>
    <w:p w14:paraId="28DE9DA6" w14:textId="7F52BAC0" w:rsidR="007D346E" w:rsidRDefault="007D346E" w:rsidP="007D346E">
      <w:pPr>
        <w:rPr>
          <w:lang w:eastAsia="fr-FR"/>
        </w:rPr>
      </w:pPr>
    </w:p>
    <w:p w14:paraId="7897D665" w14:textId="77777777" w:rsidR="007D346E" w:rsidRDefault="007D346E" w:rsidP="007D346E">
      <w:pPr>
        <w:pStyle w:val="SNSignatureGauche"/>
      </w:pPr>
      <w:r>
        <w:t>El Ministro de Transición Ecológica y Cohesión Territorial</w:t>
      </w:r>
    </w:p>
    <w:p w14:paraId="7408E310" w14:textId="77777777" w:rsidR="007D346E" w:rsidRDefault="007D346E" w:rsidP="007D346E">
      <w:pPr>
        <w:pStyle w:val="SNSignatureDroite"/>
        <w:ind w:left="539" w:firstLine="0"/>
      </w:pPr>
      <w:r>
        <w:t>En nombre y por delegación del Ministro:</w:t>
      </w:r>
    </w:p>
    <w:p w14:paraId="13FBDF1E" w14:textId="77777777" w:rsidR="007D346E" w:rsidRDefault="007D346E" w:rsidP="007D346E">
      <w:pPr>
        <w:pStyle w:val="SNSignatureDroite"/>
        <w:ind w:left="539" w:firstLine="0"/>
      </w:pPr>
      <w:r>
        <w:t>El Director General de Prevención de Riesgos,</w:t>
      </w:r>
    </w:p>
    <w:p w14:paraId="40AB3094" w14:textId="77777777" w:rsidR="007D346E" w:rsidRDefault="007D346E" w:rsidP="007D346E">
      <w:pPr>
        <w:pStyle w:val="SNSignatureGauche"/>
      </w:pPr>
    </w:p>
    <w:p w14:paraId="02737DD4" w14:textId="77777777" w:rsidR="007D346E" w:rsidRDefault="007D346E" w:rsidP="007D346E">
      <w:pPr>
        <w:pStyle w:val="SNSignatureDroite"/>
        <w:ind w:left="539" w:firstLine="0"/>
      </w:pPr>
    </w:p>
    <w:p w14:paraId="23AEDC40" w14:textId="77777777" w:rsidR="007D346E" w:rsidRDefault="007D346E" w:rsidP="007D346E">
      <w:pPr>
        <w:pStyle w:val="SNSignatureGauche"/>
      </w:pPr>
    </w:p>
    <w:p w14:paraId="06443981" w14:textId="6033DABF" w:rsidR="007D346E" w:rsidRDefault="007D346E" w:rsidP="007D346E">
      <w:pPr>
        <w:pStyle w:val="SNSignatureDroite"/>
        <w:ind w:left="539" w:firstLine="0"/>
      </w:pPr>
      <w:r>
        <w:t>Cédric BOURILLET</w:t>
      </w:r>
    </w:p>
    <w:p w14:paraId="405BB365" w14:textId="18FDF3A6" w:rsidR="007D346E" w:rsidRDefault="007D346E" w:rsidP="007D346E">
      <w:pPr>
        <w:pStyle w:val="SNSignatureGauche"/>
        <w:rPr>
          <w:lang w:eastAsia="zh-CN"/>
        </w:rPr>
      </w:pPr>
    </w:p>
    <w:p w14:paraId="6178E57E" w14:textId="760909D5" w:rsidR="007D346E" w:rsidRDefault="007D346E" w:rsidP="007D346E">
      <w:pPr>
        <w:pStyle w:val="SNSignatureGauche"/>
        <w:rPr>
          <w:lang w:eastAsia="zh-CN"/>
        </w:rPr>
      </w:pPr>
    </w:p>
    <w:p w14:paraId="53CB2245" w14:textId="14F12444" w:rsidR="007D346E" w:rsidRDefault="007D346E" w:rsidP="007D346E">
      <w:pPr>
        <w:pStyle w:val="SNSignatureGauche"/>
        <w:rPr>
          <w:lang w:eastAsia="zh-CN"/>
        </w:rPr>
      </w:pPr>
    </w:p>
    <w:p w14:paraId="02090C7D" w14:textId="3030CB56" w:rsidR="007D346E" w:rsidRDefault="007D346E" w:rsidP="007D346E">
      <w:pPr>
        <w:pStyle w:val="SNSignatureGauche"/>
        <w:rPr>
          <w:lang w:eastAsia="zh-CN"/>
        </w:rPr>
      </w:pPr>
    </w:p>
    <w:p w14:paraId="5AF5775D" w14:textId="77777777" w:rsidR="007D346E" w:rsidRDefault="007D346E" w:rsidP="007D346E">
      <w:pPr>
        <w:pStyle w:val="SNSignatureGauche"/>
        <w:rPr>
          <w:lang w:eastAsia="zh-CN"/>
        </w:rPr>
      </w:pPr>
    </w:p>
    <w:p w14:paraId="7057BC9A" w14:textId="77777777" w:rsidR="007D346E" w:rsidRDefault="007D346E" w:rsidP="007D346E">
      <w:pPr>
        <w:pStyle w:val="SNSignatureGauche"/>
      </w:pPr>
      <w:r>
        <w:t>El Ministro de Sanidad y Prevención,</w:t>
      </w:r>
    </w:p>
    <w:p w14:paraId="70EB520F" w14:textId="77777777" w:rsidR="007D346E" w:rsidRDefault="007D346E" w:rsidP="007D346E">
      <w:pPr>
        <w:pStyle w:val="SNSignatureGauche"/>
      </w:pPr>
      <w:r>
        <w:t>En nombre y por delegación del Ministro:</w:t>
      </w:r>
    </w:p>
    <w:p w14:paraId="0EB7FBDE" w14:textId="77777777" w:rsidR="007D346E" w:rsidRDefault="007D346E" w:rsidP="007D346E">
      <w:pPr>
        <w:pStyle w:val="SNSignatureGauche"/>
      </w:pPr>
      <w:r>
        <w:t>El Director General de Salud,</w:t>
      </w:r>
    </w:p>
    <w:p w14:paraId="43463536" w14:textId="77A0479C" w:rsidR="007D346E" w:rsidRDefault="007D346E" w:rsidP="007D346E">
      <w:pPr>
        <w:pStyle w:val="SNSignatureGauche"/>
      </w:pPr>
    </w:p>
    <w:p w14:paraId="5AE81818" w14:textId="77777777" w:rsidR="007D346E" w:rsidRDefault="007D346E" w:rsidP="007D346E">
      <w:pPr>
        <w:pStyle w:val="SNSignatureGauche"/>
      </w:pPr>
    </w:p>
    <w:p w14:paraId="3F61A872" w14:textId="77777777" w:rsidR="007D346E" w:rsidRDefault="007D346E" w:rsidP="007D346E">
      <w:pPr>
        <w:pStyle w:val="SNSignatureGauche"/>
      </w:pPr>
    </w:p>
    <w:p w14:paraId="2087E56C" w14:textId="77777777" w:rsidR="007D346E" w:rsidRDefault="007D346E" w:rsidP="007D346E">
      <w:pPr>
        <w:pStyle w:val="SNSignatureGauche"/>
      </w:pPr>
      <w:r>
        <w:t>Jérôme Salomon</w:t>
      </w:r>
    </w:p>
    <w:p w14:paraId="65F3433B" w14:textId="77777777" w:rsidR="008375A2" w:rsidRDefault="008375A2" w:rsidP="007D346E">
      <w:pPr>
        <w:pStyle w:val="SNSignatureGauche"/>
      </w:pPr>
    </w:p>
    <w:p w14:paraId="2DF0F575" w14:textId="10055DF4" w:rsidR="00B1037F" w:rsidRDefault="00B1037F">
      <w:pPr>
        <w:spacing w:after="0" w:line="240" w:lineRule="auto"/>
        <w:rPr>
          <w:rFonts w:ascii="Times New Roman" w:hAnsi="Times New Roman" w:cs="Times New Roman"/>
          <w:color w:val="00000A"/>
          <w:sz w:val="24"/>
          <w:szCs w:val="24"/>
        </w:rPr>
      </w:pPr>
      <w:r>
        <w:br w:type="page"/>
      </w:r>
    </w:p>
    <w:p w14:paraId="0FC1DC2D" w14:textId="528A7B94" w:rsidR="00B1037F" w:rsidRDefault="00B1037F" w:rsidP="00B1037F">
      <w:pPr>
        <w:pStyle w:val="BodyText"/>
        <w:spacing w:after="0"/>
        <w:ind w:firstLine="708"/>
      </w:pPr>
    </w:p>
    <w:p w14:paraId="2A4D75F0" w14:textId="19B54DD5" w:rsidR="00CB3012" w:rsidRPr="00726CFC" w:rsidRDefault="00CB3012" w:rsidP="004853D9">
      <w:pPr>
        <w:pStyle w:val="BodyText"/>
        <w:spacing w:after="0"/>
        <w:jc w:val="center"/>
      </w:pPr>
      <w:r>
        <w:t>Anexo</w:t>
      </w:r>
    </w:p>
    <w:p w14:paraId="5DD01E45" w14:textId="783B4322" w:rsidR="004E36CB" w:rsidRPr="00726CFC" w:rsidRDefault="004E36CB" w:rsidP="004853D9">
      <w:pPr>
        <w:pStyle w:val="BodyText"/>
        <w:spacing w:after="0"/>
        <w:jc w:val="center"/>
      </w:pPr>
    </w:p>
    <w:p w14:paraId="25B3CC30" w14:textId="24C5A24E" w:rsidR="00D81C91" w:rsidRPr="00726CFC" w:rsidRDefault="00D81C91" w:rsidP="004853D9">
      <w:pPr>
        <w:pStyle w:val="BodyText"/>
        <w:spacing w:after="0"/>
        <w:jc w:val="center"/>
      </w:pPr>
      <w:r>
        <w:t>Lista de aplicaciones designadas para poner a disposición del público la información prevista en los apartados I y II del artículo L. 5232-5 del Código de Salud Pública de conformidad con el artículo R. 5232-20 de dicho Código:</w:t>
      </w:r>
    </w:p>
    <w:p w14:paraId="50A015FA" w14:textId="56EFC66F" w:rsidR="00D81C91" w:rsidRPr="00726CFC" w:rsidRDefault="00D81C91" w:rsidP="00B1037F">
      <w:pPr>
        <w:pStyle w:val="BodyText"/>
        <w:spacing w:after="0"/>
        <w:ind w:firstLine="708"/>
      </w:pPr>
    </w:p>
    <w:tbl>
      <w:tblPr>
        <w:tblStyle w:val="TableGrid"/>
        <w:tblW w:w="0" w:type="auto"/>
        <w:tblLook w:val="04A0" w:firstRow="1" w:lastRow="0" w:firstColumn="1" w:lastColumn="0" w:noHBand="0" w:noVBand="1"/>
      </w:tblPr>
      <w:tblGrid>
        <w:gridCol w:w="9062"/>
      </w:tblGrid>
      <w:tr w:rsidR="00E61EFF" w:rsidRPr="00E61EFF" w14:paraId="2356862B" w14:textId="1A834148" w:rsidTr="00D81C91">
        <w:tc>
          <w:tcPr>
            <w:tcW w:w="9062" w:type="dxa"/>
          </w:tcPr>
          <w:p w14:paraId="70F93441" w14:textId="20EF61AF" w:rsidR="00D81C91" w:rsidRPr="00726CFC" w:rsidRDefault="00D81C91" w:rsidP="00B1037F">
            <w:pPr>
              <w:pStyle w:val="BodyText"/>
              <w:spacing w:after="0"/>
              <w:rPr>
                <w:b/>
              </w:rPr>
            </w:pPr>
            <w:r>
              <w:rPr>
                <w:b/>
              </w:rPr>
              <w:t>Nombre de la aplicación</w:t>
            </w:r>
          </w:p>
        </w:tc>
      </w:tr>
      <w:tr w:rsidR="00E61EFF" w:rsidRPr="00E61EFF" w14:paraId="66C7050E" w14:textId="16B754B7" w:rsidTr="00D81C91">
        <w:tc>
          <w:tcPr>
            <w:tcW w:w="9062" w:type="dxa"/>
          </w:tcPr>
          <w:p w14:paraId="4965F078" w14:textId="1F229A88" w:rsidR="00D81C91" w:rsidRPr="00726CFC" w:rsidRDefault="00D81C91" w:rsidP="00B1037F">
            <w:pPr>
              <w:pStyle w:val="BodyText"/>
              <w:spacing w:after="0"/>
            </w:pPr>
            <w:r>
              <w:t>Scan4Chem</w:t>
            </w:r>
          </w:p>
        </w:tc>
      </w:tr>
    </w:tbl>
    <w:p w14:paraId="1FC04C90" w14:textId="19B7644C" w:rsidR="00D81C91" w:rsidRPr="00726CFC" w:rsidRDefault="00D81C91" w:rsidP="00B1037F">
      <w:pPr>
        <w:pStyle w:val="BodyText"/>
        <w:spacing w:after="0"/>
        <w:ind w:firstLine="708"/>
      </w:pPr>
    </w:p>
    <w:p w14:paraId="0D92619C" w14:textId="43B7563E" w:rsidR="00D81C91" w:rsidRDefault="00D81C91" w:rsidP="00B1037F">
      <w:pPr>
        <w:pStyle w:val="BodyText"/>
        <w:spacing w:after="0"/>
        <w:ind w:firstLine="708"/>
      </w:pPr>
    </w:p>
    <w:sectPr w:rsidR="00D81C91" w:rsidSect="004A62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32D2" w14:textId="77777777" w:rsidR="0078174F" w:rsidRDefault="0078174F">
      <w:pPr>
        <w:spacing w:after="0" w:line="240" w:lineRule="auto"/>
      </w:pPr>
      <w:r>
        <w:separator/>
      </w:r>
    </w:p>
  </w:endnote>
  <w:endnote w:type="continuationSeparator" w:id="0">
    <w:p w14:paraId="390B7780" w14:textId="77777777" w:rsidR="0078174F" w:rsidRDefault="0078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BE2E" w14:textId="77777777" w:rsidR="004853D9" w:rsidRDefault="0048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312F" w14:textId="77777777" w:rsidR="004853D9" w:rsidRDefault="00485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0123" w14:textId="77777777" w:rsidR="004853D9" w:rsidRDefault="0048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1C37" w14:textId="77777777" w:rsidR="0078174F" w:rsidRDefault="0078174F">
      <w:pPr>
        <w:spacing w:after="0" w:line="240" w:lineRule="auto"/>
      </w:pPr>
      <w:r>
        <w:separator/>
      </w:r>
    </w:p>
  </w:footnote>
  <w:footnote w:type="continuationSeparator" w:id="0">
    <w:p w14:paraId="68C5A233" w14:textId="77777777" w:rsidR="0078174F" w:rsidRDefault="0078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3BD6" w14:textId="58DDAB8F" w:rsidR="004853D9" w:rsidRDefault="00000000">
    <w:pPr>
      <w:pStyle w:val="Header"/>
    </w:pPr>
    <w:r>
      <w:pict w14:anchorId="562B5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0" o:spid="_x0000_s1028" type="#_x0000_t136" style="position:absolute;margin-left:0;margin-top:0;width:426.35pt;height:213.15pt;rotation:315;z-index:-251654144;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F307D94" w:rsidR="009334E2" w:rsidRDefault="00000000">
    <w:pPr>
      <w:pStyle w:val="Header"/>
    </w:pPr>
    <w:r>
      <w:pict w14:anchorId="3B358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1" o:spid="_x0000_s1029" type="#_x0000_t136" style="position:absolute;margin-left:0;margin-top:0;width:426.35pt;height:213.15pt;rotation:315;z-index:-25165209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r w:rsidR="005B289F">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sidR="005B289F">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sidR="005B289F">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C80C" w14:textId="3A97F358" w:rsidR="004853D9" w:rsidRDefault="00000000">
    <w:pPr>
      <w:pStyle w:val="Header"/>
    </w:pPr>
    <w:r>
      <w:pict w14:anchorId="5E2E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09" o:spid="_x0000_s1027" type="#_x0000_t136" style="position:absolute;margin-left:0;margin-top:0;width:426.35pt;height:213.15pt;rotation:315;z-index:-251656192;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598321170">
    <w:abstractNumId w:val="2"/>
  </w:num>
  <w:num w:numId="2" w16cid:durableId="427971591">
    <w:abstractNumId w:val="0"/>
  </w:num>
  <w:num w:numId="3" w16cid:durableId="150585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93D84"/>
    <w:rsid w:val="00097C62"/>
    <w:rsid w:val="000A7B23"/>
    <w:rsid w:val="000C4231"/>
    <w:rsid w:val="000E434B"/>
    <w:rsid w:val="000E60D5"/>
    <w:rsid w:val="000F291C"/>
    <w:rsid w:val="00115F86"/>
    <w:rsid w:val="00176A22"/>
    <w:rsid w:val="001B00EC"/>
    <w:rsid w:val="001E0F47"/>
    <w:rsid w:val="001F2CA7"/>
    <w:rsid w:val="001F42AC"/>
    <w:rsid w:val="001F4F6F"/>
    <w:rsid w:val="00213EBB"/>
    <w:rsid w:val="0025560A"/>
    <w:rsid w:val="002A2636"/>
    <w:rsid w:val="002A2F6F"/>
    <w:rsid w:val="002A6556"/>
    <w:rsid w:val="002B525C"/>
    <w:rsid w:val="002F207E"/>
    <w:rsid w:val="00395596"/>
    <w:rsid w:val="003A6706"/>
    <w:rsid w:val="003B2F16"/>
    <w:rsid w:val="003C100A"/>
    <w:rsid w:val="0042419E"/>
    <w:rsid w:val="004635A2"/>
    <w:rsid w:val="004853D9"/>
    <w:rsid w:val="00486DD2"/>
    <w:rsid w:val="004A622E"/>
    <w:rsid w:val="004E36CB"/>
    <w:rsid w:val="004F2858"/>
    <w:rsid w:val="00563C1E"/>
    <w:rsid w:val="005852D6"/>
    <w:rsid w:val="005B044B"/>
    <w:rsid w:val="005B289F"/>
    <w:rsid w:val="005C3CFF"/>
    <w:rsid w:val="005D1350"/>
    <w:rsid w:val="005F1592"/>
    <w:rsid w:val="00605C77"/>
    <w:rsid w:val="00623DE6"/>
    <w:rsid w:val="0062476C"/>
    <w:rsid w:val="00631556"/>
    <w:rsid w:val="00646164"/>
    <w:rsid w:val="0068723C"/>
    <w:rsid w:val="006B3944"/>
    <w:rsid w:val="006B6B73"/>
    <w:rsid w:val="006B6BF5"/>
    <w:rsid w:val="006E762D"/>
    <w:rsid w:val="00716136"/>
    <w:rsid w:val="00726CFC"/>
    <w:rsid w:val="007508FC"/>
    <w:rsid w:val="00751294"/>
    <w:rsid w:val="00756EAD"/>
    <w:rsid w:val="00761548"/>
    <w:rsid w:val="00774894"/>
    <w:rsid w:val="0078174F"/>
    <w:rsid w:val="007C1F2F"/>
    <w:rsid w:val="007C2486"/>
    <w:rsid w:val="007C2FA5"/>
    <w:rsid w:val="007D346E"/>
    <w:rsid w:val="007E33DE"/>
    <w:rsid w:val="007E539E"/>
    <w:rsid w:val="007E7567"/>
    <w:rsid w:val="007F3B43"/>
    <w:rsid w:val="007F4495"/>
    <w:rsid w:val="00822E51"/>
    <w:rsid w:val="0082665B"/>
    <w:rsid w:val="008375A2"/>
    <w:rsid w:val="0087290D"/>
    <w:rsid w:val="008777F6"/>
    <w:rsid w:val="008932F1"/>
    <w:rsid w:val="008E0490"/>
    <w:rsid w:val="008F0D1B"/>
    <w:rsid w:val="0092595E"/>
    <w:rsid w:val="009329A3"/>
    <w:rsid w:val="009334E2"/>
    <w:rsid w:val="009761BA"/>
    <w:rsid w:val="009926D2"/>
    <w:rsid w:val="009C2695"/>
    <w:rsid w:val="009D1B93"/>
    <w:rsid w:val="009D6371"/>
    <w:rsid w:val="00A20BB0"/>
    <w:rsid w:val="00A34FEB"/>
    <w:rsid w:val="00A40310"/>
    <w:rsid w:val="00A43970"/>
    <w:rsid w:val="00A75350"/>
    <w:rsid w:val="00A85973"/>
    <w:rsid w:val="00AC201F"/>
    <w:rsid w:val="00AC7D4F"/>
    <w:rsid w:val="00B02D2F"/>
    <w:rsid w:val="00B1037F"/>
    <w:rsid w:val="00B6771C"/>
    <w:rsid w:val="00B80A07"/>
    <w:rsid w:val="00B8106B"/>
    <w:rsid w:val="00BA7F96"/>
    <w:rsid w:val="00BC0155"/>
    <w:rsid w:val="00BC4BCE"/>
    <w:rsid w:val="00C057BC"/>
    <w:rsid w:val="00C17BBA"/>
    <w:rsid w:val="00C57297"/>
    <w:rsid w:val="00C84F23"/>
    <w:rsid w:val="00CA2467"/>
    <w:rsid w:val="00CB3012"/>
    <w:rsid w:val="00CB61EF"/>
    <w:rsid w:val="00CD2D5F"/>
    <w:rsid w:val="00D21849"/>
    <w:rsid w:val="00D501FA"/>
    <w:rsid w:val="00D60460"/>
    <w:rsid w:val="00D726ED"/>
    <w:rsid w:val="00D745B3"/>
    <w:rsid w:val="00D81C91"/>
    <w:rsid w:val="00D85ECB"/>
    <w:rsid w:val="00DB044A"/>
    <w:rsid w:val="00DD0857"/>
    <w:rsid w:val="00DF00AF"/>
    <w:rsid w:val="00DF11E0"/>
    <w:rsid w:val="00E61837"/>
    <w:rsid w:val="00E61EFF"/>
    <w:rsid w:val="00E90A59"/>
    <w:rsid w:val="00E95D8C"/>
    <w:rsid w:val="00EA1CD5"/>
    <w:rsid w:val="00EB057C"/>
    <w:rsid w:val="00EB6569"/>
    <w:rsid w:val="00EB7F23"/>
    <w:rsid w:val="00ED0489"/>
    <w:rsid w:val="00ED414C"/>
    <w:rsid w:val="00F1656B"/>
    <w:rsid w:val="00F20EB5"/>
    <w:rsid w:val="00F434A3"/>
    <w:rsid w:val="00F51871"/>
    <w:rsid w:val="00F6703C"/>
    <w:rsid w:val="00F817B6"/>
    <w:rsid w:val="00F854A3"/>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9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7D346E"/>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7D346E"/>
    <w:pPr>
      <w:spacing w:after="0" w:line="240" w:lineRule="auto"/>
      <w:ind w:firstLine="567"/>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D346E"/>
    <w:pPr>
      <w:spacing w:after="0" w:line="276" w:lineRule="auto"/>
      <w:ind w:left="539"/>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E539E"/>
    <w:rPr>
      <w:color w:val="0000FF"/>
      <w:u w:val="single"/>
    </w:rPr>
  </w:style>
  <w:style w:type="paragraph" w:customStyle="1" w:styleId="SNObjet">
    <w:name w:val="SNObjet"/>
    <w:basedOn w:val="Normal"/>
    <w:qFormat/>
    <w:rsid w:val="007D346E"/>
    <w:pPr>
      <w:widowControl w:val="0"/>
      <w:suppressLineNumbers/>
      <w:suppressAutoHyphens/>
      <w:spacing w:after="119" w:line="240" w:lineRule="auto"/>
      <w:jc w:val="both"/>
    </w:pPr>
    <w:rPr>
      <w:rFonts w:ascii="Times New Roman" w:eastAsia="Lucida Sans Unicode" w:hAnsi="Times New Roman" w:cs="Times New Roman"/>
      <w:b/>
      <w:color w:val="00000A"/>
      <w:sz w:val="24"/>
      <w:szCs w:val="24"/>
      <w:lang w:eastAsia="zh-CN"/>
    </w:rPr>
  </w:style>
  <w:style w:type="paragraph" w:customStyle="1" w:styleId="SNSignatureDroite">
    <w:name w:val="SNSignatureDroite"/>
    <w:basedOn w:val="Normal"/>
    <w:next w:val="SNSignatureGauche"/>
    <w:qFormat/>
    <w:rsid w:val="007D346E"/>
    <w:pPr>
      <w:suppressAutoHyphens/>
      <w:spacing w:after="0" w:line="240" w:lineRule="auto"/>
      <w:ind w:firstLine="567"/>
    </w:pPr>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84D7-B858-441B-97B7-1070A3BB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Anastasia Stavroulaki</cp:lastModifiedBy>
  <cp:revision>5</cp:revision>
  <dcterms:created xsi:type="dcterms:W3CDTF">2023-02-28T15:40:00Z</dcterms:created>
  <dcterms:modified xsi:type="dcterms:W3CDTF">2023-03-27T15:14:00Z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