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47A49" w14:textId="39C248EA" w:rsidR="002D246F" w:rsidRPr="005015BA" w:rsidRDefault="002D246F" w:rsidP="002D246F">
      <w:pPr>
        <w:jc w:val="center"/>
        <w:rPr>
          <w:rFonts w:ascii="Courier New" w:hAnsi="Courier New"/>
          <w:sz w:val="20"/>
        </w:rPr>
      </w:pPr>
      <w:r>
        <w:rPr>
          <w:rFonts w:ascii="Courier New" w:hAnsi="Courier New"/>
          <w:sz w:val="20"/>
        </w:rPr>
        <w:t>1. ------IND- 2020 0792 F-- DE- ------ 20210111 --- --- PROJET</w:t>
      </w:r>
    </w:p>
    <w:tbl>
      <w:tblPr>
        <w:tblW w:w="0" w:type="auto"/>
        <w:tblInd w:w="114"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CA4953" w:rsidRPr="00E601CA" w14:paraId="57A3E47C" w14:textId="77777777" w:rsidTr="004E6D76">
        <w:trPr>
          <w:cantSplit/>
        </w:trPr>
        <w:tc>
          <w:tcPr>
            <w:tcW w:w="3982" w:type="dxa"/>
            <w:gridSpan w:val="3"/>
            <w:shd w:val="clear" w:color="auto" w:fill="auto"/>
          </w:tcPr>
          <w:p w14:paraId="4FA3BD59" w14:textId="77777777" w:rsidR="00CA4953" w:rsidRPr="00E601CA" w:rsidRDefault="00CA4953" w:rsidP="004E6D76">
            <w:pPr>
              <w:pStyle w:val="SNREPUBLIQUE"/>
              <w:snapToGrid w:val="0"/>
            </w:pPr>
            <w:r>
              <w:t>FRANZÖSISCHE REPUBLIK</w:t>
            </w:r>
          </w:p>
        </w:tc>
      </w:tr>
      <w:tr w:rsidR="001C7638" w:rsidRPr="00E601CA" w14:paraId="6E007AC3" w14:textId="77777777" w:rsidTr="003815E1">
        <w:trPr>
          <w:cantSplit/>
          <w:trHeight w:hRule="exact" w:val="113"/>
        </w:trPr>
        <w:tc>
          <w:tcPr>
            <w:tcW w:w="1527" w:type="dxa"/>
            <w:shd w:val="clear" w:color="auto" w:fill="auto"/>
          </w:tcPr>
          <w:p w14:paraId="45814B21" w14:textId="77777777" w:rsidR="00CA4953" w:rsidRPr="00E601CA" w:rsidRDefault="00CA4953" w:rsidP="004E6D76">
            <w:pPr>
              <w:snapToGrid w:val="0"/>
            </w:pPr>
          </w:p>
        </w:tc>
        <w:tc>
          <w:tcPr>
            <w:tcW w:w="968" w:type="dxa"/>
            <w:tcBorders>
              <w:bottom w:val="single" w:sz="4" w:space="0" w:color="auto"/>
            </w:tcBorders>
            <w:shd w:val="clear" w:color="auto" w:fill="auto"/>
          </w:tcPr>
          <w:p w14:paraId="0C2C01EA" w14:textId="77777777" w:rsidR="00CA4953" w:rsidRPr="00E601CA" w:rsidRDefault="00CA4953" w:rsidP="004E6D76">
            <w:pPr>
              <w:snapToGrid w:val="0"/>
            </w:pPr>
          </w:p>
        </w:tc>
        <w:tc>
          <w:tcPr>
            <w:tcW w:w="1487" w:type="dxa"/>
            <w:shd w:val="clear" w:color="auto" w:fill="auto"/>
          </w:tcPr>
          <w:p w14:paraId="0F522815" w14:textId="77777777" w:rsidR="00CA4953" w:rsidRPr="00E601CA" w:rsidRDefault="00CA4953" w:rsidP="004E6D76">
            <w:pPr>
              <w:snapToGrid w:val="0"/>
            </w:pPr>
          </w:p>
        </w:tc>
      </w:tr>
      <w:tr w:rsidR="00CA4953" w:rsidRPr="00E601CA" w14:paraId="586054DD" w14:textId="77777777" w:rsidTr="004E6D76">
        <w:trPr>
          <w:cantSplit/>
        </w:trPr>
        <w:tc>
          <w:tcPr>
            <w:tcW w:w="3982" w:type="dxa"/>
            <w:gridSpan w:val="3"/>
            <w:shd w:val="clear" w:color="auto" w:fill="auto"/>
          </w:tcPr>
          <w:p w14:paraId="4FC1C99C" w14:textId="77777777" w:rsidR="00CA4953" w:rsidRPr="00E601CA" w:rsidRDefault="00CA4953" w:rsidP="004E6D76">
            <w:pPr>
              <w:pStyle w:val="SNTimbre"/>
            </w:pPr>
            <w:r>
              <w:t xml:space="preserve">Ministerium für den ökologischen Wandel </w:t>
            </w:r>
          </w:p>
        </w:tc>
      </w:tr>
      <w:tr w:rsidR="00CA4953" w:rsidRPr="00E601CA" w14:paraId="7E6B0491" w14:textId="77777777" w:rsidTr="004E6D76">
        <w:trPr>
          <w:cantSplit/>
        </w:trPr>
        <w:tc>
          <w:tcPr>
            <w:tcW w:w="3982" w:type="dxa"/>
            <w:gridSpan w:val="3"/>
            <w:shd w:val="clear" w:color="auto" w:fill="auto"/>
          </w:tcPr>
          <w:p w14:paraId="02A49168" w14:textId="3FFCF30C" w:rsidR="00CA4953" w:rsidRPr="00E601CA" w:rsidRDefault="00CA4953" w:rsidP="004E6D76">
            <w:pPr>
              <w:pStyle w:val="SNTimbre"/>
              <w:jc w:val="left"/>
            </w:pPr>
            <w:r>
              <w:rPr>
                <w:noProof/>
                <w:lang w:val="en-US" w:eastAsia="en-US" w:bidi="hi-IN"/>
              </w:rPr>
              <mc:AlternateContent>
                <mc:Choice Requires="wps">
                  <w:drawing>
                    <wp:anchor distT="0" distB="0" distL="114300" distR="114300" simplePos="0" relativeHeight="251659264" behindDoc="0" locked="0" layoutInCell="1" allowOverlap="1" wp14:anchorId="68A9A820" wp14:editId="3ABB56C7">
                      <wp:simplePos x="0" y="0"/>
                      <wp:positionH relativeFrom="column">
                        <wp:posOffset>977900</wp:posOffset>
                      </wp:positionH>
                      <wp:positionV relativeFrom="paragraph">
                        <wp:posOffset>129540</wp:posOffset>
                      </wp:positionV>
                      <wp:extent cx="613410" cy="635"/>
                      <wp:effectExtent l="7620" t="12065" r="7620" b="63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635"/>
                              </a:xfrm>
                              <a:prstGeom prst="line">
                                <a:avLst/>
                              </a:prstGeom>
                              <a:noFill/>
                              <a:ln w="64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115283"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2pt" to="125.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" strokeweight=".18mm">
                      <v:stroke joinstyle="miter"/>
                    </v:line>
                  </w:pict>
                </mc:Fallback>
              </mc:AlternateContent>
            </w:r>
          </w:p>
        </w:tc>
      </w:tr>
      <w:tr w:rsidR="00CA4953" w:rsidRPr="00E601CA" w14:paraId="5B65B8D0" w14:textId="77777777" w:rsidTr="004E6D76">
        <w:trPr>
          <w:cantSplit/>
        </w:trPr>
        <w:tc>
          <w:tcPr>
            <w:tcW w:w="3982" w:type="dxa"/>
            <w:gridSpan w:val="3"/>
            <w:shd w:val="clear" w:color="auto" w:fill="auto"/>
          </w:tcPr>
          <w:p w14:paraId="6A9B1AF2" w14:textId="77777777" w:rsidR="00CA4953" w:rsidRPr="00E601CA" w:rsidRDefault="00CA4953" w:rsidP="004E6D76">
            <w:pPr>
              <w:pStyle w:val="SNTimbre"/>
              <w:spacing w:before="0" w:after="160"/>
            </w:pPr>
            <w:r>
              <w:t>Wohnungswesen</w:t>
            </w:r>
          </w:p>
        </w:tc>
      </w:tr>
      <w:tr w:rsidR="00CA4953" w:rsidRPr="00E601CA" w14:paraId="286D947F" w14:textId="77777777" w:rsidTr="004E6D76">
        <w:trPr>
          <w:cantSplit/>
        </w:trPr>
        <w:tc>
          <w:tcPr>
            <w:tcW w:w="3982" w:type="dxa"/>
            <w:gridSpan w:val="3"/>
            <w:shd w:val="clear" w:color="auto" w:fill="auto"/>
          </w:tcPr>
          <w:p w14:paraId="686FE9EA" w14:textId="77777777" w:rsidR="00CA4953" w:rsidRPr="00E601CA" w:rsidRDefault="00CA4953" w:rsidP="004E6D76">
            <w:pPr>
              <w:pStyle w:val="SNTimbre"/>
              <w:jc w:val="left"/>
              <w:rPr>
                <w:highlight w:val="yellow"/>
              </w:rPr>
            </w:pPr>
          </w:p>
        </w:tc>
      </w:tr>
    </w:tbl>
    <w:p w14:paraId="0EE6817D" w14:textId="77777777" w:rsidR="00CA4953" w:rsidRPr="00E601CA" w:rsidRDefault="00CA4953" w:rsidP="00CA4953">
      <w:pPr>
        <w:widowControl w:val="0"/>
        <w:spacing w:after="0" w:line="240" w:lineRule="auto"/>
        <w:jc w:val="center"/>
      </w:pPr>
      <w:r>
        <w:rPr>
          <w:rFonts w:ascii="Times New Roman" w:hAnsi="Times New Roman"/>
          <w:b/>
          <w:sz w:val="24"/>
        </w:rPr>
        <w:t>Erlass vom</w:t>
      </w:r>
    </w:p>
    <w:p w14:paraId="3C025879" w14:textId="4787A665" w:rsidR="00CA4953" w:rsidRPr="00E601CA" w:rsidRDefault="00CA4953" w:rsidP="00CA4953">
      <w:pPr>
        <w:widowControl w:val="0"/>
        <w:spacing w:after="0" w:line="240" w:lineRule="auto"/>
        <w:jc w:val="center"/>
      </w:pPr>
      <w:r>
        <w:rPr>
          <w:rFonts w:ascii="Times New Roman" w:hAnsi="Times New Roman"/>
          <w:b/>
          <w:sz w:val="24"/>
        </w:rPr>
        <w:t>über die Anforderungen an die Energieeffizienz und Umweltverträglichkeit von Wohn- und Bürogebäuden sowie Gebäuden des Grund- und Oberschulwesens im französischen Mutterland</w:t>
      </w:r>
    </w:p>
    <w:p w14:paraId="4108FF69" w14:textId="77777777" w:rsidR="00CA4953" w:rsidRPr="00E601CA" w:rsidRDefault="00CA4953" w:rsidP="00CA4953">
      <w:pPr>
        <w:pStyle w:val="SNNORCentr"/>
      </w:pPr>
      <w:r>
        <w:t xml:space="preserve"> NOR-Nr.: </w:t>
      </w:r>
    </w:p>
    <w:p w14:paraId="113B36BD" w14:textId="77777777" w:rsidR="00CA4953" w:rsidRPr="00E601CA" w:rsidRDefault="00CA4953" w:rsidP="00CA4953">
      <w:pPr>
        <w:rPr>
          <w:rFonts w:ascii="Times New Roman" w:eastAsia="Arial" w:hAnsi="Times New Roman" w:cs="Times New Roman"/>
          <w:bCs/>
          <w:i/>
          <w:iCs/>
          <w:sz w:val="24"/>
          <w:szCs w:val="24"/>
          <w:u w:val="single"/>
        </w:rPr>
      </w:pPr>
    </w:p>
    <w:p w14:paraId="27AFB11A" w14:textId="0A05B0EC" w:rsidR="00CA4953" w:rsidRPr="00E601CA" w:rsidRDefault="00CA4953" w:rsidP="00CA4953">
      <w:r>
        <w:rPr>
          <w:rFonts w:ascii="Times New Roman" w:hAnsi="Times New Roman"/>
          <w:i/>
          <w:sz w:val="24"/>
          <w:u w:val="single"/>
        </w:rPr>
        <w:t>Betroffene Zielgruppen</w:t>
      </w:r>
      <w:r>
        <w:rPr>
          <w:rFonts w:ascii="Times New Roman" w:hAnsi="Times New Roman"/>
          <w:i/>
          <w:sz w:val="24"/>
        </w:rPr>
        <w:t>: Bauherren, Bauleiter, Konstrukteure und Bauträger, Architekten, Büros für Wärme- und Umweltstudien, Gebäudeökonomen, technische Prüfer, Bauunternehmen, Hersteller von Baumaterialien und technischen Gebäudesystemen, Energielieferanten im französischen Mutterland.</w:t>
      </w:r>
    </w:p>
    <w:p w14:paraId="685CB48E" w14:textId="77777777" w:rsidR="00CA4953" w:rsidRPr="00E601CA" w:rsidRDefault="00CA4953" w:rsidP="00CA4953">
      <w:pPr>
        <w:rPr>
          <w:rFonts w:ascii="Times New Roman" w:hAnsi="Times New Roman" w:cs="Times New Roman"/>
          <w:i/>
          <w:iCs/>
          <w:sz w:val="24"/>
          <w:szCs w:val="24"/>
        </w:rPr>
      </w:pPr>
      <w:r>
        <w:rPr>
          <w:rFonts w:ascii="Times New Roman" w:hAnsi="Times New Roman"/>
          <w:i/>
          <w:sz w:val="24"/>
          <w:u w:val="single"/>
        </w:rPr>
        <w:t>Gegenstand</w:t>
      </w:r>
      <w:r>
        <w:rPr>
          <w:rFonts w:ascii="Times New Roman" w:hAnsi="Times New Roman"/>
          <w:i/>
          <w:sz w:val="24"/>
        </w:rPr>
        <w:t>: Festlegung von Anforderungen an die Energie- und Umwelteigenschaften sowie die Energieeffizienz und Umweltverträglichkeit von Neubauten und Gebäudeerweiterungen im französischen Mutterland.</w:t>
      </w:r>
    </w:p>
    <w:p w14:paraId="7C41FB5C" w14:textId="07875AC7" w:rsidR="00CA4953" w:rsidRPr="00E601CA" w:rsidRDefault="00CA4953" w:rsidP="00CA4953">
      <w:pPr>
        <w:spacing w:after="0" w:line="240" w:lineRule="auto"/>
        <w:rPr>
          <w:rFonts w:ascii="Times New Roman" w:eastAsia="Times New Roman" w:hAnsi="Times New Roman" w:cs="Times New Roman"/>
          <w:i/>
          <w:iCs/>
          <w:kern w:val="2"/>
          <w:sz w:val="24"/>
          <w:szCs w:val="24"/>
        </w:rPr>
      </w:pPr>
      <w:r>
        <w:rPr>
          <w:rFonts w:ascii="Times New Roman" w:hAnsi="Times New Roman"/>
          <w:i/>
          <w:sz w:val="24"/>
          <w:u w:val="single"/>
        </w:rPr>
        <w:t>Inkrafttreten</w:t>
      </w:r>
      <w:r>
        <w:rPr>
          <w:rFonts w:ascii="Times New Roman" w:hAnsi="Times New Roman"/>
          <w:i/>
          <w:sz w:val="24"/>
        </w:rPr>
        <w:t xml:space="preserve">: Diese Anforderungen gelten ab dem 1. Juli 2021 für den Bau von Gebäuden oder Gebäudeteilen für Wohn- und Bürozwecke sowie Zwecke des Grund- und Oberschulwesens sowie für provisorische Gebäude und Erweiterungen entsprechend ihrer Fläche für dieselben Nutzungen; sie gelten auch für solche, die keiner Baugenehmigung oder Bauvoranzeige bedürfen. </w:t>
      </w:r>
    </w:p>
    <w:p w14:paraId="676DB8A5" w14:textId="77777777" w:rsidR="00CA4953" w:rsidRPr="00E601CA" w:rsidRDefault="00CA4953" w:rsidP="00CA4953">
      <w:pPr>
        <w:spacing w:after="0" w:line="240" w:lineRule="auto"/>
        <w:rPr>
          <w:rFonts w:ascii="Times New Roman" w:eastAsia="Times New Roman" w:hAnsi="Times New Roman" w:cs="Times New Roman"/>
          <w:i/>
          <w:iCs/>
          <w:kern w:val="2"/>
          <w:sz w:val="24"/>
          <w:szCs w:val="24"/>
        </w:rPr>
      </w:pPr>
    </w:p>
    <w:p w14:paraId="4FB170F9" w14:textId="6475D0C5" w:rsidR="00CA4953" w:rsidRPr="00E601CA" w:rsidRDefault="00CA4953" w:rsidP="00CA4953">
      <w:pPr>
        <w:spacing w:after="0" w:line="240" w:lineRule="auto"/>
        <w:rPr>
          <w:rFonts w:ascii="Times New Roman" w:eastAsia="Times New Roman" w:hAnsi="Times New Roman" w:cs="Times New Roman"/>
          <w:i/>
          <w:iCs/>
          <w:kern w:val="2"/>
          <w:sz w:val="24"/>
          <w:szCs w:val="24"/>
        </w:rPr>
      </w:pPr>
      <w:r>
        <w:rPr>
          <w:rFonts w:ascii="Times New Roman" w:hAnsi="Times New Roman"/>
          <w:i/>
          <w:sz w:val="24"/>
          <w:u w:val="single"/>
        </w:rPr>
        <w:t>Hinweis</w:t>
      </w:r>
      <w:r>
        <w:rPr>
          <w:rFonts w:ascii="Times New Roman" w:hAnsi="Times New Roman"/>
          <w:i/>
          <w:sz w:val="24"/>
        </w:rPr>
        <w:t>: In dem Erlass werden die Anforderungen an die Energieeffizienz und Umweltverträglichkeit festgelegt, die von den vorstehend genannten Gebäuden im französischen Mutterland zu erfüllen sind, insbesondere die fünf folgenden Anforderungen: 1) Optimierung des Energiekonzepts von Gebäuden, unabhängig von den eingesetzten Energiesystemen; 2) Begrenzung des Primärenergieverbrauchs; 3) Begrenzung der mit diesem Energieverbrauch verbundenen Auswirkungen auf den Klimawandel; 4) Begrenzung der Auswirkungen von Gebäudekomponenten auf den Klimawandel; 5) Begrenzung von temperaturbedingter sommerlicher Unbehaglichkeit in dem Gebäude. In dem Erlass werden außerdem die für diese Gebäude geltenden Anforderungen an die Maßnahmen festgelegt.</w:t>
      </w:r>
    </w:p>
    <w:p w14:paraId="5A8E9CA9" w14:textId="0C8B1BAD" w:rsidR="00CA4953" w:rsidRPr="00E601CA" w:rsidRDefault="00CA4953" w:rsidP="00CA4953">
      <w:pPr>
        <w:pStyle w:val="western"/>
        <w:spacing w:before="0" w:after="0"/>
      </w:pPr>
      <w:r>
        <w:t xml:space="preserve"> </w:t>
      </w:r>
    </w:p>
    <w:p w14:paraId="2C1CD809" w14:textId="4DBA7B24" w:rsidR="00CA4953" w:rsidRPr="00E601CA" w:rsidRDefault="00CA4953" w:rsidP="00CA4953">
      <w:pPr>
        <w:rPr>
          <w:rFonts w:ascii="Times New Roman" w:hAnsi="Times New Roman" w:cs="Times New Roman"/>
          <w:i/>
          <w:iCs/>
          <w:sz w:val="24"/>
          <w:szCs w:val="24"/>
        </w:rPr>
      </w:pPr>
      <w:r>
        <w:rPr>
          <w:rFonts w:ascii="Times New Roman" w:hAnsi="Times New Roman"/>
          <w:i/>
          <w:sz w:val="24"/>
          <w:u w:val="single"/>
        </w:rPr>
        <w:t>Verweise:</w:t>
      </w:r>
      <w:r>
        <w:rPr>
          <w:rFonts w:ascii="Times New Roman" w:hAnsi="Times New Roman"/>
          <w:i/>
          <w:sz w:val="24"/>
        </w:rPr>
        <w:t xml:space="preserve"> Der Wortlaut in seiner durch den vorliegenden Erlass geänderten Fassung kann auf der Website Legifrance (</w:t>
      </w:r>
      <w:hyperlink r:id="rId8" w:history="1">
        <w:r>
          <w:rPr>
            <w:rStyle w:val="Hyperlink"/>
            <w:rFonts w:ascii="Times New Roman" w:hAnsi="Times New Roman"/>
            <w:i/>
            <w:iCs/>
            <w:sz w:val="24"/>
          </w:rPr>
          <w:t>www.legifrance.gouv.fr</w:t>
        </w:r>
      </w:hyperlink>
      <w:r>
        <w:rPr>
          <w:rFonts w:ascii="Times New Roman" w:hAnsi="Times New Roman"/>
          <w:i/>
          <w:sz w:val="24"/>
        </w:rPr>
        <w:t>) eingesehen werden.</w:t>
      </w:r>
    </w:p>
    <w:p w14:paraId="657E9342" w14:textId="43E433A7" w:rsidR="00E00EF2" w:rsidRPr="00E601CA" w:rsidRDefault="00E00EF2" w:rsidP="003815E1">
      <w:pPr>
        <w:pageBreakBefore/>
      </w:pPr>
      <w:r>
        <w:lastRenderedPageBreak/>
        <w:t>Die Ministerin für den ökologischen Wandel, die beigeordnete Ministerin für das Wohnungswesen bei der Ministerin für den ökologischen Wandel,</w:t>
      </w:r>
    </w:p>
    <w:p w14:paraId="77431C95" w14:textId="51EE0E3B" w:rsidR="004600F9" w:rsidRPr="00E601CA" w:rsidRDefault="004600F9" w:rsidP="00E00EF2">
      <w:r>
        <w:t>gestützt auf die Richtlinie (EU) 2015/1535 des Europäischen Parlaments und des Rates vom 9. September 2015 über ein Informationsverfahren auf dem Gebiet der technischen Vorschriften und der Vorschriften für die Dienste der Informationsgesellschaft (kodifizierter Text), insbesondere auf die Notifizierung Nr. </w:t>
      </w:r>
      <w:r>
        <w:rPr>
          <w:highlight w:val="yellow"/>
        </w:rPr>
        <w:t>Jahr/XXX/F</w:t>
      </w:r>
      <w:r>
        <w:t>;</w:t>
      </w:r>
    </w:p>
    <w:p w14:paraId="282EBB1D" w14:textId="7CC9E281" w:rsidR="00CA4953" w:rsidRPr="00E601CA" w:rsidRDefault="00E00EF2" w:rsidP="00E00EF2">
      <w:r>
        <w:t>gestützt auf die Richtlinie 2010/31/EU des Europäischen Parlaments und des Rates vom 19. Mai 2010 über die Gesamtenergieeffizienz von Gebäuden, geändert durch die Richtlinie (EU) 2018/844 des Europäischen Parlaments und des Rates vom 30. Mai 2018, insbesondere auf die Artikel 3, 4 und 6;</w:t>
      </w:r>
    </w:p>
    <w:p w14:paraId="680374AF" w14:textId="6F141D5E" w:rsidR="00AA38CA" w:rsidRPr="00E601CA" w:rsidRDefault="00AA38CA" w:rsidP="00866253">
      <w:r>
        <w:t>gestützt auf die Richtlinie (EU) 2018/2001 des Europäischen Parlaments und des Rates vom 11. Dezember 2018 zur Förderung der Nutzung von Energie aus erneuerbaren Quellen, insbesondere auf Artikel 15;</w:t>
      </w:r>
    </w:p>
    <w:p w14:paraId="25D897AB" w14:textId="15BED86F" w:rsidR="001A2855" w:rsidRPr="00E601CA" w:rsidRDefault="004C0331" w:rsidP="00DF0DDD">
      <w:r>
        <w:t>gestützt auf die Bau- und Wohnungsordnung, insbesondere auf Buch I Titel I Abschnitt 4 und auf die Artikel </w:t>
      </w:r>
      <w:r>
        <w:rPr>
          <w:highlight w:val="yellow"/>
        </w:rPr>
        <w:t>L. 134-2 und L. 151-1</w:t>
      </w:r>
      <w:r>
        <w:t>;</w:t>
      </w:r>
    </w:p>
    <w:p w14:paraId="1878753A" w14:textId="7BB24F8E" w:rsidR="00324401" w:rsidRPr="00E601CA" w:rsidRDefault="00324401" w:rsidP="00DF0DDD">
      <w:r>
        <w:t xml:space="preserve">gestützt auf die Artikel R. 241-26 und R. 241-30 des Energiegesetzbuchs; </w:t>
      </w:r>
    </w:p>
    <w:p w14:paraId="15C70290" w14:textId="7EF756C8" w:rsidR="00324401" w:rsidRPr="00E601CA" w:rsidRDefault="00324401" w:rsidP="00DF0DDD">
      <w:r>
        <w:t>gestützt auf den Artikel R. 571-38 des Umweltgesetzbuchs;</w:t>
      </w:r>
    </w:p>
    <w:p w14:paraId="2B55FF5F" w14:textId="4C8FE705" w:rsidR="00E00EF2" w:rsidRPr="00E601CA" w:rsidRDefault="00E00EF2" w:rsidP="00DF0DDD">
      <w:r>
        <w:t>gestützt auf die Städtebauordnung, insbesondere auf die Artikel L. 123-1-5, R. 112-4 bis 112-17, R*. 421-2, R*. 421-5;</w:t>
      </w:r>
    </w:p>
    <w:p w14:paraId="5623FEF9" w14:textId="27DDEC7F" w:rsidR="00635E35" w:rsidRPr="00E601CA" w:rsidRDefault="00635E35" w:rsidP="00DF0DDD">
      <w:r>
        <w:t>gestützt auf den Erlass vom 26. Oktober 2010 über die Wärmeeigenschaften und die Anforderungen an die Energieeffizienz von Neubauten und neuen Gebäudeteilen;</w:t>
      </w:r>
    </w:p>
    <w:p w14:paraId="6726BD01" w14:textId="68B01C9D" w:rsidR="00635E35" w:rsidRPr="00E601CA" w:rsidRDefault="00635E35" w:rsidP="00DF0DDD">
      <w:r>
        <w:t>gestützt auf den Erlass vom 28. Dezember 2012 über die Wärmeeigenschaften und die Anforderungen an die Energieeffizienz von anderen Neubauten oder neu errichteten Gebäudeteilen als den in Artikel 2 des Dekrets vom 26. Oktober 2010 über die Wärmeeigenschaften und die Energieeffizienz von Bauwerken genannten;</w:t>
      </w:r>
    </w:p>
    <w:p w14:paraId="4E02C492" w14:textId="79E4B00B" w:rsidR="001D2511" w:rsidRPr="00E601CA" w:rsidRDefault="001D2511" w:rsidP="00DF0DDD">
      <w:r>
        <w:t>gestützt auf den Erlass vom 3. Mai 2007 über die Wärmeeigenschaften und die Energieeffizienz von bestehenden Gebäuden, in dem alle diesbezüglichen Arbeiten und die damit verbundenen Anforderungen aufgeführt sind, geändert durch den Erlass vom 22. März 2017;</w:t>
      </w:r>
    </w:p>
    <w:p w14:paraId="57FC0EE5" w14:textId="73D15391" w:rsidR="001D2511" w:rsidRPr="00E601CA" w:rsidRDefault="001D2511" w:rsidP="00DF0DDD">
      <w:r>
        <w:t>gestützt auf den Erlass vom 13. Juni 2008 über die Energieeffizienz von bestehenden Gebäuden mit einer Fläche von mehr als 1000 m², sofern sie Gegenstand größerer Renovierungsarbeiten sind;</w:t>
      </w:r>
    </w:p>
    <w:p w14:paraId="6CD3354C" w14:textId="05FD9B6C" w:rsidR="00E00EF2" w:rsidRPr="00E601CA" w:rsidRDefault="00E00EF2" w:rsidP="00E00EF2">
      <w:r>
        <w:t xml:space="preserve">gestützt auf die Bemerkungen, die im Rahmen der öffentlichen Konsultation vom </w:t>
      </w:r>
      <w:r>
        <w:rPr>
          <w:highlight w:val="yellow"/>
        </w:rPr>
        <w:t>XXX bis XXX</w:t>
      </w:r>
      <w:r>
        <w:t xml:space="preserve"> in Anwendung des Artikels L. 120-1 des Umweltgesetzbuchs vorgebracht wurden;</w:t>
      </w:r>
    </w:p>
    <w:p w14:paraId="7DB09BE4" w14:textId="77777777" w:rsidR="00E00EF2" w:rsidRPr="00E601CA" w:rsidRDefault="00E00EF2" w:rsidP="00E00EF2">
      <w:r>
        <w:t xml:space="preserve">gestützt auf die Stellungnahme des Nationalen Rates für die Bewertung von Normen vom </w:t>
      </w:r>
      <w:r>
        <w:rPr>
          <w:highlight w:val="yellow"/>
        </w:rPr>
        <w:t>XXX</w:t>
      </w:r>
      <w:r>
        <w:t>;</w:t>
      </w:r>
    </w:p>
    <w:p w14:paraId="7B59809F" w14:textId="77777777" w:rsidR="00E00EF2" w:rsidRPr="00E601CA" w:rsidRDefault="00E00EF2" w:rsidP="00E00EF2">
      <w:r>
        <w:t xml:space="preserve">gestützt auf die Stellungnahme des Obersten Rates für Energie vom </w:t>
      </w:r>
      <w:r>
        <w:rPr>
          <w:highlight w:val="yellow"/>
        </w:rPr>
        <w:t>XXX</w:t>
      </w:r>
      <w:r>
        <w:t>;</w:t>
      </w:r>
    </w:p>
    <w:p w14:paraId="33A84B46" w14:textId="77777777" w:rsidR="00E00EF2" w:rsidRPr="00E601CA" w:rsidRDefault="00E00EF2" w:rsidP="00E00EF2">
      <w:r>
        <w:t xml:space="preserve">gestützt auf die Stellungnahme des Obersten Rates für Bauwesen und Energieeffizienz vom </w:t>
      </w:r>
      <w:r>
        <w:rPr>
          <w:highlight w:val="yellow"/>
        </w:rPr>
        <w:t>XXX</w:t>
      </w:r>
      <w:r>
        <w:t>;</w:t>
      </w:r>
    </w:p>
    <w:p w14:paraId="5A5C8B7A" w14:textId="77777777" w:rsidR="00E00EF2" w:rsidRPr="00E601CA" w:rsidRDefault="00E00EF2" w:rsidP="00E00EF2">
      <w:r>
        <w:t xml:space="preserve">gestützt auf das Schreiben zur Anrufung der Versammlung von Französisch-Guayana vom </w:t>
      </w:r>
      <w:r>
        <w:rPr>
          <w:highlight w:val="yellow"/>
        </w:rPr>
        <w:t>XXX</w:t>
      </w:r>
      <w:r>
        <w:t>;</w:t>
      </w:r>
    </w:p>
    <w:p w14:paraId="2B5FB95D" w14:textId="77777777" w:rsidR="00E00EF2" w:rsidRPr="00E601CA" w:rsidRDefault="00E00EF2" w:rsidP="00E00EF2">
      <w:r>
        <w:t xml:space="preserve">gestützt auf das Schreiben zur Anrufung der Versammlung von Martinique vom </w:t>
      </w:r>
      <w:r>
        <w:rPr>
          <w:highlight w:val="yellow"/>
        </w:rPr>
        <w:t>XXX</w:t>
      </w:r>
      <w:r>
        <w:t>;</w:t>
      </w:r>
    </w:p>
    <w:p w14:paraId="1256E9CC" w14:textId="77777777" w:rsidR="00E00EF2" w:rsidRPr="00E601CA" w:rsidRDefault="00E00EF2" w:rsidP="00E00EF2">
      <w:r>
        <w:t xml:space="preserve">gestützt auf das Schreiben zur Anrufung des Departementsrates von Guadeloupe vom </w:t>
      </w:r>
      <w:r>
        <w:rPr>
          <w:highlight w:val="yellow"/>
        </w:rPr>
        <w:t>XXX</w:t>
      </w:r>
      <w:r>
        <w:t>;</w:t>
      </w:r>
    </w:p>
    <w:p w14:paraId="2B53F5C0" w14:textId="77777777" w:rsidR="00E00EF2" w:rsidRPr="00E601CA" w:rsidRDefault="00E00EF2" w:rsidP="00E00EF2">
      <w:r>
        <w:lastRenderedPageBreak/>
        <w:t xml:space="preserve">gestützt auf das Schreiben zur Anrufung des Departementsrates von Réunion vom </w:t>
      </w:r>
      <w:r>
        <w:rPr>
          <w:highlight w:val="yellow"/>
        </w:rPr>
        <w:t>XXX</w:t>
      </w:r>
      <w:r>
        <w:t>;</w:t>
      </w:r>
    </w:p>
    <w:p w14:paraId="4F079AE5" w14:textId="77777777" w:rsidR="00E00EF2" w:rsidRPr="00E601CA" w:rsidRDefault="00E00EF2" w:rsidP="00E00EF2">
      <w:r>
        <w:t xml:space="preserve">gestützt auf das Schreiben zur Anrufung des Regionalrates von Guadeloupe vom </w:t>
      </w:r>
      <w:r>
        <w:rPr>
          <w:highlight w:val="yellow"/>
        </w:rPr>
        <w:t>XXX</w:t>
      </w:r>
      <w:r>
        <w:t>;</w:t>
      </w:r>
    </w:p>
    <w:p w14:paraId="71CE1C5A" w14:textId="77777777" w:rsidR="00E00EF2" w:rsidRPr="00E601CA" w:rsidRDefault="00E00EF2" w:rsidP="00E00EF2">
      <w:r>
        <w:t xml:space="preserve">gestützt auf das Schreiben zur Anrufung des Regionalrates von Reunion vom </w:t>
      </w:r>
      <w:r>
        <w:rPr>
          <w:highlight w:val="yellow"/>
        </w:rPr>
        <w:t>XXX</w:t>
      </w:r>
      <w:r>
        <w:t>;</w:t>
      </w:r>
    </w:p>
    <w:p w14:paraId="73A16BB1" w14:textId="4CF5F194" w:rsidR="00E00EF2" w:rsidRPr="00E601CA" w:rsidRDefault="00E00EF2" w:rsidP="00E00EF2">
      <w:r>
        <w:t xml:space="preserve">gestützt auf das Schreiben zur Anrufung des Departementsrates von Mayotte vom </w:t>
      </w:r>
      <w:r>
        <w:rPr>
          <w:highlight w:val="yellow"/>
        </w:rPr>
        <w:t>XXX</w:t>
      </w:r>
      <w:r>
        <w:t>;</w:t>
      </w:r>
    </w:p>
    <w:p w14:paraId="60EA6399" w14:textId="77777777" w:rsidR="00FE7A29" w:rsidRPr="00E601CA" w:rsidRDefault="00FE7A29" w:rsidP="00E00EF2"/>
    <w:p w14:paraId="5DD7051E" w14:textId="1AFBC2C5" w:rsidR="00E00EF2" w:rsidRPr="00E601CA" w:rsidRDefault="00FE7A29" w:rsidP="00DD261D">
      <w:pPr>
        <w:keepNext/>
        <w:jc w:val="center"/>
        <w:rPr>
          <w:b/>
          <w:sz w:val="28"/>
        </w:rPr>
      </w:pPr>
      <w:r>
        <w:rPr>
          <w:b/>
          <w:sz w:val="28"/>
        </w:rPr>
        <w:t>erlassen Folgendes:</w:t>
      </w:r>
    </w:p>
    <w:p w14:paraId="476BBF68" w14:textId="77777777" w:rsidR="00FE7A29" w:rsidRPr="00E601CA" w:rsidRDefault="00FE7A29" w:rsidP="00DD261D">
      <w:pPr>
        <w:keepNext/>
      </w:pPr>
    </w:p>
    <w:p w14:paraId="013F42E8" w14:textId="7F6FB508" w:rsidR="001A2855" w:rsidRPr="00E601CA" w:rsidRDefault="008B5FAE" w:rsidP="00DD261D">
      <w:pPr>
        <w:pStyle w:val="Heading1"/>
        <w:keepNext/>
        <w:numPr>
          <w:ilvl w:val="0"/>
          <w:numId w:val="0"/>
        </w:numPr>
        <w:ind w:left="1588" w:hanging="1588"/>
      </w:pPr>
      <w:bookmarkStart w:id="0" w:name="_Ref57726526"/>
      <w:r>
        <w:t>TITEL I.</w:t>
      </w:r>
      <w:r>
        <w:tab/>
        <w:t>Allgemeine Bestimmungen</w:t>
      </w:r>
      <w:bookmarkEnd w:id="0"/>
    </w:p>
    <w:p w14:paraId="72F67234" w14:textId="56407631" w:rsidR="001A2855" w:rsidRPr="00E601CA" w:rsidRDefault="00265D3D" w:rsidP="00DD261D">
      <w:pPr>
        <w:pStyle w:val="Heading2"/>
        <w:keepNext/>
        <w:numPr>
          <w:ilvl w:val="0"/>
          <w:numId w:val="0"/>
        </w:numPr>
        <w:ind w:left="720" w:hanging="3"/>
      </w:pPr>
      <w:r>
        <w:t>KAPITEL I.</w:t>
      </w:r>
      <w:r>
        <w:tab/>
        <w:t>ANWENDUNGSBEREICH</w:t>
      </w:r>
    </w:p>
    <w:p w14:paraId="7388305F" w14:textId="78C98FDB" w:rsidR="007D30F8" w:rsidRPr="00E601CA" w:rsidRDefault="004F5DFA" w:rsidP="00951EDB">
      <w:pPr>
        <w:pStyle w:val="Heading3"/>
        <w:keepNext/>
        <w:numPr>
          <w:ilvl w:val="0"/>
          <w:numId w:val="0"/>
        </w:numPr>
        <w:ind w:left="270" w:firstLine="14"/>
      </w:pPr>
      <w:r>
        <w:rPr>
          <w:b w:val="0"/>
        </w:rPr>
        <w:t>Artikel 1.</w:t>
      </w:r>
      <w:r>
        <w:t xml:space="preserve"> </w:t>
      </w:r>
      <w:bookmarkStart w:id="1" w:name="_Ref57383158"/>
      <w:r>
        <w:t>(Unter den Erlass fallende Gebäudetypologien)</w:t>
      </w:r>
      <w:bookmarkEnd w:id="1"/>
    </w:p>
    <w:p w14:paraId="399782BE" w14:textId="61EC142F" w:rsidR="005F4565" w:rsidRPr="00E601CA" w:rsidRDefault="005F4565" w:rsidP="00DF0DDD">
      <w:r>
        <w:t>Die Bestimmungen des vorliegenden Erlasses gelten ab dem 1. Juli 2021 für den Bau von Gebäuden oder Gebäudeteilen für Wohn- und Bürozwecke sowie Zwecke des Grund- und Oberschulwesens, die unter den Artikel </w:t>
      </w:r>
      <w:r>
        <w:rPr>
          <w:highlight w:val="yellow"/>
        </w:rPr>
        <w:t>R. 111-20</w:t>
      </w:r>
      <w:r>
        <w:t xml:space="preserve"> der Bau- und Wohnungsordnung fallen, sowie für den Bau der zugehörigen Parkplätze.</w:t>
      </w:r>
    </w:p>
    <w:p w14:paraId="33225367" w14:textId="7F06E582" w:rsidR="00D11249" w:rsidRPr="00E601CA" w:rsidRDefault="00004ADD" w:rsidP="00DF0DDD">
      <w:r>
        <w:t>Sie finden keine Anwendung für in den Überseedepartements gelegene Gebäude.</w:t>
      </w:r>
    </w:p>
    <w:p w14:paraId="3CDF1565" w14:textId="571DEC79" w:rsidR="00AD5C28" w:rsidRPr="00E601CA" w:rsidRDefault="004F5DFA" w:rsidP="00951EDB">
      <w:pPr>
        <w:pStyle w:val="Heading3"/>
        <w:keepNext/>
        <w:numPr>
          <w:ilvl w:val="0"/>
          <w:numId w:val="0"/>
        </w:numPr>
        <w:ind w:left="270" w:firstLine="14"/>
      </w:pPr>
      <w:bookmarkStart w:id="2" w:name="_Ref57631061"/>
      <w:r>
        <w:rPr>
          <w:b w:val="0"/>
        </w:rPr>
        <w:t>Artikel 2.</w:t>
      </w:r>
      <w:r>
        <w:t xml:space="preserve"> (Gleichstellung von untergeordneter Nutzung und Hauptnutzung)</w:t>
      </w:r>
      <w:bookmarkEnd w:id="2"/>
    </w:p>
    <w:p w14:paraId="19F8C31B" w14:textId="4B45FD49" w:rsidR="00457924" w:rsidRPr="00E601CA" w:rsidRDefault="00457924" w:rsidP="00DD261D">
      <w:pPr>
        <w:keepNext/>
      </w:pPr>
      <w:r>
        <w:t>Ein Gebäudeteil kann, unter Anwendung der damit verbundenen Anforderungen, der Hauptnutzung des Gebäudes gleichgestellt werden, wenn die folgenden kumulativen Bedingungen erfüllt sind:</w:t>
      </w:r>
    </w:p>
    <w:p w14:paraId="2478CE86" w14:textId="7D078E1C" w:rsidR="00457924" w:rsidRPr="00E601CA" w:rsidRDefault="00457924" w:rsidP="00E8319A">
      <w:pPr>
        <w:pStyle w:val="ListParagraph"/>
        <w:numPr>
          <w:ilvl w:val="0"/>
          <w:numId w:val="8"/>
        </w:numPr>
      </w:pPr>
      <w:r>
        <w:t>die Bezugsfläche des betreffenden Gebäudeteils beträgt weniger als 150 m² und weniger als 10 % der Bezugsfläche der Hauptnutzung des Gebäudes,</w:t>
      </w:r>
    </w:p>
    <w:p w14:paraId="0E61F7B8" w14:textId="71CFC1A8" w:rsidR="00457924" w:rsidRPr="00E601CA" w:rsidRDefault="00457924" w:rsidP="00E8319A">
      <w:pPr>
        <w:pStyle w:val="ListParagraph"/>
        <w:numPr>
          <w:ilvl w:val="0"/>
          <w:numId w:val="8"/>
        </w:numPr>
      </w:pPr>
      <w:r>
        <w:t>der Gebäudeteil, welcher der Hauptnutzung entspricht, fällt unter den vorliegenden Erlass oder den oben genannten Erlass vom 26. Oktober 2010 oder den oben genannten Erlass vom 28. Dezember 2012.</w:t>
      </w:r>
    </w:p>
    <w:p w14:paraId="4A453D45" w14:textId="3C5581B7" w:rsidR="0019138C" w:rsidRPr="00E601CA" w:rsidRDefault="00F86151" w:rsidP="0019138C">
      <w:r>
        <w:t>Ein als Einfamilienhaus genutzter Gebäudeteil kann keiner anderen Nutzung gleichgestellt werden.</w:t>
      </w:r>
    </w:p>
    <w:p w14:paraId="4A69C00A" w14:textId="02A220D5" w:rsidR="005671F2" w:rsidRPr="00E601CA" w:rsidRDefault="005671F2" w:rsidP="0019138C">
      <w:r>
        <w:t>Die Bezugsfläche des Gebäudes – bezeichnet als Sref – ist in ANHANG I definiert. Sofern nicht anders angegeben, ist dies die in dem vorliegenden Erlass durchgängig verwendete Fläche.</w:t>
      </w:r>
    </w:p>
    <w:p w14:paraId="129EADE9" w14:textId="53CAC463" w:rsidR="00004ADD" w:rsidRPr="00E601CA" w:rsidRDefault="00265D3D" w:rsidP="00DD261D">
      <w:pPr>
        <w:pStyle w:val="Heading2"/>
        <w:keepNext/>
        <w:numPr>
          <w:ilvl w:val="0"/>
          <w:numId w:val="0"/>
        </w:numPr>
        <w:ind w:left="720" w:hanging="3"/>
      </w:pPr>
      <w:bookmarkStart w:id="3" w:name="_Ref49526297"/>
      <w:bookmarkStart w:id="4" w:name="_Ref57396460"/>
      <w:r>
        <w:t>KAPITEL II.</w:t>
      </w:r>
      <w:r>
        <w:tab/>
        <w:t>TEILWEISE ANWENDUNG</w:t>
      </w:r>
      <w:bookmarkEnd w:id="3"/>
      <w:bookmarkEnd w:id="4"/>
    </w:p>
    <w:p w14:paraId="555878FF" w14:textId="6F4FC811" w:rsidR="00F11BAA" w:rsidRPr="00E601CA" w:rsidRDefault="004F5DFA" w:rsidP="00951EDB">
      <w:pPr>
        <w:pStyle w:val="Heading3"/>
        <w:keepNext/>
        <w:numPr>
          <w:ilvl w:val="0"/>
          <w:numId w:val="0"/>
        </w:numPr>
        <w:ind w:left="270" w:firstLine="14"/>
      </w:pPr>
      <w:bookmarkStart w:id="5" w:name="_Ref57969929"/>
      <w:bookmarkStart w:id="6" w:name="_Ref49444929"/>
      <w:bookmarkStart w:id="7" w:name="_Ref57736025"/>
      <w:r>
        <w:rPr>
          <w:b w:val="0"/>
        </w:rPr>
        <w:t>Artikel 3.</w:t>
      </w:r>
      <w:r>
        <w:t xml:space="preserve"> (Möglichkeiten einer teilweisen Anwendung für provisorische Gebäude und kleinflächige Bauten)</w:t>
      </w:r>
      <w:bookmarkEnd w:id="5"/>
    </w:p>
    <w:p w14:paraId="3E26B18B" w14:textId="20D22EAC" w:rsidR="00F11BAA" w:rsidRPr="00E601CA" w:rsidRDefault="00F11BAA" w:rsidP="00F11BAA">
      <w:r>
        <w:t>Für den Bau von bestimmten Gebäuden oder Gebäudeteilen können nur die in KAPITEL VIII aufgeführten Anforderungen angewandt werden.</w:t>
      </w:r>
    </w:p>
    <w:p w14:paraId="6D75F257" w14:textId="77777777" w:rsidR="00F11BAA" w:rsidRPr="00E601CA" w:rsidRDefault="00F11BAA" w:rsidP="00DD261D">
      <w:pPr>
        <w:keepNext/>
      </w:pPr>
      <w:r>
        <w:lastRenderedPageBreak/>
        <w:t>Gemäß den Bestimmungen der Artikel R. 111-20-1 und R. 111-20-2 der Bau- und Wohnungsordnung betrifft diese Bestimmung:</w:t>
      </w:r>
    </w:p>
    <w:p w14:paraId="60DEF36E" w14:textId="2EA77776" w:rsidR="00F11BAA" w:rsidRPr="00E601CA" w:rsidRDefault="00F11BAA" w:rsidP="00F11BAA">
      <w:pPr>
        <w:pStyle w:val="ListParagraph"/>
        <w:numPr>
          <w:ilvl w:val="0"/>
          <w:numId w:val="8"/>
        </w:numPr>
      </w:pPr>
      <w:r>
        <w:rPr>
          <w:color w:val="000000" w:themeColor="text1"/>
        </w:rPr>
        <w:t>provisorische Gebäude gemäß Artikel </w:t>
      </w:r>
      <w:r>
        <w:rPr>
          <w:color w:val="000000" w:themeColor="text1"/>
          <w:highlight w:val="yellow"/>
        </w:rPr>
        <w:t>R*. 421-5</w:t>
      </w:r>
      <w:r>
        <w:rPr>
          <w:color w:val="000000" w:themeColor="text1"/>
        </w:rPr>
        <w:t xml:space="preserve"> der Städtebauordnung, für die ein Nutzungszeitraum von weniger als 2 Jahren vorgesehen ist,</w:t>
      </w:r>
    </w:p>
    <w:p w14:paraId="642DBEAA" w14:textId="34950910" w:rsidR="00F11BAA" w:rsidRPr="00E601CA" w:rsidRDefault="00F11BAA" w:rsidP="00F11BAA">
      <w:pPr>
        <w:pStyle w:val="ListParagraph"/>
        <w:numPr>
          <w:ilvl w:val="0"/>
          <w:numId w:val="8"/>
        </w:numPr>
      </w:pPr>
      <w:r>
        <w:t>Gebäude und Erweiterungen von Gebäuden mit einer Bezugsfläche von weniger als 50 m²,</w:t>
      </w:r>
    </w:p>
    <w:p w14:paraId="49F87BB0" w14:textId="7F83CF11" w:rsidR="00F11BAA" w:rsidRPr="00E601CA" w:rsidRDefault="00511F7F" w:rsidP="00F11BAA">
      <w:pPr>
        <w:pStyle w:val="ListParagraph"/>
        <w:numPr>
          <w:ilvl w:val="0"/>
          <w:numId w:val="8"/>
        </w:numPr>
      </w:pPr>
      <w:r>
        <w:t>Erweiterungen von Einfamilien- oder Reihenhäusern mit einer Bezugsfläche von weniger als 100 m², sofern das Heizsystem des bestehenden Gebäudes für den Betrieb der Erweiterung genutzt wird oder sofern sich ein Raum zugleich über das bestehende Gebäude und die Erweiterung erstreckt,</w:t>
      </w:r>
    </w:p>
    <w:p w14:paraId="5CADF969" w14:textId="7EABB1F6" w:rsidR="00F11BAA" w:rsidRPr="00E601CA" w:rsidRDefault="00511F7F" w:rsidP="00F11BAA">
      <w:pPr>
        <w:pStyle w:val="ListParagraph"/>
        <w:numPr>
          <w:ilvl w:val="0"/>
          <w:numId w:val="8"/>
        </w:numPr>
      </w:pPr>
      <w:r>
        <w:t>Gebäudeerweiterungen für sonstige Nutzungen mit einer Bezugsfläche von weniger als 150 m² und 30 % der Bezugsfläche der bestehenden Räume, sofern das Heizsystem des bestehenden Gebäudes für den Betrieb der Erweiterung genutzt wird oder sofern sich ein Raum zugleich über das bestehende Gebäude und die Erweiterung erstreckt.</w:t>
      </w:r>
    </w:p>
    <w:bookmarkEnd w:id="6"/>
    <w:bookmarkEnd w:id="7"/>
    <w:p w14:paraId="36A62426" w14:textId="4A871E91" w:rsidR="00821DEC" w:rsidRPr="00E601CA" w:rsidRDefault="00265D3D" w:rsidP="00DD261D">
      <w:pPr>
        <w:pStyle w:val="Heading2"/>
        <w:keepNext/>
        <w:numPr>
          <w:ilvl w:val="0"/>
          <w:numId w:val="0"/>
        </w:numPr>
        <w:ind w:left="720" w:hanging="3"/>
      </w:pPr>
      <w:r>
        <w:t>KAPITEL III.</w:t>
      </w:r>
      <w:r>
        <w:tab/>
        <w:t>BEGRIFFSBESTIMMUNGEN</w:t>
      </w:r>
    </w:p>
    <w:p w14:paraId="1EC584F9" w14:textId="05AF2B93" w:rsidR="000518D1" w:rsidRPr="00E601CA" w:rsidRDefault="004F5DFA" w:rsidP="00951EDB">
      <w:pPr>
        <w:pStyle w:val="Heading3"/>
        <w:keepNext/>
        <w:numPr>
          <w:ilvl w:val="0"/>
          <w:numId w:val="0"/>
        </w:numPr>
        <w:ind w:left="270" w:firstLine="14"/>
      </w:pPr>
      <w:r>
        <w:rPr>
          <w:b w:val="0"/>
        </w:rPr>
        <w:t>Artikel 4.</w:t>
      </w:r>
      <w:r>
        <w:t xml:space="preserve"> (Begriffsbestimmungen in den Anhängen) </w:t>
      </w:r>
    </w:p>
    <w:p w14:paraId="6A472169" w14:textId="3A55452B" w:rsidR="00B64DDB" w:rsidRPr="00E601CA" w:rsidRDefault="00B64DDB" w:rsidP="00DF0DDD">
      <w:r>
        <w:t>In ANHANG I werden die für das Verständnis des vorliegenden Erlasses erforderlichen Begriffe definiert.</w:t>
      </w:r>
    </w:p>
    <w:p w14:paraId="45D9A185" w14:textId="744B5471" w:rsidR="00B64DDB" w:rsidRPr="00E601CA" w:rsidRDefault="00B64DDB" w:rsidP="00DF0DDD">
      <w:r>
        <w:t>In ANHANG II des vorliegenden Erlasses werden acht klimatische Zonen (H1a, H1b, H1c, H2a, H2b, H2c, H2d und H3) definiert.</w:t>
      </w:r>
    </w:p>
    <w:p w14:paraId="23CAC1DC" w14:textId="08F35A61" w:rsidR="00B64DDB" w:rsidRPr="00E601CA" w:rsidRDefault="00B64DDB" w:rsidP="00DF0DDD">
      <w:r>
        <w:t xml:space="preserve">Drei auf den Verkehrsinfrastrukturlärm bezogene Expositionsklassen (BR1, BR2 und BR3) von Gebäuden werden gemäß den Modalitäten in ANHANG III des vorliegenden Erlasses festgelegt. </w:t>
      </w:r>
    </w:p>
    <w:p w14:paraId="3A1DB851" w14:textId="0C383D03" w:rsidR="000E74D7" w:rsidRPr="00E601CA" w:rsidRDefault="004F5DFA" w:rsidP="00951EDB">
      <w:pPr>
        <w:pStyle w:val="Heading3"/>
        <w:keepNext/>
        <w:numPr>
          <w:ilvl w:val="0"/>
          <w:numId w:val="0"/>
        </w:numPr>
        <w:ind w:left="270" w:firstLine="14"/>
      </w:pPr>
      <w:r>
        <w:rPr>
          <w:b w:val="0"/>
        </w:rPr>
        <w:t>Artikel 5.</w:t>
      </w:r>
      <w:r>
        <w:t xml:space="preserve"> (Allgemeine Darstellung der Indikatoren) </w:t>
      </w:r>
    </w:p>
    <w:p w14:paraId="0295FE01" w14:textId="58419414" w:rsidR="000E74D7" w:rsidRPr="00E601CA" w:rsidRDefault="007F6B79" w:rsidP="00DD261D">
      <w:pPr>
        <w:keepNext/>
      </w:pPr>
      <w:r>
        <w:t>Anhand der in den Artikeln 6 bis 8 festgelegten Indikatoren können die Leistungen neuer Gebäude oder Gebäudeteile im Hinblick auf drei Aspekte ausgedrückt werden:</w:t>
      </w:r>
    </w:p>
    <w:p w14:paraId="43FD0797" w14:textId="180840D0" w:rsidR="007E0B47" w:rsidRPr="00E601CA" w:rsidRDefault="007F6B79" w:rsidP="00E8319A">
      <w:pPr>
        <w:pStyle w:val="ListParagraph"/>
        <w:numPr>
          <w:ilvl w:val="0"/>
          <w:numId w:val="8"/>
        </w:numPr>
      </w:pPr>
      <w:r>
        <w:t>Energieeffizienz und Auswirkung des Energieverbrauchs des Gebäudes oder Gebäudeteils auf den Klimawandel,</w:t>
      </w:r>
    </w:p>
    <w:p w14:paraId="3D4691D9" w14:textId="351CF9EC" w:rsidR="007E0B47" w:rsidRPr="00E601CA" w:rsidRDefault="007644DB" w:rsidP="00E8319A">
      <w:pPr>
        <w:pStyle w:val="ListParagraph"/>
        <w:numPr>
          <w:ilvl w:val="0"/>
          <w:numId w:val="8"/>
        </w:numPr>
      </w:pPr>
      <w:r>
        <w:t>Auswirkungen des Gebäudes oder Gebäudeteils und seiner Komponenten auf den Klimawandel,</w:t>
      </w:r>
    </w:p>
    <w:p w14:paraId="2E23A5F1" w14:textId="5C56AC3E" w:rsidR="007F6B79" w:rsidRPr="00E601CA" w:rsidRDefault="00955122" w:rsidP="00E8319A">
      <w:pPr>
        <w:pStyle w:val="ListParagraph"/>
        <w:numPr>
          <w:ilvl w:val="0"/>
          <w:numId w:val="8"/>
        </w:numPr>
      </w:pPr>
      <w:r>
        <w:t>sommerliche Behaglichkeit in dem Gebäude oder Gebäudeteil.</w:t>
      </w:r>
    </w:p>
    <w:p w14:paraId="63B17E22" w14:textId="0D5ADB26" w:rsidR="000E74D7" w:rsidRPr="00E601CA" w:rsidRDefault="004F5DFA" w:rsidP="00951EDB">
      <w:pPr>
        <w:pStyle w:val="Heading3"/>
        <w:keepNext/>
        <w:numPr>
          <w:ilvl w:val="0"/>
          <w:numId w:val="0"/>
        </w:numPr>
        <w:ind w:left="270" w:firstLine="14"/>
      </w:pPr>
      <w:bookmarkStart w:id="8" w:name="_Ref49444596"/>
      <w:bookmarkStart w:id="9" w:name="_Ref49445153"/>
      <w:bookmarkStart w:id="10" w:name="_Ref49445983"/>
      <w:r>
        <w:rPr>
          <w:b w:val="0"/>
        </w:rPr>
        <w:t>Artikel 6.</w:t>
      </w:r>
      <w:r>
        <w:t xml:space="preserve"> (Indikatoren Bbio, Cep,nr, Cep</w:t>
      </w:r>
      <w:bookmarkEnd w:id="8"/>
      <w:r>
        <w:t>, Ic</w:t>
      </w:r>
      <w:r>
        <w:rPr>
          <w:vertAlign w:val="subscript"/>
        </w:rPr>
        <w:t>Energie</w:t>
      </w:r>
      <w:r>
        <w:t>)</w:t>
      </w:r>
      <w:bookmarkEnd w:id="9"/>
      <w:bookmarkEnd w:id="10"/>
      <w:r>
        <w:t xml:space="preserve"> </w:t>
      </w:r>
    </w:p>
    <w:p w14:paraId="3146004B" w14:textId="3F7E3463" w:rsidR="00403395" w:rsidRPr="00E601CA" w:rsidRDefault="00955122" w:rsidP="007F40E5">
      <w:pPr>
        <w:pStyle w:val="ListParagraph"/>
        <w:ind w:left="697" w:hanging="340"/>
      </w:pPr>
      <w:r>
        <w:t>Der konventionelle bioklimatische Energiebedarf eines Gebäudes für Heizung, Kühlung und künstliche Beleuchtung wird durch einen Koeffizienten mit der Bezeichnung Bbio angegeben. Dieser Koeffizient ist dimensionslos und wird als Punktezahl ausgedrückt.</w:t>
      </w:r>
    </w:p>
    <w:p w14:paraId="3FB46BE1" w14:textId="370BED7D" w:rsidR="00AF71B5" w:rsidRPr="00E601CA" w:rsidRDefault="0054020D" w:rsidP="007F40E5">
      <w:pPr>
        <w:pStyle w:val="ListParagraph"/>
        <w:ind w:left="697" w:hanging="340"/>
      </w:pPr>
      <w:r>
        <w:t xml:space="preserve">Der Verbrauch des Gebäudes an nicht erneuerbarer Primärenergie – der für vorgegebene Betriebsbedingungen berechnet wird – für Heizung, Kühlung, Warmwasserbereitung, Beleuchtung, Mobilität der Bewohner innerhalb des Gebäudes sowie für Hilfseinrichtungen für die Heizung, Kühlung, Warmwasserbereitung und Lüftung wird durch einen Indikator mit der Bezeichnung Cep,nr angegeben, der in kWh/(m²a) Primärenergie ausgedrückt wird. </w:t>
      </w:r>
    </w:p>
    <w:p w14:paraId="27145566" w14:textId="6E755DED" w:rsidR="00B0058C" w:rsidRPr="00E601CA" w:rsidRDefault="00AF71B5" w:rsidP="007F40E5">
      <w:pPr>
        <w:pStyle w:val="ListParagraph"/>
        <w:ind w:left="697" w:hanging="340"/>
      </w:pPr>
      <w:r>
        <w:lastRenderedPageBreak/>
        <w:t>Der Primärenergieverbrauch des Gebäudes – der für vorgegebene Betriebsbedingungen berechnet wird – für Heizung, Kühlung, Warmwasserbereitung, Beleuchtung, Mobilität der Bewohner innerhalb des Gebäudes sowie für Hilfseinrichtungen für die Heizung, Kühlung, Warmwasserbereitung und Lüftung wird durch einen Indikator mit der Bezeichnung Cep angegeben, der in kWh/(m²a) Primärenergie ausgedrückt wird. Bei diesem Indikator werden erneuerbare Energien, die auf dem Grundstück des Gebäudes für die Nutzung des Gebäudes gewonnen werden, nicht als Primärenergieverbrauch gezählt.</w:t>
      </w:r>
    </w:p>
    <w:p w14:paraId="30D9FF78" w14:textId="22FA2D21" w:rsidR="00C24832" w:rsidRPr="00E601CA" w:rsidRDefault="004B3E2E" w:rsidP="007F40E5">
      <w:pPr>
        <w:pStyle w:val="ListParagraph"/>
        <w:ind w:left="697" w:hanging="340"/>
      </w:pPr>
      <w:r>
        <w:t xml:space="preserve">Die Auswirkung auf den Klimawandel, die mit dem durch den im </w:t>
      </w:r>
      <w:r>
        <w:rPr>
          <w:highlight w:val="yellow"/>
        </w:rPr>
        <w:t>vorstehenden Absatz</w:t>
      </w:r>
      <w:r>
        <w:t xml:space="preserve"> definierten Indikator Cep angegebenen Primärenergieverbrauch verbunden ist, wird durch einen Indikator mit der Bezeichnung Ic</w:t>
      </w:r>
      <w:r>
        <w:rPr>
          <w:vertAlign w:val="subscript"/>
        </w:rPr>
        <w:t>Energie</w:t>
      </w:r>
      <w:r>
        <w:t xml:space="preserve"> angegeben, der in kg CO</w:t>
      </w:r>
      <w:r>
        <w:rPr>
          <w:vertAlign w:val="subscript"/>
        </w:rPr>
        <w:t>2</w:t>
      </w:r>
      <w:r>
        <w:t xml:space="preserve">-Äquivalent/m² ausgedrückt wird. </w:t>
      </w:r>
    </w:p>
    <w:p w14:paraId="016BBB5C" w14:textId="66DAAA97" w:rsidR="0034685B" w:rsidRPr="00E601CA" w:rsidRDefault="00224648" w:rsidP="00224648">
      <w:r>
        <w:t>Die Indikatoren Bbio, Cep,nr, Cep und Ic</w:t>
      </w:r>
      <w:r>
        <w:rPr>
          <w:vertAlign w:val="subscript"/>
        </w:rPr>
        <w:t>Energie</w:t>
      </w:r>
      <w:r>
        <w:t xml:space="preserve"> werden nach den in Artikel 17 festgelegten Modalitäten berechnet.</w:t>
      </w:r>
    </w:p>
    <w:p w14:paraId="12395633" w14:textId="3649FA79" w:rsidR="00CD66A8" w:rsidRPr="00E601CA" w:rsidRDefault="004F5DFA" w:rsidP="00951EDB">
      <w:pPr>
        <w:pStyle w:val="Heading3"/>
        <w:keepNext/>
        <w:numPr>
          <w:ilvl w:val="0"/>
          <w:numId w:val="0"/>
        </w:numPr>
        <w:ind w:left="270" w:firstLine="14"/>
      </w:pPr>
      <w:bookmarkStart w:id="11" w:name="_Ref49444647"/>
      <w:r>
        <w:rPr>
          <w:b w:val="0"/>
        </w:rPr>
        <w:t>Artikel 7.</w:t>
      </w:r>
      <w:r>
        <w:t xml:space="preserve"> </w:t>
      </w:r>
      <w:bookmarkStart w:id="12" w:name="_Ref51004279"/>
      <w:r>
        <w:t>(Indikatoren Ic</w:t>
      </w:r>
      <w:r>
        <w:rPr>
          <w:vertAlign w:val="subscript"/>
        </w:rPr>
        <w:t>Komponenten</w:t>
      </w:r>
      <w:r>
        <w:t>, Ic</w:t>
      </w:r>
      <w:r>
        <w:rPr>
          <w:vertAlign w:val="subscript"/>
        </w:rPr>
        <w:t>Gebäude</w:t>
      </w:r>
      <w:r>
        <w:t>)</w:t>
      </w:r>
      <w:bookmarkEnd w:id="11"/>
      <w:bookmarkEnd w:id="12"/>
      <w:r>
        <w:t xml:space="preserve"> </w:t>
      </w:r>
    </w:p>
    <w:p w14:paraId="46E4CF67" w14:textId="462FE9DE" w:rsidR="00CD66A8" w:rsidRPr="00E601CA" w:rsidRDefault="00CD66A8" w:rsidP="00E8319A">
      <w:pPr>
        <w:pStyle w:val="ListParagraph"/>
        <w:numPr>
          <w:ilvl w:val="0"/>
          <w:numId w:val="22"/>
        </w:numPr>
        <w:ind w:left="697" w:hanging="340"/>
      </w:pPr>
      <w:r>
        <w:t>Die mit den Komponenten des Gebäudes verbundene Auswirkung auf den Klimawandel, die über dessen gesamten Lebenszyklus unter Berücksichtigung der Speicherung von Kohlenstoff aus der Atmosphäre während der Lebensdauer des Gebäudes bewertet wird, wird durch einen Indikator mit der Bezeichnung IC</w:t>
      </w:r>
      <w:r>
        <w:rPr>
          <w:vertAlign w:val="subscript"/>
        </w:rPr>
        <w:t>Komponenten</w:t>
      </w:r>
      <w:r>
        <w:t xml:space="preserve"> angegeben, der in kg CO</w:t>
      </w:r>
      <w:r>
        <w:rPr>
          <w:vertAlign w:val="subscript"/>
        </w:rPr>
        <w:t>2</w:t>
      </w:r>
      <w:r>
        <w:t>-Äquivalent/m² ausgedrückt wird.</w:t>
      </w:r>
    </w:p>
    <w:p w14:paraId="7039236E" w14:textId="6AFC9B3F" w:rsidR="00CD66A8" w:rsidRPr="00E601CA" w:rsidRDefault="00CD66A8" w:rsidP="007F40E5">
      <w:pPr>
        <w:pStyle w:val="ListParagraph"/>
        <w:numPr>
          <w:ilvl w:val="0"/>
          <w:numId w:val="0"/>
        </w:numPr>
        <w:ind w:left="697"/>
      </w:pPr>
      <w:r>
        <w:t>Er entspricht der Auswirkung auf den Klimawandel in Zusammenhang mit der Herstellung der Gebäudekomponenten und deren Transport, Installation, Nutzung (mit Ausnahme des Energie- und Wasserbedarfs während der Betriebsphase des Gebäudes), Instandhaltung, Reparatur, Austausch sowie Lebensdauerende. Bei der Bewertung dieser Auswirkung werden die Kosten und Nutzen in Zusammenhang mit der Verwertung der Komponenten am Ende ihrer Lebensdauer berücksichtigt.</w:t>
      </w:r>
    </w:p>
    <w:p w14:paraId="12E58285" w14:textId="6DCF4F33" w:rsidR="0007134F" w:rsidRPr="00E601CA" w:rsidRDefault="00C24832" w:rsidP="007F40E5">
      <w:pPr>
        <w:pStyle w:val="ListParagraph"/>
        <w:ind w:left="697" w:hanging="340"/>
      </w:pPr>
      <w:r>
        <w:t>Die mit dem Gebäude verbundene Auswirkung auf den Klimawandel, die über dessen gesamten Lebenszyklus unter Berücksichtigung der Speicherung von Kohlenstoff aus der Atmosphäre während der Lebensdauer des Gebäudes bewertet wird, wird durch einen Indikator mit der Bezeichnung IC</w:t>
      </w:r>
      <w:r>
        <w:rPr>
          <w:vertAlign w:val="subscript"/>
        </w:rPr>
        <w:t>Gebäude</w:t>
      </w:r>
      <w:r>
        <w:t xml:space="preserve"> angegeben, der in kg CO</w:t>
      </w:r>
      <w:r>
        <w:rPr>
          <w:vertAlign w:val="subscript"/>
        </w:rPr>
        <w:t>2</w:t>
      </w:r>
      <w:r>
        <w:t>-Äquivalent/m² ausgedrückt wird. Er entspricht der Summe der Auswirkung der Komponenten Ic</w:t>
      </w:r>
      <w:r>
        <w:rPr>
          <w:vertAlign w:val="subscript"/>
        </w:rPr>
        <w:t>Komponenten</w:t>
      </w:r>
      <w:r>
        <w:t xml:space="preserve"> und des Energieverbrauchs Ic</w:t>
      </w:r>
      <w:r>
        <w:rPr>
          <w:vertAlign w:val="subscript"/>
        </w:rPr>
        <w:t>Energie</w:t>
      </w:r>
      <w:r>
        <w:t xml:space="preserve"> – die in Ziffer I des vorliegenden Artikels bzw. in Artikel 6 Ziffer IV genannt sind – auf den Klimawandel sowie der Auswirkung der Baustelle und des Wasserverbrauchs und </w:t>
      </w:r>
      <w:r>
        <w:noBreakHyphen/>
        <w:t>abflusses während des Betriebs des Gebäudes auf den Klimawandel.</w:t>
      </w:r>
    </w:p>
    <w:p w14:paraId="7C6A4805" w14:textId="39467505" w:rsidR="00224648" w:rsidRPr="00E601CA" w:rsidRDefault="00224648" w:rsidP="007F40E5">
      <w:pPr>
        <w:pStyle w:val="ListParagraph"/>
        <w:ind w:left="697" w:hanging="340"/>
      </w:pPr>
      <w:r>
        <w:t xml:space="preserve">Die Speicherung von biogenem Kohlenstoff während der Lebensdauer des Gebäudes wird durch einen Indikator mit der Bezeichnung SpeicherC angegeben, der in kg C/m² ausgedrückt wird. </w:t>
      </w:r>
    </w:p>
    <w:p w14:paraId="1459D4C4" w14:textId="459928E2" w:rsidR="00224648" w:rsidRPr="00E601CA" w:rsidRDefault="00224648" w:rsidP="007F40E5">
      <w:pPr>
        <w:pStyle w:val="ListParagraph"/>
        <w:spacing w:line="256" w:lineRule="auto"/>
        <w:ind w:left="697" w:hanging="340"/>
      </w:pPr>
      <w:r>
        <w:t>Der Anteil der Standardumweltdaten, die bei der Bewertung des Gebäudes herangezogen werden, wird durch einen in % ausgedrückten Indikator mit der Bezeichnung UDD angegeben. Er entspricht dem Anteil der Auswirkung auf den Klimawandel, die bei der Berechnung des Indikators Ic</w:t>
      </w:r>
      <w:r>
        <w:rPr>
          <w:vertAlign w:val="subscript"/>
        </w:rPr>
        <w:t>Komponenten</w:t>
      </w:r>
      <w:r>
        <w:t xml:space="preserve"> mit diesen Daten verbunden ist.</w:t>
      </w:r>
    </w:p>
    <w:p w14:paraId="5B869AF8" w14:textId="451E4A64" w:rsidR="00906764" w:rsidRPr="00E601CA" w:rsidRDefault="0010408E" w:rsidP="00DF0DDD">
      <w:r>
        <w:t>Die Indikatoren Ic</w:t>
      </w:r>
      <w:r>
        <w:rPr>
          <w:vertAlign w:val="subscript"/>
        </w:rPr>
        <w:t>Komponenten</w:t>
      </w:r>
      <w:r>
        <w:t>, Ic</w:t>
      </w:r>
      <w:r>
        <w:rPr>
          <w:vertAlign w:val="subscript"/>
        </w:rPr>
        <w:t>Gebäude</w:t>
      </w:r>
      <w:r>
        <w:t>, SpeicherC und UDD werden nach den in Artikel 17 festgelegten Modalitäten berechnet.</w:t>
      </w:r>
    </w:p>
    <w:p w14:paraId="1EC63338" w14:textId="3311EEE5" w:rsidR="00955122" w:rsidRPr="00E601CA" w:rsidRDefault="004F5DFA" w:rsidP="00951EDB">
      <w:pPr>
        <w:pStyle w:val="Heading3"/>
        <w:keepNext/>
        <w:numPr>
          <w:ilvl w:val="0"/>
          <w:numId w:val="0"/>
        </w:numPr>
        <w:ind w:left="270" w:firstLine="14"/>
      </w:pPr>
      <w:bookmarkStart w:id="13" w:name="_Ref49444607"/>
      <w:bookmarkStart w:id="14" w:name="_Ref49445995"/>
      <w:r>
        <w:rPr>
          <w:b w:val="0"/>
        </w:rPr>
        <w:lastRenderedPageBreak/>
        <w:t>Artikel 8.</w:t>
      </w:r>
      <w:r>
        <w:t xml:space="preserve"> (Indikator DH)</w:t>
      </w:r>
      <w:bookmarkEnd w:id="13"/>
      <w:bookmarkEnd w:id="14"/>
      <w:r>
        <w:t xml:space="preserve"> </w:t>
      </w:r>
    </w:p>
    <w:p w14:paraId="115FC7AE" w14:textId="1385287C" w:rsidR="00B22DB9" w:rsidRPr="00E601CA" w:rsidRDefault="00F96E3E" w:rsidP="00DF0DDD">
      <w:r>
        <w:t xml:space="preserve">Die als DH bezeichnete Anzahl der Gradstunden temperaturbedingter sommerlicher Unbehaglichkeit, die für jeden thermisch homogenen Gebäudeteil bewertet wird, wird in °C.h ausgedrückt. Sie drückt die Dauer und Intensität der Zeiträume temperaturbedingter Unbehaglichkeit in dem Gebäude innerhalb eines Jahres aus, in denen davon ausgegangen wird, dass die Innentemperatur zu Unbehaglichkeit führt. </w:t>
      </w:r>
    </w:p>
    <w:p w14:paraId="3B9E6651" w14:textId="3618C9B4" w:rsidR="00A47592" w:rsidRPr="00E601CA" w:rsidRDefault="00A47592" w:rsidP="00DF0DDD">
      <w:r>
        <w:t>Dieser Indikator DH wird nach den in Artikel 17 festgelegten Modalitäten berechnet.</w:t>
      </w:r>
    </w:p>
    <w:p w14:paraId="227C0986" w14:textId="27CA2AF8" w:rsidR="00B22DB9" w:rsidRPr="00E601CA" w:rsidRDefault="00265D3D" w:rsidP="00DD261D">
      <w:pPr>
        <w:pStyle w:val="Heading2"/>
        <w:keepNext/>
        <w:numPr>
          <w:ilvl w:val="0"/>
          <w:numId w:val="0"/>
        </w:numPr>
        <w:ind w:left="720" w:hanging="3"/>
      </w:pPr>
      <w:bookmarkStart w:id="15" w:name="_Ref49520504"/>
      <w:bookmarkStart w:id="16" w:name="_Ref57823331"/>
      <w:r>
        <w:t>KAPITEL IV.</w:t>
      </w:r>
      <w:r>
        <w:tab/>
        <w:t xml:space="preserve">ANFORDERUNGEN AN DIE ENERGIEEFFIZIENZ UND UMWELTVERTRÄGLICHKEIT UND </w:t>
      </w:r>
      <w:bookmarkEnd w:id="15"/>
      <w:r>
        <w:t>TECHNISCHE MINDESTEIGENSCHAFTEN</w:t>
      </w:r>
      <w:bookmarkEnd w:id="16"/>
    </w:p>
    <w:p w14:paraId="0B860CB6" w14:textId="0540BEE5" w:rsidR="00B273A1" w:rsidRPr="00E601CA" w:rsidRDefault="004F5DFA" w:rsidP="00951EDB">
      <w:pPr>
        <w:pStyle w:val="Heading3"/>
        <w:keepNext/>
        <w:numPr>
          <w:ilvl w:val="0"/>
          <w:numId w:val="0"/>
        </w:numPr>
        <w:ind w:left="270" w:firstLine="14"/>
      </w:pPr>
      <w:r>
        <w:rPr>
          <w:b w:val="0"/>
        </w:rPr>
        <w:t>Artikel 9.</w:t>
      </w:r>
      <w:r>
        <w:t xml:space="preserve"> </w:t>
      </w:r>
      <w:bookmarkStart w:id="17" w:name="_Ref49445573"/>
      <w:r>
        <w:t>(Leistungsanforderungen)</w:t>
      </w:r>
      <w:bookmarkEnd w:id="17"/>
      <w:r>
        <w:t xml:space="preserve"> </w:t>
      </w:r>
    </w:p>
    <w:p w14:paraId="7351A12A" w14:textId="1AA6B00E" w:rsidR="00473601" w:rsidRPr="00E601CA" w:rsidRDefault="00473601" w:rsidP="00DD261D">
      <w:pPr>
        <w:keepNext/>
      </w:pPr>
      <w:r>
        <w:t xml:space="preserve">Die unter den vorliegenden Erlass fallenden Gebäude oder Gebäudeteile müssen die nachfolgenden Anforderungen erfüllen, mit Ausnahme der in KAPITEL II aufgeführten Fälle, in denen alternativ die in KAPITEL VIII angegebenen Anforderungen erfüllt werden können: </w:t>
      </w:r>
    </w:p>
    <w:p w14:paraId="44FE9882" w14:textId="07BCBBF7" w:rsidR="00AA57C7" w:rsidRPr="00E601CA" w:rsidRDefault="00AA57C7" w:rsidP="00AA57C7">
      <w:pPr>
        <w:pStyle w:val="ListParagraph"/>
        <w:numPr>
          <w:ilvl w:val="0"/>
          <w:numId w:val="26"/>
        </w:numPr>
        <w:ind w:left="697" w:hanging="340"/>
      </w:pPr>
      <w:r>
        <w:t>Der Wert des Indikators Bbio des Gebäudes ist kleiner oder gleich dem Höchstwert Bbio_max, der nach den in Artikel 12 festgelegten Modalitäten bestimmt wird.</w:t>
      </w:r>
    </w:p>
    <w:p w14:paraId="25EEF9E0" w14:textId="6E83B304" w:rsidR="00BA671E" w:rsidRPr="00E601CA" w:rsidRDefault="00473601" w:rsidP="00E8319A">
      <w:pPr>
        <w:pStyle w:val="ListParagraph"/>
        <w:numPr>
          <w:ilvl w:val="0"/>
          <w:numId w:val="26"/>
        </w:numPr>
        <w:ind w:left="697" w:hanging="340"/>
      </w:pPr>
      <w:r>
        <w:t>Die Werte der Indikatoren Cep,nr, Cep und Ic</w:t>
      </w:r>
      <w:r>
        <w:rPr>
          <w:vertAlign w:val="subscript"/>
        </w:rPr>
        <w:t>Energie</w:t>
      </w:r>
      <w:r>
        <w:t xml:space="preserve"> des Gebäudes sind kleiner oder gleich den Höchstwerten Cep,nr_max, Cep_max bzw. Ic</w:t>
      </w:r>
      <w:r>
        <w:rPr>
          <w:vertAlign w:val="subscript"/>
        </w:rPr>
        <w:t>Energie</w:t>
      </w:r>
      <w:r>
        <w:t>_max, die nach den in Artikel 13 festgelegten Modalitäten bestimmt werden.</w:t>
      </w:r>
    </w:p>
    <w:p w14:paraId="0044CA09" w14:textId="4D779ACF" w:rsidR="00AA57C7" w:rsidRPr="00E601CA" w:rsidRDefault="00AA57C7" w:rsidP="00AA57C7">
      <w:pPr>
        <w:pStyle w:val="ListParagraph"/>
        <w:numPr>
          <w:ilvl w:val="0"/>
          <w:numId w:val="26"/>
        </w:numPr>
        <w:ind w:left="697" w:hanging="340"/>
      </w:pPr>
      <w:r>
        <w:t>Der Wert des Indikators Ic</w:t>
      </w:r>
      <w:r>
        <w:rPr>
          <w:vertAlign w:val="subscript"/>
        </w:rPr>
        <w:t>Komponenten</w:t>
      </w:r>
      <w:r>
        <w:t xml:space="preserve"> des Gebäudes ist kleiner oder gleich dem Höchstwert Ic</w:t>
      </w:r>
      <w:r>
        <w:rPr>
          <w:vertAlign w:val="subscript"/>
        </w:rPr>
        <w:t>Komponenten</w:t>
      </w:r>
      <w:r>
        <w:t>_max, der nach den in Artikel 14 festgelegten Modalitäten bestimmt wird.</w:t>
      </w:r>
    </w:p>
    <w:p w14:paraId="185D2BCB" w14:textId="007AE8DF" w:rsidR="008C561B" w:rsidRPr="00E601CA" w:rsidRDefault="00473601" w:rsidP="00E8319A">
      <w:pPr>
        <w:pStyle w:val="ListParagraph"/>
        <w:numPr>
          <w:ilvl w:val="0"/>
          <w:numId w:val="26"/>
        </w:numPr>
        <w:ind w:left="697" w:hanging="340"/>
      </w:pPr>
      <w:r>
        <w:t>Für jeden thermisch homogenen Gebäudeteil ist der Wert des Indikators DH des Gebäudes kleiner oder gleich dem Höchstwert DH_max, der nach den in Artikel 15 festgelegten Modalitäten bestimmt wird.</w:t>
      </w:r>
    </w:p>
    <w:p w14:paraId="18BC641E" w14:textId="0644552F" w:rsidR="00F86151" w:rsidRPr="00E601CA" w:rsidRDefault="000259A1" w:rsidP="00E8319A">
      <w:pPr>
        <w:pStyle w:val="ListParagraph"/>
        <w:numPr>
          <w:ilvl w:val="0"/>
          <w:numId w:val="26"/>
        </w:numPr>
        <w:ind w:left="697" w:hanging="340"/>
      </w:pPr>
      <w:r>
        <w:t>Die Leistungen für die Indikatoren Ic</w:t>
      </w:r>
      <w:r>
        <w:rPr>
          <w:vertAlign w:val="subscript"/>
        </w:rPr>
        <w:t>Gebäude</w:t>
      </w:r>
      <w:r>
        <w:t>, SpeicherC und UDD werden gemäß Artikel 17 bewertet.</w:t>
      </w:r>
    </w:p>
    <w:p w14:paraId="5CAF6CDF" w14:textId="068498F6" w:rsidR="00AA57C7" w:rsidRPr="00E601CA" w:rsidRDefault="00AA57C7" w:rsidP="00E8319A">
      <w:pPr>
        <w:pStyle w:val="ListParagraph"/>
        <w:numPr>
          <w:ilvl w:val="0"/>
          <w:numId w:val="26"/>
        </w:numPr>
        <w:ind w:left="697" w:hanging="340"/>
      </w:pPr>
      <w:r>
        <w:t>Die Leistungen der in dem in Artikel 17 genannten Erlass definierten Indikatoren können berechnet werden.</w:t>
      </w:r>
    </w:p>
    <w:p w14:paraId="6C25076C" w14:textId="0754AA32" w:rsidR="001D2511" w:rsidRPr="00E601CA" w:rsidRDefault="001D2511" w:rsidP="00DF0DDD">
      <w:r>
        <w:t>Die Bestimmungen des vorliegenden Artikels, mit Ausnahme der Bestimmungen in Bezug auf den Wert des Indikators Ic</w:t>
      </w:r>
      <w:r>
        <w:rPr>
          <w:vertAlign w:val="subscript"/>
        </w:rPr>
        <w:t>Komponenten</w:t>
      </w:r>
      <w:r>
        <w:t xml:space="preserve"> und die Bewertung des Indikators SpeicherC, gelten nur für Gebäudeteile mit Räumen, die bei normaler Nutzung auf eine Temperatur von mehr als 12 °C geheizt oder auf eine Temperatur von unter 28 °C gekühlt werden, sowie für die zugehörigen Parkplätze. Sie gelten insbesondere für alle zu Wohnzwecken genutzten Gebäudeteile.</w:t>
      </w:r>
    </w:p>
    <w:p w14:paraId="61838041" w14:textId="63D663D9" w:rsidR="0021289E" w:rsidRPr="00E601CA" w:rsidRDefault="004F5DFA" w:rsidP="00951EDB">
      <w:pPr>
        <w:pStyle w:val="Heading3"/>
        <w:keepNext/>
        <w:numPr>
          <w:ilvl w:val="0"/>
          <w:numId w:val="0"/>
        </w:numPr>
        <w:ind w:left="270" w:firstLine="14"/>
      </w:pPr>
      <w:r>
        <w:rPr>
          <w:b w:val="0"/>
        </w:rPr>
        <w:t>Artikel 10.</w:t>
      </w:r>
      <w:r>
        <w:t xml:space="preserve"> (Anforderungen an die Maßnahmen) </w:t>
      </w:r>
    </w:p>
    <w:p w14:paraId="42001029" w14:textId="26BA071E" w:rsidR="0021289E" w:rsidRPr="00E601CA" w:rsidRDefault="008E291D" w:rsidP="00DF0DDD">
      <w:r>
        <w:t>Die technischen Mindesteigenschaften bestimmter Komponenten oder Komponentengruppen der unter den vorliegenden Erlass fallenden Gebäude müssen die in TITEL III des vorliegenden Erlasses festgelegten Anforderungen erfüllen, mit Ausnahme der in KAPITEL II aufgeführten Fälle, in denen alternativ die in KAPITEL VIII angegebenen Anforderungen erfüllt werden können.</w:t>
      </w:r>
    </w:p>
    <w:p w14:paraId="2B9CA3C4" w14:textId="79AC4CF3" w:rsidR="008C561B" w:rsidRPr="00E601CA" w:rsidRDefault="004F5DFA" w:rsidP="00951EDB">
      <w:pPr>
        <w:pStyle w:val="Heading3"/>
        <w:keepNext/>
        <w:numPr>
          <w:ilvl w:val="0"/>
          <w:numId w:val="0"/>
        </w:numPr>
        <w:ind w:left="270" w:firstLine="14"/>
      </w:pPr>
      <w:bookmarkStart w:id="18" w:name="_Ref57881695"/>
      <w:r>
        <w:rPr>
          <w:b w:val="0"/>
        </w:rPr>
        <w:lastRenderedPageBreak/>
        <w:t>Artikel 11.</w:t>
      </w:r>
      <w:r>
        <w:t xml:space="preserve"> (Sonderfall – Titel IV)</w:t>
      </w:r>
      <w:bookmarkEnd w:id="18"/>
      <w:r>
        <w:t xml:space="preserve"> </w:t>
      </w:r>
    </w:p>
    <w:p w14:paraId="2991DAD7" w14:textId="33A2C721" w:rsidR="000E737C" w:rsidRPr="00E601CA" w:rsidRDefault="008C561B" w:rsidP="00DF0DDD">
      <w:r>
        <w:t>Gebäude, deren Eigenschaften mit den vereinfachten Anwendungsmethoden konform sind, die unter den in Titel IV des vorliegenden Erlasses beschriebenen Bedingungen genehmigt werden, gelten als Gebäude, welche die Anforderungen des vorliegenden Erlasses erfüllen.</w:t>
      </w:r>
    </w:p>
    <w:p w14:paraId="128AAB12" w14:textId="77777777" w:rsidR="00B273A1" w:rsidRPr="00E601CA" w:rsidRDefault="00B273A1" w:rsidP="00DF0DDD"/>
    <w:p w14:paraId="6CD1805E" w14:textId="628F7E60" w:rsidR="00B273A1" w:rsidRPr="00E601CA" w:rsidRDefault="008B5FAE" w:rsidP="007C4597">
      <w:pPr>
        <w:pStyle w:val="Heading1"/>
        <w:keepNext/>
        <w:numPr>
          <w:ilvl w:val="0"/>
          <w:numId w:val="0"/>
        </w:numPr>
        <w:ind w:left="1588" w:hanging="1588"/>
      </w:pPr>
      <w:bookmarkStart w:id="19" w:name="_Ref57881978"/>
      <w:r>
        <w:t>TITEL II.</w:t>
      </w:r>
      <w:r>
        <w:tab/>
        <w:t>BESCHREIBUNG DER ANFORDERUNGEN AN DIE ENERGIEEFFIZIENZ UND UMWELTVERTRÄGLICHKEIT</w:t>
      </w:r>
      <w:bookmarkEnd w:id="19"/>
    </w:p>
    <w:p w14:paraId="605B8883" w14:textId="75E469DA" w:rsidR="00403395" w:rsidRPr="00E601CA" w:rsidRDefault="00265D3D" w:rsidP="007C4597">
      <w:pPr>
        <w:pStyle w:val="Heading2"/>
        <w:keepNext/>
        <w:numPr>
          <w:ilvl w:val="0"/>
          <w:numId w:val="0"/>
        </w:numPr>
        <w:ind w:left="720" w:hanging="3"/>
      </w:pPr>
      <w:bookmarkStart w:id="20" w:name="_Ref49509178"/>
      <w:r>
        <w:t>KAPITEL V.</w:t>
      </w:r>
      <w:r>
        <w:tab/>
        <w:t>ANFORDERUNGEN AN DIE ENERGIEEFFIZIENZ UND UMWELTVERTRÄGLICHKEIT</w:t>
      </w:r>
      <w:bookmarkEnd w:id="20"/>
    </w:p>
    <w:p w14:paraId="3C368425" w14:textId="048837A9" w:rsidR="00B273A1" w:rsidRPr="00E601CA" w:rsidRDefault="004F5DFA" w:rsidP="007C4597">
      <w:pPr>
        <w:pStyle w:val="Heading3"/>
        <w:keepNext/>
        <w:numPr>
          <w:ilvl w:val="0"/>
          <w:numId w:val="0"/>
        </w:numPr>
        <w:ind w:left="270" w:firstLine="14"/>
      </w:pPr>
      <w:r>
        <w:rPr>
          <w:b w:val="0"/>
        </w:rPr>
        <w:t>Artikel 12.</w:t>
      </w:r>
      <w:r>
        <w:t xml:space="preserve"> </w:t>
      </w:r>
      <w:bookmarkStart w:id="21" w:name="_Ref57311083"/>
      <w:r>
        <w:t>(Bbio max)</w:t>
      </w:r>
      <w:bookmarkEnd w:id="21"/>
      <w:r>
        <w:t xml:space="preserve"> </w:t>
      </w:r>
    </w:p>
    <w:p w14:paraId="362A03FC" w14:textId="49AFC371" w:rsidR="00517FFB" w:rsidRPr="00E601CA" w:rsidRDefault="00517FFB" w:rsidP="00517FFB">
      <w:r>
        <w:t xml:space="preserve">Der in Artikel 9 genannte Höchstwert Bbio_max des Gebäudes wird wie folgt bestimmt: </w:t>
      </w:r>
    </w:p>
    <w:p w14:paraId="04E7A45B" w14:textId="000653B2" w:rsidR="00517FFB" w:rsidRPr="00E601CA" w:rsidRDefault="00517FFB" w:rsidP="00517FFB">
      <w:r>
        <w:t xml:space="preserve">Bbiomax = Bbio_maxmoyen × (1 + Mbgéo + Mbcombles + Mbsurf + Mbbruit) </w:t>
      </w:r>
    </w:p>
    <w:p w14:paraId="1644CE0F" w14:textId="5AE63247" w:rsidR="000259A1" w:rsidRPr="00E601CA" w:rsidRDefault="00517FFB" w:rsidP="00517FFB">
      <w:r>
        <w:t xml:space="preserve">Dabei gilt: </w:t>
      </w:r>
    </w:p>
    <w:p w14:paraId="41AD907A" w14:textId="36951144" w:rsidR="00517FFB" w:rsidRPr="00E601CA" w:rsidRDefault="00517FFB" w:rsidP="00517FFB">
      <w:r>
        <w:t xml:space="preserve">Bbio_maxmoyen: Wert der Anforderung Bbio_max für ein durchschnittliches Gebäude, abhängig von der Nutzung des Gebäudes oder Gebäudeteils, </w:t>
      </w:r>
    </w:p>
    <w:p w14:paraId="0E548A13" w14:textId="60C196EF" w:rsidR="00517FFB" w:rsidRPr="00E601CA" w:rsidRDefault="00517FFB" w:rsidP="00517FFB">
      <w:r>
        <w:t xml:space="preserve">Mbgéo: Modulationskoeffizient entsprechend der geografischen Lage (geografisches Gebiet und Höhe) des Gebäudes, </w:t>
      </w:r>
    </w:p>
    <w:p w14:paraId="7DC840A3" w14:textId="5089B9E6" w:rsidR="00A22FA7" w:rsidRPr="00E601CA" w:rsidRDefault="00A22FA7" w:rsidP="00517FFB">
      <w:r>
        <w:t>Mbcombles: Modulationskoeffizient entsprechend der Bodenfläche von ausgebauten Dachgeschossen in dem Gebäude,</w:t>
      </w:r>
    </w:p>
    <w:p w14:paraId="4349C55D" w14:textId="30D10B16" w:rsidR="003A6E3E" w:rsidRPr="00E601CA" w:rsidRDefault="003A6E3E" w:rsidP="00517FFB">
      <w:r>
        <w:t>Mbsurf: Modulationskoeffizient entsprechend der durchschnittlichen Fläche der Wohnungen in dem Gebäude oder Gebäudeteil oder entsprechend der Fläche des Gebäudes oder Gebäudeteils,</w:t>
      </w:r>
    </w:p>
    <w:p w14:paraId="32498348" w14:textId="567D3D19" w:rsidR="00517FFB" w:rsidRPr="00E601CA" w:rsidRDefault="00517FFB" w:rsidP="00517FFB">
      <w:r>
        <w:t>Mbbruit: Modulationskoeffizient entsprechend der Lärmexposition durch die Verkehrsinfrastruktur in der Nähe des Gebäudes.</w:t>
      </w:r>
    </w:p>
    <w:p w14:paraId="4598E750" w14:textId="76E9B312" w:rsidR="00517FFB" w:rsidRPr="00E601CA" w:rsidRDefault="00517FFB" w:rsidP="00517FFB">
      <w:r>
        <w:t>Die Werte von Bbio_maxmoyen und der Modulationskoeffizienten sind in ANHANG IV festgelegt.</w:t>
      </w:r>
    </w:p>
    <w:p w14:paraId="2B725A16" w14:textId="3338A467" w:rsidR="00B273A1" w:rsidRPr="00E601CA" w:rsidRDefault="004F5DFA" w:rsidP="00951EDB">
      <w:pPr>
        <w:pStyle w:val="Heading3"/>
        <w:keepNext/>
        <w:numPr>
          <w:ilvl w:val="0"/>
          <w:numId w:val="0"/>
        </w:numPr>
        <w:ind w:left="270" w:firstLine="14"/>
      </w:pPr>
      <w:bookmarkStart w:id="22" w:name="_Ref57387808"/>
      <w:r>
        <w:rPr>
          <w:b w:val="0"/>
        </w:rPr>
        <w:t>Artikel 13.</w:t>
      </w:r>
      <w:r>
        <w:t xml:space="preserve"> (Cepmax, Cep,nr_max und Ic</w:t>
      </w:r>
      <w:r>
        <w:rPr>
          <w:vertAlign w:val="subscript"/>
        </w:rPr>
        <w:t>Energie</w:t>
      </w:r>
      <w:r>
        <w:t>_max)</w:t>
      </w:r>
      <w:bookmarkEnd w:id="22"/>
      <w:r>
        <w:t xml:space="preserve"> </w:t>
      </w:r>
    </w:p>
    <w:p w14:paraId="79011437" w14:textId="7E879E64" w:rsidR="00517FFB" w:rsidRPr="00E601CA" w:rsidRDefault="00EE4A1A" w:rsidP="00517FFB">
      <w:r>
        <w:t>Die in Artikel 9 genannten Höchstwerte Cep,nr_max, Cepmax und Ic</w:t>
      </w:r>
      <w:r>
        <w:rPr>
          <w:vertAlign w:val="subscript"/>
        </w:rPr>
        <w:t>Energie</w:t>
      </w:r>
      <w:r>
        <w:t xml:space="preserve">_max des Gebäudes werden wie folgt bestimmt: </w:t>
      </w:r>
    </w:p>
    <w:p w14:paraId="37FC6FFF" w14:textId="04F79BFC" w:rsidR="0054020D" w:rsidRPr="00E601CA" w:rsidRDefault="0054020D" w:rsidP="0054020D">
      <w:r>
        <w:t>Cep,nr_max = Cep,nr_maxmoyen × (1 + Mcgéo + Mccombles + Mcsurf + Mccat)</w:t>
      </w:r>
    </w:p>
    <w:p w14:paraId="39717C7D" w14:textId="6ADF5087" w:rsidR="00517FFB" w:rsidRPr="00E601CA" w:rsidRDefault="00517FFB" w:rsidP="00517FFB">
      <w:r>
        <w:t>Cep_max = Cep_maxmoyen × (1 + Mcgéo + Mccombles + Mcsurf + Mccat)</w:t>
      </w:r>
    </w:p>
    <w:p w14:paraId="51C1A0A6" w14:textId="14212B67" w:rsidR="00517FFB" w:rsidRPr="00E601CA" w:rsidRDefault="001E3DC2" w:rsidP="00517FFB">
      <w:r>
        <w:t>Ic</w:t>
      </w:r>
      <w:r>
        <w:rPr>
          <w:vertAlign w:val="subscript"/>
        </w:rPr>
        <w:t>Energie</w:t>
      </w:r>
      <w:r>
        <w:t>_max = Ic</w:t>
      </w:r>
      <w:r>
        <w:rPr>
          <w:vertAlign w:val="subscript"/>
        </w:rPr>
        <w:t>Energie</w:t>
      </w:r>
      <w:r>
        <w:t>_maxmoyen× (1 + Mcgéo + Mccombles + Mcsurf + Mccat)</w:t>
      </w:r>
    </w:p>
    <w:p w14:paraId="17751900" w14:textId="7E8DDAD0" w:rsidR="00517FFB" w:rsidRPr="00E601CA" w:rsidRDefault="00EE4A1A" w:rsidP="00517FFB">
      <w:r>
        <w:t xml:space="preserve">Dabei gilt: </w:t>
      </w:r>
    </w:p>
    <w:p w14:paraId="096CCFE6" w14:textId="138908BC" w:rsidR="0054020D" w:rsidRPr="00E601CA" w:rsidRDefault="0054020D" w:rsidP="00517FFB">
      <w:r>
        <w:t>Cep,nr_maxmoyen, Cep_maxmoyen, Ic</w:t>
      </w:r>
      <w:r>
        <w:rPr>
          <w:vertAlign w:val="subscript"/>
        </w:rPr>
        <w:t>Energie</w:t>
      </w:r>
      <w:r>
        <w:t>_maxmoyen: jeweilige Werte der Anforderung Cep,nr_max, Cep_max und Ic</w:t>
      </w:r>
      <w:r>
        <w:rPr>
          <w:vertAlign w:val="subscript"/>
        </w:rPr>
        <w:t>Energie</w:t>
      </w:r>
      <w:r>
        <w:t xml:space="preserve">_max für ein durchschnittliches Gebäude, abhängig von der Nutzung des Gebäudes oder Gebäudeteils, </w:t>
      </w:r>
    </w:p>
    <w:p w14:paraId="6859DD43" w14:textId="252C666C" w:rsidR="00517FFB" w:rsidRPr="00E601CA" w:rsidRDefault="00517FFB" w:rsidP="00517FFB">
      <w:r>
        <w:lastRenderedPageBreak/>
        <w:t>Mcgéo: Modulationskoeffizient entsprechend der geografischen Lage (geografisches Gebiet und Höhe) des Gebäudes,</w:t>
      </w:r>
    </w:p>
    <w:p w14:paraId="33620F5B" w14:textId="4EAD7C34" w:rsidR="00A22FA7" w:rsidRPr="00E601CA" w:rsidRDefault="00A22FA7" w:rsidP="00517FFB">
      <w:r>
        <w:t>Mccombles: Modulationskoeffizient entsprechend der Bodenfläche von ausgebauten Dachgeschossen in dem Gebäude,</w:t>
      </w:r>
    </w:p>
    <w:p w14:paraId="6865AC51" w14:textId="7C31E54A" w:rsidR="00517FFB" w:rsidRPr="00E601CA" w:rsidRDefault="00517FFB" w:rsidP="00517FFB">
      <w:r>
        <w:t>Mcsurf: Modulationskoeffizient entsprechend der durchschnittlichen Fläche der Wohnungen in dem Gebäude oder Gebäudeteil oder entsprechend der Fläche des Gebäudes oder Gebäudeteils,</w:t>
      </w:r>
    </w:p>
    <w:p w14:paraId="1F909358" w14:textId="711D8EAA" w:rsidR="00517FFB" w:rsidRPr="00E601CA" w:rsidRDefault="008B5EC4" w:rsidP="00517FFB">
      <w:r>
        <w:t>Mccat: Modulationskoeffizient entsprechend der Kategorie der Außenbelastung des Gebäudes.</w:t>
      </w:r>
    </w:p>
    <w:p w14:paraId="7185C07D" w14:textId="33D44F0D" w:rsidR="00517FFB" w:rsidRPr="00E601CA" w:rsidRDefault="00517FFB" w:rsidP="00517FFB">
      <w:r>
        <w:t>Die Werte von Cep,nr_maxmoyen, Cep_maxmoyen, Ic</w:t>
      </w:r>
      <w:r>
        <w:rPr>
          <w:vertAlign w:val="subscript"/>
        </w:rPr>
        <w:t>Energie</w:t>
      </w:r>
      <w:r>
        <w:t>_maxmoyen und der Modulationskoeffizienten sind in ANHANG IV festgelegt.</w:t>
      </w:r>
    </w:p>
    <w:p w14:paraId="5CF6D582" w14:textId="382C5C16" w:rsidR="00B273A1" w:rsidRPr="00E601CA" w:rsidRDefault="004F5DFA" w:rsidP="00951EDB">
      <w:pPr>
        <w:pStyle w:val="Heading3"/>
        <w:keepNext/>
        <w:numPr>
          <w:ilvl w:val="0"/>
          <w:numId w:val="0"/>
        </w:numPr>
        <w:ind w:left="270" w:firstLine="14"/>
      </w:pPr>
      <w:r>
        <w:rPr>
          <w:b w:val="0"/>
        </w:rPr>
        <w:t>Artikel 14.</w:t>
      </w:r>
      <w:r>
        <w:t xml:space="preserve"> </w:t>
      </w:r>
      <w:bookmarkStart w:id="23" w:name="_Ref57398791"/>
      <w:r>
        <w:t>(Ic</w:t>
      </w:r>
      <w:r>
        <w:rPr>
          <w:vertAlign w:val="subscript"/>
        </w:rPr>
        <w:t>Komponenten</w:t>
      </w:r>
      <w:r>
        <w:t>_max)</w:t>
      </w:r>
      <w:bookmarkEnd w:id="23"/>
      <w:r>
        <w:t xml:space="preserve"> </w:t>
      </w:r>
    </w:p>
    <w:p w14:paraId="23340A97" w14:textId="0F06850B" w:rsidR="00166544" w:rsidRPr="00E601CA" w:rsidRDefault="00166544" w:rsidP="00166544">
      <w:r>
        <w:t>Der in Artikel 9 genannte Höchstwert Ic</w:t>
      </w:r>
      <w:r>
        <w:rPr>
          <w:vertAlign w:val="subscript"/>
        </w:rPr>
        <w:t>Komponenten</w:t>
      </w:r>
      <w:r>
        <w:t xml:space="preserve">_max des Gebäudes wird wie folgt bestimmt: </w:t>
      </w:r>
    </w:p>
    <w:p w14:paraId="1E86F882" w14:textId="578AD8AC" w:rsidR="00166544" w:rsidRPr="00E601CA" w:rsidRDefault="00166544" w:rsidP="00166544">
      <w:r>
        <w:t>Ic</w:t>
      </w:r>
      <w:r>
        <w:rPr>
          <w:vertAlign w:val="subscript"/>
        </w:rPr>
        <w:t>Komponenten</w:t>
      </w:r>
      <w:r>
        <w:t>_max = Ic</w:t>
      </w:r>
      <w:r>
        <w:rPr>
          <w:vertAlign w:val="subscript"/>
        </w:rPr>
        <w:t>Komponenten</w:t>
      </w:r>
      <w:r>
        <w:t>_maxmoyen × (1 + Micombles + Misurf) + Miinfra</w:t>
      </w:r>
    </w:p>
    <w:p w14:paraId="3AF848CD" w14:textId="77777777" w:rsidR="00166544" w:rsidRPr="00E601CA" w:rsidRDefault="00166544" w:rsidP="00166544">
      <w:r>
        <w:t xml:space="preserve">Dabei gilt: </w:t>
      </w:r>
    </w:p>
    <w:p w14:paraId="620DB571" w14:textId="6315F971" w:rsidR="00166544" w:rsidRPr="00E601CA" w:rsidRDefault="00166544" w:rsidP="00166544">
      <w:r>
        <w:t>Ic</w:t>
      </w:r>
      <w:r>
        <w:rPr>
          <w:vertAlign w:val="subscript"/>
        </w:rPr>
        <w:t>Komponenten</w:t>
      </w:r>
      <w:r>
        <w:t>_maxmoyen: Wert der Anforderung Ic</w:t>
      </w:r>
      <w:r>
        <w:rPr>
          <w:vertAlign w:val="subscript"/>
        </w:rPr>
        <w:t>Komponenten</w:t>
      </w:r>
      <w:r>
        <w:t xml:space="preserve">_max für ein durchschnittliches Gebäude, abhängig von der Nutzung des Gebäudes oder Gebäudeteils, </w:t>
      </w:r>
    </w:p>
    <w:p w14:paraId="42F68924" w14:textId="7082B3F3" w:rsidR="00166544" w:rsidRPr="00E601CA" w:rsidRDefault="00166544" w:rsidP="00166544">
      <w:r>
        <w:t>Micombles: Modulationskoeffizient entsprechend der Bodenfläche von ausgebauten Dachgeschossen in dem Gebäude,</w:t>
      </w:r>
    </w:p>
    <w:p w14:paraId="06F802CC" w14:textId="5C6AE008" w:rsidR="00166544" w:rsidRPr="00E601CA" w:rsidRDefault="00166544" w:rsidP="00166544">
      <w:r>
        <w:t>Misurf: Modulationskoeffizient entsprechend der durchschnittlichen Fläche der Wohnungen in dem Gebäude oder Gebäudeteil oder entsprechend der Fläche des Gebäudes oder Gebäudeteils,</w:t>
      </w:r>
    </w:p>
    <w:p w14:paraId="739001FB" w14:textId="77777777" w:rsidR="00166544" w:rsidRPr="00E601CA" w:rsidRDefault="00166544" w:rsidP="00166544">
      <w:r>
        <w:t>Miinfra: Modulationskoeffizient entsprechend der Auswirkung der Fundamente und Kellerräume des Gebäudes.</w:t>
      </w:r>
    </w:p>
    <w:p w14:paraId="76A8EB06" w14:textId="7C2696F2" w:rsidR="00166544" w:rsidRPr="00E601CA" w:rsidRDefault="00166544" w:rsidP="00166544">
      <w:r>
        <w:t>Die Werte von Ic</w:t>
      </w:r>
      <w:r>
        <w:rPr>
          <w:vertAlign w:val="subscript"/>
        </w:rPr>
        <w:t>Komponenten</w:t>
      </w:r>
      <w:r>
        <w:t>_maxmoyen und der Modulationskoeffizienten sind in ANHANG IV festgelegt.</w:t>
      </w:r>
    </w:p>
    <w:p w14:paraId="79EF2479" w14:textId="7CDBB436" w:rsidR="00B273A1" w:rsidRPr="00E601CA" w:rsidRDefault="004F5DFA" w:rsidP="00951EDB">
      <w:pPr>
        <w:pStyle w:val="Heading3"/>
        <w:keepNext/>
        <w:numPr>
          <w:ilvl w:val="0"/>
          <w:numId w:val="0"/>
        </w:numPr>
        <w:ind w:left="270" w:firstLine="14"/>
      </w:pPr>
      <w:bookmarkStart w:id="24" w:name="_Ref57823895"/>
      <w:r>
        <w:rPr>
          <w:b w:val="0"/>
        </w:rPr>
        <w:t>Artikel 15.</w:t>
      </w:r>
      <w:r>
        <w:t xml:space="preserve"> (DH_max)</w:t>
      </w:r>
      <w:bookmarkEnd w:id="24"/>
      <w:r>
        <w:t xml:space="preserve"> </w:t>
      </w:r>
    </w:p>
    <w:p w14:paraId="128B262D" w14:textId="72E96EC6" w:rsidR="003E02A1" w:rsidRPr="00E601CA" w:rsidRDefault="003E02A1" w:rsidP="003E02A1">
      <w:r>
        <w:t xml:space="preserve">Der in Artikel 9 genannte Höchstwert DH_max des Gebäudes wird wie folgt bestimmt: </w:t>
      </w:r>
    </w:p>
    <w:p w14:paraId="1B2214A5" w14:textId="7B54E436" w:rsidR="003E02A1" w:rsidRPr="00E601CA" w:rsidRDefault="003E02A1" w:rsidP="003E02A1">
      <w:r>
        <w:t xml:space="preserve">DH_max = DH_maxcat </w:t>
      </w:r>
    </w:p>
    <w:p w14:paraId="6B196358" w14:textId="4BE0B2E6" w:rsidR="00773CDF" w:rsidRPr="00E601CA" w:rsidRDefault="00773CDF" w:rsidP="003E02A1">
      <w:r>
        <w:t xml:space="preserve">Dabei gilt: </w:t>
      </w:r>
    </w:p>
    <w:p w14:paraId="063C0E81" w14:textId="726FF17D" w:rsidR="00713976" w:rsidRPr="00E601CA" w:rsidRDefault="009265F3" w:rsidP="003E02A1">
      <w:r>
        <w:t>DH_maxcat: Wert der Anforderung DH_max, angegeben durch die Kategorien der Außenbelastung.</w:t>
      </w:r>
    </w:p>
    <w:p w14:paraId="64037D57" w14:textId="004BA5F5" w:rsidR="00773CDF" w:rsidRPr="00E601CA" w:rsidRDefault="00773CDF" w:rsidP="00773CDF">
      <w:r>
        <w:t>Die Werte für DH_maxcat sind in ANHANG IV festgelegt.</w:t>
      </w:r>
    </w:p>
    <w:p w14:paraId="5E6EE221" w14:textId="23240B0E" w:rsidR="00773CDF" w:rsidRPr="00E601CA" w:rsidRDefault="004F5DFA" w:rsidP="00951EDB">
      <w:pPr>
        <w:pStyle w:val="Heading3"/>
        <w:keepNext/>
        <w:numPr>
          <w:ilvl w:val="0"/>
          <w:numId w:val="0"/>
        </w:numPr>
        <w:ind w:left="270" w:firstLine="14"/>
      </w:pPr>
      <w:r>
        <w:rPr>
          <w:b w:val="0"/>
        </w:rPr>
        <w:t>Artikel 16.</w:t>
      </w:r>
      <w:r>
        <w:t xml:space="preserve"> (Anforderungen an Mehrzweckgebäude) </w:t>
      </w:r>
    </w:p>
    <w:p w14:paraId="63AD6314" w14:textId="7DF7B08C" w:rsidR="00A54D22" w:rsidRPr="00E601CA" w:rsidRDefault="00773CDF" w:rsidP="00773CDF">
      <w:r>
        <w:t>Bei Gebäuden mit mehreren Zonen, die durch ihre Nutzung definiert sind, werden die Werte Bbio_max, Cep,nr_max, Cep_max, Ic</w:t>
      </w:r>
      <w:r>
        <w:rPr>
          <w:vertAlign w:val="subscript"/>
        </w:rPr>
        <w:t>Energie</w:t>
      </w:r>
      <w:r>
        <w:t>_max und Ic</w:t>
      </w:r>
      <w:r>
        <w:rPr>
          <w:vertAlign w:val="subscript"/>
        </w:rPr>
        <w:t>Komponenten</w:t>
      </w:r>
      <w:r>
        <w:t>_max des Gebäudes im Verhältnis zu den Bezugsflächen jeder Zone, jeweils anhand der Werte Bbio_max, Cep,nr_max, Cep_max, Ic</w:t>
      </w:r>
      <w:r>
        <w:rPr>
          <w:vertAlign w:val="subscript"/>
        </w:rPr>
        <w:t>Energie</w:t>
      </w:r>
      <w:r>
        <w:t>_max und Ic</w:t>
      </w:r>
      <w:r>
        <w:rPr>
          <w:vertAlign w:val="subscript"/>
        </w:rPr>
        <w:t>Komponenten</w:t>
      </w:r>
      <w:r>
        <w:t>_max der verschiedenen Zonen, berechnet.</w:t>
      </w:r>
    </w:p>
    <w:p w14:paraId="5A7B5BA2" w14:textId="712A5D93" w:rsidR="00773CDF" w:rsidRPr="00E601CA" w:rsidRDefault="00A54D22" w:rsidP="00773CDF">
      <w:r>
        <w:lastRenderedPageBreak/>
        <w:t>Für den Fall, dass ein Gebäudeteil innerhalb des Gebäudes eine untergeordnete Fläche darstellt, werden in Artikel 2 die Bedingungen festgelegt, unter denen dieser Gebäudeteil der Hauptnutzung des Gebäudes gleichgestellt werden kann.</w:t>
      </w:r>
    </w:p>
    <w:p w14:paraId="0B93D8B4" w14:textId="5E23C5AF" w:rsidR="00032417" w:rsidRPr="00E601CA" w:rsidRDefault="00265D3D" w:rsidP="007C4597">
      <w:pPr>
        <w:pStyle w:val="Heading2"/>
        <w:keepNext/>
        <w:numPr>
          <w:ilvl w:val="0"/>
          <w:numId w:val="0"/>
        </w:numPr>
        <w:ind w:left="720" w:hanging="3"/>
      </w:pPr>
      <w:r>
        <w:t>KAPITEL VI.</w:t>
      </w:r>
      <w:r>
        <w:tab/>
        <w:t>BEWERTUNG DER EINHALTUNG DER ANFORDERUNGEN</w:t>
      </w:r>
    </w:p>
    <w:p w14:paraId="232B15DE" w14:textId="246BAFB0" w:rsidR="00166544" w:rsidRPr="00E601CA" w:rsidRDefault="004F5DFA" w:rsidP="00951EDB">
      <w:pPr>
        <w:pStyle w:val="Heading3"/>
        <w:keepNext/>
        <w:numPr>
          <w:ilvl w:val="0"/>
          <w:numId w:val="0"/>
        </w:numPr>
        <w:ind w:left="270" w:firstLine="14"/>
      </w:pPr>
      <w:bookmarkStart w:id="25" w:name="_Ref49446041"/>
      <w:bookmarkStart w:id="26" w:name="_Ref49444761"/>
      <w:bookmarkStart w:id="27" w:name="_Ref57397390"/>
      <w:r>
        <w:rPr>
          <w:b w:val="0"/>
        </w:rPr>
        <w:t>Artikel 17.</w:t>
      </w:r>
      <w:r>
        <w:t xml:space="preserve"> (Berechnungsverfahren)</w:t>
      </w:r>
      <w:bookmarkEnd w:id="25"/>
      <w:r>
        <w:t xml:space="preserve"> </w:t>
      </w:r>
      <w:bookmarkEnd w:id="26"/>
      <w:bookmarkEnd w:id="27"/>
    </w:p>
    <w:p w14:paraId="7C54BD97" w14:textId="2D18D2C6" w:rsidR="00F55AE3" w:rsidRPr="00E601CA" w:rsidRDefault="00766CC2" w:rsidP="00F55AE3">
      <w:r>
        <w:t>Gemäß Artikel R. 111-20-5 Absatz 1 der Bau- und Wohnungsordnung wird durch ein Berechnungsverfahren die Energieeffizienz und Umweltverträglichkeit des Gebäudes – insbesondere in Bezug auf die in den Artikeln 6 bis 8 beschriebenen Indikatoren – anhand der Eigenschaften des Gebäudes und seiner Komponenten ermittelt.</w:t>
      </w:r>
    </w:p>
    <w:p w14:paraId="066D3695" w14:textId="3E441141" w:rsidR="00224648" w:rsidRPr="00E601CA" w:rsidRDefault="00224648" w:rsidP="007C4597">
      <w:pPr>
        <w:keepNext/>
      </w:pPr>
      <w:r>
        <w:t>Hierbei gilt insbesondere Folgendes:</w:t>
      </w:r>
    </w:p>
    <w:p w14:paraId="1242DECA" w14:textId="31FE7FF5" w:rsidR="00224648" w:rsidRPr="00E601CA" w:rsidRDefault="00224648" w:rsidP="00E8319A">
      <w:pPr>
        <w:pStyle w:val="ListParagraph"/>
        <w:numPr>
          <w:ilvl w:val="0"/>
          <w:numId w:val="11"/>
        </w:numPr>
      </w:pPr>
      <w:r>
        <w:t>Die in den Artikeln 6 und 8 beschriebenen Indikatoren werden insbesondere unter Verwendung konventioneller Klima- und Nutzungsintensitätsdaten berechnet.</w:t>
      </w:r>
    </w:p>
    <w:p w14:paraId="5D143BB5" w14:textId="76FF800D" w:rsidR="00224648" w:rsidRPr="00E601CA" w:rsidRDefault="00224648" w:rsidP="00E8319A">
      <w:pPr>
        <w:pStyle w:val="ListParagraph"/>
        <w:numPr>
          <w:ilvl w:val="0"/>
          <w:numId w:val="11"/>
        </w:numPr>
      </w:pPr>
      <w:r>
        <w:t>Die Berechnung der Indikatoren Bbio, Cep,nr und Cep erfolgt auf der Grundlage des Zeitraums von einem Jahr.</w:t>
      </w:r>
    </w:p>
    <w:p w14:paraId="39F54C67" w14:textId="3C4FF0A6" w:rsidR="00257E0C" w:rsidRPr="00E601CA" w:rsidRDefault="00257E0C" w:rsidP="00E8319A">
      <w:pPr>
        <w:pStyle w:val="ListParagraph"/>
        <w:numPr>
          <w:ilvl w:val="0"/>
          <w:numId w:val="11"/>
        </w:numPr>
      </w:pPr>
      <w:r>
        <w:t>Die Berechnung der Indikatoren für die Auswirkung auf den Klimawandel Ic</w:t>
      </w:r>
      <w:r>
        <w:rPr>
          <w:vertAlign w:val="subscript"/>
        </w:rPr>
        <w:t>Energie</w:t>
      </w:r>
      <w:r>
        <w:t>, Ic</w:t>
      </w:r>
      <w:r>
        <w:rPr>
          <w:vertAlign w:val="subscript"/>
        </w:rPr>
        <w:t>Komponenten</w:t>
      </w:r>
      <w:r>
        <w:t xml:space="preserve"> und Ic</w:t>
      </w:r>
      <w:r>
        <w:rPr>
          <w:vertAlign w:val="subscript"/>
        </w:rPr>
        <w:t>Gebäude</w:t>
      </w:r>
      <w:r>
        <w:t xml:space="preserve"> erfolgt insbesondere unter Verwendung der in Artikel 20 angegebenen Koeffizienten und unter Berücksichtigung der Festlegung, dass das Gebäude eine Lebensdauer von 50 Jahren hat, mit Ausnahme des in Artikel 31 genannten Falls.</w:t>
      </w:r>
    </w:p>
    <w:p w14:paraId="6170B015" w14:textId="61CFD281" w:rsidR="00224648" w:rsidRPr="00E601CA" w:rsidRDefault="00224648" w:rsidP="00E8319A">
      <w:pPr>
        <w:pStyle w:val="ListParagraph"/>
        <w:numPr>
          <w:ilvl w:val="0"/>
          <w:numId w:val="11"/>
        </w:numPr>
      </w:pPr>
      <w:r>
        <w:t xml:space="preserve">Bei der Berechnung des Indikators Cep,nr werden die in Artikel 18 </w:t>
      </w:r>
      <w:r>
        <w:rPr>
          <w:highlight w:val="yellow"/>
        </w:rPr>
        <w:t>Ziffer I</w:t>
      </w:r>
      <w:r>
        <w:t xml:space="preserve"> festgelegten Koeffizienten berücksichtigt.</w:t>
      </w:r>
    </w:p>
    <w:p w14:paraId="2BD87012" w14:textId="7CCB77E0" w:rsidR="00224648" w:rsidRPr="00E601CA" w:rsidRDefault="00224648" w:rsidP="00E8319A">
      <w:pPr>
        <w:pStyle w:val="ListParagraph"/>
        <w:numPr>
          <w:ilvl w:val="0"/>
          <w:numId w:val="11"/>
        </w:numPr>
      </w:pPr>
      <w:r>
        <w:t xml:space="preserve">Bei der Berechnung des Indikators Cep werden die in Artikel 18 </w:t>
      </w:r>
      <w:r>
        <w:rPr>
          <w:highlight w:val="yellow"/>
        </w:rPr>
        <w:t>Ziffer II</w:t>
      </w:r>
      <w:r>
        <w:t xml:space="preserve"> festgelegten Koeffizienten berücksichtigt.</w:t>
      </w:r>
    </w:p>
    <w:p w14:paraId="3664898D" w14:textId="24C2C47D" w:rsidR="00031402" w:rsidRPr="00E601CA" w:rsidRDefault="00224648" w:rsidP="00031402">
      <w:pPr>
        <w:pStyle w:val="ListParagraph"/>
        <w:numPr>
          <w:ilvl w:val="0"/>
          <w:numId w:val="11"/>
        </w:numPr>
      </w:pPr>
      <w:r>
        <w:t>Bei der Berechnung des Indikators Ic</w:t>
      </w:r>
      <w:r>
        <w:rPr>
          <w:vertAlign w:val="subscript"/>
        </w:rPr>
        <w:t>Energie</w:t>
      </w:r>
      <w:r>
        <w:t xml:space="preserve"> werden die in Artikel 20 festgelegten Koeffizienten berücksichtigt.</w:t>
      </w:r>
    </w:p>
    <w:p w14:paraId="4F568CEB" w14:textId="354E884A" w:rsidR="00933F50" w:rsidRPr="00E601CA" w:rsidRDefault="00224648" w:rsidP="00031402">
      <w:r>
        <w:t xml:space="preserve">Der Inhalt dieses Berechnungsverfahrens ist in dem Erlass vom </w:t>
      </w:r>
      <w:r>
        <w:rPr>
          <w:highlight w:val="yellow"/>
        </w:rPr>
        <w:t>XXX</w:t>
      </w:r>
      <w:r>
        <w:t xml:space="preserve"> zur Genehmigung des Berechnungsverfahrens gemäß Artikel R. 111-20-5 der Bau- und Wohnungsordnung beschrieben.</w:t>
      </w:r>
    </w:p>
    <w:p w14:paraId="59D67835" w14:textId="2F6A7B35" w:rsidR="00933F50" w:rsidRPr="00E601CA" w:rsidRDefault="004F5DFA" w:rsidP="00951EDB">
      <w:pPr>
        <w:pStyle w:val="Heading3"/>
        <w:keepNext/>
        <w:numPr>
          <w:ilvl w:val="0"/>
          <w:numId w:val="0"/>
        </w:numPr>
        <w:ind w:left="270" w:firstLine="14"/>
      </w:pPr>
      <w:bookmarkStart w:id="28" w:name="_Ref57897368"/>
      <w:bookmarkStart w:id="29" w:name="_Ref49444870"/>
      <w:bookmarkStart w:id="30" w:name="_Ref57374332"/>
      <w:r>
        <w:rPr>
          <w:b w:val="0"/>
        </w:rPr>
        <w:t>Artikel 18.</w:t>
      </w:r>
      <w:r>
        <w:t xml:space="preserve"> (PEF)</w:t>
      </w:r>
      <w:bookmarkEnd w:id="28"/>
      <w:r>
        <w:t xml:space="preserve"> </w:t>
      </w:r>
      <w:bookmarkEnd w:id="29"/>
      <w:bookmarkEnd w:id="30"/>
    </w:p>
    <w:p w14:paraId="0591754B" w14:textId="5EF8A97A" w:rsidR="00D96D9A" w:rsidRPr="00E601CA" w:rsidRDefault="00D96D9A" w:rsidP="007C4597">
      <w:pPr>
        <w:pStyle w:val="ListParagraph"/>
        <w:keepNext/>
        <w:numPr>
          <w:ilvl w:val="0"/>
          <w:numId w:val="21"/>
        </w:numPr>
        <w:spacing w:after="0"/>
        <w:ind w:left="697" w:hanging="340"/>
      </w:pPr>
      <w:r>
        <w:t xml:space="preserve">Die Koeffizienten für die Umwandlung der in das Gebäude eintretenden Energie in nicht erneuerbare Primärenergie werden bei der Bestimmung des in Artikel 6 </w:t>
      </w:r>
      <w:r>
        <w:rPr>
          <w:highlight w:val="yellow"/>
        </w:rPr>
        <w:t>Ziffer II</w:t>
      </w:r>
      <w:r>
        <w:t xml:space="preserve"> des vorliegenden Erlasses beschriebenen Indikators Cep,nr verwendet und haben vereinbarungsgemäß folgende Werte:</w:t>
      </w:r>
    </w:p>
    <w:p w14:paraId="384D82F5" w14:textId="77777777" w:rsidR="00D96D9A" w:rsidRPr="00E601CA" w:rsidRDefault="00D96D9A" w:rsidP="007C4597">
      <w:pPr>
        <w:keepNext/>
        <w:spacing w:after="0"/>
        <w:ind w:left="697" w:hanging="34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5394"/>
      </w:tblGrid>
      <w:tr w:rsidR="00D96D9A" w:rsidRPr="00E601CA" w14:paraId="4E940AD9" w14:textId="77777777" w:rsidTr="003D7B82">
        <w:trPr>
          <w:jc w:val="right"/>
        </w:trPr>
        <w:tc>
          <w:tcPr>
            <w:tcW w:w="3114" w:type="dxa"/>
            <w:tcBorders>
              <w:top w:val="single" w:sz="4" w:space="0" w:color="auto"/>
              <w:left w:val="single" w:sz="4" w:space="0" w:color="auto"/>
              <w:bottom w:val="single" w:sz="4" w:space="0" w:color="auto"/>
              <w:right w:val="single" w:sz="4" w:space="0" w:color="auto"/>
            </w:tcBorders>
            <w:vAlign w:val="center"/>
          </w:tcPr>
          <w:p w14:paraId="10A5BA23" w14:textId="77777777" w:rsidR="00D96D9A" w:rsidRPr="00E601CA" w:rsidRDefault="00D96D9A" w:rsidP="007C4597">
            <w:pPr>
              <w:pStyle w:val="pa"/>
              <w:keepNext/>
              <w:spacing w:after="0"/>
              <w:jc w:val="center"/>
              <w:rPr>
                <w:rFonts w:asciiTheme="minorHAnsi" w:hAnsiTheme="minorHAnsi"/>
                <w:b/>
              </w:rPr>
            </w:pPr>
            <w:r>
              <w:rPr>
                <w:rFonts w:asciiTheme="minorHAnsi" w:hAnsiTheme="minorHAnsi"/>
                <w:b/>
              </w:rPr>
              <w:t>Typ der durch das Gebäude importierten Energie</w:t>
            </w:r>
          </w:p>
        </w:tc>
        <w:tc>
          <w:tcPr>
            <w:tcW w:w="5394" w:type="dxa"/>
            <w:tcBorders>
              <w:top w:val="single" w:sz="4" w:space="0" w:color="auto"/>
              <w:left w:val="single" w:sz="4" w:space="0" w:color="auto"/>
              <w:bottom w:val="single" w:sz="4" w:space="0" w:color="auto"/>
              <w:right w:val="single" w:sz="4" w:space="0" w:color="auto"/>
            </w:tcBorders>
            <w:vAlign w:val="center"/>
          </w:tcPr>
          <w:p w14:paraId="40E28EFB" w14:textId="77777777" w:rsidR="00D96D9A" w:rsidRPr="00E601CA" w:rsidRDefault="00D96D9A" w:rsidP="007C4597">
            <w:pPr>
              <w:pStyle w:val="pa"/>
              <w:keepNext/>
              <w:spacing w:after="0"/>
              <w:jc w:val="center"/>
              <w:rPr>
                <w:rFonts w:asciiTheme="minorHAnsi" w:hAnsiTheme="minorHAnsi"/>
                <w:b/>
              </w:rPr>
            </w:pPr>
            <w:r>
              <w:rPr>
                <w:rFonts w:asciiTheme="minorHAnsi" w:hAnsiTheme="minorHAnsi"/>
                <w:b/>
              </w:rPr>
              <w:t>Koeffizienten für die Umwandlung der in das Gebäude eintretenden Energie in nicht erneuerbare Primärenergie</w:t>
            </w:r>
          </w:p>
        </w:tc>
      </w:tr>
      <w:tr w:rsidR="00D96D9A" w:rsidRPr="00E601CA" w14:paraId="2D8B16D7" w14:textId="77777777" w:rsidTr="003D7B82">
        <w:trPr>
          <w:jc w:val="right"/>
        </w:trPr>
        <w:tc>
          <w:tcPr>
            <w:tcW w:w="3114" w:type="dxa"/>
            <w:tcBorders>
              <w:top w:val="single" w:sz="4" w:space="0" w:color="auto"/>
              <w:left w:val="single" w:sz="4" w:space="0" w:color="auto"/>
              <w:bottom w:val="single" w:sz="4" w:space="0" w:color="auto"/>
              <w:right w:val="single" w:sz="4" w:space="0" w:color="auto"/>
            </w:tcBorders>
            <w:vAlign w:val="center"/>
            <w:hideMark/>
          </w:tcPr>
          <w:p w14:paraId="2071149B" w14:textId="77777777" w:rsidR="00D96D9A" w:rsidRPr="00E601CA" w:rsidRDefault="00D96D9A" w:rsidP="003D7B82">
            <w:pPr>
              <w:pStyle w:val="pa"/>
              <w:spacing w:after="0"/>
              <w:ind w:left="57"/>
              <w:jc w:val="left"/>
              <w:rPr>
                <w:rFonts w:asciiTheme="minorHAnsi" w:hAnsiTheme="minorHAnsi"/>
              </w:rPr>
            </w:pPr>
            <w:r>
              <w:rPr>
                <w:rFonts w:asciiTheme="minorHAnsi" w:hAnsiTheme="minorHAnsi"/>
              </w:rPr>
              <w:t>Holz</w:t>
            </w:r>
          </w:p>
        </w:tc>
        <w:tc>
          <w:tcPr>
            <w:tcW w:w="5394" w:type="dxa"/>
            <w:tcBorders>
              <w:top w:val="single" w:sz="4" w:space="0" w:color="auto"/>
              <w:left w:val="single" w:sz="4" w:space="0" w:color="auto"/>
              <w:bottom w:val="single" w:sz="4" w:space="0" w:color="auto"/>
              <w:right w:val="single" w:sz="4" w:space="0" w:color="auto"/>
            </w:tcBorders>
            <w:vAlign w:val="center"/>
          </w:tcPr>
          <w:p w14:paraId="2D3035C2" w14:textId="77777777" w:rsidR="00D96D9A" w:rsidRPr="00E601CA" w:rsidRDefault="00D96D9A" w:rsidP="003D7B82">
            <w:pPr>
              <w:pStyle w:val="pa"/>
              <w:spacing w:after="0"/>
              <w:jc w:val="center"/>
              <w:rPr>
                <w:rFonts w:asciiTheme="minorHAnsi" w:hAnsiTheme="minorHAnsi"/>
              </w:rPr>
            </w:pPr>
            <w:r>
              <w:rPr>
                <w:rFonts w:asciiTheme="minorHAnsi" w:hAnsiTheme="minorHAnsi"/>
              </w:rPr>
              <w:t>0</w:t>
            </w:r>
          </w:p>
        </w:tc>
      </w:tr>
      <w:tr w:rsidR="00D96D9A" w:rsidRPr="00E601CA" w14:paraId="3DA1695A" w14:textId="77777777" w:rsidTr="003D7B82">
        <w:trPr>
          <w:jc w:val="right"/>
        </w:trPr>
        <w:tc>
          <w:tcPr>
            <w:tcW w:w="3114" w:type="dxa"/>
            <w:tcBorders>
              <w:top w:val="single" w:sz="4" w:space="0" w:color="auto"/>
              <w:left w:val="single" w:sz="4" w:space="0" w:color="auto"/>
              <w:bottom w:val="single" w:sz="4" w:space="0" w:color="auto"/>
              <w:right w:val="single" w:sz="4" w:space="0" w:color="auto"/>
            </w:tcBorders>
            <w:vAlign w:val="center"/>
            <w:hideMark/>
          </w:tcPr>
          <w:p w14:paraId="4BF7F4E5" w14:textId="77777777" w:rsidR="00D96D9A" w:rsidRPr="00E601CA" w:rsidRDefault="00D96D9A" w:rsidP="003D7B82">
            <w:pPr>
              <w:pStyle w:val="pa"/>
              <w:spacing w:after="0"/>
              <w:ind w:left="57"/>
              <w:jc w:val="left"/>
              <w:rPr>
                <w:rFonts w:asciiTheme="minorHAnsi" w:hAnsiTheme="minorHAnsi"/>
              </w:rPr>
            </w:pPr>
            <w:r>
              <w:rPr>
                <w:rFonts w:asciiTheme="minorHAnsi" w:hAnsiTheme="minorHAnsi"/>
              </w:rPr>
              <w:t>Strom</w:t>
            </w:r>
          </w:p>
        </w:tc>
        <w:tc>
          <w:tcPr>
            <w:tcW w:w="5394" w:type="dxa"/>
            <w:tcBorders>
              <w:top w:val="single" w:sz="4" w:space="0" w:color="auto"/>
              <w:left w:val="single" w:sz="4" w:space="0" w:color="auto"/>
              <w:bottom w:val="single" w:sz="4" w:space="0" w:color="auto"/>
              <w:right w:val="single" w:sz="4" w:space="0" w:color="auto"/>
            </w:tcBorders>
            <w:vAlign w:val="center"/>
          </w:tcPr>
          <w:p w14:paraId="027AD747" w14:textId="77777777" w:rsidR="00D96D9A" w:rsidRPr="00E601CA" w:rsidRDefault="00D96D9A" w:rsidP="003D7B82">
            <w:pPr>
              <w:pStyle w:val="pa"/>
              <w:spacing w:after="0"/>
              <w:jc w:val="center"/>
              <w:rPr>
                <w:rFonts w:asciiTheme="minorHAnsi" w:hAnsiTheme="minorHAnsi"/>
              </w:rPr>
            </w:pPr>
            <w:r>
              <w:rPr>
                <w:rFonts w:asciiTheme="minorHAnsi" w:hAnsiTheme="minorHAnsi"/>
              </w:rPr>
              <w:t>2,3</w:t>
            </w:r>
          </w:p>
        </w:tc>
      </w:tr>
      <w:tr w:rsidR="00D96D9A" w:rsidRPr="00E601CA" w14:paraId="11728F32" w14:textId="77777777" w:rsidTr="003D7B82">
        <w:trPr>
          <w:jc w:val="right"/>
        </w:trPr>
        <w:tc>
          <w:tcPr>
            <w:tcW w:w="3114" w:type="dxa"/>
            <w:tcBorders>
              <w:top w:val="single" w:sz="4" w:space="0" w:color="auto"/>
              <w:left w:val="single" w:sz="4" w:space="0" w:color="auto"/>
              <w:bottom w:val="single" w:sz="4" w:space="0" w:color="auto"/>
              <w:right w:val="single" w:sz="4" w:space="0" w:color="auto"/>
            </w:tcBorders>
            <w:vAlign w:val="center"/>
            <w:hideMark/>
          </w:tcPr>
          <w:p w14:paraId="74538221" w14:textId="4489C0EF" w:rsidR="00D96D9A" w:rsidRPr="00E601CA" w:rsidRDefault="00D96D9A" w:rsidP="003D7B82">
            <w:pPr>
              <w:pStyle w:val="pa"/>
              <w:spacing w:after="0"/>
              <w:ind w:left="57"/>
              <w:jc w:val="left"/>
              <w:rPr>
                <w:rFonts w:asciiTheme="minorHAnsi" w:hAnsiTheme="minorHAnsi"/>
              </w:rPr>
            </w:pPr>
            <w:r>
              <w:rPr>
                <w:rFonts w:asciiTheme="minorHAnsi" w:hAnsiTheme="minorHAnsi"/>
              </w:rPr>
              <w:t>Fernwärmenetz (Wärme)</w:t>
            </w:r>
          </w:p>
        </w:tc>
        <w:tc>
          <w:tcPr>
            <w:tcW w:w="5394" w:type="dxa"/>
            <w:tcBorders>
              <w:top w:val="single" w:sz="4" w:space="0" w:color="auto"/>
              <w:left w:val="single" w:sz="4" w:space="0" w:color="auto"/>
              <w:bottom w:val="single" w:sz="4" w:space="0" w:color="auto"/>
              <w:right w:val="single" w:sz="4" w:space="0" w:color="auto"/>
            </w:tcBorders>
            <w:vAlign w:val="center"/>
          </w:tcPr>
          <w:p w14:paraId="42B41410" w14:textId="73BB59E0" w:rsidR="00D96D9A" w:rsidRPr="00E601CA" w:rsidRDefault="00D96D9A" w:rsidP="003D7B82">
            <w:pPr>
              <w:pStyle w:val="Tableau"/>
              <w:jc w:val="center"/>
              <w:rPr>
                <w:rFonts w:asciiTheme="minorHAnsi" w:hAnsiTheme="minorHAnsi"/>
                <w:sz w:val="22"/>
                <w:szCs w:val="22"/>
              </w:rPr>
            </w:pPr>
            <w:r>
              <w:rPr>
                <w:rFonts w:asciiTheme="minorHAnsi" w:hAnsiTheme="minorHAnsi"/>
                <w:sz w:val="22"/>
              </w:rPr>
              <w:t>1 – Quote der erneuerbaren Energie oder der Rückgewinnung des Netzes (Wärme)</w:t>
            </w:r>
          </w:p>
        </w:tc>
      </w:tr>
      <w:tr w:rsidR="00D96D9A" w:rsidRPr="00E601CA" w14:paraId="76D18529" w14:textId="77777777" w:rsidTr="003D7B82">
        <w:trPr>
          <w:jc w:val="right"/>
        </w:trPr>
        <w:tc>
          <w:tcPr>
            <w:tcW w:w="3114" w:type="dxa"/>
            <w:tcBorders>
              <w:top w:val="single" w:sz="4" w:space="0" w:color="auto"/>
              <w:left w:val="single" w:sz="4" w:space="0" w:color="auto"/>
              <w:bottom w:val="single" w:sz="4" w:space="0" w:color="auto"/>
              <w:right w:val="single" w:sz="4" w:space="0" w:color="auto"/>
            </w:tcBorders>
            <w:vAlign w:val="center"/>
          </w:tcPr>
          <w:p w14:paraId="72EC1B6C" w14:textId="77777777" w:rsidR="00D96D9A" w:rsidRPr="00E601CA" w:rsidRDefault="00D96D9A" w:rsidP="003D7B82">
            <w:pPr>
              <w:pStyle w:val="pa"/>
              <w:spacing w:after="0"/>
              <w:ind w:left="57"/>
              <w:jc w:val="left"/>
              <w:rPr>
                <w:rFonts w:asciiTheme="minorHAnsi" w:hAnsiTheme="minorHAnsi"/>
              </w:rPr>
            </w:pPr>
            <w:r>
              <w:rPr>
                <w:rFonts w:asciiTheme="minorHAnsi" w:hAnsiTheme="minorHAnsi"/>
              </w:rPr>
              <w:t>Fernwärmenetz (Kälte)</w:t>
            </w:r>
          </w:p>
        </w:tc>
        <w:tc>
          <w:tcPr>
            <w:tcW w:w="5394" w:type="dxa"/>
            <w:tcBorders>
              <w:top w:val="single" w:sz="4" w:space="0" w:color="auto"/>
              <w:left w:val="single" w:sz="4" w:space="0" w:color="auto"/>
              <w:bottom w:val="single" w:sz="4" w:space="0" w:color="auto"/>
              <w:right w:val="single" w:sz="4" w:space="0" w:color="auto"/>
            </w:tcBorders>
            <w:vAlign w:val="center"/>
          </w:tcPr>
          <w:p w14:paraId="66E4E928" w14:textId="4E13C347" w:rsidR="00D96D9A" w:rsidRPr="00E601CA" w:rsidRDefault="00D96D9A" w:rsidP="003D7B82">
            <w:pPr>
              <w:pStyle w:val="Tableau"/>
              <w:jc w:val="center"/>
              <w:rPr>
                <w:rFonts w:asciiTheme="minorHAnsi" w:hAnsiTheme="minorHAnsi"/>
                <w:sz w:val="22"/>
                <w:szCs w:val="22"/>
              </w:rPr>
            </w:pPr>
            <w:r>
              <w:rPr>
                <w:rFonts w:asciiTheme="minorHAnsi" w:hAnsiTheme="minorHAnsi"/>
                <w:sz w:val="22"/>
              </w:rPr>
              <w:t>1</w:t>
            </w:r>
          </w:p>
        </w:tc>
      </w:tr>
      <w:tr w:rsidR="00D96D9A" w:rsidRPr="00E601CA" w14:paraId="728A3B48" w14:textId="77777777" w:rsidTr="003D7B82">
        <w:trPr>
          <w:jc w:val="right"/>
        </w:trPr>
        <w:tc>
          <w:tcPr>
            <w:tcW w:w="3114" w:type="dxa"/>
            <w:tcBorders>
              <w:top w:val="single" w:sz="4" w:space="0" w:color="auto"/>
              <w:left w:val="single" w:sz="4" w:space="0" w:color="auto"/>
              <w:bottom w:val="single" w:sz="4" w:space="0" w:color="auto"/>
              <w:right w:val="single" w:sz="4" w:space="0" w:color="auto"/>
            </w:tcBorders>
            <w:vAlign w:val="center"/>
          </w:tcPr>
          <w:p w14:paraId="5EEE69BB" w14:textId="77777777" w:rsidR="00D96D9A" w:rsidRPr="00E601CA" w:rsidRDefault="00D96D9A" w:rsidP="003D7B82">
            <w:pPr>
              <w:pStyle w:val="pa"/>
              <w:spacing w:after="0"/>
              <w:ind w:left="57"/>
              <w:jc w:val="left"/>
              <w:rPr>
                <w:rFonts w:asciiTheme="minorHAnsi" w:hAnsiTheme="minorHAnsi"/>
              </w:rPr>
            </w:pPr>
            <w:r>
              <w:rPr>
                <w:rFonts w:asciiTheme="minorHAnsi" w:hAnsiTheme="minorHAnsi"/>
              </w:rPr>
              <w:lastRenderedPageBreak/>
              <w:t>Sonstige nicht erneuerbare Energien</w:t>
            </w:r>
          </w:p>
        </w:tc>
        <w:tc>
          <w:tcPr>
            <w:tcW w:w="5394" w:type="dxa"/>
            <w:tcBorders>
              <w:top w:val="single" w:sz="4" w:space="0" w:color="auto"/>
              <w:left w:val="single" w:sz="4" w:space="0" w:color="auto"/>
              <w:bottom w:val="single" w:sz="4" w:space="0" w:color="auto"/>
              <w:right w:val="single" w:sz="4" w:space="0" w:color="auto"/>
            </w:tcBorders>
            <w:vAlign w:val="center"/>
          </w:tcPr>
          <w:p w14:paraId="7B5B243D" w14:textId="77777777" w:rsidR="00D96D9A" w:rsidRPr="00E601CA" w:rsidRDefault="00D96D9A" w:rsidP="003D7B82">
            <w:pPr>
              <w:pStyle w:val="Tableau"/>
              <w:jc w:val="center"/>
              <w:rPr>
                <w:rFonts w:asciiTheme="minorHAnsi" w:hAnsiTheme="minorHAnsi"/>
                <w:sz w:val="22"/>
                <w:szCs w:val="22"/>
              </w:rPr>
            </w:pPr>
            <w:r>
              <w:rPr>
                <w:rFonts w:asciiTheme="minorHAnsi" w:hAnsiTheme="minorHAnsi"/>
                <w:sz w:val="22"/>
              </w:rPr>
              <w:t>1</w:t>
            </w:r>
          </w:p>
        </w:tc>
      </w:tr>
      <w:tr w:rsidR="00D96D9A" w:rsidRPr="00E601CA" w14:paraId="3CBFE8FA" w14:textId="77777777" w:rsidTr="003D7B82">
        <w:trPr>
          <w:jc w:val="right"/>
        </w:trPr>
        <w:tc>
          <w:tcPr>
            <w:tcW w:w="3114" w:type="dxa"/>
            <w:tcBorders>
              <w:top w:val="single" w:sz="4" w:space="0" w:color="auto"/>
              <w:left w:val="single" w:sz="4" w:space="0" w:color="auto"/>
              <w:bottom w:val="single" w:sz="4" w:space="0" w:color="auto"/>
              <w:right w:val="single" w:sz="4" w:space="0" w:color="auto"/>
            </w:tcBorders>
            <w:vAlign w:val="center"/>
          </w:tcPr>
          <w:p w14:paraId="3C113490" w14:textId="77777777" w:rsidR="00D96D9A" w:rsidRPr="00E601CA" w:rsidRDefault="00D96D9A" w:rsidP="003D7B82">
            <w:pPr>
              <w:pStyle w:val="pa"/>
              <w:spacing w:after="0"/>
              <w:ind w:left="57"/>
              <w:jc w:val="left"/>
              <w:rPr>
                <w:rFonts w:asciiTheme="minorHAnsi" w:hAnsiTheme="minorHAnsi"/>
              </w:rPr>
            </w:pPr>
            <w:r>
              <w:rPr>
                <w:rFonts w:asciiTheme="minorHAnsi" w:hAnsiTheme="minorHAnsi"/>
              </w:rPr>
              <w:t>Erneuerbare Energie, die aus dem Gebäude oder auf dem Grundstück gewonnen wird</w:t>
            </w:r>
          </w:p>
        </w:tc>
        <w:tc>
          <w:tcPr>
            <w:tcW w:w="5394" w:type="dxa"/>
            <w:tcBorders>
              <w:top w:val="single" w:sz="4" w:space="0" w:color="auto"/>
              <w:left w:val="single" w:sz="4" w:space="0" w:color="auto"/>
              <w:bottom w:val="single" w:sz="4" w:space="0" w:color="auto"/>
              <w:right w:val="single" w:sz="4" w:space="0" w:color="auto"/>
            </w:tcBorders>
            <w:vAlign w:val="center"/>
          </w:tcPr>
          <w:p w14:paraId="7B1A5871" w14:textId="77777777" w:rsidR="00D96D9A" w:rsidRPr="00E601CA" w:rsidRDefault="00D96D9A" w:rsidP="003D7B82">
            <w:pPr>
              <w:pStyle w:val="Tableau"/>
              <w:jc w:val="center"/>
              <w:rPr>
                <w:rFonts w:asciiTheme="minorHAnsi" w:hAnsiTheme="minorHAnsi"/>
                <w:sz w:val="22"/>
                <w:szCs w:val="22"/>
              </w:rPr>
            </w:pPr>
            <w:r>
              <w:rPr>
                <w:rFonts w:asciiTheme="minorHAnsi" w:hAnsiTheme="minorHAnsi"/>
                <w:sz w:val="22"/>
              </w:rPr>
              <w:t>0</w:t>
            </w:r>
          </w:p>
        </w:tc>
      </w:tr>
    </w:tbl>
    <w:p w14:paraId="29599776" w14:textId="77777777" w:rsidR="00D96D9A" w:rsidRPr="00E601CA" w:rsidRDefault="00D96D9A" w:rsidP="007F40E5">
      <w:pPr>
        <w:spacing w:after="0"/>
        <w:ind w:left="697" w:hanging="340"/>
      </w:pPr>
    </w:p>
    <w:p w14:paraId="3443BB7B" w14:textId="7573EA65" w:rsidR="00E52D22" w:rsidRPr="00E601CA" w:rsidRDefault="00E52D22" w:rsidP="007C4597">
      <w:pPr>
        <w:spacing w:after="0"/>
        <w:ind w:left="734"/>
      </w:pPr>
      <w:r>
        <w:t>Die Quote der erneuerbaren Energie oder der Rückgewinnung der Fernwärmenetze (Wärme) wird für jede bestehende Infrastruktur durch einen Erlass festgelegt.</w:t>
      </w:r>
    </w:p>
    <w:p w14:paraId="5CABDF55" w14:textId="048AA4C3" w:rsidR="00933F50" w:rsidRPr="00E601CA" w:rsidRDefault="00933F50" w:rsidP="00E8319A">
      <w:pPr>
        <w:pStyle w:val="ListParagraph"/>
        <w:keepNext/>
        <w:numPr>
          <w:ilvl w:val="0"/>
          <w:numId w:val="21"/>
        </w:numPr>
        <w:spacing w:after="0"/>
        <w:ind w:left="697" w:hanging="340"/>
      </w:pPr>
      <w:r>
        <w:t xml:space="preserve">Die Koeffizienten für die Umwandlung der in das Gebäude eintretenden Energie in Primärenergie werden bei der Bestimmung des in Artikel 6 </w:t>
      </w:r>
      <w:r>
        <w:rPr>
          <w:highlight w:val="yellow"/>
        </w:rPr>
        <w:t>Ziffer III</w:t>
      </w:r>
      <w:r>
        <w:t xml:space="preserve"> beschriebenen Indikators Cep verwendet und haben vereinbarungsgemäß folgende Werte:</w:t>
      </w:r>
    </w:p>
    <w:p w14:paraId="11BF961E" w14:textId="77777777" w:rsidR="00603D80" w:rsidRPr="00E601CA" w:rsidRDefault="00603D80" w:rsidP="007F40E5">
      <w:pPr>
        <w:keepNext/>
        <w:spacing w:after="0"/>
        <w:ind w:left="697" w:hanging="34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394"/>
      </w:tblGrid>
      <w:tr w:rsidR="007A5D47" w:rsidRPr="00E601CA" w14:paraId="1EEC4541" w14:textId="77777777" w:rsidTr="003D7B82">
        <w:trPr>
          <w:jc w:val="right"/>
        </w:trPr>
        <w:tc>
          <w:tcPr>
            <w:tcW w:w="3119" w:type="dxa"/>
            <w:tcBorders>
              <w:top w:val="single" w:sz="4" w:space="0" w:color="auto"/>
              <w:left w:val="single" w:sz="4" w:space="0" w:color="auto"/>
              <w:bottom w:val="single" w:sz="4" w:space="0" w:color="auto"/>
              <w:right w:val="single" w:sz="4" w:space="0" w:color="auto"/>
            </w:tcBorders>
            <w:vAlign w:val="center"/>
          </w:tcPr>
          <w:p w14:paraId="01276F15" w14:textId="77777777" w:rsidR="007A5D47" w:rsidRPr="00E601CA" w:rsidRDefault="007A5D47" w:rsidP="00D96D9A">
            <w:pPr>
              <w:pStyle w:val="pa"/>
              <w:keepNext/>
              <w:spacing w:after="0"/>
              <w:jc w:val="center"/>
              <w:rPr>
                <w:rFonts w:asciiTheme="minorHAnsi" w:hAnsiTheme="minorHAnsi"/>
                <w:b/>
              </w:rPr>
            </w:pPr>
            <w:r>
              <w:rPr>
                <w:rFonts w:asciiTheme="minorHAnsi" w:hAnsiTheme="minorHAnsi"/>
                <w:b/>
              </w:rPr>
              <w:t>Typ der durch das Gebäude importierten Energie</w:t>
            </w:r>
          </w:p>
        </w:tc>
        <w:tc>
          <w:tcPr>
            <w:tcW w:w="5394" w:type="dxa"/>
            <w:tcBorders>
              <w:top w:val="single" w:sz="4" w:space="0" w:color="auto"/>
              <w:left w:val="single" w:sz="4" w:space="0" w:color="auto"/>
              <w:bottom w:val="single" w:sz="4" w:space="0" w:color="auto"/>
              <w:right w:val="single" w:sz="4" w:space="0" w:color="auto"/>
            </w:tcBorders>
          </w:tcPr>
          <w:p w14:paraId="60DD2549" w14:textId="77777777" w:rsidR="007A5D47" w:rsidRPr="00E601CA" w:rsidRDefault="007A5D47" w:rsidP="00D96D9A">
            <w:pPr>
              <w:pStyle w:val="pa"/>
              <w:keepNext/>
              <w:spacing w:after="0"/>
              <w:jc w:val="center"/>
              <w:rPr>
                <w:rFonts w:asciiTheme="minorHAnsi" w:hAnsiTheme="minorHAnsi"/>
                <w:b/>
              </w:rPr>
            </w:pPr>
            <w:r>
              <w:rPr>
                <w:rFonts w:asciiTheme="minorHAnsi" w:hAnsiTheme="minorHAnsi"/>
                <w:b/>
              </w:rPr>
              <w:t>Koeffizienten für die Umwandlung der in das Gebäude eintretenden Energie in Primärenergie</w:t>
            </w:r>
          </w:p>
        </w:tc>
      </w:tr>
      <w:tr w:rsidR="007A5D47" w:rsidRPr="00E601CA" w14:paraId="576CE86F" w14:textId="77777777" w:rsidTr="003D7B82">
        <w:trPr>
          <w:jc w:val="right"/>
        </w:trPr>
        <w:tc>
          <w:tcPr>
            <w:tcW w:w="3119" w:type="dxa"/>
            <w:tcBorders>
              <w:top w:val="single" w:sz="4" w:space="0" w:color="auto"/>
              <w:left w:val="single" w:sz="4" w:space="0" w:color="auto"/>
              <w:bottom w:val="single" w:sz="4" w:space="0" w:color="auto"/>
              <w:right w:val="single" w:sz="4" w:space="0" w:color="auto"/>
            </w:tcBorders>
            <w:vAlign w:val="center"/>
            <w:hideMark/>
          </w:tcPr>
          <w:p w14:paraId="6929847C" w14:textId="77777777" w:rsidR="007A5D47" w:rsidRPr="00E601CA" w:rsidRDefault="007A5D47" w:rsidP="003D7B82">
            <w:pPr>
              <w:pStyle w:val="pa"/>
              <w:spacing w:after="0"/>
              <w:jc w:val="left"/>
              <w:rPr>
                <w:rFonts w:asciiTheme="minorHAnsi" w:hAnsiTheme="minorHAnsi"/>
              </w:rPr>
            </w:pPr>
            <w:r>
              <w:rPr>
                <w:rFonts w:asciiTheme="minorHAnsi" w:hAnsiTheme="minorHAnsi"/>
              </w:rPr>
              <w:t>Holz</w:t>
            </w:r>
          </w:p>
        </w:tc>
        <w:tc>
          <w:tcPr>
            <w:tcW w:w="5394" w:type="dxa"/>
            <w:tcBorders>
              <w:top w:val="single" w:sz="4" w:space="0" w:color="auto"/>
              <w:left w:val="single" w:sz="4" w:space="0" w:color="auto"/>
              <w:bottom w:val="single" w:sz="4" w:space="0" w:color="auto"/>
              <w:right w:val="single" w:sz="4" w:space="0" w:color="auto"/>
            </w:tcBorders>
            <w:vAlign w:val="center"/>
          </w:tcPr>
          <w:p w14:paraId="78CC79E3" w14:textId="77777777" w:rsidR="007A5D47" w:rsidRPr="00E601CA" w:rsidRDefault="007A5D47" w:rsidP="003D7B82">
            <w:pPr>
              <w:pStyle w:val="pa"/>
              <w:spacing w:after="0"/>
              <w:jc w:val="center"/>
              <w:rPr>
                <w:rFonts w:asciiTheme="minorHAnsi" w:hAnsiTheme="minorHAnsi"/>
              </w:rPr>
            </w:pPr>
            <w:r>
              <w:rPr>
                <w:rFonts w:asciiTheme="minorHAnsi" w:hAnsiTheme="minorHAnsi"/>
              </w:rPr>
              <w:t>1</w:t>
            </w:r>
          </w:p>
        </w:tc>
      </w:tr>
      <w:tr w:rsidR="007A5D47" w:rsidRPr="00E601CA" w14:paraId="72030F31" w14:textId="77777777" w:rsidTr="003D7B82">
        <w:trPr>
          <w:jc w:val="right"/>
        </w:trPr>
        <w:tc>
          <w:tcPr>
            <w:tcW w:w="3119" w:type="dxa"/>
            <w:tcBorders>
              <w:top w:val="single" w:sz="4" w:space="0" w:color="auto"/>
              <w:left w:val="single" w:sz="4" w:space="0" w:color="auto"/>
              <w:bottom w:val="single" w:sz="4" w:space="0" w:color="auto"/>
              <w:right w:val="single" w:sz="4" w:space="0" w:color="auto"/>
            </w:tcBorders>
            <w:vAlign w:val="center"/>
            <w:hideMark/>
          </w:tcPr>
          <w:p w14:paraId="081DC49E" w14:textId="77777777" w:rsidR="007A5D47" w:rsidRPr="00E601CA" w:rsidRDefault="007A5D47" w:rsidP="003D7B82">
            <w:pPr>
              <w:pStyle w:val="pa"/>
              <w:spacing w:after="0"/>
              <w:jc w:val="left"/>
              <w:rPr>
                <w:rFonts w:asciiTheme="minorHAnsi" w:hAnsiTheme="minorHAnsi"/>
              </w:rPr>
            </w:pPr>
            <w:r>
              <w:rPr>
                <w:rFonts w:asciiTheme="minorHAnsi" w:hAnsiTheme="minorHAnsi"/>
              </w:rPr>
              <w:t>Strom</w:t>
            </w:r>
          </w:p>
        </w:tc>
        <w:tc>
          <w:tcPr>
            <w:tcW w:w="5394" w:type="dxa"/>
            <w:tcBorders>
              <w:top w:val="single" w:sz="4" w:space="0" w:color="auto"/>
              <w:left w:val="single" w:sz="4" w:space="0" w:color="auto"/>
              <w:bottom w:val="single" w:sz="4" w:space="0" w:color="auto"/>
              <w:right w:val="single" w:sz="4" w:space="0" w:color="auto"/>
            </w:tcBorders>
            <w:vAlign w:val="center"/>
          </w:tcPr>
          <w:p w14:paraId="790C9027" w14:textId="77777777" w:rsidR="007A5D47" w:rsidRPr="00E601CA" w:rsidRDefault="007A5D47" w:rsidP="003D7B82">
            <w:pPr>
              <w:pStyle w:val="pa"/>
              <w:spacing w:after="0"/>
              <w:jc w:val="center"/>
              <w:rPr>
                <w:rFonts w:asciiTheme="minorHAnsi" w:hAnsiTheme="minorHAnsi"/>
              </w:rPr>
            </w:pPr>
            <w:r>
              <w:rPr>
                <w:rFonts w:asciiTheme="minorHAnsi" w:hAnsiTheme="minorHAnsi"/>
              </w:rPr>
              <w:t>2,3</w:t>
            </w:r>
          </w:p>
        </w:tc>
      </w:tr>
      <w:tr w:rsidR="007A5D47" w:rsidRPr="00E601CA" w14:paraId="5C344329" w14:textId="77777777" w:rsidTr="003D7B82">
        <w:trPr>
          <w:jc w:val="right"/>
        </w:trPr>
        <w:tc>
          <w:tcPr>
            <w:tcW w:w="3119" w:type="dxa"/>
            <w:tcBorders>
              <w:top w:val="single" w:sz="4" w:space="0" w:color="auto"/>
              <w:left w:val="single" w:sz="4" w:space="0" w:color="auto"/>
              <w:bottom w:val="single" w:sz="4" w:space="0" w:color="auto"/>
              <w:right w:val="single" w:sz="4" w:space="0" w:color="auto"/>
            </w:tcBorders>
            <w:vAlign w:val="center"/>
            <w:hideMark/>
          </w:tcPr>
          <w:p w14:paraId="7A6AC1B5" w14:textId="77777777" w:rsidR="007A5D47" w:rsidRPr="00E601CA" w:rsidRDefault="007A5D47" w:rsidP="003D7B82">
            <w:pPr>
              <w:pStyle w:val="pa"/>
              <w:spacing w:after="0"/>
              <w:jc w:val="left"/>
              <w:rPr>
                <w:rFonts w:asciiTheme="minorHAnsi" w:hAnsiTheme="minorHAnsi"/>
              </w:rPr>
            </w:pPr>
            <w:r>
              <w:rPr>
                <w:rFonts w:asciiTheme="minorHAnsi" w:hAnsiTheme="minorHAnsi"/>
              </w:rPr>
              <w:t>Fernwärmenetz (Heizung)</w:t>
            </w:r>
          </w:p>
        </w:tc>
        <w:tc>
          <w:tcPr>
            <w:tcW w:w="5394" w:type="dxa"/>
            <w:tcBorders>
              <w:top w:val="single" w:sz="4" w:space="0" w:color="auto"/>
              <w:left w:val="single" w:sz="4" w:space="0" w:color="auto"/>
              <w:bottom w:val="single" w:sz="4" w:space="0" w:color="auto"/>
              <w:right w:val="single" w:sz="4" w:space="0" w:color="auto"/>
            </w:tcBorders>
            <w:vAlign w:val="center"/>
          </w:tcPr>
          <w:p w14:paraId="6C964725" w14:textId="77777777" w:rsidR="007A5D47" w:rsidRPr="00E601CA" w:rsidRDefault="007A5D47" w:rsidP="003D7B82">
            <w:pPr>
              <w:pStyle w:val="pa"/>
              <w:spacing w:after="0"/>
              <w:jc w:val="center"/>
              <w:rPr>
                <w:rFonts w:asciiTheme="minorHAnsi" w:hAnsiTheme="minorHAnsi"/>
              </w:rPr>
            </w:pPr>
            <w:r>
              <w:rPr>
                <w:rFonts w:asciiTheme="minorHAnsi" w:hAnsiTheme="minorHAnsi"/>
              </w:rPr>
              <w:t>1</w:t>
            </w:r>
          </w:p>
        </w:tc>
      </w:tr>
      <w:tr w:rsidR="007A5D47" w:rsidRPr="00E601CA" w14:paraId="41A7C9FF" w14:textId="77777777" w:rsidTr="003D7B82">
        <w:trPr>
          <w:jc w:val="right"/>
        </w:trPr>
        <w:tc>
          <w:tcPr>
            <w:tcW w:w="3119" w:type="dxa"/>
            <w:tcBorders>
              <w:top w:val="single" w:sz="4" w:space="0" w:color="auto"/>
              <w:left w:val="single" w:sz="4" w:space="0" w:color="auto"/>
              <w:bottom w:val="single" w:sz="4" w:space="0" w:color="auto"/>
              <w:right w:val="single" w:sz="4" w:space="0" w:color="auto"/>
            </w:tcBorders>
            <w:vAlign w:val="center"/>
          </w:tcPr>
          <w:p w14:paraId="5C016B50" w14:textId="77777777" w:rsidR="007A5D47" w:rsidRPr="00E601CA" w:rsidRDefault="007A5D47" w:rsidP="003D7B82">
            <w:pPr>
              <w:pStyle w:val="pa"/>
              <w:spacing w:after="0"/>
              <w:jc w:val="left"/>
              <w:rPr>
                <w:rFonts w:asciiTheme="minorHAnsi" w:hAnsiTheme="minorHAnsi"/>
              </w:rPr>
            </w:pPr>
            <w:r>
              <w:rPr>
                <w:rFonts w:asciiTheme="minorHAnsi" w:hAnsiTheme="minorHAnsi"/>
              </w:rPr>
              <w:t>Fernwärmenetz (Kälte)</w:t>
            </w:r>
          </w:p>
        </w:tc>
        <w:tc>
          <w:tcPr>
            <w:tcW w:w="5394" w:type="dxa"/>
            <w:tcBorders>
              <w:top w:val="single" w:sz="4" w:space="0" w:color="auto"/>
              <w:left w:val="single" w:sz="4" w:space="0" w:color="auto"/>
              <w:bottom w:val="single" w:sz="4" w:space="0" w:color="auto"/>
              <w:right w:val="single" w:sz="4" w:space="0" w:color="auto"/>
            </w:tcBorders>
            <w:vAlign w:val="center"/>
          </w:tcPr>
          <w:p w14:paraId="3D7EB9B9" w14:textId="77777777" w:rsidR="007A5D47" w:rsidRPr="00E601CA" w:rsidRDefault="007A5D47" w:rsidP="003D7B82">
            <w:pPr>
              <w:pStyle w:val="pa"/>
              <w:spacing w:after="0"/>
              <w:jc w:val="center"/>
              <w:rPr>
                <w:rFonts w:asciiTheme="minorHAnsi" w:hAnsiTheme="minorHAnsi"/>
              </w:rPr>
            </w:pPr>
            <w:r>
              <w:rPr>
                <w:rFonts w:asciiTheme="minorHAnsi" w:hAnsiTheme="minorHAnsi"/>
              </w:rPr>
              <w:t>1</w:t>
            </w:r>
          </w:p>
        </w:tc>
      </w:tr>
      <w:tr w:rsidR="007A5D47" w:rsidRPr="00E601CA" w14:paraId="7A61A91A" w14:textId="77777777" w:rsidTr="003D7B82">
        <w:trPr>
          <w:jc w:val="right"/>
        </w:trPr>
        <w:tc>
          <w:tcPr>
            <w:tcW w:w="3119" w:type="dxa"/>
            <w:tcBorders>
              <w:top w:val="single" w:sz="4" w:space="0" w:color="auto"/>
              <w:left w:val="single" w:sz="4" w:space="0" w:color="auto"/>
              <w:bottom w:val="single" w:sz="4" w:space="0" w:color="auto"/>
              <w:right w:val="single" w:sz="4" w:space="0" w:color="auto"/>
            </w:tcBorders>
            <w:vAlign w:val="center"/>
          </w:tcPr>
          <w:p w14:paraId="5CFD02AB" w14:textId="77777777" w:rsidR="007A5D47" w:rsidRPr="00E601CA" w:rsidRDefault="007A5D47" w:rsidP="003D7B82">
            <w:pPr>
              <w:pStyle w:val="pa"/>
              <w:spacing w:after="0"/>
              <w:jc w:val="left"/>
              <w:rPr>
                <w:rFonts w:asciiTheme="minorHAnsi" w:hAnsiTheme="minorHAnsi"/>
              </w:rPr>
            </w:pPr>
            <w:r>
              <w:rPr>
                <w:rFonts w:asciiTheme="minorHAnsi" w:hAnsiTheme="minorHAnsi"/>
              </w:rPr>
              <w:t>Sonstige nicht erneuerbare Energien</w:t>
            </w:r>
          </w:p>
        </w:tc>
        <w:tc>
          <w:tcPr>
            <w:tcW w:w="5394" w:type="dxa"/>
            <w:tcBorders>
              <w:top w:val="single" w:sz="4" w:space="0" w:color="auto"/>
              <w:left w:val="single" w:sz="4" w:space="0" w:color="auto"/>
              <w:bottom w:val="single" w:sz="4" w:space="0" w:color="auto"/>
              <w:right w:val="single" w:sz="4" w:space="0" w:color="auto"/>
            </w:tcBorders>
            <w:vAlign w:val="center"/>
          </w:tcPr>
          <w:p w14:paraId="715C3B73" w14:textId="77777777" w:rsidR="007A5D47" w:rsidRPr="00E601CA" w:rsidRDefault="007A5D47" w:rsidP="003D7B82">
            <w:pPr>
              <w:pStyle w:val="pa"/>
              <w:spacing w:after="0"/>
              <w:jc w:val="center"/>
              <w:rPr>
                <w:rFonts w:asciiTheme="minorHAnsi" w:hAnsiTheme="minorHAnsi"/>
              </w:rPr>
            </w:pPr>
            <w:r>
              <w:rPr>
                <w:rFonts w:asciiTheme="minorHAnsi" w:hAnsiTheme="minorHAnsi"/>
              </w:rPr>
              <w:t>1</w:t>
            </w:r>
          </w:p>
        </w:tc>
      </w:tr>
      <w:tr w:rsidR="007A5D47" w:rsidRPr="00E601CA" w14:paraId="42A68916" w14:textId="77777777" w:rsidTr="003D7B82">
        <w:trPr>
          <w:jc w:val="right"/>
        </w:trPr>
        <w:tc>
          <w:tcPr>
            <w:tcW w:w="3119" w:type="dxa"/>
            <w:tcBorders>
              <w:top w:val="single" w:sz="4" w:space="0" w:color="auto"/>
              <w:left w:val="single" w:sz="4" w:space="0" w:color="auto"/>
              <w:bottom w:val="single" w:sz="4" w:space="0" w:color="auto"/>
              <w:right w:val="single" w:sz="4" w:space="0" w:color="auto"/>
            </w:tcBorders>
            <w:vAlign w:val="center"/>
          </w:tcPr>
          <w:p w14:paraId="0FA1543E" w14:textId="77777777" w:rsidR="007A5D47" w:rsidRPr="00E601CA" w:rsidRDefault="007A5D47" w:rsidP="003D7B82">
            <w:pPr>
              <w:pStyle w:val="pa"/>
              <w:spacing w:after="0"/>
              <w:jc w:val="left"/>
              <w:rPr>
                <w:rFonts w:asciiTheme="minorHAnsi" w:hAnsiTheme="minorHAnsi"/>
              </w:rPr>
            </w:pPr>
            <w:r>
              <w:rPr>
                <w:rFonts w:asciiTheme="minorHAnsi" w:hAnsiTheme="minorHAnsi"/>
              </w:rPr>
              <w:t>Erneuerbare Energie, die aus dem Gebäude oder auf dem Grundstück gewonnen wird</w:t>
            </w:r>
          </w:p>
        </w:tc>
        <w:tc>
          <w:tcPr>
            <w:tcW w:w="5394" w:type="dxa"/>
            <w:tcBorders>
              <w:top w:val="single" w:sz="4" w:space="0" w:color="auto"/>
              <w:left w:val="single" w:sz="4" w:space="0" w:color="auto"/>
              <w:bottom w:val="single" w:sz="4" w:space="0" w:color="auto"/>
              <w:right w:val="single" w:sz="4" w:space="0" w:color="auto"/>
            </w:tcBorders>
            <w:vAlign w:val="center"/>
          </w:tcPr>
          <w:p w14:paraId="3B298380" w14:textId="77777777" w:rsidR="007A5D47" w:rsidRPr="00E601CA" w:rsidRDefault="007A5D47" w:rsidP="003D7B82">
            <w:pPr>
              <w:pStyle w:val="pa"/>
              <w:spacing w:after="0"/>
              <w:jc w:val="center"/>
              <w:rPr>
                <w:rFonts w:asciiTheme="minorHAnsi" w:hAnsiTheme="minorHAnsi"/>
              </w:rPr>
            </w:pPr>
            <w:r>
              <w:rPr>
                <w:rFonts w:asciiTheme="minorHAnsi" w:hAnsiTheme="minorHAnsi"/>
              </w:rPr>
              <w:t>0</w:t>
            </w:r>
          </w:p>
        </w:tc>
      </w:tr>
    </w:tbl>
    <w:p w14:paraId="223A9D9E" w14:textId="4E0C2358" w:rsidR="00603D80" w:rsidRPr="00E601CA" w:rsidRDefault="00603D80" w:rsidP="00933F50">
      <w:pPr>
        <w:spacing w:after="0"/>
      </w:pPr>
    </w:p>
    <w:p w14:paraId="09D83911" w14:textId="216B86F5" w:rsidR="007A5D47" w:rsidRPr="00E601CA" w:rsidRDefault="00933F50" w:rsidP="007F40E5">
      <w:pPr>
        <w:ind w:left="699"/>
      </w:pPr>
      <w:r>
        <w:t>Die Energie, die von dem Gebäude für ein Netz erzeugt wird, sowie ggf. die von dem Gebäude zur Erzeugung dieser Energie importierte Energiemenge wirken sich vereinbarungsgemäß nicht auf die Indikatoren Cep,nr, Cep und Ic</w:t>
      </w:r>
      <w:r>
        <w:rPr>
          <w:vertAlign w:val="subscript"/>
        </w:rPr>
        <w:t>Energie</w:t>
      </w:r>
      <w:r>
        <w:t xml:space="preserve"> des Gebäudes aus.</w:t>
      </w:r>
      <w:bookmarkStart w:id="31" w:name="_Ref57374505"/>
    </w:p>
    <w:p w14:paraId="3FDB09D5" w14:textId="42571B4A" w:rsidR="00933F50" w:rsidRPr="00E601CA" w:rsidRDefault="004F5DFA" w:rsidP="00951EDB">
      <w:pPr>
        <w:pStyle w:val="Heading3"/>
        <w:keepNext/>
        <w:numPr>
          <w:ilvl w:val="0"/>
          <w:numId w:val="0"/>
        </w:numPr>
        <w:ind w:left="270" w:firstLine="14"/>
      </w:pPr>
      <w:r>
        <w:rPr>
          <w:b w:val="0"/>
        </w:rPr>
        <w:t>Artikel 19.</w:t>
      </w:r>
      <w:r>
        <w:t xml:space="preserve"> </w:t>
      </w:r>
      <w:bookmarkStart w:id="32" w:name="_Ref57989590"/>
      <w:r>
        <w:t>(Emissionsfaktoren)</w:t>
      </w:r>
      <w:bookmarkEnd w:id="31"/>
      <w:bookmarkEnd w:id="32"/>
      <w:r>
        <w:t xml:space="preserve"> </w:t>
      </w:r>
    </w:p>
    <w:p w14:paraId="3DE24397" w14:textId="76C7F645" w:rsidR="007A5D47" w:rsidRPr="00E601CA" w:rsidRDefault="007A5D47" w:rsidP="007C4597">
      <w:pPr>
        <w:keepNext/>
      </w:pPr>
      <w:r>
        <w:t>Die Koeffizienten für die Umwandlung der in das Gebäude eintretenden Energie in die Menge an Treibhausgasemissionen werden bei der Bestimmung des in Artikel 6 beschriebenen Indikators Ic</w:t>
      </w:r>
      <w:r>
        <w:rPr>
          <w:vertAlign w:val="subscript"/>
        </w:rPr>
        <w:t>Energie</w:t>
      </w:r>
      <w:r>
        <w:t xml:space="preserve"> verwendet und haben vereinbarungsgemäß folgende Werte:</w:t>
      </w:r>
    </w:p>
    <w:tbl>
      <w:tblPr>
        <w:tblStyle w:val="TableGrid"/>
        <w:tblW w:w="0" w:type="auto"/>
        <w:tblLook w:val="04A0" w:firstRow="1" w:lastRow="0" w:firstColumn="1" w:lastColumn="0" w:noHBand="0" w:noVBand="1"/>
      </w:tblPr>
      <w:tblGrid>
        <w:gridCol w:w="4531"/>
        <w:gridCol w:w="4531"/>
      </w:tblGrid>
      <w:tr w:rsidR="00200F87" w:rsidRPr="00E601CA" w14:paraId="119B6472" w14:textId="77777777" w:rsidTr="007A5D47">
        <w:tc>
          <w:tcPr>
            <w:tcW w:w="4531" w:type="dxa"/>
            <w:vAlign w:val="center"/>
          </w:tcPr>
          <w:p w14:paraId="509A012C" w14:textId="1BAA6C2A" w:rsidR="00200F87" w:rsidRPr="00E601CA" w:rsidRDefault="00200F87" w:rsidP="007C4597">
            <w:pPr>
              <w:keepNext/>
              <w:jc w:val="center"/>
            </w:pPr>
            <w:r>
              <w:t>Energietyp pro kWh EE H</w:t>
            </w:r>
            <w:r>
              <w:rPr>
                <w:vertAlign w:val="subscript"/>
              </w:rPr>
              <w:t>i</w:t>
            </w:r>
          </w:p>
        </w:tc>
        <w:tc>
          <w:tcPr>
            <w:tcW w:w="4531" w:type="dxa"/>
          </w:tcPr>
          <w:p w14:paraId="3F2BE274" w14:textId="3F220C3D" w:rsidR="00200F87" w:rsidRPr="00E601CA" w:rsidRDefault="002C37B0" w:rsidP="007C4597">
            <w:pPr>
              <w:keepNext/>
            </w:pPr>
            <w:r>
              <w:t>kg CO</w:t>
            </w:r>
            <w:r>
              <w:rPr>
                <w:vertAlign w:val="subscript"/>
              </w:rPr>
              <w:t>2</w:t>
            </w:r>
            <w:r>
              <w:t>-Äquivalent pro Kilowattstunde Endenergie als H</w:t>
            </w:r>
            <w:r>
              <w:rPr>
                <w:vertAlign w:val="subscript"/>
              </w:rPr>
              <w:t>i</w:t>
            </w:r>
          </w:p>
        </w:tc>
      </w:tr>
      <w:tr w:rsidR="00630419" w:rsidRPr="00E601CA" w14:paraId="17B4FA6A" w14:textId="77777777" w:rsidTr="00200F87">
        <w:tc>
          <w:tcPr>
            <w:tcW w:w="4531" w:type="dxa"/>
          </w:tcPr>
          <w:p w14:paraId="5BBDAD74" w14:textId="1FF0DF31" w:rsidR="00630419" w:rsidRPr="00E601CA" w:rsidRDefault="00630419" w:rsidP="00630419">
            <w:r>
              <w:t xml:space="preserve">Holz, Biomasse – Hackschnitzel </w:t>
            </w:r>
          </w:p>
        </w:tc>
        <w:tc>
          <w:tcPr>
            <w:tcW w:w="4531" w:type="dxa"/>
          </w:tcPr>
          <w:p w14:paraId="16B42325" w14:textId="4B547490" w:rsidR="00630419" w:rsidRPr="00E601CA" w:rsidRDefault="00630419" w:rsidP="00630419">
            <w:pPr>
              <w:jc w:val="center"/>
            </w:pPr>
            <w:r>
              <w:t>0,024</w:t>
            </w:r>
          </w:p>
        </w:tc>
      </w:tr>
      <w:tr w:rsidR="00630419" w:rsidRPr="00E601CA" w14:paraId="3FDE80FB" w14:textId="77777777" w:rsidTr="00200F87">
        <w:tc>
          <w:tcPr>
            <w:tcW w:w="4531" w:type="dxa"/>
          </w:tcPr>
          <w:p w14:paraId="62DEC489" w14:textId="76AF0D4D" w:rsidR="00630419" w:rsidRPr="00E601CA" w:rsidRDefault="00630419" w:rsidP="00630419">
            <w:r>
              <w:t xml:space="preserve">Holz, Biomasse – Pellets oder Briketts </w:t>
            </w:r>
          </w:p>
        </w:tc>
        <w:tc>
          <w:tcPr>
            <w:tcW w:w="4531" w:type="dxa"/>
          </w:tcPr>
          <w:p w14:paraId="1726A040" w14:textId="1BF5E9B3" w:rsidR="00630419" w:rsidRPr="00E601CA" w:rsidRDefault="00630419" w:rsidP="00630419">
            <w:pPr>
              <w:jc w:val="center"/>
            </w:pPr>
            <w:r>
              <w:t>0,03</w:t>
            </w:r>
          </w:p>
        </w:tc>
      </w:tr>
      <w:tr w:rsidR="00630419" w:rsidRPr="00E601CA" w14:paraId="14A7073C" w14:textId="77777777" w:rsidTr="00200F87">
        <w:tc>
          <w:tcPr>
            <w:tcW w:w="4531" w:type="dxa"/>
          </w:tcPr>
          <w:p w14:paraId="10139CBE" w14:textId="349E2D26" w:rsidR="00630419" w:rsidRPr="00E601CA" w:rsidRDefault="00630419" w:rsidP="00630419">
            <w:r>
              <w:t xml:space="preserve">Holz, Biomasse – Holzscheite </w:t>
            </w:r>
          </w:p>
        </w:tc>
        <w:tc>
          <w:tcPr>
            <w:tcW w:w="4531" w:type="dxa"/>
          </w:tcPr>
          <w:p w14:paraId="5B70E250" w14:textId="2F4AB319" w:rsidR="00630419" w:rsidRPr="00E601CA" w:rsidRDefault="00630419" w:rsidP="00630419">
            <w:pPr>
              <w:jc w:val="center"/>
            </w:pPr>
            <w:r>
              <w:t>0,03</w:t>
            </w:r>
          </w:p>
        </w:tc>
      </w:tr>
      <w:tr w:rsidR="00630419" w:rsidRPr="00E601CA" w14:paraId="27CB78A3" w14:textId="77777777" w:rsidTr="00200F87">
        <w:tc>
          <w:tcPr>
            <w:tcW w:w="4531" w:type="dxa"/>
          </w:tcPr>
          <w:p w14:paraId="116916E6" w14:textId="6D1E7528" w:rsidR="00630419" w:rsidRPr="00E601CA" w:rsidRDefault="00630419" w:rsidP="00630419">
            <w:r>
              <w:t>Strom Heizung</w:t>
            </w:r>
          </w:p>
        </w:tc>
        <w:tc>
          <w:tcPr>
            <w:tcW w:w="4531" w:type="dxa"/>
          </w:tcPr>
          <w:p w14:paraId="07A032DA" w14:textId="2AB219E1" w:rsidR="00630419" w:rsidRPr="00E601CA" w:rsidRDefault="00630419" w:rsidP="007A5D47">
            <w:pPr>
              <w:jc w:val="center"/>
            </w:pPr>
            <w:r>
              <w:t>0,079</w:t>
            </w:r>
          </w:p>
        </w:tc>
      </w:tr>
      <w:tr w:rsidR="00630419" w:rsidRPr="00E601CA" w14:paraId="6CC037C8" w14:textId="77777777" w:rsidTr="00200F87">
        <w:tc>
          <w:tcPr>
            <w:tcW w:w="4531" w:type="dxa"/>
          </w:tcPr>
          <w:p w14:paraId="6D4727FB" w14:textId="32E970D7" w:rsidR="00630419" w:rsidRPr="00E601CA" w:rsidRDefault="00630419" w:rsidP="00630419">
            <w:r>
              <w:t>Strom Klimaanlage</w:t>
            </w:r>
          </w:p>
        </w:tc>
        <w:tc>
          <w:tcPr>
            <w:tcW w:w="4531" w:type="dxa"/>
          </w:tcPr>
          <w:p w14:paraId="5DD5C3AA" w14:textId="0D2F04EA" w:rsidR="00630419" w:rsidRPr="00E601CA" w:rsidRDefault="00630419" w:rsidP="007A5D47">
            <w:pPr>
              <w:jc w:val="center"/>
            </w:pPr>
            <w:r>
              <w:t>0,064</w:t>
            </w:r>
          </w:p>
        </w:tc>
      </w:tr>
      <w:tr w:rsidR="00630419" w:rsidRPr="00E601CA" w14:paraId="44706097" w14:textId="77777777" w:rsidTr="00200F87">
        <w:tc>
          <w:tcPr>
            <w:tcW w:w="4531" w:type="dxa"/>
          </w:tcPr>
          <w:p w14:paraId="23CD7C05" w14:textId="021489FB" w:rsidR="00630419" w:rsidRPr="00E601CA" w:rsidRDefault="00630419" w:rsidP="00630419">
            <w:r>
              <w:t>Strom Warmwasser</w:t>
            </w:r>
          </w:p>
        </w:tc>
        <w:tc>
          <w:tcPr>
            <w:tcW w:w="4531" w:type="dxa"/>
          </w:tcPr>
          <w:p w14:paraId="1D1B8956" w14:textId="7ACDF7AD" w:rsidR="00630419" w:rsidRPr="00E601CA" w:rsidRDefault="00630419" w:rsidP="007A5D47">
            <w:pPr>
              <w:jc w:val="center"/>
            </w:pPr>
            <w:r>
              <w:t>0,065</w:t>
            </w:r>
          </w:p>
        </w:tc>
      </w:tr>
      <w:tr w:rsidR="00630419" w:rsidRPr="00E601CA" w14:paraId="2DC2FB45" w14:textId="77777777" w:rsidTr="00200F87">
        <w:tc>
          <w:tcPr>
            <w:tcW w:w="4531" w:type="dxa"/>
          </w:tcPr>
          <w:p w14:paraId="030F2361" w14:textId="791B6257" w:rsidR="00630419" w:rsidRPr="00E601CA" w:rsidRDefault="00630419" w:rsidP="00630419">
            <w:r>
              <w:t>Strom tertiäre Beleuchtung</w:t>
            </w:r>
          </w:p>
        </w:tc>
        <w:tc>
          <w:tcPr>
            <w:tcW w:w="4531" w:type="dxa"/>
          </w:tcPr>
          <w:p w14:paraId="76CCE6E6" w14:textId="11D17B74" w:rsidR="00630419" w:rsidRPr="00E601CA" w:rsidRDefault="00630419" w:rsidP="007A5D47">
            <w:pPr>
              <w:jc w:val="center"/>
            </w:pPr>
            <w:r>
              <w:t>0,064</w:t>
            </w:r>
          </w:p>
        </w:tc>
      </w:tr>
      <w:tr w:rsidR="00630419" w:rsidRPr="00E601CA" w14:paraId="4F5331F8" w14:textId="77777777" w:rsidTr="00200F87">
        <w:tc>
          <w:tcPr>
            <w:tcW w:w="4531" w:type="dxa"/>
          </w:tcPr>
          <w:p w14:paraId="13EFBBC1" w14:textId="5F01463E" w:rsidR="00630419" w:rsidRPr="00E601CA" w:rsidRDefault="00630419" w:rsidP="00BC21DF">
            <w:r>
              <w:t>Strom Heimbeleuchtung</w:t>
            </w:r>
          </w:p>
        </w:tc>
        <w:tc>
          <w:tcPr>
            <w:tcW w:w="4531" w:type="dxa"/>
          </w:tcPr>
          <w:p w14:paraId="6F02891E" w14:textId="4BFE3802" w:rsidR="00630419" w:rsidRPr="00E601CA" w:rsidRDefault="00630419" w:rsidP="007A5D47">
            <w:pPr>
              <w:jc w:val="center"/>
            </w:pPr>
            <w:r>
              <w:t>0,069</w:t>
            </w:r>
          </w:p>
        </w:tc>
      </w:tr>
      <w:tr w:rsidR="00630419" w:rsidRPr="00E601CA" w14:paraId="6D16B115" w14:textId="77777777" w:rsidTr="00200F87">
        <w:tc>
          <w:tcPr>
            <w:tcW w:w="4531" w:type="dxa"/>
          </w:tcPr>
          <w:p w14:paraId="199278EF" w14:textId="0F0D10E8" w:rsidR="00630419" w:rsidRPr="00E601CA" w:rsidRDefault="00630419" w:rsidP="00630419">
            <w:r>
              <w:t>Strom sonstige Nutzungen</w:t>
            </w:r>
          </w:p>
        </w:tc>
        <w:tc>
          <w:tcPr>
            <w:tcW w:w="4531" w:type="dxa"/>
          </w:tcPr>
          <w:p w14:paraId="233616D5" w14:textId="43CF0B73" w:rsidR="00630419" w:rsidRPr="00E601CA" w:rsidRDefault="00630419" w:rsidP="007A5D47">
            <w:pPr>
              <w:jc w:val="center"/>
            </w:pPr>
            <w:r>
              <w:t>0,064</w:t>
            </w:r>
          </w:p>
        </w:tc>
      </w:tr>
      <w:tr w:rsidR="00630419" w:rsidRPr="00E601CA" w14:paraId="13E63B92" w14:textId="77777777" w:rsidTr="00200F87">
        <w:tc>
          <w:tcPr>
            <w:tcW w:w="4531" w:type="dxa"/>
          </w:tcPr>
          <w:p w14:paraId="43DFDBD5" w14:textId="3DE39F97" w:rsidR="00630419" w:rsidRPr="00E601CA" w:rsidRDefault="00630419" w:rsidP="00630419">
            <w:r>
              <w:t>Methangas (natürlich) aus Netzen</w:t>
            </w:r>
          </w:p>
        </w:tc>
        <w:tc>
          <w:tcPr>
            <w:tcW w:w="4531" w:type="dxa"/>
          </w:tcPr>
          <w:p w14:paraId="7E015351" w14:textId="6E86F54D" w:rsidR="00630419" w:rsidRPr="00E601CA" w:rsidRDefault="00630419" w:rsidP="007A5D47">
            <w:pPr>
              <w:jc w:val="center"/>
            </w:pPr>
            <w:r>
              <w:t>0,227</w:t>
            </w:r>
          </w:p>
        </w:tc>
      </w:tr>
      <w:tr w:rsidR="00630419" w:rsidRPr="00E601CA" w14:paraId="784F53C5" w14:textId="77777777" w:rsidTr="00200F87">
        <w:tc>
          <w:tcPr>
            <w:tcW w:w="4531" w:type="dxa"/>
          </w:tcPr>
          <w:p w14:paraId="02880E4F" w14:textId="06FE5691" w:rsidR="00630419" w:rsidRPr="00E601CA" w:rsidRDefault="00630419" w:rsidP="00630419">
            <w:r>
              <w:t>Butangas</w:t>
            </w:r>
          </w:p>
        </w:tc>
        <w:tc>
          <w:tcPr>
            <w:tcW w:w="4531" w:type="dxa"/>
          </w:tcPr>
          <w:p w14:paraId="38999E01" w14:textId="24E1A809" w:rsidR="00630419" w:rsidRPr="00E601CA" w:rsidRDefault="00630419" w:rsidP="007A5D47">
            <w:pPr>
              <w:jc w:val="center"/>
            </w:pPr>
            <w:r>
              <w:t>0,272</w:t>
            </w:r>
          </w:p>
        </w:tc>
      </w:tr>
      <w:tr w:rsidR="00630419" w:rsidRPr="00E601CA" w14:paraId="778DA509" w14:textId="77777777" w:rsidTr="00200F87">
        <w:tc>
          <w:tcPr>
            <w:tcW w:w="4531" w:type="dxa"/>
          </w:tcPr>
          <w:p w14:paraId="164DA162" w14:textId="601780D0" w:rsidR="00630419" w:rsidRPr="00E601CA" w:rsidRDefault="00630419" w:rsidP="00630419">
            <w:r>
              <w:t>Propangas</w:t>
            </w:r>
          </w:p>
        </w:tc>
        <w:tc>
          <w:tcPr>
            <w:tcW w:w="4531" w:type="dxa"/>
          </w:tcPr>
          <w:p w14:paraId="3B34E6F9" w14:textId="3787F6DF" w:rsidR="00630419" w:rsidRPr="00E601CA" w:rsidRDefault="00630419" w:rsidP="007A5D47">
            <w:pPr>
              <w:jc w:val="center"/>
            </w:pPr>
            <w:r>
              <w:t>0,272</w:t>
            </w:r>
          </w:p>
        </w:tc>
      </w:tr>
      <w:tr w:rsidR="00630419" w:rsidRPr="00E601CA" w14:paraId="438E19E9" w14:textId="77777777" w:rsidTr="00200F87">
        <w:tc>
          <w:tcPr>
            <w:tcW w:w="4531" w:type="dxa"/>
          </w:tcPr>
          <w:p w14:paraId="6EE9C0C8" w14:textId="3B8C7CA7" w:rsidR="00630419" w:rsidRPr="00E601CA" w:rsidRDefault="00630419" w:rsidP="00630419">
            <w:r>
              <w:t>Sonstige fossile Brennstoffe</w:t>
            </w:r>
          </w:p>
        </w:tc>
        <w:tc>
          <w:tcPr>
            <w:tcW w:w="4531" w:type="dxa"/>
          </w:tcPr>
          <w:p w14:paraId="1895BD5B" w14:textId="1B547A52" w:rsidR="00630419" w:rsidRPr="00E601CA" w:rsidRDefault="00630419" w:rsidP="007A5D47">
            <w:pPr>
              <w:jc w:val="center"/>
            </w:pPr>
            <w:r>
              <w:t>0,324</w:t>
            </w:r>
          </w:p>
        </w:tc>
      </w:tr>
    </w:tbl>
    <w:p w14:paraId="39658F06" w14:textId="7C3D0FEC" w:rsidR="00933F50" w:rsidRPr="00E601CA" w:rsidRDefault="00933F50" w:rsidP="00933F50"/>
    <w:p w14:paraId="7AE4D54F" w14:textId="0388B352" w:rsidR="00E52D22" w:rsidRPr="00E601CA" w:rsidRDefault="00E52D22" w:rsidP="007C4597">
      <w:pPr>
        <w:spacing w:after="0"/>
      </w:pPr>
      <w:r>
        <w:lastRenderedPageBreak/>
        <w:t>Der Emissionsfaktor von Fernwärmenetzen (Wärme und Kälte) wird für jede bestehende Infrastruktur durch einen Erlass festgelegt.</w:t>
      </w:r>
    </w:p>
    <w:p w14:paraId="667FAABB" w14:textId="5480B312" w:rsidR="007A5D47" w:rsidRPr="00E601CA" w:rsidRDefault="004F5DFA" w:rsidP="00951EDB">
      <w:pPr>
        <w:pStyle w:val="Heading3"/>
        <w:keepNext/>
        <w:numPr>
          <w:ilvl w:val="0"/>
          <w:numId w:val="0"/>
        </w:numPr>
        <w:ind w:left="270" w:firstLine="14"/>
      </w:pPr>
      <w:bookmarkStart w:id="33" w:name="_Ref57374512"/>
      <w:bookmarkStart w:id="34" w:name="_Ref57399546"/>
      <w:r>
        <w:rPr>
          <w:b w:val="0"/>
        </w:rPr>
        <w:t>Artikel 20.</w:t>
      </w:r>
      <w:r>
        <w:t xml:space="preserve"> (Koeffizienten des Verfahrens zur Berechnung der Auswirkungen auf den Klimawandel)</w:t>
      </w:r>
      <w:bookmarkEnd w:id="33"/>
      <w:r>
        <w:t xml:space="preserve"> </w:t>
      </w:r>
      <w:bookmarkEnd w:id="34"/>
    </w:p>
    <w:p w14:paraId="3115BEF2" w14:textId="4176B3A2" w:rsidR="00257E0C" w:rsidRPr="00E601CA" w:rsidRDefault="00257E0C" w:rsidP="007C4597">
      <w:pPr>
        <w:keepNext/>
      </w:pPr>
      <w:r>
        <w:t>Die Gewichtungskoeffizienten, die in Abhängigkeit von dem Emissionsjahr und dem Typ des freigesetzten Gases zur Berechnung der Indikatoren für die Auswirkung auf den Klimawandel Ic</w:t>
      </w:r>
      <w:r>
        <w:rPr>
          <w:vertAlign w:val="subscript"/>
        </w:rPr>
        <w:t>Energie</w:t>
      </w:r>
      <w:r>
        <w:t>, Ic</w:t>
      </w:r>
      <w:r>
        <w:rPr>
          <w:vertAlign w:val="subscript"/>
        </w:rPr>
        <w:t>Komponenten</w:t>
      </w:r>
      <w:r>
        <w:t xml:space="preserve"> und Ic</w:t>
      </w:r>
      <w:r>
        <w:rPr>
          <w:vertAlign w:val="subscript"/>
        </w:rPr>
        <w:t>Gebäude</w:t>
      </w:r>
      <w:r>
        <w:t xml:space="preserve"> verwendet werden, sind Folgende:</w:t>
      </w:r>
    </w:p>
    <w:tbl>
      <w:tblPr>
        <w:tblStyle w:val="TableGrid"/>
        <w:tblW w:w="8500" w:type="dxa"/>
        <w:jc w:val="center"/>
        <w:tblLook w:val="04A0" w:firstRow="1" w:lastRow="0" w:firstColumn="1" w:lastColumn="0" w:noHBand="0" w:noVBand="1"/>
      </w:tblPr>
      <w:tblGrid>
        <w:gridCol w:w="895"/>
        <w:gridCol w:w="2928"/>
        <w:gridCol w:w="4677"/>
      </w:tblGrid>
      <w:tr w:rsidR="007A5D47" w:rsidRPr="00E601CA" w14:paraId="0743BF70" w14:textId="77777777" w:rsidTr="003D7B82">
        <w:trPr>
          <w:tblHeader/>
          <w:jc w:val="center"/>
        </w:trPr>
        <w:tc>
          <w:tcPr>
            <w:tcW w:w="895" w:type="dxa"/>
            <w:vMerge w:val="restart"/>
            <w:noWrap/>
            <w:vAlign w:val="center"/>
          </w:tcPr>
          <w:p w14:paraId="1C5A4967" w14:textId="77777777" w:rsidR="007A5D47" w:rsidRPr="00E601CA" w:rsidRDefault="007A5D47" w:rsidP="007C4597">
            <w:pPr>
              <w:keepNext/>
              <w:jc w:val="center"/>
              <w:rPr>
                <w:rFonts w:ascii="Calibri" w:eastAsia="Times New Roman" w:hAnsi="Calibri" w:cs="Times New Roman"/>
                <w:b/>
                <w:bCs/>
                <w:color w:val="000000"/>
              </w:rPr>
            </w:pPr>
            <w:r>
              <w:rPr>
                <w:rFonts w:ascii="Calibri" w:hAnsi="Calibri"/>
                <w:b/>
                <w:color w:val="000000"/>
              </w:rPr>
              <w:t>Jahre</w:t>
            </w:r>
          </w:p>
        </w:tc>
        <w:tc>
          <w:tcPr>
            <w:tcW w:w="7605" w:type="dxa"/>
            <w:gridSpan w:val="2"/>
            <w:noWrap/>
            <w:vAlign w:val="center"/>
          </w:tcPr>
          <w:p w14:paraId="4EBEC2CB" w14:textId="08F4068E" w:rsidR="007A5D47" w:rsidRPr="00E601CA" w:rsidRDefault="007A5D47" w:rsidP="007C4597">
            <w:pPr>
              <w:keepNext/>
              <w:jc w:val="center"/>
              <w:rPr>
                <w:rFonts w:ascii="Calibri" w:eastAsia="Times New Roman" w:hAnsi="Calibri" w:cs="Times New Roman"/>
                <w:color w:val="000000"/>
              </w:rPr>
            </w:pPr>
            <w:r>
              <w:t>Gewichtungskoeffizienten für die Berechnung der Auswirkung auf den Klimawandel</w:t>
            </w:r>
          </w:p>
        </w:tc>
      </w:tr>
      <w:tr w:rsidR="007A5D47" w:rsidRPr="00E601CA" w14:paraId="1137636D" w14:textId="77777777" w:rsidTr="003D7B82">
        <w:trPr>
          <w:jc w:val="center"/>
        </w:trPr>
        <w:tc>
          <w:tcPr>
            <w:tcW w:w="895" w:type="dxa"/>
            <w:vMerge/>
            <w:noWrap/>
            <w:vAlign w:val="center"/>
            <w:hideMark/>
          </w:tcPr>
          <w:p w14:paraId="4D13EF6C" w14:textId="77777777" w:rsidR="007A5D47" w:rsidRPr="00E601CA" w:rsidRDefault="007A5D47" w:rsidP="007C4597">
            <w:pPr>
              <w:keepNext/>
              <w:jc w:val="center"/>
              <w:rPr>
                <w:rFonts w:ascii="Calibri" w:eastAsia="Times New Roman" w:hAnsi="Calibri" w:cs="Times New Roman"/>
                <w:b/>
                <w:bCs/>
                <w:color w:val="000000"/>
                <w:lang w:eastAsia="fr-FR" w:bidi="ar-SA"/>
              </w:rPr>
            </w:pPr>
          </w:p>
        </w:tc>
        <w:tc>
          <w:tcPr>
            <w:tcW w:w="2928" w:type="dxa"/>
            <w:noWrap/>
            <w:vAlign w:val="center"/>
            <w:hideMark/>
          </w:tcPr>
          <w:p w14:paraId="10D4E3DF" w14:textId="755D3607" w:rsidR="007A5D47" w:rsidRPr="00E601CA" w:rsidRDefault="00CD601C" w:rsidP="00F67CA6">
            <w:pPr>
              <w:keepNext/>
              <w:jc w:val="center"/>
              <w:rPr>
                <w:rFonts w:ascii="Calibri" w:eastAsia="Times New Roman" w:hAnsi="Calibri" w:cs="Times New Roman"/>
                <w:color w:val="000000"/>
              </w:rPr>
            </w:pPr>
            <w:r>
              <w:rPr>
                <w:rFonts w:ascii="Calibri" w:hAnsi="Calibri"/>
                <w:color w:val="000000"/>
              </w:rPr>
              <w:t>Allgemeiner Fall (</w:t>
            </w:r>
            <w:r>
              <w:rPr>
                <w:rFonts w:ascii="Cambria Math" w:hAnsi="Cambria Math"/>
                <w:i/>
                <w:color w:val="000000"/>
                <w:sz w:val="20"/>
              </w:rPr>
              <w:t>f</w:t>
            </w:r>
            <w:r>
              <w:rPr>
                <w:rFonts w:ascii="Cambria Math" w:hAnsi="Cambria Math"/>
                <w:i/>
                <w:color w:val="000000"/>
                <w:sz w:val="20"/>
                <w:vertAlign w:val="subscript"/>
              </w:rPr>
              <w:t>CO2</w:t>
            </w:r>
            <w:r>
              <w:rPr>
                <w:rFonts w:ascii="Cambria Math" w:hAnsi="Cambria Math"/>
                <w:i/>
                <w:color w:val="000000"/>
                <w:sz w:val="20"/>
              </w:rPr>
              <w:t xml:space="preserve"> oder f</w:t>
            </w:r>
            <w:r>
              <w:rPr>
                <w:rFonts w:ascii="Calibri" w:hAnsi="Calibri"/>
                <w:color w:val="000000"/>
              </w:rPr>
              <w:t>)</w:t>
            </w:r>
          </w:p>
        </w:tc>
        <w:tc>
          <w:tcPr>
            <w:tcW w:w="4677" w:type="dxa"/>
            <w:noWrap/>
            <w:vAlign w:val="center"/>
            <w:hideMark/>
          </w:tcPr>
          <w:p w14:paraId="52368920" w14:textId="39C7C814" w:rsidR="007A5D47" w:rsidRPr="00E601CA" w:rsidRDefault="007A5D47" w:rsidP="00F67CA6">
            <w:pPr>
              <w:keepNext/>
              <w:jc w:val="center"/>
              <w:rPr>
                <w:rFonts w:ascii="Calibri" w:eastAsia="Times New Roman" w:hAnsi="Calibri" w:cs="Times New Roman"/>
                <w:color w:val="000000"/>
              </w:rPr>
            </w:pPr>
            <w:r>
              <w:rPr>
                <w:rFonts w:ascii="Calibri" w:hAnsi="Calibri"/>
                <w:color w:val="000000"/>
              </w:rPr>
              <w:t>Kältemittel (</w:t>
            </w:r>
            <w:r>
              <w:rPr>
                <w:rFonts w:ascii="Cambria Math" w:hAnsi="Cambria Math"/>
                <w:i/>
                <w:color w:val="000000"/>
                <w:sz w:val="20"/>
              </w:rPr>
              <w:t>f</w:t>
            </w:r>
            <w:r>
              <w:rPr>
                <w:rFonts w:ascii="Cambria Math" w:hAnsi="Cambria Math"/>
                <w:i/>
                <w:color w:val="000000"/>
                <w:sz w:val="20"/>
                <w:vertAlign w:val="subscript"/>
              </w:rPr>
              <w:t>Kältemittel</w:t>
            </w:r>
            <w:r>
              <w:rPr>
                <w:rFonts w:ascii="Calibri" w:hAnsi="Calibri"/>
                <w:color w:val="000000"/>
              </w:rPr>
              <w:t>)</w:t>
            </w:r>
          </w:p>
        </w:tc>
      </w:tr>
      <w:tr w:rsidR="00E85F4B" w:rsidRPr="00E601CA" w14:paraId="3DB9062A" w14:textId="77777777" w:rsidTr="003D7B82">
        <w:trPr>
          <w:jc w:val="center"/>
        </w:trPr>
        <w:tc>
          <w:tcPr>
            <w:tcW w:w="895" w:type="dxa"/>
            <w:noWrap/>
            <w:vAlign w:val="center"/>
            <w:hideMark/>
          </w:tcPr>
          <w:p w14:paraId="14EDF510"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w:t>
            </w:r>
          </w:p>
        </w:tc>
        <w:tc>
          <w:tcPr>
            <w:tcW w:w="29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DF1D97" w14:textId="24FC4BF1" w:rsidR="00E85F4B" w:rsidRPr="00E601CA" w:rsidRDefault="00E85F4B" w:rsidP="00E85F4B">
            <w:pPr>
              <w:jc w:val="center"/>
              <w:rPr>
                <w:rFonts w:ascii="Calibri" w:eastAsia="Times New Roman" w:hAnsi="Calibri" w:cs="Times New Roman"/>
                <w:color w:val="000000"/>
              </w:rPr>
            </w:pPr>
            <w:r>
              <w:rPr>
                <w:rFonts w:ascii="Calibri" w:hAnsi="Calibri"/>
                <w:color w:val="000000"/>
              </w:rPr>
              <w:t>1,000</w:t>
            </w:r>
          </w:p>
        </w:tc>
        <w:tc>
          <w:tcPr>
            <w:tcW w:w="4677" w:type="dxa"/>
            <w:noWrap/>
            <w:vAlign w:val="center"/>
            <w:hideMark/>
          </w:tcPr>
          <w:p w14:paraId="157ED4DE"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1,000</w:t>
            </w:r>
          </w:p>
        </w:tc>
      </w:tr>
      <w:tr w:rsidR="00E85F4B" w:rsidRPr="00E601CA" w14:paraId="7DFEA023" w14:textId="77777777" w:rsidTr="003D7B82">
        <w:trPr>
          <w:jc w:val="center"/>
        </w:trPr>
        <w:tc>
          <w:tcPr>
            <w:tcW w:w="895" w:type="dxa"/>
            <w:noWrap/>
            <w:vAlign w:val="center"/>
            <w:hideMark/>
          </w:tcPr>
          <w:p w14:paraId="7E2E57F7"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1</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52F18F59" w14:textId="0095A811" w:rsidR="00E85F4B" w:rsidRPr="00E601CA" w:rsidRDefault="00E85F4B" w:rsidP="00E85F4B">
            <w:pPr>
              <w:jc w:val="center"/>
              <w:rPr>
                <w:rFonts w:ascii="Calibri" w:eastAsia="Times New Roman" w:hAnsi="Calibri" w:cs="Times New Roman"/>
                <w:color w:val="000000"/>
              </w:rPr>
            </w:pPr>
            <w:r>
              <w:rPr>
                <w:rFonts w:ascii="Calibri" w:hAnsi="Calibri"/>
                <w:color w:val="000000"/>
              </w:rPr>
              <w:t>0,992</w:t>
            </w:r>
          </w:p>
        </w:tc>
        <w:tc>
          <w:tcPr>
            <w:tcW w:w="4677" w:type="dxa"/>
            <w:noWrap/>
            <w:vAlign w:val="center"/>
            <w:hideMark/>
          </w:tcPr>
          <w:p w14:paraId="18152379"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0,999</w:t>
            </w:r>
          </w:p>
        </w:tc>
      </w:tr>
      <w:tr w:rsidR="00E85F4B" w:rsidRPr="00E601CA" w14:paraId="52894A41" w14:textId="77777777" w:rsidTr="003D7B82">
        <w:trPr>
          <w:jc w:val="center"/>
        </w:trPr>
        <w:tc>
          <w:tcPr>
            <w:tcW w:w="895" w:type="dxa"/>
            <w:noWrap/>
            <w:vAlign w:val="center"/>
            <w:hideMark/>
          </w:tcPr>
          <w:p w14:paraId="2C524DFC"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2</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6C868C58" w14:textId="7F4D4F6C" w:rsidR="00E85F4B" w:rsidRPr="00E601CA" w:rsidRDefault="00E85F4B" w:rsidP="00E85F4B">
            <w:pPr>
              <w:jc w:val="center"/>
              <w:rPr>
                <w:rFonts w:ascii="Calibri" w:eastAsia="Times New Roman" w:hAnsi="Calibri" w:cs="Times New Roman"/>
                <w:color w:val="000000"/>
              </w:rPr>
            </w:pPr>
            <w:r>
              <w:rPr>
                <w:rFonts w:ascii="Calibri" w:hAnsi="Calibri"/>
                <w:color w:val="000000"/>
              </w:rPr>
              <w:t>0,984</w:t>
            </w:r>
          </w:p>
        </w:tc>
        <w:tc>
          <w:tcPr>
            <w:tcW w:w="4677" w:type="dxa"/>
            <w:noWrap/>
            <w:vAlign w:val="center"/>
            <w:hideMark/>
          </w:tcPr>
          <w:p w14:paraId="00C2F6F8"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0,998</w:t>
            </w:r>
          </w:p>
        </w:tc>
      </w:tr>
      <w:tr w:rsidR="00E85F4B" w:rsidRPr="00E601CA" w14:paraId="1FD59C3B" w14:textId="77777777" w:rsidTr="003D7B82">
        <w:trPr>
          <w:jc w:val="center"/>
        </w:trPr>
        <w:tc>
          <w:tcPr>
            <w:tcW w:w="895" w:type="dxa"/>
            <w:noWrap/>
            <w:vAlign w:val="center"/>
            <w:hideMark/>
          </w:tcPr>
          <w:p w14:paraId="77F2885C"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3</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2E663A8B" w14:textId="40409559" w:rsidR="00E85F4B" w:rsidRPr="00E601CA" w:rsidRDefault="00E85F4B" w:rsidP="00E85F4B">
            <w:pPr>
              <w:jc w:val="center"/>
              <w:rPr>
                <w:rFonts w:ascii="Calibri" w:eastAsia="Times New Roman" w:hAnsi="Calibri" w:cs="Times New Roman"/>
                <w:color w:val="000000"/>
              </w:rPr>
            </w:pPr>
            <w:r>
              <w:rPr>
                <w:rFonts w:ascii="Calibri" w:hAnsi="Calibri"/>
                <w:color w:val="000000"/>
              </w:rPr>
              <w:t>0,976</w:t>
            </w:r>
          </w:p>
        </w:tc>
        <w:tc>
          <w:tcPr>
            <w:tcW w:w="4677" w:type="dxa"/>
            <w:noWrap/>
            <w:vAlign w:val="center"/>
            <w:hideMark/>
          </w:tcPr>
          <w:p w14:paraId="22E0A98F"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0,997</w:t>
            </w:r>
          </w:p>
        </w:tc>
      </w:tr>
      <w:tr w:rsidR="00E85F4B" w:rsidRPr="00E601CA" w14:paraId="4BB1B910" w14:textId="77777777" w:rsidTr="003D7B82">
        <w:trPr>
          <w:jc w:val="center"/>
        </w:trPr>
        <w:tc>
          <w:tcPr>
            <w:tcW w:w="895" w:type="dxa"/>
            <w:noWrap/>
            <w:vAlign w:val="center"/>
            <w:hideMark/>
          </w:tcPr>
          <w:p w14:paraId="60D74FA2"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4</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3F16EFA4" w14:textId="2407E42A" w:rsidR="00E85F4B" w:rsidRPr="00E601CA" w:rsidRDefault="00E85F4B" w:rsidP="00E85F4B">
            <w:pPr>
              <w:jc w:val="center"/>
              <w:rPr>
                <w:rFonts w:ascii="Calibri" w:eastAsia="Times New Roman" w:hAnsi="Calibri" w:cs="Times New Roman"/>
                <w:color w:val="000000"/>
              </w:rPr>
            </w:pPr>
            <w:r>
              <w:rPr>
                <w:rFonts w:ascii="Calibri" w:hAnsi="Calibri"/>
                <w:color w:val="000000"/>
              </w:rPr>
              <w:t>0,969</w:t>
            </w:r>
          </w:p>
        </w:tc>
        <w:tc>
          <w:tcPr>
            <w:tcW w:w="4677" w:type="dxa"/>
            <w:noWrap/>
            <w:vAlign w:val="center"/>
            <w:hideMark/>
          </w:tcPr>
          <w:p w14:paraId="6DF42EBB"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0,996</w:t>
            </w:r>
          </w:p>
        </w:tc>
      </w:tr>
      <w:tr w:rsidR="00E85F4B" w:rsidRPr="00E601CA" w14:paraId="43DCDE4A" w14:textId="77777777" w:rsidTr="003D7B82">
        <w:trPr>
          <w:jc w:val="center"/>
        </w:trPr>
        <w:tc>
          <w:tcPr>
            <w:tcW w:w="895" w:type="dxa"/>
            <w:noWrap/>
            <w:vAlign w:val="center"/>
            <w:hideMark/>
          </w:tcPr>
          <w:p w14:paraId="7C1581D6"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5</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6022E594" w14:textId="7FE3FE74" w:rsidR="00E85F4B" w:rsidRPr="00E601CA" w:rsidRDefault="00E85F4B" w:rsidP="00E85F4B">
            <w:pPr>
              <w:jc w:val="center"/>
              <w:rPr>
                <w:rFonts w:ascii="Calibri" w:eastAsia="Times New Roman" w:hAnsi="Calibri" w:cs="Times New Roman"/>
                <w:color w:val="000000"/>
              </w:rPr>
            </w:pPr>
            <w:r>
              <w:rPr>
                <w:rFonts w:ascii="Calibri" w:hAnsi="Calibri"/>
                <w:color w:val="000000"/>
              </w:rPr>
              <w:t>0,961</w:t>
            </w:r>
          </w:p>
        </w:tc>
        <w:tc>
          <w:tcPr>
            <w:tcW w:w="4677" w:type="dxa"/>
            <w:noWrap/>
            <w:vAlign w:val="center"/>
            <w:hideMark/>
          </w:tcPr>
          <w:p w14:paraId="35CE3BE7"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0,995</w:t>
            </w:r>
          </w:p>
        </w:tc>
      </w:tr>
      <w:tr w:rsidR="00E85F4B" w:rsidRPr="00E601CA" w14:paraId="64C5B075" w14:textId="77777777" w:rsidTr="003D7B82">
        <w:trPr>
          <w:jc w:val="center"/>
        </w:trPr>
        <w:tc>
          <w:tcPr>
            <w:tcW w:w="895" w:type="dxa"/>
            <w:noWrap/>
            <w:vAlign w:val="center"/>
            <w:hideMark/>
          </w:tcPr>
          <w:p w14:paraId="0B48A0C4"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6</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C4C378C" w14:textId="3360CA83" w:rsidR="00E85F4B" w:rsidRPr="00E601CA" w:rsidRDefault="00E85F4B" w:rsidP="00E85F4B">
            <w:pPr>
              <w:jc w:val="center"/>
              <w:rPr>
                <w:rFonts w:ascii="Calibri" w:eastAsia="Times New Roman" w:hAnsi="Calibri" w:cs="Times New Roman"/>
                <w:color w:val="000000"/>
              </w:rPr>
            </w:pPr>
            <w:r>
              <w:rPr>
                <w:rFonts w:ascii="Calibri" w:hAnsi="Calibri"/>
                <w:color w:val="000000"/>
              </w:rPr>
              <w:t>0,953</w:t>
            </w:r>
          </w:p>
        </w:tc>
        <w:tc>
          <w:tcPr>
            <w:tcW w:w="4677" w:type="dxa"/>
            <w:noWrap/>
            <w:vAlign w:val="center"/>
            <w:hideMark/>
          </w:tcPr>
          <w:p w14:paraId="12FBE67B"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0,994</w:t>
            </w:r>
          </w:p>
        </w:tc>
      </w:tr>
      <w:tr w:rsidR="00E85F4B" w:rsidRPr="00E601CA" w14:paraId="7BBCFCA5" w14:textId="77777777" w:rsidTr="003D7B82">
        <w:trPr>
          <w:jc w:val="center"/>
        </w:trPr>
        <w:tc>
          <w:tcPr>
            <w:tcW w:w="895" w:type="dxa"/>
            <w:noWrap/>
            <w:vAlign w:val="center"/>
            <w:hideMark/>
          </w:tcPr>
          <w:p w14:paraId="0F0F660D"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7</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5CCAC9A0" w14:textId="4797D5CD" w:rsidR="00E85F4B" w:rsidRPr="00E601CA" w:rsidRDefault="00E85F4B" w:rsidP="00E85F4B">
            <w:pPr>
              <w:jc w:val="center"/>
              <w:rPr>
                <w:rFonts w:ascii="Calibri" w:eastAsia="Times New Roman" w:hAnsi="Calibri" w:cs="Times New Roman"/>
                <w:color w:val="000000"/>
              </w:rPr>
            </w:pPr>
            <w:r>
              <w:rPr>
                <w:rFonts w:ascii="Calibri" w:hAnsi="Calibri"/>
                <w:color w:val="000000"/>
              </w:rPr>
              <w:t>0,945</w:t>
            </w:r>
          </w:p>
        </w:tc>
        <w:tc>
          <w:tcPr>
            <w:tcW w:w="4677" w:type="dxa"/>
            <w:noWrap/>
            <w:vAlign w:val="center"/>
            <w:hideMark/>
          </w:tcPr>
          <w:p w14:paraId="6AA5F536"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0,993</w:t>
            </w:r>
          </w:p>
        </w:tc>
      </w:tr>
      <w:tr w:rsidR="00E85F4B" w:rsidRPr="00E601CA" w14:paraId="0E42912F" w14:textId="77777777" w:rsidTr="003D7B82">
        <w:trPr>
          <w:jc w:val="center"/>
        </w:trPr>
        <w:tc>
          <w:tcPr>
            <w:tcW w:w="895" w:type="dxa"/>
            <w:noWrap/>
            <w:vAlign w:val="center"/>
            <w:hideMark/>
          </w:tcPr>
          <w:p w14:paraId="1C353297"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8</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3FE28D04" w14:textId="2A5AFDE2" w:rsidR="00E85F4B" w:rsidRPr="00E601CA" w:rsidRDefault="00E85F4B" w:rsidP="00E85F4B">
            <w:pPr>
              <w:jc w:val="center"/>
              <w:rPr>
                <w:rFonts w:ascii="Calibri" w:eastAsia="Times New Roman" w:hAnsi="Calibri" w:cs="Times New Roman"/>
                <w:color w:val="000000"/>
              </w:rPr>
            </w:pPr>
            <w:r>
              <w:rPr>
                <w:rFonts w:ascii="Calibri" w:hAnsi="Calibri"/>
                <w:color w:val="000000"/>
              </w:rPr>
              <w:t>0,937</w:t>
            </w:r>
          </w:p>
        </w:tc>
        <w:tc>
          <w:tcPr>
            <w:tcW w:w="4677" w:type="dxa"/>
            <w:noWrap/>
            <w:vAlign w:val="center"/>
            <w:hideMark/>
          </w:tcPr>
          <w:p w14:paraId="7148BB33"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0,992</w:t>
            </w:r>
          </w:p>
        </w:tc>
      </w:tr>
      <w:tr w:rsidR="00E85F4B" w:rsidRPr="00E601CA" w14:paraId="0CEEDD07" w14:textId="77777777" w:rsidTr="003D7B82">
        <w:trPr>
          <w:jc w:val="center"/>
        </w:trPr>
        <w:tc>
          <w:tcPr>
            <w:tcW w:w="895" w:type="dxa"/>
            <w:noWrap/>
            <w:vAlign w:val="center"/>
            <w:hideMark/>
          </w:tcPr>
          <w:p w14:paraId="2AC88314"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9</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69596949" w14:textId="1A25BF64" w:rsidR="00E85F4B" w:rsidRPr="00E601CA" w:rsidRDefault="00E85F4B" w:rsidP="00E85F4B">
            <w:pPr>
              <w:jc w:val="center"/>
              <w:rPr>
                <w:rFonts w:ascii="Calibri" w:eastAsia="Times New Roman" w:hAnsi="Calibri" w:cs="Times New Roman"/>
                <w:color w:val="000000"/>
              </w:rPr>
            </w:pPr>
            <w:r>
              <w:rPr>
                <w:rFonts w:ascii="Calibri" w:hAnsi="Calibri"/>
                <w:color w:val="000000"/>
              </w:rPr>
              <w:t>0,929</w:t>
            </w:r>
          </w:p>
        </w:tc>
        <w:tc>
          <w:tcPr>
            <w:tcW w:w="4677" w:type="dxa"/>
            <w:noWrap/>
            <w:vAlign w:val="center"/>
            <w:hideMark/>
          </w:tcPr>
          <w:p w14:paraId="2628F940"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0,991</w:t>
            </w:r>
          </w:p>
        </w:tc>
      </w:tr>
      <w:tr w:rsidR="00E85F4B" w:rsidRPr="00E601CA" w14:paraId="224B9CD4" w14:textId="77777777" w:rsidTr="003D7B82">
        <w:trPr>
          <w:jc w:val="center"/>
        </w:trPr>
        <w:tc>
          <w:tcPr>
            <w:tcW w:w="895" w:type="dxa"/>
            <w:noWrap/>
            <w:vAlign w:val="center"/>
            <w:hideMark/>
          </w:tcPr>
          <w:p w14:paraId="42A201AD"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10</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5C272329" w14:textId="79415ED4" w:rsidR="00E85F4B" w:rsidRPr="00E601CA" w:rsidRDefault="00E85F4B" w:rsidP="00E85F4B">
            <w:pPr>
              <w:jc w:val="center"/>
              <w:rPr>
                <w:rFonts w:ascii="Calibri" w:eastAsia="Times New Roman" w:hAnsi="Calibri" w:cs="Times New Roman"/>
                <w:color w:val="000000"/>
              </w:rPr>
            </w:pPr>
            <w:r>
              <w:rPr>
                <w:rFonts w:ascii="Calibri" w:hAnsi="Calibri"/>
                <w:color w:val="000000"/>
              </w:rPr>
              <w:t>0,921</w:t>
            </w:r>
          </w:p>
        </w:tc>
        <w:tc>
          <w:tcPr>
            <w:tcW w:w="4677" w:type="dxa"/>
            <w:noWrap/>
            <w:vAlign w:val="center"/>
            <w:hideMark/>
          </w:tcPr>
          <w:p w14:paraId="647CC983"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0,990</w:t>
            </w:r>
          </w:p>
        </w:tc>
      </w:tr>
      <w:tr w:rsidR="00E85F4B" w:rsidRPr="00E601CA" w14:paraId="6583435A" w14:textId="77777777" w:rsidTr="003D7B82">
        <w:trPr>
          <w:jc w:val="center"/>
        </w:trPr>
        <w:tc>
          <w:tcPr>
            <w:tcW w:w="895" w:type="dxa"/>
            <w:noWrap/>
            <w:vAlign w:val="center"/>
            <w:hideMark/>
          </w:tcPr>
          <w:p w14:paraId="49CC3C9E"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11</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3B3E5DCE" w14:textId="384F9517" w:rsidR="00E85F4B" w:rsidRPr="00E601CA" w:rsidRDefault="00E85F4B" w:rsidP="00E85F4B">
            <w:pPr>
              <w:jc w:val="center"/>
              <w:rPr>
                <w:rFonts w:ascii="Calibri" w:eastAsia="Times New Roman" w:hAnsi="Calibri" w:cs="Times New Roman"/>
                <w:color w:val="000000"/>
              </w:rPr>
            </w:pPr>
            <w:r>
              <w:rPr>
                <w:rFonts w:ascii="Calibri" w:hAnsi="Calibri"/>
                <w:color w:val="000000"/>
              </w:rPr>
              <w:t>0,913</w:t>
            </w:r>
          </w:p>
        </w:tc>
        <w:tc>
          <w:tcPr>
            <w:tcW w:w="4677" w:type="dxa"/>
            <w:noWrap/>
            <w:vAlign w:val="center"/>
            <w:hideMark/>
          </w:tcPr>
          <w:p w14:paraId="62A16A98"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0,988</w:t>
            </w:r>
          </w:p>
        </w:tc>
      </w:tr>
      <w:tr w:rsidR="00E85F4B" w:rsidRPr="00E601CA" w14:paraId="3DA98F0E" w14:textId="77777777" w:rsidTr="003D7B82">
        <w:trPr>
          <w:jc w:val="center"/>
        </w:trPr>
        <w:tc>
          <w:tcPr>
            <w:tcW w:w="895" w:type="dxa"/>
            <w:noWrap/>
            <w:vAlign w:val="center"/>
            <w:hideMark/>
          </w:tcPr>
          <w:p w14:paraId="77BBB061"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12</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66A6D86" w14:textId="7EBEFD95" w:rsidR="00E85F4B" w:rsidRPr="00E601CA" w:rsidRDefault="00E85F4B" w:rsidP="00E85F4B">
            <w:pPr>
              <w:jc w:val="center"/>
              <w:rPr>
                <w:rFonts w:ascii="Calibri" w:eastAsia="Times New Roman" w:hAnsi="Calibri" w:cs="Times New Roman"/>
                <w:color w:val="000000"/>
              </w:rPr>
            </w:pPr>
            <w:r>
              <w:rPr>
                <w:rFonts w:ascii="Calibri" w:hAnsi="Calibri"/>
                <w:color w:val="000000"/>
              </w:rPr>
              <w:t>0,905</w:t>
            </w:r>
          </w:p>
        </w:tc>
        <w:tc>
          <w:tcPr>
            <w:tcW w:w="4677" w:type="dxa"/>
            <w:noWrap/>
            <w:vAlign w:val="center"/>
            <w:hideMark/>
          </w:tcPr>
          <w:p w14:paraId="6BF8AA48"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0,987</w:t>
            </w:r>
          </w:p>
        </w:tc>
      </w:tr>
      <w:tr w:rsidR="00E85F4B" w:rsidRPr="00E601CA" w14:paraId="7AA3835E" w14:textId="77777777" w:rsidTr="003D7B82">
        <w:trPr>
          <w:jc w:val="center"/>
        </w:trPr>
        <w:tc>
          <w:tcPr>
            <w:tcW w:w="895" w:type="dxa"/>
            <w:noWrap/>
            <w:vAlign w:val="center"/>
            <w:hideMark/>
          </w:tcPr>
          <w:p w14:paraId="2CE1F284"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13</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321710A" w14:textId="7B16AF37" w:rsidR="00E85F4B" w:rsidRPr="00E601CA" w:rsidRDefault="00E85F4B" w:rsidP="00E85F4B">
            <w:pPr>
              <w:jc w:val="center"/>
              <w:rPr>
                <w:rFonts w:ascii="Calibri" w:eastAsia="Times New Roman" w:hAnsi="Calibri" w:cs="Times New Roman"/>
                <w:color w:val="000000"/>
              </w:rPr>
            </w:pPr>
            <w:r>
              <w:rPr>
                <w:rFonts w:ascii="Calibri" w:hAnsi="Calibri"/>
                <w:color w:val="000000"/>
              </w:rPr>
              <w:t>0,897</w:t>
            </w:r>
          </w:p>
        </w:tc>
        <w:tc>
          <w:tcPr>
            <w:tcW w:w="4677" w:type="dxa"/>
            <w:noWrap/>
            <w:vAlign w:val="center"/>
            <w:hideMark/>
          </w:tcPr>
          <w:p w14:paraId="64FA8A96"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0,986</w:t>
            </w:r>
          </w:p>
        </w:tc>
      </w:tr>
      <w:tr w:rsidR="00E85F4B" w:rsidRPr="00E601CA" w14:paraId="72D95F2A" w14:textId="77777777" w:rsidTr="003D7B82">
        <w:trPr>
          <w:jc w:val="center"/>
        </w:trPr>
        <w:tc>
          <w:tcPr>
            <w:tcW w:w="895" w:type="dxa"/>
            <w:noWrap/>
            <w:vAlign w:val="center"/>
            <w:hideMark/>
          </w:tcPr>
          <w:p w14:paraId="6DF3960C"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14</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34D02F97" w14:textId="0BF98EF2" w:rsidR="00E85F4B" w:rsidRPr="00E601CA" w:rsidRDefault="00E85F4B" w:rsidP="00E85F4B">
            <w:pPr>
              <w:jc w:val="center"/>
              <w:rPr>
                <w:rFonts w:ascii="Calibri" w:eastAsia="Times New Roman" w:hAnsi="Calibri" w:cs="Times New Roman"/>
                <w:color w:val="000000"/>
              </w:rPr>
            </w:pPr>
            <w:r>
              <w:rPr>
                <w:rFonts w:ascii="Calibri" w:hAnsi="Calibri"/>
                <w:color w:val="000000"/>
              </w:rPr>
              <w:t>0,889</w:t>
            </w:r>
          </w:p>
        </w:tc>
        <w:tc>
          <w:tcPr>
            <w:tcW w:w="4677" w:type="dxa"/>
            <w:noWrap/>
            <w:vAlign w:val="center"/>
            <w:hideMark/>
          </w:tcPr>
          <w:p w14:paraId="31BE769E"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0,984</w:t>
            </w:r>
          </w:p>
        </w:tc>
      </w:tr>
      <w:tr w:rsidR="00E85F4B" w:rsidRPr="00E601CA" w14:paraId="2F0DC581" w14:textId="77777777" w:rsidTr="003D7B82">
        <w:trPr>
          <w:jc w:val="center"/>
        </w:trPr>
        <w:tc>
          <w:tcPr>
            <w:tcW w:w="895" w:type="dxa"/>
            <w:noWrap/>
            <w:vAlign w:val="center"/>
            <w:hideMark/>
          </w:tcPr>
          <w:p w14:paraId="1824D14F"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15</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577E91B3" w14:textId="567E70B3" w:rsidR="00E85F4B" w:rsidRPr="00E601CA" w:rsidRDefault="00E85F4B" w:rsidP="00E85F4B">
            <w:pPr>
              <w:jc w:val="center"/>
              <w:rPr>
                <w:rFonts w:ascii="Calibri" w:eastAsia="Times New Roman" w:hAnsi="Calibri" w:cs="Times New Roman"/>
                <w:color w:val="000000"/>
              </w:rPr>
            </w:pPr>
            <w:r>
              <w:rPr>
                <w:rFonts w:ascii="Calibri" w:hAnsi="Calibri"/>
                <w:color w:val="000000"/>
              </w:rPr>
              <w:t>0,880</w:t>
            </w:r>
          </w:p>
        </w:tc>
        <w:tc>
          <w:tcPr>
            <w:tcW w:w="4677" w:type="dxa"/>
            <w:noWrap/>
            <w:vAlign w:val="center"/>
            <w:hideMark/>
          </w:tcPr>
          <w:p w14:paraId="2DA85D3D"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0,983</w:t>
            </w:r>
          </w:p>
        </w:tc>
      </w:tr>
      <w:tr w:rsidR="00E85F4B" w:rsidRPr="00E601CA" w14:paraId="7113F251" w14:textId="77777777" w:rsidTr="003D7B82">
        <w:trPr>
          <w:jc w:val="center"/>
        </w:trPr>
        <w:tc>
          <w:tcPr>
            <w:tcW w:w="895" w:type="dxa"/>
            <w:noWrap/>
            <w:vAlign w:val="center"/>
            <w:hideMark/>
          </w:tcPr>
          <w:p w14:paraId="3E5E9F42"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16</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4F10860F" w14:textId="2E5A7F38" w:rsidR="00E85F4B" w:rsidRPr="00E601CA" w:rsidRDefault="00E85F4B" w:rsidP="00E85F4B">
            <w:pPr>
              <w:jc w:val="center"/>
              <w:rPr>
                <w:rFonts w:ascii="Calibri" w:eastAsia="Times New Roman" w:hAnsi="Calibri" w:cs="Times New Roman"/>
                <w:color w:val="000000"/>
              </w:rPr>
            </w:pPr>
            <w:r>
              <w:rPr>
                <w:rFonts w:ascii="Calibri" w:hAnsi="Calibri"/>
                <w:color w:val="000000"/>
              </w:rPr>
              <w:t>0,872</w:t>
            </w:r>
          </w:p>
        </w:tc>
        <w:tc>
          <w:tcPr>
            <w:tcW w:w="4677" w:type="dxa"/>
            <w:noWrap/>
            <w:vAlign w:val="center"/>
            <w:hideMark/>
          </w:tcPr>
          <w:p w14:paraId="47F3DA8B"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0,981</w:t>
            </w:r>
          </w:p>
        </w:tc>
      </w:tr>
      <w:tr w:rsidR="00E85F4B" w:rsidRPr="00E601CA" w14:paraId="49E7CB40" w14:textId="77777777" w:rsidTr="003D7B82">
        <w:trPr>
          <w:jc w:val="center"/>
        </w:trPr>
        <w:tc>
          <w:tcPr>
            <w:tcW w:w="895" w:type="dxa"/>
            <w:noWrap/>
            <w:vAlign w:val="center"/>
            <w:hideMark/>
          </w:tcPr>
          <w:p w14:paraId="2543F5E1"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17</w:t>
            </w:r>
          </w:p>
        </w:tc>
        <w:tc>
          <w:tcPr>
            <w:tcW w:w="2928" w:type="dxa"/>
            <w:tcBorders>
              <w:top w:val="nil"/>
              <w:left w:val="single" w:sz="8" w:space="0" w:color="auto"/>
              <w:bottom w:val="single" w:sz="6" w:space="0" w:color="auto"/>
              <w:right w:val="single" w:sz="8" w:space="0" w:color="auto"/>
            </w:tcBorders>
            <w:shd w:val="clear" w:color="auto" w:fill="auto"/>
            <w:noWrap/>
            <w:vAlign w:val="center"/>
            <w:hideMark/>
          </w:tcPr>
          <w:p w14:paraId="3B3C744F" w14:textId="0B6C00CE" w:rsidR="00E85F4B" w:rsidRPr="00E601CA" w:rsidRDefault="00E85F4B" w:rsidP="00E85F4B">
            <w:pPr>
              <w:jc w:val="center"/>
              <w:rPr>
                <w:rFonts w:ascii="Calibri" w:eastAsia="Times New Roman" w:hAnsi="Calibri" w:cs="Times New Roman"/>
                <w:color w:val="000000"/>
              </w:rPr>
            </w:pPr>
            <w:r>
              <w:rPr>
                <w:rFonts w:ascii="Calibri" w:hAnsi="Calibri"/>
                <w:color w:val="000000"/>
              </w:rPr>
              <w:t>0,864</w:t>
            </w:r>
          </w:p>
        </w:tc>
        <w:tc>
          <w:tcPr>
            <w:tcW w:w="4677" w:type="dxa"/>
            <w:noWrap/>
            <w:vAlign w:val="center"/>
            <w:hideMark/>
          </w:tcPr>
          <w:p w14:paraId="1946BDB0"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0,980</w:t>
            </w:r>
          </w:p>
        </w:tc>
      </w:tr>
      <w:tr w:rsidR="00E85F4B" w:rsidRPr="00E601CA" w14:paraId="05FA5A4D" w14:textId="77777777" w:rsidTr="003D7B82">
        <w:trPr>
          <w:jc w:val="center"/>
        </w:trPr>
        <w:tc>
          <w:tcPr>
            <w:tcW w:w="895" w:type="dxa"/>
            <w:tcBorders>
              <w:right w:val="single" w:sz="6" w:space="0" w:color="auto"/>
            </w:tcBorders>
            <w:noWrap/>
            <w:vAlign w:val="center"/>
            <w:hideMark/>
          </w:tcPr>
          <w:p w14:paraId="5C6D2692"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18</w:t>
            </w:r>
          </w:p>
        </w:tc>
        <w:tc>
          <w:tcPr>
            <w:tcW w:w="29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26DA473" w14:textId="27DD3C49" w:rsidR="00E85F4B" w:rsidRPr="00E601CA" w:rsidRDefault="00E85F4B" w:rsidP="00E85F4B">
            <w:pPr>
              <w:jc w:val="center"/>
              <w:rPr>
                <w:rFonts w:ascii="Calibri" w:eastAsia="Times New Roman" w:hAnsi="Calibri" w:cs="Times New Roman"/>
                <w:color w:val="000000"/>
              </w:rPr>
            </w:pPr>
            <w:r>
              <w:rPr>
                <w:rFonts w:ascii="Calibri" w:hAnsi="Calibri"/>
                <w:color w:val="000000"/>
              </w:rPr>
              <w:t>0,856</w:t>
            </w:r>
          </w:p>
        </w:tc>
        <w:tc>
          <w:tcPr>
            <w:tcW w:w="4677" w:type="dxa"/>
            <w:tcBorders>
              <w:left w:val="single" w:sz="6" w:space="0" w:color="auto"/>
            </w:tcBorders>
            <w:noWrap/>
            <w:vAlign w:val="center"/>
            <w:hideMark/>
          </w:tcPr>
          <w:p w14:paraId="234AC1D2"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0,978</w:t>
            </w:r>
          </w:p>
        </w:tc>
      </w:tr>
      <w:tr w:rsidR="00E85F4B" w:rsidRPr="00E601CA" w14:paraId="1E784EEE" w14:textId="77777777" w:rsidTr="003D7B82">
        <w:trPr>
          <w:jc w:val="center"/>
        </w:trPr>
        <w:tc>
          <w:tcPr>
            <w:tcW w:w="895" w:type="dxa"/>
            <w:noWrap/>
            <w:vAlign w:val="center"/>
            <w:hideMark/>
          </w:tcPr>
          <w:p w14:paraId="7066FA9C"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19</w:t>
            </w:r>
          </w:p>
        </w:tc>
        <w:tc>
          <w:tcPr>
            <w:tcW w:w="2928" w:type="dxa"/>
            <w:tcBorders>
              <w:top w:val="single" w:sz="6" w:space="0" w:color="auto"/>
              <w:left w:val="single" w:sz="8" w:space="0" w:color="auto"/>
              <w:bottom w:val="single" w:sz="8" w:space="0" w:color="auto"/>
              <w:right w:val="single" w:sz="8" w:space="0" w:color="auto"/>
            </w:tcBorders>
            <w:shd w:val="clear" w:color="auto" w:fill="auto"/>
            <w:noWrap/>
            <w:vAlign w:val="center"/>
            <w:hideMark/>
          </w:tcPr>
          <w:p w14:paraId="39A92D2E" w14:textId="5D0683C5" w:rsidR="00E85F4B" w:rsidRPr="00E601CA" w:rsidRDefault="00E85F4B" w:rsidP="00E85F4B">
            <w:pPr>
              <w:jc w:val="center"/>
              <w:rPr>
                <w:rFonts w:ascii="Calibri" w:eastAsia="Times New Roman" w:hAnsi="Calibri" w:cs="Times New Roman"/>
                <w:color w:val="000000"/>
              </w:rPr>
            </w:pPr>
            <w:r>
              <w:rPr>
                <w:rFonts w:ascii="Calibri" w:hAnsi="Calibri"/>
                <w:color w:val="000000"/>
              </w:rPr>
              <w:t>0,848</w:t>
            </w:r>
          </w:p>
        </w:tc>
        <w:tc>
          <w:tcPr>
            <w:tcW w:w="4677" w:type="dxa"/>
            <w:noWrap/>
            <w:vAlign w:val="center"/>
            <w:hideMark/>
          </w:tcPr>
          <w:p w14:paraId="2A3716F4"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0,976</w:t>
            </w:r>
          </w:p>
        </w:tc>
      </w:tr>
      <w:tr w:rsidR="00E85F4B" w:rsidRPr="00E601CA" w14:paraId="734C3749" w14:textId="77777777" w:rsidTr="003D7B82">
        <w:trPr>
          <w:jc w:val="center"/>
        </w:trPr>
        <w:tc>
          <w:tcPr>
            <w:tcW w:w="895" w:type="dxa"/>
            <w:noWrap/>
            <w:vAlign w:val="center"/>
            <w:hideMark/>
          </w:tcPr>
          <w:p w14:paraId="0878D476"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20</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1E7B57BC" w14:textId="5BF2A87C" w:rsidR="00E85F4B" w:rsidRPr="00E601CA" w:rsidRDefault="00E85F4B" w:rsidP="00E85F4B">
            <w:pPr>
              <w:jc w:val="center"/>
              <w:rPr>
                <w:rFonts w:ascii="Calibri" w:eastAsia="Times New Roman" w:hAnsi="Calibri" w:cs="Times New Roman"/>
                <w:color w:val="000000"/>
              </w:rPr>
            </w:pPr>
            <w:r>
              <w:rPr>
                <w:rFonts w:ascii="Calibri" w:hAnsi="Calibri"/>
                <w:color w:val="000000"/>
              </w:rPr>
              <w:t>0,840</w:t>
            </w:r>
          </w:p>
        </w:tc>
        <w:tc>
          <w:tcPr>
            <w:tcW w:w="4677" w:type="dxa"/>
            <w:noWrap/>
            <w:vAlign w:val="center"/>
            <w:hideMark/>
          </w:tcPr>
          <w:p w14:paraId="7CE188DB"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0,975</w:t>
            </w:r>
          </w:p>
        </w:tc>
      </w:tr>
      <w:tr w:rsidR="00E85F4B" w:rsidRPr="00E601CA" w14:paraId="68D03304" w14:textId="77777777" w:rsidTr="003D7B82">
        <w:trPr>
          <w:jc w:val="center"/>
        </w:trPr>
        <w:tc>
          <w:tcPr>
            <w:tcW w:w="895" w:type="dxa"/>
            <w:noWrap/>
            <w:vAlign w:val="center"/>
            <w:hideMark/>
          </w:tcPr>
          <w:p w14:paraId="4DF1E3EE"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21</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53C1F767" w14:textId="4F0E790D" w:rsidR="00E85F4B" w:rsidRPr="00E601CA" w:rsidRDefault="00E85F4B" w:rsidP="00E85F4B">
            <w:pPr>
              <w:jc w:val="center"/>
              <w:rPr>
                <w:rFonts w:ascii="Calibri" w:eastAsia="Times New Roman" w:hAnsi="Calibri" w:cs="Times New Roman"/>
                <w:color w:val="000000"/>
              </w:rPr>
            </w:pPr>
            <w:r>
              <w:rPr>
                <w:rFonts w:ascii="Calibri" w:hAnsi="Calibri"/>
                <w:color w:val="000000"/>
              </w:rPr>
              <w:t>0,831</w:t>
            </w:r>
          </w:p>
        </w:tc>
        <w:tc>
          <w:tcPr>
            <w:tcW w:w="4677" w:type="dxa"/>
            <w:noWrap/>
            <w:vAlign w:val="center"/>
            <w:hideMark/>
          </w:tcPr>
          <w:p w14:paraId="533D115E"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0,973</w:t>
            </w:r>
          </w:p>
        </w:tc>
      </w:tr>
      <w:tr w:rsidR="00E85F4B" w:rsidRPr="00E601CA" w14:paraId="60BD1AE2" w14:textId="77777777" w:rsidTr="003D7B82">
        <w:trPr>
          <w:jc w:val="center"/>
        </w:trPr>
        <w:tc>
          <w:tcPr>
            <w:tcW w:w="895" w:type="dxa"/>
            <w:noWrap/>
            <w:vAlign w:val="center"/>
            <w:hideMark/>
          </w:tcPr>
          <w:p w14:paraId="16420190"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22</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D42B45F" w14:textId="2AE3FE55" w:rsidR="00E85F4B" w:rsidRPr="00E601CA" w:rsidRDefault="00E85F4B" w:rsidP="00E85F4B">
            <w:pPr>
              <w:jc w:val="center"/>
              <w:rPr>
                <w:rFonts w:ascii="Calibri" w:eastAsia="Times New Roman" w:hAnsi="Calibri" w:cs="Times New Roman"/>
                <w:color w:val="000000"/>
              </w:rPr>
            </w:pPr>
            <w:r>
              <w:rPr>
                <w:rFonts w:ascii="Calibri" w:hAnsi="Calibri"/>
                <w:color w:val="000000"/>
              </w:rPr>
              <w:t>0,823</w:t>
            </w:r>
          </w:p>
        </w:tc>
        <w:tc>
          <w:tcPr>
            <w:tcW w:w="4677" w:type="dxa"/>
            <w:noWrap/>
            <w:vAlign w:val="center"/>
            <w:hideMark/>
          </w:tcPr>
          <w:p w14:paraId="030E9029"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0,971</w:t>
            </w:r>
          </w:p>
        </w:tc>
      </w:tr>
      <w:tr w:rsidR="00E85F4B" w:rsidRPr="00E601CA" w14:paraId="6EBA0B45" w14:textId="77777777" w:rsidTr="003D7B82">
        <w:trPr>
          <w:jc w:val="center"/>
        </w:trPr>
        <w:tc>
          <w:tcPr>
            <w:tcW w:w="895" w:type="dxa"/>
            <w:noWrap/>
            <w:vAlign w:val="center"/>
            <w:hideMark/>
          </w:tcPr>
          <w:p w14:paraId="51BD2D77"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23</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61860525" w14:textId="3C388A74" w:rsidR="00E85F4B" w:rsidRPr="00E601CA" w:rsidRDefault="00E85F4B" w:rsidP="00E85F4B">
            <w:pPr>
              <w:jc w:val="center"/>
              <w:rPr>
                <w:rFonts w:ascii="Calibri" w:eastAsia="Times New Roman" w:hAnsi="Calibri" w:cs="Times New Roman"/>
                <w:color w:val="000000"/>
              </w:rPr>
            </w:pPr>
            <w:r>
              <w:rPr>
                <w:rFonts w:ascii="Calibri" w:hAnsi="Calibri"/>
                <w:color w:val="000000"/>
              </w:rPr>
              <w:t>0,815</w:t>
            </w:r>
          </w:p>
        </w:tc>
        <w:tc>
          <w:tcPr>
            <w:tcW w:w="4677" w:type="dxa"/>
            <w:noWrap/>
            <w:vAlign w:val="center"/>
            <w:hideMark/>
          </w:tcPr>
          <w:p w14:paraId="6D805141"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0,969</w:t>
            </w:r>
          </w:p>
        </w:tc>
      </w:tr>
      <w:tr w:rsidR="00E85F4B" w:rsidRPr="00E601CA" w14:paraId="568B1625" w14:textId="77777777" w:rsidTr="003D7B82">
        <w:trPr>
          <w:jc w:val="center"/>
        </w:trPr>
        <w:tc>
          <w:tcPr>
            <w:tcW w:w="895" w:type="dxa"/>
            <w:noWrap/>
            <w:vAlign w:val="center"/>
            <w:hideMark/>
          </w:tcPr>
          <w:p w14:paraId="724F3C31"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24</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64C513D1" w14:textId="6EDCF05A" w:rsidR="00E85F4B" w:rsidRPr="00E601CA" w:rsidRDefault="00E85F4B" w:rsidP="00E85F4B">
            <w:pPr>
              <w:jc w:val="center"/>
              <w:rPr>
                <w:rFonts w:ascii="Calibri" w:eastAsia="Times New Roman" w:hAnsi="Calibri" w:cs="Times New Roman"/>
                <w:color w:val="000000"/>
              </w:rPr>
            </w:pPr>
            <w:r>
              <w:rPr>
                <w:rFonts w:ascii="Calibri" w:hAnsi="Calibri"/>
                <w:color w:val="000000"/>
              </w:rPr>
              <w:t>0,806</w:t>
            </w:r>
          </w:p>
        </w:tc>
        <w:tc>
          <w:tcPr>
            <w:tcW w:w="4677" w:type="dxa"/>
            <w:noWrap/>
            <w:vAlign w:val="center"/>
            <w:hideMark/>
          </w:tcPr>
          <w:p w14:paraId="7796280B"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0,967</w:t>
            </w:r>
          </w:p>
        </w:tc>
      </w:tr>
      <w:tr w:rsidR="00E85F4B" w:rsidRPr="00E601CA" w14:paraId="26561E4B" w14:textId="77777777" w:rsidTr="003D7B82">
        <w:trPr>
          <w:jc w:val="center"/>
        </w:trPr>
        <w:tc>
          <w:tcPr>
            <w:tcW w:w="895" w:type="dxa"/>
            <w:noWrap/>
            <w:vAlign w:val="center"/>
            <w:hideMark/>
          </w:tcPr>
          <w:p w14:paraId="30DD75DD"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25</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3AFF72C2" w14:textId="197A5557" w:rsidR="00E85F4B" w:rsidRPr="00E601CA" w:rsidRDefault="00E85F4B" w:rsidP="00E85F4B">
            <w:pPr>
              <w:jc w:val="center"/>
              <w:rPr>
                <w:rFonts w:ascii="Calibri" w:eastAsia="Times New Roman" w:hAnsi="Calibri" w:cs="Times New Roman"/>
                <w:color w:val="000000"/>
              </w:rPr>
            </w:pPr>
            <w:r>
              <w:rPr>
                <w:rFonts w:ascii="Calibri" w:hAnsi="Calibri"/>
                <w:color w:val="000000"/>
              </w:rPr>
              <w:t>0,798</w:t>
            </w:r>
          </w:p>
        </w:tc>
        <w:tc>
          <w:tcPr>
            <w:tcW w:w="4677" w:type="dxa"/>
            <w:noWrap/>
            <w:vAlign w:val="center"/>
            <w:hideMark/>
          </w:tcPr>
          <w:p w14:paraId="74E23D49"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0,965</w:t>
            </w:r>
          </w:p>
        </w:tc>
      </w:tr>
      <w:tr w:rsidR="00E85F4B" w:rsidRPr="00E601CA" w14:paraId="10EC0F3F" w14:textId="77777777" w:rsidTr="003D7B82">
        <w:trPr>
          <w:jc w:val="center"/>
        </w:trPr>
        <w:tc>
          <w:tcPr>
            <w:tcW w:w="895" w:type="dxa"/>
            <w:noWrap/>
            <w:vAlign w:val="center"/>
            <w:hideMark/>
          </w:tcPr>
          <w:p w14:paraId="50D4F7FD"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26</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153A8F76" w14:textId="0516DCD8" w:rsidR="00E85F4B" w:rsidRPr="00E601CA" w:rsidRDefault="00E85F4B" w:rsidP="00E85F4B">
            <w:pPr>
              <w:jc w:val="center"/>
              <w:rPr>
                <w:rFonts w:ascii="Calibri" w:eastAsia="Times New Roman" w:hAnsi="Calibri" w:cs="Times New Roman"/>
                <w:color w:val="000000"/>
              </w:rPr>
            </w:pPr>
            <w:r>
              <w:rPr>
                <w:rFonts w:ascii="Calibri" w:hAnsi="Calibri"/>
                <w:color w:val="000000"/>
              </w:rPr>
              <w:t>0,790</w:t>
            </w:r>
          </w:p>
        </w:tc>
        <w:tc>
          <w:tcPr>
            <w:tcW w:w="4677" w:type="dxa"/>
            <w:noWrap/>
            <w:vAlign w:val="center"/>
            <w:hideMark/>
          </w:tcPr>
          <w:p w14:paraId="029E6096"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0,963</w:t>
            </w:r>
          </w:p>
        </w:tc>
      </w:tr>
      <w:tr w:rsidR="00E85F4B" w:rsidRPr="00E601CA" w14:paraId="14C9C7E0" w14:textId="77777777" w:rsidTr="003D7B82">
        <w:trPr>
          <w:jc w:val="center"/>
        </w:trPr>
        <w:tc>
          <w:tcPr>
            <w:tcW w:w="895" w:type="dxa"/>
            <w:noWrap/>
            <w:vAlign w:val="center"/>
            <w:hideMark/>
          </w:tcPr>
          <w:p w14:paraId="4B119292"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27</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C30BBBC" w14:textId="2E9A5CE8" w:rsidR="00E85F4B" w:rsidRPr="00E601CA" w:rsidRDefault="00E85F4B" w:rsidP="00E85F4B">
            <w:pPr>
              <w:jc w:val="center"/>
              <w:rPr>
                <w:rFonts w:ascii="Calibri" w:eastAsia="Times New Roman" w:hAnsi="Calibri" w:cs="Times New Roman"/>
                <w:color w:val="000000"/>
              </w:rPr>
            </w:pPr>
            <w:r>
              <w:rPr>
                <w:rFonts w:ascii="Calibri" w:hAnsi="Calibri"/>
                <w:color w:val="000000"/>
              </w:rPr>
              <w:t>0,781</w:t>
            </w:r>
          </w:p>
        </w:tc>
        <w:tc>
          <w:tcPr>
            <w:tcW w:w="4677" w:type="dxa"/>
            <w:noWrap/>
            <w:vAlign w:val="center"/>
            <w:hideMark/>
          </w:tcPr>
          <w:p w14:paraId="749F0D2F"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0,961</w:t>
            </w:r>
          </w:p>
        </w:tc>
      </w:tr>
      <w:tr w:rsidR="00E85F4B" w:rsidRPr="00E601CA" w14:paraId="5CDACF93" w14:textId="77777777" w:rsidTr="003D7B82">
        <w:trPr>
          <w:jc w:val="center"/>
        </w:trPr>
        <w:tc>
          <w:tcPr>
            <w:tcW w:w="895" w:type="dxa"/>
            <w:noWrap/>
            <w:vAlign w:val="center"/>
            <w:hideMark/>
          </w:tcPr>
          <w:p w14:paraId="1C05A356"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28</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1F57CE3F" w14:textId="3B9753F7" w:rsidR="00E85F4B" w:rsidRPr="00E601CA" w:rsidRDefault="00E85F4B" w:rsidP="00E85F4B">
            <w:pPr>
              <w:jc w:val="center"/>
              <w:rPr>
                <w:rFonts w:ascii="Calibri" w:eastAsia="Times New Roman" w:hAnsi="Calibri" w:cs="Times New Roman"/>
                <w:color w:val="000000"/>
              </w:rPr>
            </w:pPr>
            <w:r>
              <w:rPr>
                <w:rFonts w:ascii="Calibri" w:hAnsi="Calibri"/>
                <w:color w:val="000000"/>
              </w:rPr>
              <w:t>0,773</w:t>
            </w:r>
          </w:p>
        </w:tc>
        <w:tc>
          <w:tcPr>
            <w:tcW w:w="4677" w:type="dxa"/>
            <w:noWrap/>
            <w:vAlign w:val="center"/>
            <w:hideMark/>
          </w:tcPr>
          <w:p w14:paraId="068FFC9D"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0,958</w:t>
            </w:r>
          </w:p>
        </w:tc>
      </w:tr>
      <w:tr w:rsidR="00E85F4B" w:rsidRPr="00E601CA" w14:paraId="70B4E04B" w14:textId="77777777" w:rsidTr="003D7B82">
        <w:trPr>
          <w:jc w:val="center"/>
        </w:trPr>
        <w:tc>
          <w:tcPr>
            <w:tcW w:w="895" w:type="dxa"/>
            <w:noWrap/>
            <w:vAlign w:val="center"/>
            <w:hideMark/>
          </w:tcPr>
          <w:p w14:paraId="515A319D"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29</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0C2E2D81" w14:textId="4EEF0BB3" w:rsidR="00E85F4B" w:rsidRPr="00E601CA" w:rsidRDefault="00E85F4B" w:rsidP="00E85F4B">
            <w:pPr>
              <w:jc w:val="center"/>
              <w:rPr>
                <w:rFonts w:ascii="Calibri" w:eastAsia="Times New Roman" w:hAnsi="Calibri" w:cs="Times New Roman"/>
                <w:color w:val="000000"/>
              </w:rPr>
            </w:pPr>
            <w:r>
              <w:rPr>
                <w:rFonts w:ascii="Calibri" w:hAnsi="Calibri"/>
                <w:color w:val="000000"/>
              </w:rPr>
              <w:t>0,764</w:t>
            </w:r>
          </w:p>
        </w:tc>
        <w:tc>
          <w:tcPr>
            <w:tcW w:w="4677" w:type="dxa"/>
            <w:noWrap/>
            <w:vAlign w:val="center"/>
            <w:hideMark/>
          </w:tcPr>
          <w:p w14:paraId="62945CB1"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0,956</w:t>
            </w:r>
          </w:p>
        </w:tc>
      </w:tr>
      <w:tr w:rsidR="00E85F4B" w:rsidRPr="00E601CA" w14:paraId="3DDA2C3D" w14:textId="77777777" w:rsidTr="003D7B82">
        <w:trPr>
          <w:jc w:val="center"/>
        </w:trPr>
        <w:tc>
          <w:tcPr>
            <w:tcW w:w="895" w:type="dxa"/>
            <w:noWrap/>
            <w:vAlign w:val="center"/>
            <w:hideMark/>
          </w:tcPr>
          <w:p w14:paraId="660D8FF6"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30</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3158ADCE" w14:textId="0444C877" w:rsidR="00E85F4B" w:rsidRPr="00E601CA" w:rsidRDefault="00E85F4B" w:rsidP="00E85F4B">
            <w:pPr>
              <w:jc w:val="center"/>
              <w:rPr>
                <w:rFonts w:ascii="Calibri" w:eastAsia="Times New Roman" w:hAnsi="Calibri" w:cs="Times New Roman"/>
                <w:color w:val="000000"/>
              </w:rPr>
            </w:pPr>
            <w:r>
              <w:rPr>
                <w:rFonts w:ascii="Calibri" w:hAnsi="Calibri"/>
                <w:color w:val="000000"/>
              </w:rPr>
              <w:t>0,756</w:t>
            </w:r>
          </w:p>
        </w:tc>
        <w:tc>
          <w:tcPr>
            <w:tcW w:w="4677" w:type="dxa"/>
            <w:noWrap/>
            <w:vAlign w:val="center"/>
            <w:hideMark/>
          </w:tcPr>
          <w:p w14:paraId="32107EB8"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0,954</w:t>
            </w:r>
          </w:p>
        </w:tc>
      </w:tr>
      <w:tr w:rsidR="00E85F4B" w:rsidRPr="00E601CA" w14:paraId="45369EB5" w14:textId="77777777" w:rsidTr="003D7B82">
        <w:trPr>
          <w:jc w:val="center"/>
        </w:trPr>
        <w:tc>
          <w:tcPr>
            <w:tcW w:w="895" w:type="dxa"/>
            <w:noWrap/>
            <w:vAlign w:val="center"/>
            <w:hideMark/>
          </w:tcPr>
          <w:p w14:paraId="75E0005D"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31</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2D7AF8AE" w14:textId="5671A8ED" w:rsidR="00E85F4B" w:rsidRPr="00E601CA" w:rsidRDefault="00E85F4B" w:rsidP="00E85F4B">
            <w:pPr>
              <w:jc w:val="center"/>
              <w:rPr>
                <w:rFonts w:ascii="Calibri" w:eastAsia="Times New Roman" w:hAnsi="Calibri" w:cs="Times New Roman"/>
                <w:color w:val="000000"/>
              </w:rPr>
            </w:pPr>
            <w:r>
              <w:rPr>
                <w:rFonts w:ascii="Calibri" w:hAnsi="Calibri"/>
                <w:color w:val="000000"/>
              </w:rPr>
              <w:t>0,747</w:t>
            </w:r>
          </w:p>
        </w:tc>
        <w:tc>
          <w:tcPr>
            <w:tcW w:w="4677" w:type="dxa"/>
            <w:noWrap/>
            <w:vAlign w:val="center"/>
            <w:hideMark/>
          </w:tcPr>
          <w:p w14:paraId="61A2FFA7"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0,951</w:t>
            </w:r>
          </w:p>
        </w:tc>
      </w:tr>
      <w:tr w:rsidR="00E85F4B" w:rsidRPr="00E601CA" w14:paraId="58105CDA" w14:textId="77777777" w:rsidTr="003D7B82">
        <w:trPr>
          <w:jc w:val="center"/>
        </w:trPr>
        <w:tc>
          <w:tcPr>
            <w:tcW w:w="895" w:type="dxa"/>
            <w:noWrap/>
            <w:vAlign w:val="center"/>
            <w:hideMark/>
          </w:tcPr>
          <w:p w14:paraId="5B7354F4"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32</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28EEE41" w14:textId="4B176B60" w:rsidR="00E85F4B" w:rsidRPr="00E601CA" w:rsidRDefault="00E85F4B" w:rsidP="00E85F4B">
            <w:pPr>
              <w:jc w:val="center"/>
              <w:rPr>
                <w:rFonts w:ascii="Calibri" w:eastAsia="Times New Roman" w:hAnsi="Calibri" w:cs="Times New Roman"/>
                <w:color w:val="000000"/>
              </w:rPr>
            </w:pPr>
            <w:r>
              <w:rPr>
                <w:rFonts w:ascii="Calibri" w:hAnsi="Calibri"/>
                <w:color w:val="000000"/>
              </w:rPr>
              <w:t>0,739</w:t>
            </w:r>
          </w:p>
        </w:tc>
        <w:tc>
          <w:tcPr>
            <w:tcW w:w="4677" w:type="dxa"/>
            <w:noWrap/>
            <w:vAlign w:val="center"/>
            <w:hideMark/>
          </w:tcPr>
          <w:p w14:paraId="705716BE"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0,948</w:t>
            </w:r>
          </w:p>
        </w:tc>
      </w:tr>
      <w:tr w:rsidR="00E85F4B" w:rsidRPr="00E601CA" w14:paraId="0022295F" w14:textId="77777777" w:rsidTr="003D7B82">
        <w:trPr>
          <w:jc w:val="center"/>
        </w:trPr>
        <w:tc>
          <w:tcPr>
            <w:tcW w:w="895" w:type="dxa"/>
            <w:noWrap/>
            <w:vAlign w:val="center"/>
            <w:hideMark/>
          </w:tcPr>
          <w:p w14:paraId="06C6EB58"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33</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183F41C6" w14:textId="1317D000" w:rsidR="00E85F4B" w:rsidRPr="00E601CA" w:rsidRDefault="00E85F4B" w:rsidP="00E85F4B">
            <w:pPr>
              <w:jc w:val="center"/>
              <w:rPr>
                <w:rFonts w:ascii="Calibri" w:eastAsia="Times New Roman" w:hAnsi="Calibri" w:cs="Times New Roman"/>
                <w:color w:val="000000"/>
              </w:rPr>
            </w:pPr>
            <w:r>
              <w:rPr>
                <w:rFonts w:ascii="Calibri" w:hAnsi="Calibri"/>
                <w:color w:val="000000"/>
              </w:rPr>
              <w:t>0,730</w:t>
            </w:r>
          </w:p>
        </w:tc>
        <w:tc>
          <w:tcPr>
            <w:tcW w:w="4677" w:type="dxa"/>
            <w:noWrap/>
            <w:vAlign w:val="center"/>
            <w:hideMark/>
          </w:tcPr>
          <w:p w14:paraId="4DCB0240"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0,946</w:t>
            </w:r>
          </w:p>
        </w:tc>
      </w:tr>
      <w:tr w:rsidR="00E85F4B" w:rsidRPr="00E601CA" w14:paraId="7BA44B28" w14:textId="77777777" w:rsidTr="003D7B82">
        <w:trPr>
          <w:jc w:val="center"/>
        </w:trPr>
        <w:tc>
          <w:tcPr>
            <w:tcW w:w="895" w:type="dxa"/>
            <w:noWrap/>
            <w:vAlign w:val="center"/>
            <w:hideMark/>
          </w:tcPr>
          <w:p w14:paraId="3999C601"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34</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5B4DD973" w14:textId="1595D9B7" w:rsidR="00E85F4B" w:rsidRPr="00E601CA" w:rsidRDefault="00E85F4B" w:rsidP="00E85F4B">
            <w:pPr>
              <w:jc w:val="center"/>
              <w:rPr>
                <w:rFonts w:ascii="Calibri" w:eastAsia="Times New Roman" w:hAnsi="Calibri" w:cs="Times New Roman"/>
                <w:color w:val="000000"/>
              </w:rPr>
            </w:pPr>
            <w:r>
              <w:rPr>
                <w:rFonts w:ascii="Calibri" w:hAnsi="Calibri"/>
                <w:color w:val="000000"/>
              </w:rPr>
              <w:t>0,721</w:t>
            </w:r>
          </w:p>
        </w:tc>
        <w:tc>
          <w:tcPr>
            <w:tcW w:w="4677" w:type="dxa"/>
            <w:noWrap/>
            <w:vAlign w:val="center"/>
            <w:hideMark/>
          </w:tcPr>
          <w:p w14:paraId="549BE4C5"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0,943</w:t>
            </w:r>
          </w:p>
        </w:tc>
      </w:tr>
      <w:tr w:rsidR="00E85F4B" w:rsidRPr="00E601CA" w14:paraId="26823878" w14:textId="77777777" w:rsidTr="003D7B82">
        <w:trPr>
          <w:jc w:val="center"/>
        </w:trPr>
        <w:tc>
          <w:tcPr>
            <w:tcW w:w="895" w:type="dxa"/>
            <w:noWrap/>
            <w:vAlign w:val="center"/>
            <w:hideMark/>
          </w:tcPr>
          <w:p w14:paraId="68E42574"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35</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137DD0F3" w14:textId="6BFB417B" w:rsidR="00E85F4B" w:rsidRPr="00E601CA" w:rsidRDefault="00E85F4B" w:rsidP="00E85F4B">
            <w:pPr>
              <w:jc w:val="center"/>
              <w:rPr>
                <w:rFonts w:ascii="Calibri" w:eastAsia="Times New Roman" w:hAnsi="Calibri" w:cs="Times New Roman"/>
                <w:color w:val="000000"/>
              </w:rPr>
            </w:pPr>
            <w:r>
              <w:rPr>
                <w:rFonts w:ascii="Calibri" w:hAnsi="Calibri"/>
                <w:color w:val="000000"/>
              </w:rPr>
              <w:t>0,713</w:t>
            </w:r>
          </w:p>
        </w:tc>
        <w:tc>
          <w:tcPr>
            <w:tcW w:w="4677" w:type="dxa"/>
            <w:noWrap/>
            <w:vAlign w:val="center"/>
            <w:hideMark/>
          </w:tcPr>
          <w:p w14:paraId="5CC5ACC7"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0,940</w:t>
            </w:r>
          </w:p>
        </w:tc>
      </w:tr>
      <w:tr w:rsidR="00E85F4B" w:rsidRPr="00E601CA" w14:paraId="58F706C4" w14:textId="77777777" w:rsidTr="003D7B82">
        <w:trPr>
          <w:jc w:val="center"/>
        </w:trPr>
        <w:tc>
          <w:tcPr>
            <w:tcW w:w="895" w:type="dxa"/>
            <w:noWrap/>
            <w:vAlign w:val="center"/>
            <w:hideMark/>
          </w:tcPr>
          <w:p w14:paraId="6CBD15D4"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36</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2CFB55BC" w14:textId="6112102F" w:rsidR="00E85F4B" w:rsidRPr="00E601CA" w:rsidRDefault="00E85F4B" w:rsidP="00E85F4B">
            <w:pPr>
              <w:jc w:val="center"/>
              <w:rPr>
                <w:rFonts w:ascii="Calibri" w:eastAsia="Times New Roman" w:hAnsi="Calibri" w:cs="Times New Roman"/>
                <w:color w:val="000000"/>
              </w:rPr>
            </w:pPr>
            <w:r>
              <w:rPr>
                <w:rFonts w:ascii="Calibri" w:hAnsi="Calibri"/>
                <w:color w:val="000000"/>
              </w:rPr>
              <w:t>0,704</w:t>
            </w:r>
          </w:p>
        </w:tc>
        <w:tc>
          <w:tcPr>
            <w:tcW w:w="4677" w:type="dxa"/>
            <w:noWrap/>
            <w:vAlign w:val="center"/>
            <w:hideMark/>
          </w:tcPr>
          <w:p w14:paraId="4114E08B"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0,937</w:t>
            </w:r>
          </w:p>
        </w:tc>
      </w:tr>
      <w:tr w:rsidR="00E85F4B" w:rsidRPr="00E601CA" w14:paraId="1116A4B8" w14:textId="77777777" w:rsidTr="003D7B82">
        <w:trPr>
          <w:jc w:val="center"/>
        </w:trPr>
        <w:tc>
          <w:tcPr>
            <w:tcW w:w="895" w:type="dxa"/>
            <w:noWrap/>
            <w:vAlign w:val="center"/>
            <w:hideMark/>
          </w:tcPr>
          <w:p w14:paraId="17CB77FB"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lastRenderedPageBreak/>
              <w:t>37</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3C68570" w14:textId="63235C76" w:rsidR="00E85F4B" w:rsidRPr="00E601CA" w:rsidRDefault="00E85F4B" w:rsidP="00E85F4B">
            <w:pPr>
              <w:jc w:val="center"/>
              <w:rPr>
                <w:rFonts w:ascii="Calibri" w:eastAsia="Times New Roman" w:hAnsi="Calibri" w:cs="Times New Roman"/>
                <w:color w:val="000000"/>
              </w:rPr>
            </w:pPr>
            <w:r>
              <w:rPr>
                <w:rFonts w:ascii="Calibri" w:hAnsi="Calibri"/>
                <w:color w:val="000000"/>
              </w:rPr>
              <w:t>0,695</w:t>
            </w:r>
          </w:p>
        </w:tc>
        <w:tc>
          <w:tcPr>
            <w:tcW w:w="4677" w:type="dxa"/>
            <w:noWrap/>
            <w:vAlign w:val="center"/>
            <w:hideMark/>
          </w:tcPr>
          <w:p w14:paraId="21FA0ECD"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0,934</w:t>
            </w:r>
          </w:p>
        </w:tc>
      </w:tr>
      <w:tr w:rsidR="00E85F4B" w:rsidRPr="00E601CA" w14:paraId="2563864D" w14:textId="77777777" w:rsidTr="003D7B82">
        <w:trPr>
          <w:jc w:val="center"/>
        </w:trPr>
        <w:tc>
          <w:tcPr>
            <w:tcW w:w="895" w:type="dxa"/>
            <w:noWrap/>
            <w:vAlign w:val="center"/>
            <w:hideMark/>
          </w:tcPr>
          <w:p w14:paraId="2CB9DCF2"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38</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15DE8EF" w14:textId="16015431" w:rsidR="00E85F4B" w:rsidRPr="00E601CA" w:rsidRDefault="00E85F4B" w:rsidP="00E85F4B">
            <w:pPr>
              <w:jc w:val="center"/>
              <w:rPr>
                <w:rFonts w:ascii="Calibri" w:eastAsia="Times New Roman" w:hAnsi="Calibri" w:cs="Times New Roman"/>
                <w:color w:val="000000"/>
              </w:rPr>
            </w:pPr>
            <w:r>
              <w:rPr>
                <w:rFonts w:ascii="Calibri" w:hAnsi="Calibri"/>
                <w:color w:val="000000"/>
              </w:rPr>
              <w:t>0,686</w:t>
            </w:r>
          </w:p>
        </w:tc>
        <w:tc>
          <w:tcPr>
            <w:tcW w:w="4677" w:type="dxa"/>
            <w:noWrap/>
            <w:vAlign w:val="center"/>
            <w:hideMark/>
          </w:tcPr>
          <w:p w14:paraId="3ABDFB6E"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0,930</w:t>
            </w:r>
          </w:p>
        </w:tc>
      </w:tr>
      <w:tr w:rsidR="00E85F4B" w:rsidRPr="00E601CA" w14:paraId="6DB5E84F" w14:textId="77777777" w:rsidTr="003D7B82">
        <w:trPr>
          <w:jc w:val="center"/>
        </w:trPr>
        <w:tc>
          <w:tcPr>
            <w:tcW w:w="895" w:type="dxa"/>
            <w:noWrap/>
            <w:vAlign w:val="center"/>
            <w:hideMark/>
          </w:tcPr>
          <w:p w14:paraId="7623FB8E"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39</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5D7670A5" w14:textId="5B40EF3F" w:rsidR="00E85F4B" w:rsidRPr="00E601CA" w:rsidRDefault="00E85F4B" w:rsidP="00E85F4B">
            <w:pPr>
              <w:jc w:val="center"/>
              <w:rPr>
                <w:rFonts w:ascii="Calibri" w:eastAsia="Times New Roman" w:hAnsi="Calibri" w:cs="Times New Roman"/>
                <w:color w:val="000000"/>
              </w:rPr>
            </w:pPr>
            <w:r>
              <w:rPr>
                <w:rFonts w:ascii="Calibri" w:hAnsi="Calibri"/>
                <w:color w:val="000000"/>
              </w:rPr>
              <w:t>0,678</w:t>
            </w:r>
          </w:p>
        </w:tc>
        <w:tc>
          <w:tcPr>
            <w:tcW w:w="4677" w:type="dxa"/>
            <w:noWrap/>
            <w:vAlign w:val="center"/>
            <w:hideMark/>
          </w:tcPr>
          <w:p w14:paraId="23CC3FBD"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0,927</w:t>
            </w:r>
          </w:p>
        </w:tc>
      </w:tr>
      <w:tr w:rsidR="00E85F4B" w:rsidRPr="00E601CA" w14:paraId="05E4C1FA" w14:textId="77777777" w:rsidTr="003D7B82">
        <w:trPr>
          <w:jc w:val="center"/>
        </w:trPr>
        <w:tc>
          <w:tcPr>
            <w:tcW w:w="895" w:type="dxa"/>
            <w:noWrap/>
            <w:vAlign w:val="center"/>
            <w:hideMark/>
          </w:tcPr>
          <w:p w14:paraId="769E16CE"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40</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29DDE3A2" w14:textId="28E89787" w:rsidR="00E85F4B" w:rsidRPr="00E601CA" w:rsidRDefault="00E85F4B" w:rsidP="00E85F4B">
            <w:pPr>
              <w:jc w:val="center"/>
              <w:rPr>
                <w:rFonts w:ascii="Calibri" w:eastAsia="Times New Roman" w:hAnsi="Calibri" w:cs="Times New Roman"/>
                <w:color w:val="000000"/>
              </w:rPr>
            </w:pPr>
            <w:r>
              <w:rPr>
                <w:rFonts w:ascii="Calibri" w:hAnsi="Calibri"/>
                <w:color w:val="000000"/>
              </w:rPr>
              <w:t>0,669</w:t>
            </w:r>
          </w:p>
        </w:tc>
        <w:tc>
          <w:tcPr>
            <w:tcW w:w="4677" w:type="dxa"/>
            <w:noWrap/>
            <w:vAlign w:val="center"/>
            <w:hideMark/>
          </w:tcPr>
          <w:p w14:paraId="40728F00"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0,923</w:t>
            </w:r>
          </w:p>
        </w:tc>
      </w:tr>
      <w:tr w:rsidR="00E85F4B" w:rsidRPr="00E601CA" w14:paraId="6BD00ECB" w14:textId="77777777" w:rsidTr="003D7B82">
        <w:trPr>
          <w:jc w:val="center"/>
        </w:trPr>
        <w:tc>
          <w:tcPr>
            <w:tcW w:w="895" w:type="dxa"/>
            <w:noWrap/>
            <w:vAlign w:val="center"/>
            <w:hideMark/>
          </w:tcPr>
          <w:p w14:paraId="33F25888"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41</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33B2289" w14:textId="5CBAB47D" w:rsidR="00E85F4B" w:rsidRPr="00E601CA" w:rsidRDefault="00E85F4B" w:rsidP="00E85F4B">
            <w:pPr>
              <w:jc w:val="center"/>
              <w:rPr>
                <w:rFonts w:ascii="Calibri" w:eastAsia="Times New Roman" w:hAnsi="Calibri" w:cs="Times New Roman"/>
                <w:color w:val="000000"/>
              </w:rPr>
            </w:pPr>
            <w:r>
              <w:rPr>
                <w:rFonts w:ascii="Calibri" w:hAnsi="Calibri"/>
                <w:color w:val="000000"/>
              </w:rPr>
              <w:t>0,660</w:t>
            </w:r>
          </w:p>
        </w:tc>
        <w:tc>
          <w:tcPr>
            <w:tcW w:w="4677" w:type="dxa"/>
            <w:noWrap/>
            <w:vAlign w:val="center"/>
            <w:hideMark/>
          </w:tcPr>
          <w:p w14:paraId="3EA8C666"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0,920</w:t>
            </w:r>
          </w:p>
        </w:tc>
      </w:tr>
      <w:tr w:rsidR="00E85F4B" w:rsidRPr="00E601CA" w14:paraId="0613821C" w14:textId="77777777" w:rsidTr="003D7B82">
        <w:trPr>
          <w:jc w:val="center"/>
        </w:trPr>
        <w:tc>
          <w:tcPr>
            <w:tcW w:w="895" w:type="dxa"/>
            <w:noWrap/>
            <w:vAlign w:val="center"/>
            <w:hideMark/>
          </w:tcPr>
          <w:p w14:paraId="27D4767C"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42</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1CD24CE3" w14:textId="1B396F1C" w:rsidR="00E85F4B" w:rsidRPr="00E601CA" w:rsidRDefault="00E85F4B" w:rsidP="00E85F4B">
            <w:pPr>
              <w:jc w:val="center"/>
              <w:rPr>
                <w:rFonts w:ascii="Calibri" w:eastAsia="Times New Roman" w:hAnsi="Calibri" w:cs="Times New Roman"/>
                <w:color w:val="000000"/>
              </w:rPr>
            </w:pPr>
            <w:r>
              <w:rPr>
                <w:rFonts w:ascii="Calibri" w:hAnsi="Calibri"/>
                <w:color w:val="000000"/>
              </w:rPr>
              <w:t>0,651</w:t>
            </w:r>
          </w:p>
        </w:tc>
        <w:tc>
          <w:tcPr>
            <w:tcW w:w="4677" w:type="dxa"/>
            <w:noWrap/>
            <w:vAlign w:val="center"/>
            <w:hideMark/>
          </w:tcPr>
          <w:p w14:paraId="4ADC7223"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0,916</w:t>
            </w:r>
          </w:p>
        </w:tc>
      </w:tr>
      <w:tr w:rsidR="00E85F4B" w:rsidRPr="00E601CA" w14:paraId="30C3FA6A" w14:textId="77777777" w:rsidTr="003D7B82">
        <w:trPr>
          <w:jc w:val="center"/>
        </w:trPr>
        <w:tc>
          <w:tcPr>
            <w:tcW w:w="895" w:type="dxa"/>
            <w:noWrap/>
            <w:vAlign w:val="center"/>
            <w:hideMark/>
          </w:tcPr>
          <w:p w14:paraId="35731409"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43</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1AD46906" w14:textId="0AE79A42" w:rsidR="00E85F4B" w:rsidRPr="00E601CA" w:rsidRDefault="00E85F4B" w:rsidP="00E85F4B">
            <w:pPr>
              <w:jc w:val="center"/>
              <w:rPr>
                <w:rFonts w:ascii="Calibri" w:eastAsia="Times New Roman" w:hAnsi="Calibri" w:cs="Times New Roman"/>
                <w:color w:val="000000"/>
              </w:rPr>
            </w:pPr>
            <w:r>
              <w:rPr>
                <w:rFonts w:ascii="Calibri" w:hAnsi="Calibri"/>
                <w:color w:val="000000"/>
              </w:rPr>
              <w:t>0,642</w:t>
            </w:r>
          </w:p>
        </w:tc>
        <w:tc>
          <w:tcPr>
            <w:tcW w:w="4677" w:type="dxa"/>
            <w:noWrap/>
            <w:vAlign w:val="center"/>
            <w:hideMark/>
          </w:tcPr>
          <w:p w14:paraId="61CDD728"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0,912</w:t>
            </w:r>
          </w:p>
        </w:tc>
      </w:tr>
      <w:tr w:rsidR="00E85F4B" w:rsidRPr="00E601CA" w14:paraId="39A84CF1" w14:textId="77777777" w:rsidTr="003D7B82">
        <w:trPr>
          <w:jc w:val="center"/>
        </w:trPr>
        <w:tc>
          <w:tcPr>
            <w:tcW w:w="895" w:type="dxa"/>
            <w:noWrap/>
            <w:vAlign w:val="center"/>
            <w:hideMark/>
          </w:tcPr>
          <w:p w14:paraId="696A8906"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44</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3717A730" w14:textId="403B4DD2" w:rsidR="00E85F4B" w:rsidRPr="00E601CA" w:rsidRDefault="00E85F4B" w:rsidP="00E85F4B">
            <w:pPr>
              <w:jc w:val="center"/>
              <w:rPr>
                <w:rFonts w:ascii="Calibri" w:eastAsia="Times New Roman" w:hAnsi="Calibri" w:cs="Times New Roman"/>
                <w:color w:val="000000"/>
              </w:rPr>
            </w:pPr>
            <w:r>
              <w:rPr>
                <w:rFonts w:ascii="Calibri" w:hAnsi="Calibri"/>
                <w:color w:val="000000"/>
              </w:rPr>
              <w:t>0,633</w:t>
            </w:r>
          </w:p>
        </w:tc>
        <w:tc>
          <w:tcPr>
            <w:tcW w:w="4677" w:type="dxa"/>
            <w:noWrap/>
            <w:vAlign w:val="center"/>
            <w:hideMark/>
          </w:tcPr>
          <w:p w14:paraId="2175A785"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0,908</w:t>
            </w:r>
          </w:p>
        </w:tc>
      </w:tr>
      <w:tr w:rsidR="00E85F4B" w:rsidRPr="00E601CA" w14:paraId="7DC25C50" w14:textId="77777777" w:rsidTr="003D7B82">
        <w:trPr>
          <w:jc w:val="center"/>
        </w:trPr>
        <w:tc>
          <w:tcPr>
            <w:tcW w:w="895" w:type="dxa"/>
            <w:noWrap/>
            <w:vAlign w:val="center"/>
            <w:hideMark/>
          </w:tcPr>
          <w:p w14:paraId="089C992A"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45</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AAC8B0A" w14:textId="36F10BF9" w:rsidR="00E85F4B" w:rsidRPr="00E601CA" w:rsidRDefault="00E85F4B" w:rsidP="00E85F4B">
            <w:pPr>
              <w:jc w:val="center"/>
              <w:rPr>
                <w:rFonts w:ascii="Calibri" w:eastAsia="Times New Roman" w:hAnsi="Calibri" w:cs="Times New Roman"/>
                <w:color w:val="000000"/>
              </w:rPr>
            </w:pPr>
            <w:r>
              <w:rPr>
                <w:rFonts w:ascii="Calibri" w:hAnsi="Calibri"/>
                <w:color w:val="000000"/>
              </w:rPr>
              <w:t>0,624</w:t>
            </w:r>
          </w:p>
        </w:tc>
        <w:tc>
          <w:tcPr>
            <w:tcW w:w="4677" w:type="dxa"/>
            <w:noWrap/>
            <w:vAlign w:val="center"/>
            <w:hideMark/>
          </w:tcPr>
          <w:p w14:paraId="485EF3F8"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0,904</w:t>
            </w:r>
          </w:p>
        </w:tc>
      </w:tr>
      <w:tr w:rsidR="00E85F4B" w:rsidRPr="00E601CA" w14:paraId="13C9A636" w14:textId="77777777" w:rsidTr="003D7B82">
        <w:trPr>
          <w:jc w:val="center"/>
        </w:trPr>
        <w:tc>
          <w:tcPr>
            <w:tcW w:w="895" w:type="dxa"/>
            <w:noWrap/>
            <w:vAlign w:val="center"/>
            <w:hideMark/>
          </w:tcPr>
          <w:p w14:paraId="245C667F"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46</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07D4CC50" w14:textId="3A55ECA5" w:rsidR="00E85F4B" w:rsidRPr="00E601CA" w:rsidRDefault="00E85F4B" w:rsidP="00E85F4B">
            <w:pPr>
              <w:jc w:val="center"/>
              <w:rPr>
                <w:rFonts w:ascii="Calibri" w:eastAsia="Times New Roman" w:hAnsi="Calibri" w:cs="Times New Roman"/>
                <w:color w:val="000000"/>
              </w:rPr>
            </w:pPr>
            <w:r>
              <w:rPr>
                <w:rFonts w:ascii="Calibri" w:hAnsi="Calibri"/>
                <w:color w:val="000000"/>
              </w:rPr>
              <w:t>0,615</w:t>
            </w:r>
          </w:p>
        </w:tc>
        <w:tc>
          <w:tcPr>
            <w:tcW w:w="4677" w:type="dxa"/>
            <w:noWrap/>
            <w:vAlign w:val="center"/>
            <w:hideMark/>
          </w:tcPr>
          <w:p w14:paraId="09AED90E"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0,899</w:t>
            </w:r>
          </w:p>
        </w:tc>
      </w:tr>
      <w:tr w:rsidR="00E85F4B" w:rsidRPr="00E601CA" w14:paraId="7CE64E22" w14:textId="77777777" w:rsidTr="003D7B82">
        <w:trPr>
          <w:jc w:val="center"/>
        </w:trPr>
        <w:tc>
          <w:tcPr>
            <w:tcW w:w="895" w:type="dxa"/>
            <w:noWrap/>
            <w:vAlign w:val="center"/>
            <w:hideMark/>
          </w:tcPr>
          <w:p w14:paraId="39FA1AF8"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47</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4AE95C28" w14:textId="5DB9ED4A" w:rsidR="00E85F4B" w:rsidRPr="00E601CA" w:rsidRDefault="00E85F4B" w:rsidP="00E85F4B">
            <w:pPr>
              <w:jc w:val="center"/>
              <w:rPr>
                <w:rFonts w:ascii="Calibri" w:eastAsia="Times New Roman" w:hAnsi="Calibri" w:cs="Times New Roman"/>
                <w:color w:val="000000"/>
              </w:rPr>
            </w:pPr>
            <w:r>
              <w:rPr>
                <w:rFonts w:ascii="Calibri" w:hAnsi="Calibri"/>
                <w:color w:val="000000"/>
              </w:rPr>
              <w:t>0,606</w:t>
            </w:r>
          </w:p>
        </w:tc>
        <w:tc>
          <w:tcPr>
            <w:tcW w:w="4677" w:type="dxa"/>
            <w:noWrap/>
            <w:vAlign w:val="center"/>
            <w:hideMark/>
          </w:tcPr>
          <w:p w14:paraId="75814FFB"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0,895</w:t>
            </w:r>
          </w:p>
        </w:tc>
      </w:tr>
      <w:tr w:rsidR="00E85F4B" w:rsidRPr="00E601CA" w14:paraId="734D418B" w14:textId="77777777" w:rsidTr="003D7B82">
        <w:trPr>
          <w:jc w:val="center"/>
        </w:trPr>
        <w:tc>
          <w:tcPr>
            <w:tcW w:w="895" w:type="dxa"/>
            <w:noWrap/>
            <w:vAlign w:val="center"/>
            <w:hideMark/>
          </w:tcPr>
          <w:p w14:paraId="2A507B98"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48</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6CA238D4" w14:textId="3245E3A7" w:rsidR="00E85F4B" w:rsidRPr="00E601CA" w:rsidRDefault="00E85F4B" w:rsidP="00E85F4B">
            <w:pPr>
              <w:jc w:val="center"/>
              <w:rPr>
                <w:rFonts w:ascii="Calibri" w:eastAsia="Times New Roman" w:hAnsi="Calibri" w:cs="Times New Roman"/>
                <w:color w:val="000000"/>
              </w:rPr>
            </w:pPr>
            <w:r>
              <w:rPr>
                <w:rFonts w:ascii="Calibri" w:hAnsi="Calibri"/>
                <w:color w:val="000000"/>
              </w:rPr>
              <w:t>0,597</w:t>
            </w:r>
          </w:p>
        </w:tc>
        <w:tc>
          <w:tcPr>
            <w:tcW w:w="4677" w:type="dxa"/>
            <w:noWrap/>
            <w:vAlign w:val="center"/>
            <w:hideMark/>
          </w:tcPr>
          <w:p w14:paraId="266B0937"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0,890</w:t>
            </w:r>
          </w:p>
        </w:tc>
      </w:tr>
      <w:tr w:rsidR="00E85F4B" w:rsidRPr="00E601CA" w14:paraId="05F30D7C" w14:textId="77777777" w:rsidTr="003D7B82">
        <w:trPr>
          <w:jc w:val="center"/>
        </w:trPr>
        <w:tc>
          <w:tcPr>
            <w:tcW w:w="895" w:type="dxa"/>
            <w:noWrap/>
            <w:vAlign w:val="center"/>
            <w:hideMark/>
          </w:tcPr>
          <w:p w14:paraId="75D86508"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49</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09A8E7B5" w14:textId="01491990" w:rsidR="00E85F4B" w:rsidRPr="00E601CA" w:rsidRDefault="00E85F4B" w:rsidP="00E85F4B">
            <w:pPr>
              <w:jc w:val="center"/>
              <w:rPr>
                <w:rFonts w:ascii="Calibri" w:eastAsia="Times New Roman" w:hAnsi="Calibri" w:cs="Times New Roman"/>
                <w:color w:val="000000"/>
              </w:rPr>
            </w:pPr>
            <w:r>
              <w:rPr>
                <w:rFonts w:ascii="Calibri" w:hAnsi="Calibri"/>
                <w:color w:val="000000"/>
              </w:rPr>
              <w:t>0,587</w:t>
            </w:r>
          </w:p>
        </w:tc>
        <w:tc>
          <w:tcPr>
            <w:tcW w:w="4677" w:type="dxa"/>
            <w:noWrap/>
            <w:vAlign w:val="center"/>
            <w:hideMark/>
          </w:tcPr>
          <w:p w14:paraId="2FCDD1B6"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0,885</w:t>
            </w:r>
          </w:p>
        </w:tc>
      </w:tr>
      <w:tr w:rsidR="00E85F4B" w:rsidRPr="00E601CA" w14:paraId="057E594E" w14:textId="77777777" w:rsidTr="003D7B82">
        <w:trPr>
          <w:jc w:val="center"/>
        </w:trPr>
        <w:tc>
          <w:tcPr>
            <w:tcW w:w="895" w:type="dxa"/>
            <w:noWrap/>
            <w:vAlign w:val="center"/>
            <w:hideMark/>
          </w:tcPr>
          <w:p w14:paraId="585903C5"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50</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69F27F78" w14:textId="2F613348" w:rsidR="00E85F4B" w:rsidRPr="00E601CA" w:rsidRDefault="00E85F4B" w:rsidP="00E85F4B">
            <w:pPr>
              <w:jc w:val="center"/>
              <w:rPr>
                <w:rFonts w:ascii="Calibri" w:eastAsia="Times New Roman" w:hAnsi="Calibri" w:cs="Times New Roman"/>
                <w:color w:val="000000"/>
              </w:rPr>
            </w:pPr>
            <w:r>
              <w:rPr>
                <w:rFonts w:ascii="Calibri" w:hAnsi="Calibri"/>
                <w:color w:val="000000"/>
              </w:rPr>
              <w:t>0,578</w:t>
            </w:r>
          </w:p>
        </w:tc>
        <w:tc>
          <w:tcPr>
            <w:tcW w:w="4677" w:type="dxa"/>
            <w:noWrap/>
            <w:vAlign w:val="center"/>
            <w:hideMark/>
          </w:tcPr>
          <w:p w14:paraId="171115CF" w14:textId="77777777" w:rsidR="00E85F4B" w:rsidRPr="00E601CA" w:rsidRDefault="00E85F4B" w:rsidP="00E85F4B">
            <w:pPr>
              <w:jc w:val="center"/>
              <w:rPr>
                <w:rFonts w:ascii="Calibri" w:eastAsia="Times New Roman" w:hAnsi="Calibri" w:cs="Times New Roman"/>
                <w:color w:val="000000"/>
              </w:rPr>
            </w:pPr>
            <w:r>
              <w:rPr>
                <w:rFonts w:ascii="Calibri" w:hAnsi="Calibri"/>
                <w:color w:val="000000"/>
              </w:rPr>
              <w:t>0,880</w:t>
            </w:r>
          </w:p>
        </w:tc>
      </w:tr>
    </w:tbl>
    <w:p w14:paraId="5B34B42A" w14:textId="77777777" w:rsidR="007A5D47" w:rsidRPr="00E601CA" w:rsidRDefault="007A5D47" w:rsidP="007A5D47"/>
    <w:p w14:paraId="45AC8243" w14:textId="36CD3F57" w:rsidR="00E05843" w:rsidRPr="00E601CA" w:rsidRDefault="004F5DFA" w:rsidP="00951EDB">
      <w:pPr>
        <w:pStyle w:val="Heading3"/>
        <w:keepNext/>
        <w:numPr>
          <w:ilvl w:val="0"/>
          <w:numId w:val="0"/>
        </w:numPr>
        <w:ind w:left="270" w:firstLine="14"/>
      </w:pPr>
      <w:r>
        <w:rPr>
          <w:b w:val="0"/>
        </w:rPr>
        <w:t>Artikel 21.</w:t>
      </w:r>
      <w:r>
        <w:t xml:space="preserve"> </w:t>
      </w:r>
      <w:bookmarkStart w:id="35" w:name="_Ref49446639"/>
      <w:r>
        <w:t>(Softwares: Bewertung, Neubewertung)</w:t>
      </w:r>
      <w:bookmarkEnd w:id="35"/>
      <w:r>
        <w:t xml:space="preserve"> </w:t>
      </w:r>
    </w:p>
    <w:p w14:paraId="24706FCC" w14:textId="1004A77F" w:rsidR="00BE6F11" w:rsidRPr="00E601CA" w:rsidRDefault="00BE6F11" w:rsidP="00BE6F11">
      <w:r>
        <w:t>Die Softwares, mit denen die in den Artikeln 6 bis 8 beschriebenen Indikatoren vollständig oder teilweise berechnet werden können, um die Einhaltung des vorliegenden Erlasses zu überprüfen, müssen das in Artikel 17 genannte Berechnungsverfahren einhalten.</w:t>
      </w:r>
    </w:p>
    <w:p w14:paraId="6801B4DB" w14:textId="28B976CC" w:rsidR="00BE6F11" w:rsidRPr="00E601CA" w:rsidRDefault="001C0957" w:rsidP="00BE6F11">
      <w:r>
        <w:t xml:space="preserve">Hierzu können sie sich gemäß Artikel L. 111-9-1-A </w:t>
      </w:r>
      <w:r>
        <w:rPr>
          <w:highlight w:val="yellow"/>
        </w:rPr>
        <w:t>[zukünftig L. 121-2]</w:t>
      </w:r>
      <w:r>
        <w:t xml:space="preserve"> der Bau- und Wohnungsordnung auf ein Tool zur Berechnung der Indikatoren Bbio, Cep,nr, Cep und DH stützen, das auf Anfrage zur Verfügung gestellt wird. </w:t>
      </w:r>
    </w:p>
    <w:p w14:paraId="6636A306" w14:textId="260DB298" w:rsidR="00BE6F11" w:rsidRPr="00E601CA" w:rsidRDefault="003A0BC6" w:rsidP="00BE6F11">
      <w:r>
        <w:t>Für die ordnungsgemäße Verwendung dieser Softwares werden diese zuvor von dem Minister für Energie und dem Minister für Bauwesen genehmigt, wodurch insbesondere überprüft werden kann, dass die erzielten Ergebnisse mit dem Berechnungsverfahren im Einklang stehen und dass die Eingabeschnittstelle das Risiko von Eingabefehlern durch den Modellierer minimiert.</w:t>
      </w:r>
    </w:p>
    <w:p w14:paraId="166C4A29" w14:textId="27709583" w:rsidR="003A0BC6" w:rsidRPr="00E601CA" w:rsidRDefault="003A0BC6" w:rsidP="00BE6F11">
      <w:r>
        <w:t xml:space="preserve">Softwares, die einer Eigenkontrolle unterzogen wurden und für die ein Bewertungsantrag gestellt wurde, können übergangsweise für regulatorische Zwecke für bis zum </w:t>
      </w:r>
      <w:r>
        <w:rPr>
          <w:highlight w:val="yellow"/>
        </w:rPr>
        <w:t>31. Dezember 2021</w:t>
      </w:r>
      <w:r>
        <w:t xml:space="preserve"> durchgeführte Simulationen verwendet werden.</w:t>
      </w:r>
    </w:p>
    <w:p w14:paraId="36503610" w14:textId="1D9A7500" w:rsidR="004B7E7F" w:rsidRPr="00E601CA" w:rsidRDefault="004B7E7F" w:rsidP="00BE6F11">
      <w:r>
        <w:t xml:space="preserve">In ANHANG V werden die Modalitäten für die Durchführung von Eigenkontrollen sowie das Genehmigungsverfahren für diese Softwares beschrieben. </w:t>
      </w:r>
    </w:p>
    <w:p w14:paraId="365BE742" w14:textId="0B103554" w:rsidR="004B7E7F" w:rsidRPr="00E601CA" w:rsidRDefault="00F11BAA" w:rsidP="007C4597">
      <w:pPr>
        <w:keepNext/>
      </w:pPr>
      <w:r>
        <w:t>Die Genehmigung wird nach einer regelmäßigen Überprüfung gemäß den folgenden Bedingungen verlängert:</w:t>
      </w:r>
    </w:p>
    <w:p w14:paraId="001CC01C" w14:textId="5ACDCB87" w:rsidR="004B7E7F" w:rsidRPr="00E601CA" w:rsidRDefault="00843B00" w:rsidP="007F40E5">
      <w:pPr>
        <w:pStyle w:val="ListParagraph"/>
        <w:numPr>
          <w:ilvl w:val="0"/>
          <w:numId w:val="1"/>
        </w:numPr>
      </w:pPr>
      <w:r>
        <w:t>die Gültigkeitsdauer der ersten Genehmigung beträgt zwei Jahre,</w:t>
      </w:r>
    </w:p>
    <w:p w14:paraId="5E6AC2BD" w14:textId="2405E917" w:rsidR="004B7E7F" w:rsidRPr="00E601CA" w:rsidRDefault="00843B00" w:rsidP="007F40E5">
      <w:pPr>
        <w:pStyle w:val="ListParagraph"/>
        <w:numPr>
          <w:ilvl w:val="0"/>
          <w:numId w:val="1"/>
        </w:numPr>
      </w:pPr>
      <w:r>
        <w:t xml:space="preserve">die Gültigkeitsdauer der Genehmigung wird nach einer Überprüfung, bei der keine wesentlichen Abweichungen von dem zum Zeitpunkt der Einreichung der Überprüfungsunterlagen geltenden Berechnungsverfahren festgestellt wurden, um </w:t>
      </w:r>
      <w:r>
        <w:rPr>
          <w:highlight w:val="yellow"/>
        </w:rPr>
        <w:t>fünf</w:t>
      </w:r>
      <w:r>
        <w:t xml:space="preserve"> Jahre verlängert,</w:t>
      </w:r>
    </w:p>
    <w:p w14:paraId="1ADF6262" w14:textId="11CBD22D" w:rsidR="00843B00" w:rsidRPr="00E601CA" w:rsidRDefault="00843B00" w:rsidP="007F40E5">
      <w:pPr>
        <w:pStyle w:val="ListParagraph"/>
        <w:numPr>
          <w:ilvl w:val="0"/>
          <w:numId w:val="1"/>
        </w:numPr>
      </w:pPr>
      <w:r>
        <w:lastRenderedPageBreak/>
        <w:t>die Gültigkeitsdauer der Genehmigung wird nach einer Überprüfung, bei der wesentliche Abweichungen von dem zum Zeitpunkt der Einreichung der Überprüfungsunterlagen geltenden Berechnungsverfahren zu korrigieren waren, um zwei Jahre verlängert.</w:t>
      </w:r>
    </w:p>
    <w:p w14:paraId="6F01870D" w14:textId="78759865" w:rsidR="00843B00" w:rsidRPr="00E601CA" w:rsidRDefault="00F11BAA" w:rsidP="00843B00">
      <w:r>
        <w:t>Die Genehmigung kann jederzeit entzogen werden, insbesondere nachdem eine wesentliche Abweichung von dem zum Zeitpunkt der Feststellung geltenden Berechnungsverfahren festgestellt wurde oder nachdem bei mindestens drei Gelegenheiten eine fehlende Einbindung bestimmter Systeme, die in dem zum Zeitpunkt der Feststellung geltenden Berechnungsverfahren integriert sind, festgestellt wurde.</w:t>
      </w:r>
    </w:p>
    <w:p w14:paraId="4BABB30D" w14:textId="5178B4C1" w:rsidR="00265BC4" w:rsidRPr="00E601CA" w:rsidRDefault="004F5DFA" w:rsidP="00951EDB">
      <w:pPr>
        <w:pStyle w:val="Heading3"/>
        <w:keepNext/>
        <w:numPr>
          <w:ilvl w:val="0"/>
          <w:numId w:val="0"/>
        </w:numPr>
        <w:ind w:left="270" w:firstLine="14"/>
      </w:pPr>
      <w:r>
        <w:rPr>
          <w:b w:val="0"/>
        </w:rPr>
        <w:t>Artikel 22.</w:t>
      </w:r>
      <w:r>
        <w:t xml:space="preserve"> (Nachweis der geometrischen Eingabedaten) </w:t>
      </w:r>
    </w:p>
    <w:p w14:paraId="1500E399" w14:textId="3F72DAC7" w:rsidR="00265BC4" w:rsidRPr="00E601CA" w:rsidRDefault="00265BC4" w:rsidP="00265BC4">
      <w:r>
        <w:t>Die Werte, die als Eingabedaten für die in Artikel 17 angegebene Berechnung verwendet werden und die geometrischen Eigenschaften des Gebäudes beschreiben, müssen, wenn das Gebäude nicht fertiggestellt ist, den Bauplänen oder, wenn die Arbeiten abgeschlossen sind, den tatsächlich realisierten Größen entsprechen.</w:t>
      </w:r>
    </w:p>
    <w:p w14:paraId="5E28314F" w14:textId="77777777" w:rsidR="00265BC4" w:rsidRPr="00E601CA" w:rsidRDefault="00265BC4" w:rsidP="00265BC4">
      <w:r>
        <w:t>Längen, Flächen oder Ausrichtungen des Gebäudes und seiner Komponenten gehören zu den die geometrischen Eigenschaften des Gebäudes beschreibenden Daten.</w:t>
      </w:r>
    </w:p>
    <w:p w14:paraId="46F87D8A" w14:textId="122E0A9A" w:rsidR="00265BC4" w:rsidRPr="00E601CA" w:rsidRDefault="004F5DFA" w:rsidP="00951EDB">
      <w:pPr>
        <w:pStyle w:val="Heading3"/>
        <w:keepNext/>
        <w:numPr>
          <w:ilvl w:val="0"/>
          <w:numId w:val="0"/>
        </w:numPr>
        <w:ind w:left="270" w:firstLine="14"/>
      </w:pPr>
      <w:r>
        <w:rPr>
          <w:b w:val="0"/>
        </w:rPr>
        <w:t>Artikel 23.</w:t>
      </w:r>
      <w:r>
        <w:t xml:space="preserve"> (Nachweis der Mengen) </w:t>
      </w:r>
    </w:p>
    <w:p w14:paraId="45F4E8CE" w14:textId="49874DE0" w:rsidR="00265BC4" w:rsidRPr="00E601CA" w:rsidRDefault="00265BC4" w:rsidP="00265BC4">
      <w:r>
        <w:t>Die Werte, die als Eingabedaten für die in Artikel 17 angegebene Berechnung verwendet werden und die Mengen der in dem Gebäude verwendeten Bauprodukte oder Ausrüstungen beschreiben, müssen, wenn das Gebäude nicht fertiggestellt ist, den geschätzten Mengen, die für den Bau des Gebäudes benötigt werden, oder, wenn die Arbeiten abgeschlossen sind, den tatsächlich eingesetzten Mengen entsprechen.</w:t>
      </w:r>
    </w:p>
    <w:p w14:paraId="5F940039" w14:textId="3E0A7E3D" w:rsidR="00265BC4" w:rsidRPr="00E601CA" w:rsidRDefault="004F5DFA" w:rsidP="00951EDB">
      <w:pPr>
        <w:pStyle w:val="Heading3"/>
        <w:keepNext/>
        <w:numPr>
          <w:ilvl w:val="0"/>
          <w:numId w:val="0"/>
        </w:numPr>
        <w:ind w:left="270" w:firstLine="14"/>
      </w:pPr>
      <w:bookmarkStart w:id="36" w:name="_Ref57890312"/>
      <w:r>
        <w:rPr>
          <w:b w:val="0"/>
        </w:rPr>
        <w:t>Artikel 24.</w:t>
      </w:r>
      <w:r>
        <w:t xml:space="preserve"> </w:t>
      </w:r>
      <w:r>
        <w:rPr>
          <w:rStyle w:val="Heading3Char"/>
          <w:b/>
        </w:rPr>
        <w:t>(Nachweis der Wärmeeigenschaften von Bauprodukten und Ausrüstungen)</w:t>
      </w:r>
      <w:bookmarkEnd w:id="36"/>
    </w:p>
    <w:p w14:paraId="4BD97F4C" w14:textId="66C37226" w:rsidR="00265BC4" w:rsidRPr="00E601CA" w:rsidRDefault="00265BC4" w:rsidP="00324401">
      <w:pPr>
        <w:pStyle w:val="ListParagraph"/>
        <w:numPr>
          <w:ilvl w:val="0"/>
          <w:numId w:val="35"/>
        </w:numPr>
      </w:pPr>
      <w:r>
        <w:t>Die Werte, die als Eingabedaten für die in Artikel 17 angegebene Berechnung verwendet werden und die Wärmeeigenschaften der Gebäudekomponenten beschreiben, müssen, wenn das Gebäude nicht fertiggestellt ist, den Eigenschaften der für den Bau des Gebäudes vorgesehenen Komponenten oder, wenn die Arbeiten abgeschlossen sind, den Eigenschaften der tatsächlich verwendeten Komponenten entsprechen.</w:t>
      </w:r>
    </w:p>
    <w:p w14:paraId="71F5525C" w14:textId="77777777" w:rsidR="00265BC4" w:rsidRPr="00E601CA" w:rsidRDefault="00265BC4" w:rsidP="007C4597">
      <w:pPr>
        <w:keepNext/>
        <w:ind w:left="1072" w:firstLine="6"/>
      </w:pPr>
      <w:r>
        <w:t>Diese Wärmeeigenschaften werden für jede Komponente wie folgt ermittelt:</w:t>
      </w:r>
    </w:p>
    <w:p w14:paraId="6B6585C3" w14:textId="3E68124D" w:rsidR="00265BC4" w:rsidRPr="00E601CA" w:rsidRDefault="00265BC4" w:rsidP="00AA57C7">
      <w:pPr>
        <w:pStyle w:val="ListParagraph"/>
        <w:numPr>
          <w:ilvl w:val="0"/>
          <w:numId w:val="36"/>
        </w:numPr>
      </w:pPr>
      <w:r>
        <w:t>Wenn die Komponente durch harmonisierte technische Spezifikationen der Verordnung (EU) Nr. 305/2011 vom 9. März 2011, harmonisierte Normen oder europäische Bewertungsdokumente abgedeckt ist, wobei die Produkte in diesen Fällen durch die Anbringung der CE-Kennzeichnung identifiziert werden, und wenn der Wert der Wärmeeigenschaft in diesen Spezifikationen festgelegt ist, wird dieser Wert verwendet.</w:t>
      </w:r>
    </w:p>
    <w:p w14:paraId="4C9E468D" w14:textId="3992D6CF" w:rsidR="00515639" w:rsidRPr="00E601CA" w:rsidRDefault="00265BC4" w:rsidP="00AA57C7">
      <w:pPr>
        <w:pStyle w:val="ListParagraph"/>
        <w:numPr>
          <w:ilvl w:val="0"/>
          <w:numId w:val="36"/>
        </w:numPr>
      </w:pPr>
      <w:r>
        <w:t xml:space="preserve">Andernfalls, wenn die Wärmeeigenschaft durch Bezugnahme auf französische Normen oder technische Gutachten oder eine gleichwertige einzelstaatliche Norm ermittelt wird, die von einem Mitgliedstaat der Europäischen Union oder einer Vertragspartei des EWR-Abkommens oder von der Türkei akzeptiert wurde und von einer unabhängigen Drittstelle, die gemäß der Verordnung (EU) Nr. 305/2011 durch einen Mitgliedstaat der Europäischen Union oder eine Vertragspartei des EWR-Abkommens benannt und anerkannt wurde, erstellt wurde, wird dieser Wert </w:t>
      </w:r>
      <w:r>
        <w:lastRenderedPageBreak/>
        <w:t>verwendet. Diese Bestimmung gilt nur während des Zeitraums, die der Anwendung einer harmonisierten europäischen Norm oder Europäischen Technischen Zulassung vorangeht. Ungeachtet der Rundungsregeln, die durch diese verschiedenen Normen oder technischen Gutachten festgelegt werden, können die als Eingabedaten verwendeten Werte nicht günstiger als die Werte sein, die sich ggf. aus einer durchgeführten Messung ergeben.</w:t>
      </w:r>
    </w:p>
    <w:p w14:paraId="328C10B4" w14:textId="3D6CC6B9" w:rsidR="00DD2CFD" w:rsidRPr="00E601CA" w:rsidRDefault="00265BC4" w:rsidP="00AA57C7">
      <w:pPr>
        <w:ind w:left="1072" w:firstLine="6"/>
      </w:pPr>
      <w:r>
        <w:t>Kann kein Richtwert nach den oben genannten Modalitäten ermittelt werden, entspricht der zu verwendende Wert dem Standardwert, der durch das Berechnungsverfahren gemäß Artikel 17 ermittelt wird. Hiervon ausgenommen ist der Standardwert für die nutzbare Wärmeleitfähigkeit von biologischen Dämmstoffen gemäß Anhang XII des vorliegenden Erlasses.</w:t>
      </w:r>
    </w:p>
    <w:p w14:paraId="3A100FCD" w14:textId="11106E78" w:rsidR="00265BC4" w:rsidRPr="00E601CA" w:rsidRDefault="00DD2CFD" w:rsidP="00324401">
      <w:pPr>
        <w:pStyle w:val="ListParagraph"/>
        <w:numPr>
          <w:ilvl w:val="0"/>
          <w:numId w:val="35"/>
        </w:numPr>
      </w:pPr>
      <w:r>
        <w:t>In zu Wohnzwecken genutzten Gebäuden sind, falls bei der Übergabe des Gebäudes noch einige Arbeiten zur Installation von Energiesystemen auszuführen sind, Standarddaten nach dem in Artikel 17 angegebenen Verfahren zu verwenden.</w:t>
      </w:r>
    </w:p>
    <w:p w14:paraId="153B0816" w14:textId="2B446C30" w:rsidR="00265BC4" w:rsidRPr="00E601CA" w:rsidRDefault="00675A9E" w:rsidP="00951EDB">
      <w:pPr>
        <w:pStyle w:val="Heading3"/>
        <w:keepNext/>
        <w:numPr>
          <w:ilvl w:val="0"/>
          <w:numId w:val="0"/>
        </w:numPr>
        <w:ind w:left="270" w:firstLine="14"/>
      </w:pPr>
      <w:r>
        <w:rPr>
          <w:b w:val="0"/>
        </w:rPr>
        <w:t>Artikel 25.</w:t>
      </w:r>
      <w:r>
        <w:t xml:space="preserve"> (Nachweis der Umweltauswirkung von Bau- oder Dekorationsprodukten und Ausrüstungen) </w:t>
      </w:r>
    </w:p>
    <w:p w14:paraId="14B1FAF4" w14:textId="2F637120" w:rsidR="00265BC4" w:rsidRPr="00E601CA" w:rsidRDefault="00265BC4" w:rsidP="00053DF0">
      <w:pPr>
        <w:pStyle w:val="ListParagraph"/>
        <w:numPr>
          <w:ilvl w:val="0"/>
          <w:numId w:val="37"/>
        </w:numPr>
      </w:pPr>
      <w:r>
        <w:t>Die Werte, die als Eingabedaten für die Berechnung der Indikatoren Ic</w:t>
      </w:r>
      <w:r>
        <w:rPr>
          <w:vertAlign w:val="subscript"/>
        </w:rPr>
        <w:t>Komponenten</w:t>
      </w:r>
      <w:r>
        <w:t xml:space="preserve"> und Ic</w:t>
      </w:r>
      <w:r>
        <w:rPr>
          <w:vertAlign w:val="subscript"/>
        </w:rPr>
        <w:t>Gebäude</w:t>
      </w:r>
      <w:r>
        <w:t xml:space="preserve"> verwendet werden, müssen, wenn das Gebäude nicht fertiggestellt ist, den Eigenschaften der für den Bau vorgesehenen Komponenten oder, wenn die Arbeiten abgeschlossen sind, den Eigenschaften der tatsächlich verwendeten Komponenten entsprechen. Abweichend von dieser Bestimmung ist es möglich, Eingabedaten zu verwenden, die einer Komponente mit höherwertigen Eigenschaften als die der vorgesehenen oder eingebauten Komponente entsprechen, vorausgesetzt, sie gehören zum gleichen Sortiment desselben Herstellers.</w:t>
      </w:r>
    </w:p>
    <w:p w14:paraId="63CB1AC5" w14:textId="514FCCB8" w:rsidR="006F6A1C" w:rsidRPr="00E601CA" w:rsidRDefault="006F6A1C" w:rsidP="00324401">
      <w:pPr>
        <w:ind w:left="1072" w:firstLine="6"/>
      </w:pPr>
      <w:r>
        <w:t xml:space="preserve">Diese Werte werden für jede Komponente auf der Grundlage der Umwelterklärungen ermittelt, die von den Herstellern gemäß den per Dekret festgelegten Vorschriften zur Verfügung gestellt werden, oder, in Ermangelung solcher Daten, anhand von Standardumweltdaten, die von dem Minister für Bauwesen bereitgestellt werden. </w:t>
      </w:r>
    </w:p>
    <w:p w14:paraId="574F0D3E" w14:textId="25EA64AD" w:rsidR="00257E0C" w:rsidRPr="00E601CA" w:rsidRDefault="00257E0C" w:rsidP="00324401">
      <w:pPr>
        <w:ind w:left="1072" w:firstLine="6"/>
      </w:pPr>
      <w:r>
        <w:t>Falls für eine Gebäudekomponente keine Informationen vorliegen, die den im vorstehenden Absatz genannten Eigenschaften entsprechen, wird die Komponente in der Berechnung beschrieben und dieser eine als „leer“ qualifizierte Umweltinformation zugeordnet; darüber hinaus wird auf einer Website, deren Adresse auf der Website des Ministeriums für Bauwesen angegeben ist, ein Antrag auf Erstellung von Standardumweltdaten für die Komponente gestellt.</w:t>
      </w:r>
    </w:p>
    <w:p w14:paraId="5C6F3D90" w14:textId="4DD1A92E" w:rsidR="00CD601C" w:rsidRPr="00E601CA" w:rsidRDefault="00CD601C" w:rsidP="00324401">
      <w:pPr>
        <w:pStyle w:val="ListParagraph"/>
        <w:numPr>
          <w:ilvl w:val="0"/>
          <w:numId w:val="37"/>
        </w:numPr>
      </w:pPr>
      <w:r>
        <w:t>Sind bei der Übergabe des Gebäudes noch einige Arbeiten auszuführen, sind Standarddaten zur Beschreibung dieser Arbeiten nach dem in Artikel 17 angegebenen Verfahren zu verwenden.</w:t>
      </w:r>
    </w:p>
    <w:p w14:paraId="3628DE7C" w14:textId="485D960C" w:rsidR="00304DB2" w:rsidRPr="00E601CA" w:rsidRDefault="00304DB2" w:rsidP="00324401">
      <w:pPr>
        <w:pStyle w:val="ListParagraph"/>
        <w:numPr>
          <w:ilvl w:val="0"/>
          <w:numId w:val="37"/>
        </w:numPr>
      </w:pPr>
      <w:r>
        <w:t xml:space="preserve">Alternativ zu den </w:t>
      </w:r>
      <w:r>
        <w:rPr>
          <w:highlight w:val="yellow"/>
        </w:rPr>
        <w:t>unter den Ziffern I und II</w:t>
      </w:r>
      <w:r>
        <w:t xml:space="preserve"> des vorliegenden Artikels genannten Anforderungen ist es möglich, für bestimmte Komponentengruppen des Gebäudes und entsprechend der Nutzung des Gebäudes, deren Auswirkung auf den Klimawandel mithilfe von Pauschalwerten zu beschreiben. Die betreffenden Komponentengruppen und die entsprechenden Werte sind in ANHANG XI angegeben.</w:t>
      </w:r>
    </w:p>
    <w:p w14:paraId="7BE5F5A9" w14:textId="304472BA" w:rsidR="00265BC4" w:rsidRPr="00E601CA" w:rsidRDefault="00675A9E" w:rsidP="00951EDB">
      <w:pPr>
        <w:pStyle w:val="Heading3"/>
        <w:keepNext/>
        <w:numPr>
          <w:ilvl w:val="0"/>
          <w:numId w:val="0"/>
        </w:numPr>
        <w:ind w:left="270" w:firstLine="14"/>
      </w:pPr>
      <w:bookmarkStart w:id="37" w:name="_Ref57401092"/>
      <w:r>
        <w:rPr>
          <w:b w:val="0"/>
        </w:rPr>
        <w:lastRenderedPageBreak/>
        <w:t>Artikel 26.</w:t>
      </w:r>
      <w:r>
        <w:t xml:space="preserve"> (Nachweis der Werte für die Luftdurchlässigkeit und Systemdichtheit)</w:t>
      </w:r>
      <w:bookmarkEnd w:id="37"/>
    </w:p>
    <w:p w14:paraId="400E4B9B" w14:textId="77777777" w:rsidR="00265BC4" w:rsidRPr="00E601CA" w:rsidRDefault="00265BC4" w:rsidP="007C4597">
      <w:pPr>
        <w:pStyle w:val="ListParagraph"/>
        <w:keepNext/>
        <w:numPr>
          <w:ilvl w:val="0"/>
          <w:numId w:val="3"/>
        </w:numPr>
      </w:pPr>
      <w:r>
        <w:t>Der Luftdurchlässigkeitswert des Gebäudes wird wie folgt ermittelt:</w:t>
      </w:r>
    </w:p>
    <w:p w14:paraId="5505DC1C" w14:textId="3E6A9B1B" w:rsidR="00C2769F" w:rsidRPr="00E601CA" w:rsidRDefault="00265BC4" w:rsidP="007F40E5">
      <w:pPr>
        <w:pStyle w:val="ListParagraph"/>
        <w:numPr>
          <w:ilvl w:val="1"/>
          <w:numId w:val="1"/>
        </w:numPr>
      </w:pPr>
      <w:r>
        <w:t>bei zu Wohnzwecken genutzten Gebäuden entweder durch Messung oder durch Anwendung eines Qualitätsansatzes zur Ermittlung der Luftdichtheit des Gebäudes gemäß den in ANHANG VII des vorliegenden Erlasses festgelegten Modalitäten,</w:t>
      </w:r>
    </w:p>
    <w:p w14:paraId="7A8F9B7C" w14:textId="4B476E8C" w:rsidR="00C2769F" w:rsidRPr="00E601CA" w:rsidRDefault="00265BC4" w:rsidP="007F40E5">
      <w:pPr>
        <w:pStyle w:val="ListParagraph"/>
        <w:numPr>
          <w:ilvl w:val="1"/>
          <w:numId w:val="1"/>
        </w:numPr>
      </w:pPr>
      <w:r>
        <w:t xml:space="preserve">bei anderen Gebäudetypen kann der Luftdurchlässigkeitswert des Gebäudes durch Messung gemäß den in ANHANG VII des vorliegenden Erlasses festgelegten Modalitäten nachgewiesen werden. Erfolgt keine Messung nach diesen Modalitäten, entspricht der zu verwendende Wert dem durch das Berechnungsverfahren gemäß Artikel 17 ermittelten Standardwert. </w:t>
      </w:r>
    </w:p>
    <w:p w14:paraId="1D895288" w14:textId="1D1EEC8A" w:rsidR="00C2769F" w:rsidRPr="00E601CA" w:rsidRDefault="00C2769F" w:rsidP="00AA57C7">
      <w:pPr>
        <w:ind w:left="1134"/>
      </w:pPr>
      <w:r>
        <w:t>Im Fall einer Durchlässigkeitsmessung durch Probenahme in den Wohnräumen werden die ermittelten Messwerte um 0,2 m³/(hm²) erhöht.</w:t>
      </w:r>
    </w:p>
    <w:p w14:paraId="6572CF0E" w14:textId="77777777" w:rsidR="00140B83" w:rsidRPr="00E601CA" w:rsidRDefault="00140B83" w:rsidP="00AA57C7">
      <w:pPr>
        <w:ind w:left="1134"/>
      </w:pPr>
      <w:r>
        <w:t>Falls nach der Übergabe noch Arbeiten auszuführen sind, die die Luftdurchlässigkeit der Wohnungen beeinflussen können, und wenn kein Vorbehalt vorliegt, durch den die Entstehung von Lecks während dieser Arbeiten verhindert wird, sind die ermittelten Durchlässigkeitswerte um 0,3 m³/(hm²) zu erhöhen, um die Einhaltung der Anforderungen des vorliegenden Artikels zu überprüfen.</w:t>
      </w:r>
    </w:p>
    <w:p w14:paraId="007E3C8F" w14:textId="51A689CC" w:rsidR="00140B83" w:rsidRPr="00E601CA" w:rsidRDefault="00140B83" w:rsidP="00AA57C7">
      <w:pPr>
        <w:ind w:left="1134"/>
      </w:pPr>
      <w:r>
        <w:t>Diese beiden Erhöhungen können kumuliert werden.</w:t>
      </w:r>
    </w:p>
    <w:p w14:paraId="11283C26" w14:textId="677F6C51" w:rsidR="00265BC4" w:rsidRPr="00E601CA" w:rsidRDefault="00265BC4" w:rsidP="007F40E5">
      <w:pPr>
        <w:pStyle w:val="ListParagraph"/>
        <w:numPr>
          <w:ilvl w:val="0"/>
          <w:numId w:val="3"/>
        </w:numPr>
      </w:pPr>
      <w:r>
        <w:t>Bei allen Gebäuden wird der Wert der Luftdurchlässigkeit der raumlufttechnischen Anlagen entweder durch Messung oder durch Anwendung eines Qualitätsansatzes zur Ermittlung der Luftdichtheit der raumlufttechnischen Anlagen gemäß den in ANHANG VII des vorliegenden Erlasses festgelegten Modalitäten ermittelt. In Ermangelung einer Messung und eines Qualitätsansatzes nach diesen Modalitäten entspricht der zu verwendende Wert dem durch das Berechnungsverfahren gemäß Artikel 17 ermittelten Standardwert.</w:t>
      </w:r>
    </w:p>
    <w:p w14:paraId="081ECB90" w14:textId="33D75896" w:rsidR="00265BC4" w:rsidRPr="00E601CA" w:rsidRDefault="00265BC4" w:rsidP="00265BC4">
      <w:r>
        <w:t>Wenn die Luftdurchlässigkeit des Gebäudes oder die Durchlässigkeit der raumlufttechnischen Anlagen durch eine Messung nachgewiesen wird, muss die Person, welche die Messung durchführt, eine Person sein, die von dem Minister für Bau- und Wohnungswesen als kompetent anerkannt wurde und die von dem Antragsteller und den bei der Ausführung, Arbeitsüberwachung oder Bauleitung an den betreffenden Gebäuden mitwirkenden Stellen unabhängig ist.</w:t>
      </w:r>
    </w:p>
    <w:p w14:paraId="2BA3B14C" w14:textId="13E09A16" w:rsidR="009E5BF1" w:rsidRPr="00E601CA" w:rsidRDefault="00265D3D" w:rsidP="007C4597">
      <w:pPr>
        <w:pStyle w:val="Heading2"/>
        <w:keepNext/>
        <w:numPr>
          <w:ilvl w:val="0"/>
          <w:numId w:val="0"/>
        </w:numPr>
        <w:ind w:left="720" w:hanging="3"/>
      </w:pPr>
      <w:r>
        <w:t>KAPITEL VII.</w:t>
      </w:r>
      <w:r>
        <w:tab/>
        <w:t>NACHWEIS DER ANWENDUNG DER ANFORDERUNGEN</w:t>
      </w:r>
    </w:p>
    <w:p w14:paraId="0070A15B" w14:textId="636FE811" w:rsidR="002230C6" w:rsidRPr="00E601CA" w:rsidRDefault="00675A9E" w:rsidP="00951EDB">
      <w:pPr>
        <w:pStyle w:val="Heading3"/>
        <w:keepNext/>
        <w:numPr>
          <w:ilvl w:val="0"/>
          <w:numId w:val="0"/>
        </w:numPr>
        <w:ind w:left="270" w:firstLine="14"/>
      </w:pPr>
      <w:r>
        <w:rPr>
          <w:b w:val="0"/>
        </w:rPr>
        <w:t>Artikel 27.</w:t>
      </w:r>
      <w:r>
        <w:t xml:space="preserve"> (Ausfüllen einer standardisierten Zusammenfassung der Energie- und Umweltprüfung und Übermittlung der Datei) </w:t>
      </w:r>
    </w:p>
    <w:p w14:paraId="0B7C2C0A" w14:textId="1E6B3C1D" w:rsidR="000758E6" w:rsidRPr="00E601CA" w:rsidRDefault="000758E6" w:rsidP="000758E6">
      <w:r>
        <w:t>Spätestens nach Abschluss der Arbeiten erstellt der Bauherr mithilfe einer Software, die den Anforderungen von Artikel 21 entspricht, in elektronischer Form eine standardisierte Zusammenfassung der Energie- und Umweltprüfung.</w:t>
      </w:r>
    </w:p>
    <w:p w14:paraId="35B2290B" w14:textId="12EDF277" w:rsidR="000758E6" w:rsidRPr="00E601CA" w:rsidRDefault="000758E6" w:rsidP="000758E6">
      <w:r>
        <w:t>Der Inhalt und das Format der zu erstellenden standardisierten Zusammenfassung der Energie- und Umweltprüfung werden in ANHANG VI beschrieben.</w:t>
      </w:r>
    </w:p>
    <w:p w14:paraId="0EDD4CD3" w14:textId="4D7B6F1C" w:rsidR="000758E6" w:rsidRPr="00E601CA" w:rsidRDefault="000758E6" w:rsidP="000758E6">
      <w:r>
        <w:t xml:space="preserve">In dem durch den TITEL IV des vorliegenden Erlasses geregelten Fall, dass die Anforderungen des vorliegenden Erlasses nach genehmigten vereinfachten Verfahren oder Anwendungsmethoden </w:t>
      </w:r>
      <w:r>
        <w:lastRenderedPageBreak/>
        <w:t>angewandt werden, sind der Inhalt und das Format der zu erstellenden standardisierten Zusammenfassung der thermischen Prüfung in den vereinfachten Verfahren oder Anwendungsmethoden anzugeben.</w:t>
      </w:r>
    </w:p>
    <w:p w14:paraId="1F6F11E4" w14:textId="7F369C85" w:rsidR="00224648" w:rsidRPr="00E601CA" w:rsidRDefault="00224648" w:rsidP="000758E6">
      <w:r>
        <w:t>Diese Daten werden von dem Bauherrn im Einklang mit Artikel R. 111-20-7 der Bau- und Wohnungsordnung aufbewahrt.</w:t>
      </w:r>
    </w:p>
    <w:p w14:paraId="65BF93D4" w14:textId="77777777" w:rsidR="00864556" w:rsidRPr="00E601CA" w:rsidRDefault="00864556" w:rsidP="000758E6"/>
    <w:p w14:paraId="0B1185CD" w14:textId="56E128E9" w:rsidR="00032417" w:rsidRPr="00E601CA" w:rsidRDefault="008B5FAE" w:rsidP="007C4597">
      <w:pPr>
        <w:pStyle w:val="Heading1"/>
        <w:keepNext/>
        <w:numPr>
          <w:ilvl w:val="0"/>
          <w:numId w:val="0"/>
        </w:numPr>
        <w:ind w:left="1588" w:hanging="1588"/>
      </w:pPr>
      <w:bookmarkStart w:id="38" w:name="_Ref49445041"/>
      <w:r>
        <w:t>TITEL III.</w:t>
      </w:r>
      <w:r>
        <w:tab/>
        <w:t>WÄRMEEIGENSCHAFTEN UND ANFORDERUNGEN AN MASSNAHMEN</w:t>
      </w:r>
      <w:bookmarkEnd w:id="38"/>
    </w:p>
    <w:p w14:paraId="4F9FE1AD" w14:textId="4048633C" w:rsidR="0023603C" w:rsidRPr="00E601CA" w:rsidRDefault="00265D3D" w:rsidP="007C4597">
      <w:pPr>
        <w:pStyle w:val="Heading2"/>
        <w:keepNext/>
        <w:numPr>
          <w:ilvl w:val="0"/>
          <w:numId w:val="0"/>
        </w:numPr>
        <w:ind w:left="720" w:hanging="3"/>
      </w:pPr>
      <w:bookmarkStart w:id="39" w:name="_Ref49526579"/>
      <w:r>
        <w:t>KAPITEL VIII.</w:t>
      </w:r>
      <w:r>
        <w:tab/>
        <w:t>ANFORDERUNGEN FÜR GEBÄUDE, DIE UNTER DAS KAPITEL II „TEILWEISE ANWENDUNG“ FALLEN</w:t>
      </w:r>
      <w:bookmarkEnd w:id="39"/>
    </w:p>
    <w:p w14:paraId="155C3D9C" w14:textId="6024FE64" w:rsidR="00F11BAA" w:rsidRPr="00E601CA" w:rsidRDefault="00675A9E" w:rsidP="00951EDB">
      <w:pPr>
        <w:pStyle w:val="Heading3"/>
        <w:keepNext/>
        <w:numPr>
          <w:ilvl w:val="0"/>
          <w:numId w:val="0"/>
        </w:numPr>
        <w:ind w:left="270" w:firstLine="14"/>
      </w:pPr>
      <w:bookmarkStart w:id="40" w:name="_Ref57986904"/>
      <w:r>
        <w:rPr>
          <w:b w:val="0"/>
        </w:rPr>
        <w:t>Artikel 28.</w:t>
      </w:r>
      <w:r>
        <w:t xml:space="preserve"> (Provisorische Gebäude)</w:t>
      </w:r>
      <w:bookmarkEnd w:id="40"/>
    </w:p>
    <w:p w14:paraId="0EB43728" w14:textId="15CECD2D" w:rsidR="00F11BAA" w:rsidRPr="00E601CA" w:rsidRDefault="00F11BAA" w:rsidP="00F11BAA">
      <w:pPr>
        <w:spacing w:after="0" w:line="240" w:lineRule="auto"/>
        <w:jc w:val="left"/>
      </w:pPr>
      <w:r>
        <w:t>Gemäß Artikel R. 111-20-1 der Bau- und Wohnungsordnung können bei provisorischen Gebäuden oder Gebäudeteilen mit einer vorgesehenen Nutzungsdauer von weniger als zwei Jahren nur die in den Artikeln 30 und 31 angegebenen alternativen Anforderungen angewandt werden.</w:t>
      </w:r>
    </w:p>
    <w:p w14:paraId="32B4B6D3" w14:textId="5C969FA7" w:rsidR="00F11BAA" w:rsidRPr="00E601CA" w:rsidRDefault="00675A9E" w:rsidP="00951EDB">
      <w:pPr>
        <w:pStyle w:val="Heading3"/>
        <w:keepNext/>
        <w:numPr>
          <w:ilvl w:val="0"/>
          <w:numId w:val="0"/>
        </w:numPr>
        <w:ind w:left="270" w:firstLine="14"/>
      </w:pPr>
      <w:bookmarkStart w:id="41" w:name="_Ref57970437"/>
      <w:r>
        <w:rPr>
          <w:b w:val="0"/>
        </w:rPr>
        <w:t>Artikel 29.</w:t>
      </w:r>
      <w:r>
        <w:t xml:space="preserve"> (Kleinflächige Bauten/Erweiterungen) </w:t>
      </w:r>
      <w:bookmarkEnd w:id="41"/>
    </w:p>
    <w:p w14:paraId="2F7A8DAB" w14:textId="77777777" w:rsidR="00F11BAA" w:rsidRPr="00E601CA" w:rsidRDefault="00F11BAA" w:rsidP="007C4597">
      <w:pPr>
        <w:keepNext/>
      </w:pPr>
      <w:r>
        <w:t>Gemäß Artikel R. 111-20-2 der Bau- und Wohnungsordnung gilt Folgendes:</w:t>
      </w:r>
    </w:p>
    <w:p w14:paraId="141FBEE6" w14:textId="120BC4B0" w:rsidR="00F11BAA" w:rsidRPr="00E601CA" w:rsidRDefault="00F11BAA" w:rsidP="00F11BAA">
      <w:pPr>
        <w:pStyle w:val="ListParagraph"/>
        <w:numPr>
          <w:ilvl w:val="0"/>
          <w:numId w:val="38"/>
        </w:numPr>
      </w:pPr>
      <w:r>
        <w:t>Bei Gebäuden und Gebäudeerweiterungen mit einer Bezugsfläche von weniger als 50 m² können nur die in Artikel 30 sowie den KAPITELN X bis XVI – mit Ausnahme der Artikel 40 und 41 – angegebenen alternativen Anforderungen angewandt werden.</w:t>
      </w:r>
    </w:p>
    <w:p w14:paraId="5B913733" w14:textId="68855DBD" w:rsidR="00F11BAA" w:rsidRPr="00E601CA" w:rsidRDefault="00F11BAA" w:rsidP="007C4597">
      <w:pPr>
        <w:pStyle w:val="ListParagraph"/>
        <w:keepNext/>
        <w:numPr>
          <w:ilvl w:val="0"/>
          <w:numId w:val="38"/>
        </w:numPr>
      </w:pPr>
      <w:r>
        <w:t>Bei Erweiterungen von Einfamilien- oder Reihenhäusern gemäß Artikel 3 können nur die folgenden Anforderungen angewandt werden:</w:t>
      </w:r>
    </w:p>
    <w:p w14:paraId="6CFF90AB" w14:textId="5F6A18A4" w:rsidR="00F11BAA" w:rsidRPr="00E601CA" w:rsidRDefault="00F11BAA" w:rsidP="00F11BAA">
      <w:pPr>
        <w:pStyle w:val="ListParagraph"/>
        <w:numPr>
          <w:ilvl w:val="0"/>
          <w:numId w:val="8"/>
        </w:numPr>
        <w:ind w:left="1491" w:hanging="357"/>
      </w:pPr>
      <w:r>
        <w:t xml:space="preserve">Artikel 9 </w:t>
      </w:r>
      <w:r>
        <w:rPr>
          <w:highlight w:val="yellow"/>
        </w:rPr>
        <w:t>Ziffer I,</w:t>
      </w:r>
    </w:p>
    <w:p w14:paraId="235DD49A" w14:textId="2BC5CD19" w:rsidR="00F11BAA" w:rsidRPr="00E601CA" w:rsidRDefault="00F11BAA" w:rsidP="00F11BAA">
      <w:pPr>
        <w:pStyle w:val="ListParagraph"/>
        <w:numPr>
          <w:ilvl w:val="0"/>
          <w:numId w:val="8"/>
        </w:numPr>
        <w:ind w:left="1491" w:hanging="357"/>
      </w:pPr>
      <w:r>
        <w:t>KAPITEL IX bis KAPITEL XVI.</w:t>
      </w:r>
    </w:p>
    <w:p w14:paraId="61B1E1BF" w14:textId="5E59F632" w:rsidR="00F11BAA" w:rsidRPr="00E601CA" w:rsidRDefault="00F11BAA" w:rsidP="007C4597">
      <w:pPr>
        <w:pStyle w:val="ListParagraph"/>
        <w:keepNext/>
        <w:numPr>
          <w:ilvl w:val="0"/>
          <w:numId w:val="38"/>
        </w:numPr>
      </w:pPr>
      <w:r>
        <w:t>Bei Gebäudeerweiterungen für sonstige Nutzungen gemäß Artikel 3 können nur die folgenden Anforderungen angewandt werden:</w:t>
      </w:r>
    </w:p>
    <w:p w14:paraId="002E595F" w14:textId="3C46CC42" w:rsidR="00F11BAA" w:rsidRPr="00E601CA" w:rsidRDefault="00F11BAA" w:rsidP="00F11BAA">
      <w:pPr>
        <w:pStyle w:val="ListParagraph"/>
        <w:numPr>
          <w:ilvl w:val="0"/>
          <w:numId w:val="8"/>
        </w:numPr>
        <w:ind w:left="1491" w:hanging="357"/>
      </w:pPr>
      <w:r>
        <w:t>Artikel 30,</w:t>
      </w:r>
    </w:p>
    <w:p w14:paraId="0D274417" w14:textId="1D280A30" w:rsidR="00F11BAA" w:rsidRPr="00E601CA" w:rsidRDefault="00F11BAA" w:rsidP="00F11BAA">
      <w:pPr>
        <w:pStyle w:val="ListParagraph"/>
        <w:numPr>
          <w:ilvl w:val="0"/>
          <w:numId w:val="8"/>
        </w:numPr>
        <w:ind w:left="1491" w:hanging="357"/>
      </w:pPr>
      <w:r>
        <w:t>KAPITEL IX bis KAPITEL XVI.</w:t>
      </w:r>
    </w:p>
    <w:p w14:paraId="366BF123" w14:textId="77777777" w:rsidR="00F11BAA" w:rsidRPr="00E601CA" w:rsidRDefault="00F11BAA" w:rsidP="007C4597">
      <w:pPr>
        <w:keepNext/>
      </w:pPr>
      <w:r>
        <w:t xml:space="preserve">Für Erweiterungen gemäß den Ziffern I bis III des vorliegenden Artikels gelten die folgenden Anforderungen nicht: </w:t>
      </w:r>
    </w:p>
    <w:p w14:paraId="660E9835" w14:textId="241B9DD8" w:rsidR="00F11BAA" w:rsidRPr="00E601CA" w:rsidRDefault="00F11BAA" w:rsidP="00F11BAA">
      <w:pPr>
        <w:pStyle w:val="ListParagraph"/>
        <w:numPr>
          <w:ilvl w:val="0"/>
          <w:numId w:val="8"/>
        </w:numPr>
        <w:spacing w:line="256" w:lineRule="auto"/>
      </w:pPr>
      <w:r>
        <w:t>Sofern sich mindestens ein Raum sowohl über den bestehenden Teil als auch über den neuen Teil des Gebäudes erstreckt, findet der Artikel 32 keine Anwendung.</w:t>
      </w:r>
    </w:p>
    <w:p w14:paraId="58F20544" w14:textId="5283401C" w:rsidR="00F11BAA" w:rsidRPr="00E601CA" w:rsidRDefault="00F11BAA" w:rsidP="00F11BAA">
      <w:pPr>
        <w:pStyle w:val="ListParagraph"/>
        <w:numPr>
          <w:ilvl w:val="0"/>
          <w:numId w:val="8"/>
        </w:numPr>
        <w:spacing w:line="256" w:lineRule="auto"/>
      </w:pPr>
      <w:r>
        <w:t>Bei Aufstockungen findet der Artikel 35 keine Anwendung.</w:t>
      </w:r>
    </w:p>
    <w:p w14:paraId="57C0DDA4" w14:textId="511B36E6" w:rsidR="00F11BAA" w:rsidRPr="00E601CA" w:rsidRDefault="00F11BAA" w:rsidP="00F11BAA">
      <w:pPr>
        <w:pStyle w:val="ListParagraph"/>
        <w:numPr>
          <w:ilvl w:val="0"/>
          <w:numId w:val="8"/>
        </w:numPr>
        <w:spacing w:line="256" w:lineRule="auto"/>
      </w:pPr>
      <w:r>
        <w:t>Sofern das Heizsystem des bestehenden Gebäudes für den Betrieb der Erweiterung genutzt wird, finden die Artikel 40, 41 und 44 keine Anwendung.</w:t>
      </w:r>
    </w:p>
    <w:p w14:paraId="1D03B18D" w14:textId="013B1B1F" w:rsidR="00F11BAA" w:rsidRPr="00E601CA" w:rsidRDefault="00F11BAA" w:rsidP="00F11BAA">
      <w:pPr>
        <w:spacing w:line="256" w:lineRule="auto"/>
      </w:pPr>
      <w:r>
        <w:t>Erweiterungen von Gebäuden, die nicht unter die Ziffern I bis III des vorliegenden Artikels fallen, unterliegen den allgemeinen Regeln des vorliegenden Erlasses.</w:t>
      </w:r>
    </w:p>
    <w:p w14:paraId="31BF20F3" w14:textId="77777777" w:rsidR="00F11BAA" w:rsidRPr="00E601CA" w:rsidRDefault="00F11BAA" w:rsidP="00F11BAA">
      <w:r>
        <w:lastRenderedPageBreak/>
        <w:t>Wenn das Bauprojekt mehrere Erweiterungen eines Gebäudes umfasst, ist die für die Anwendung des vorliegenden Artikels zu berücksichtigende Fläche die Summe der Bezugsflächen der Erweiterungen dieses Gebäudes.</w:t>
      </w:r>
    </w:p>
    <w:p w14:paraId="3D90B3B3" w14:textId="16E60CFB" w:rsidR="006C6C95" w:rsidRPr="00E601CA" w:rsidRDefault="00675A9E" w:rsidP="007C4597">
      <w:pPr>
        <w:pStyle w:val="Heading3"/>
        <w:keepNext/>
        <w:numPr>
          <w:ilvl w:val="0"/>
          <w:numId w:val="0"/>
        </w:numPr>
        <w:spacing w:line="256" w:lineRule="auto"/>
        <w:ind w:left="270" w:firstLine="14"/>
      </w:pPr>
      <w:bookmarkStart w:id="42" w:name="_Ref57730618"/>
      <w:bookmarkStart w:id="43" w:name="_Ref57896926"/>
      <w:r>
        <w:rPr>
          <w:b w:val="0"/>
        </w:rPr>
        <w:t>Artikel 30.</w:t>
      </w:r>
      <w:r>
        <w:t xml:space="preserve"> (Anforderungen an die Wärmeschutzvorschriften von Elementen</w:t>
      </w:r>
      <w:bookmarkEnd w:id="42"/>
      <w:r>
        <w:t>)</w:t>
      </w:r>
      <w:bookmarkEnd w:id="43"/>
    </w:p>
    <w:p w14:paraId="3B128BDE" w14:textId="112340A4" w:rsidR="005C1BB6" w:rsidRPr="00E601CA" w:rsidRDefault="005C1BB6" w:rsidP="005C1BB6">
      <w:r>
        <w:t xml:space="preserve">Der vorliegende Artikel gilt nur für Gebäude, für die nur die Anforderungen gemäß Artikel 28 oder Artikel 29 </w:t>
      </w:r>
      <w:r>
        <w:rPr>
          <w:highlight w:val="yellow"/>
        </w:rPr>
        <w:t>Ziffern I oder III</w:t>
      </w:r>
      <w:r>
        <w:t xml:space="preserve"> Anwendung finden.</w:t>
      </w:r>
    </w:p>
    <w:p w14:paraId="734AA747" w14:textId="5D42371A" w:rsidR="006C6C95" w:rsidRPr="00E601CA" w:rsidRDefault="006C6C95" w:rsidP="007C4597">
      <w:pPr>
        <w:keepNext/>
      </w:pPr>
      <w:r>
        <w:t>Die unter das vorliegende Kapitel fallenden Gebäude oder Gebäudeteile unterliegen ab dem Inkrafttreten des vorliegenden Erlasses den folgenden Anforderungen des oben genannten Erlasses vom 3. Mai 2007 in der am 1. Januar 2023 geltenden Fassung:</w:t>
      </w:r>
    </w:p>
    <w:p w14:paraId="1200330D" w14:textId="3D40E044" w:rsidR="006C6C95" w:rsidRPr="00E601CA" w:rsidRDefault="006C6C95" w:rsidP="00E8319A">
      <w:pPr>
        <w:pStyle w:val="ListParagraph"/>
        <w:numPr>
          <w:ilvl w:val="0"/>
          <w:numId w:val="31"/>
        </w:numPr>
        <w:spacing w:before="0" w:after="0" w:line="256" w:lineRule="auto"/>
      </w:pPr>
      <w:r>
        <w:t>Artikel 3, ohne Berücksichtigung der Spalte „mögliche Anpassungsfälle“ der Tabelle, und Artikel 4 des Kapitels I: Gebäudehülle, lichtundurchlässige Wände,</w:t>
      </w:r>
    </w:p>
    <w:p w14:paraId="2CB32EB3" w14:textId="04B31966" w:rsidR="006C6C95" w:rsidRPr="00E601CA" w:rsidRDefault="003B2EB2" w:rsidP="00E8319A">
      <w:pPr>
        <w:pStyle w:val="ListParagraph"/>
        <w:numPr>
          <w:ilvl w:val="0"/>
          <w:numId w:val="31"/>
        </w:numPr>
        <w:spacing w:before="0" w:after="0" w:line="256" w:lineRule="auto"/>
      </w:pPr>
      <w:r>
        <w:t>Artikel 8 bis 11 und Artikel 13 des Kapitels II: Gebäudehülle – Glaswände,</w:t>
      </w:r>
    </w:p>
    <w:p w14:paraId="165BE53E" w14:textId="6FBCD846" w:rsidR="006C6C95" w:rsidRPr="00E601CA" w:rsidRDefault="006C6C95" w:rsidP="00AA57C7">
      <w:pPr>
        <w:pStyle w:val="ListParagraph"/>
        <w:numPr>
          <w:ilvl w:val="0"/>
          <w:numId w:val="31"/>
        </w:numPr>
        <w:spacing w:before="0" w:after="0" w:line="256" w:lineRule="auto"/>
      </w:pPr>
      <w:r>
        <w:t>Kapitel III bis VII,</w:t>
      </w:r>
    </w:p>
    <w:p w14:paraId="5E763584" w14:textId="140AC404" w:rsidR="006C6C95" w:rsidRPr="00E601CA" w:rsidRDefault="003B2EB2" w:rsidP="00E8319A">
      <w:pPr>
        <w:pStyle w:val="ListParagraph"/>
        <w:numPr>
          <w:ilvl w:val="0"/>
          <w:numId w:val="31"/>
        </w:numPr>
        <w:spacing w:before="0" w:after="0" w:line="256" w:lineRule="auto"/>
      </w:pPr>
      <w:r>
        <w:t>Artikel 47 bis 50 des Kapitels VIII: Erneuerbare Energien.</w:t>
      </w:r>
    </w:p>
    <w:p w14:paraId="77EFF96B" w14:textId="02C8366A" w:rsidR="006C6C95" w:rsidRPr="00E601CA" w:rsidRDefault="00675A9E" w:rsidP="007C4597">
      <w:pPr>
        <w:pStyle w:val="Heading3"/>
        <w:keepNext/>
        <w:numPr>
          <w:ilvl w:val="0"/>
          <w:numId w:val="0"/>
        </w:numPr>
        <w:spacing w:line="256" w:lineRule="auto"/>
        <w:ind w:left="270" w:firstLine="14"/>
      </w:pPr>
      <w:bookmarkStart w:id="44" w:name="_Ref57730918"/>
      <w:r>
        <w:rPr>
          <w:b w:val="0"/>
        </w:rPr>
        <w:t>Artikel 31.</w:t>
      </w:r>
      <w:r>
        <w:t xml:space="preserve"> (Anforderungen an die Lebenszyklusanalyse – provisorische Gebäude)</w:t>
      </w:r>
      <w:bookmarkEnd w:id="44"/>
    </w:p>
    <w:p w14:paraId="7355A3D2" w14:textId="1073967E" w:rsidR="00AB6ABD" w:rsidRPr="00E601CA" w:rsidRDefault="00AB6ABD" w:rsidP="006C6C95">
      <w:r>
        <w:t>Der vorliegende Artikel gilt nur für Gebäude, für die nur die Anforderungen gemäß Artikel 28 Anwendung finden.</w:t>
      </w:r>
    </w:p>
    <w:p w14:paraId="2A9AECC3" w14:textId="76D9CF63" w:rsidR="006C6C95" w:rsidRPr="00E601CA" w:rsidRDefault="006C6C95" w:rsidP="00AB6ABD">
      <w:r>
        <w:t>Die in Artikel 7 definierten Indikatoren Ic</w:t>
      </w:r>
      <w:r>
        <w:rPr>
          <w:vertAlign w:val="subscript"/>
        </w:rPr>
        <w:t>Komponenten</w:t>
      </w:r>
      <w:r>
        <w:t xml:space="preserve"> und SpeicherC werden gemäß den in Artikel 17 festgelegten Modalitäten bewertet, mit Ausnahme des betrachteten Bezugszeitraums, der mit 2 Jahren angesetzt wird.</w:t>
      </w:r>
    </w:p>
    <w:p w14:paraId="11A8F819" w14:textId="70089C40" w:rsidR="00032417" w:rsidRPr="00E601CA" w:rsidRDefault="00265D3D" w:rsidP="007C4597">
      <w:pPr>
        <w:pStyle w:val="Heading2"/>
        <w:keepNext/>
        <w:numPr>
          <w:ilvl w:val="0"/>
          <w:numId w:val="0"/>
        </w:numPr>
        <w:ind w:left="720" w:hanging="3"/>
      </w:pPr>
      <w:bookmarkStart w:id="45" w:name="_Ref57823537"/>
      <w:r>
        <w:t>KAPITEL IX.</w:t>
      </w:r>
      <w:r>
        <w:tab/>
        <w:t>LEISTUNGSÜBERPRÜFUNG NACH DEN ARBEITEN</w:t>
      </w:r>
      <w:bookmarkEnd w:id="45"/>
    </w:p>
    <w:p w14:paraId="15EFCBC8" w14:textId="0E506CE3" w:rsidR="00DD530C" w:rsidRPr="00E601CA" w:rsidRDefault="00675A9E" w:rsidP="00951EDB">
      <w:pPr>
        <w:pStyle w:val="Heading3"/>
        <w:keepNext/>
        <w:numPr>
          <w:ilvl w:val="0"/>
          <w:numId w:val="0"/>
        </w:numPr>
        <w:ind w:left="270" w:firstLine="14"/>
      </w:pPr>
      <w:bookmarkStart w:id="46" w:name="_Ref57650279"/>
      <w:r>
        <w:rPr>
          <w:b w:val="0"/>
        </w:rPr>
        <w:t>Artikel 32.</w:t>
      </w:r>
      <w:r>
        <w:t xml:space="preserve"> (Anforderung an die Luftdichtheit)</w:t>
      </w:r>
      <w:bookmarkEnd w:id="46"/>
    </w:p>
    <w:p w14:paraId="6B576584" w14:textId="78DA0827" w:rsidR="00A1566B" w:rsidRPr="00E601CA" w:rsidRDefault="00A1566B" w:rsidP="007C4597">
      <w:pPr>
        <w:keepNext/>
      </w:pPr>
      <w:r>
        <w:t>Bei Einfamilien- oder Reihenhäusern sowie Mehrfamilienwohnhäusern beträgt die Luftdurchlässigkeit der Gebäudehülle bei 4 Pa (Q4Pa-surf) höchstens:</w:t>
      </w:r>
    </w:p>
    <w:p w14:paraId="12DE720A" w14:textId="5F77C996" w:rsidR="00A1566B" w:rsidRPr="00E601CA" w:rsidRDefault="00A1566B" w:rsidP="00A1566B">
      <w:r>
        <w:t>0,60 m³/(hm²) an verlustreichen Wänden, ausgenommen Böden, in Einfamilien- oder Reihenhäusern,</w:t>
      </w:r>
    </w:p>
    <w:p w14:paraId="7C413D38" w14:textId="4C7B5965" w:rsidR="00A1566B" w:rsidRPr="00E601CA" w:rsidRDefault="00A1566B" w:rsidP="00A1566B">
      <w:r>
        <w:t>1,00 m³/(hm²) an verlustreichen Wänden, ausgenommen Böden, in Mehrfamilienwohnhäusern.</w:t>
      </w:r>
    </w:p>
    <w:p w14:paraId="0D2BD7F0" w14:textId="3EF7CBAB" w:rsidR="00B64F22" w:rsidRPr="00E601CA" w:rsidRDefault="00675A9E" w:rsidP="00951EDB">
      <w:pPr>
        <w:pStyle w:val="Heading3"/>
        <w:keepNext/>
        <w:numPr>
          <w:ilvl w:val="0"/>
          <w:numId w:val="0"/>
        </w:numPr>
        <w:ind w:left="270" w:firstLine="14"/>
      </w:pPr>
      <w:r>
        <w:rPr>
          <w:b w:val="0"/>
        </w:rPr>
        <w:t>Artikel 33.</w:t>
      </w:r>
      <w:r>
        <w:t xml:space="preserve"> (Überprüfung der Lüftungssysteme)</w:t>
      </w:r>
    </w:p>
    <w:p w14:paraId="6607CDE7" w14:textId="116F4BAF" w:rsidR="00B64F22" w:rsidRPr="00E601CA" w:rsidRDefault="00324401" w:rsidP="00324401">
      <w:r>
        <w:t>In zu Wohnzwecken genutzten Gebäuden und Gebäudeteilen wird zur Überprüfung der ordnungsgemäßen Funktion jedes Lüftungssystem des Gebäudes anhand einer Messung überprüft.</w:t>
      </w:r>
    </w:p>
    <w:p w14:paraId="388E7D17" w14:textId="3D611B1E" w:rsidR="00CA03BA" w:rsidRPr="00E601CA" w:rsidRDefault="00CA03BA" w:rsidP="00B64F22">
      <w:r>
        <w:t>Diese Überprüfung wird von einer Person durchgeführt, die gemäß den Bestimmungen in ANHANG VIII von dem Minister für Bauwesen als kompetent anerkannt wurde.</w:t>
      </w:r>
    </w:p>
    <w:p w14:paraId="41C44241" w14:textId="222221DA" w:rsidR="00032417" w:rsidRPr="00E601CA" w:rsidRDefault="00265D3D" w:rsidP="007C4597">
      <w:pPr>
        <w:pStyle w:val="Heading2"/>
        <w:keepNext/>
        <w:numPr>
          <w:ilvl w:val="0"/>
          <w:numId w:val="0"/>
        </w:numPr>
        <w:ind w:left="720" w:hanging="3"/>
      </w:pPr>
      <w:bookmarkStart w:id="47" w:name="_Ref57712032"/>
      <w:r>
        <w:t>KAPITEL X.</w:t>
      </w:r>
      <w:r>
        <w:tab/>
        <w:t>WÄRMEDÄMMUNG</w:t>
      </w:r>
      <w:bookmarkEnd w:id="47"/>
    </w:p>
    <w:p w14:paraId="6687C7C8" w14:textId="018E984A" w:rsidR="00240FC6" w:rsidRPr="00E601CA" w:rsidRDefault="00675A9E" w:rsidP="007C4597">
      <w:pPr>
        <w:pStyle w:val="Heading3"/>
        <w:keepNext/>
        <w:numPr>
          <w:ilvl w:val="0"/>
          <w:numId w:val="0"/>
        </w:numPr>
        <w:ind w:left="644" w:hanging="360"/>
      </w:pPr>
      <w:r>
        <w:rPr>
          <w:b w:val="0"/>
        </w:rPr>
        <w:t>Artikel 34.</w:t>
      </w:r>
      <w:r>
        <w:t xml:space="preserve"> (Wandisolierung zwischen ständig und nicht ständig genutzten Räumen)</w:t>
      </w:r>
    </w:p>
    <w:p w14:paraId="26523E5C" w14:textId="515A2258" w:rsidR="00240FC6" w:rsidRPr="00E601CA" w:rsidRDefault="00240FC6" w:rsidP="00240FC6">
      <w:r>
        <w:t xml:space="preserve">Die Wände, die ständig genutzte Gebäudeteile von nicht ständig genutzten Gebäudeteilen abtrennen, müssen einen Wärmedurchgangskoeffizienten U – wie in dem Berechnungsverfahren gemäß </w:t>
      </w:r>
      <w:r>
        <w:lastRenderedPageBreak/>
        <w:t>Artikel 17 festgelegt – von durchschnittlich maximal 0,36 W/(m²K) aufweisen. Die hier berücksichtigte Fläche ist die Fläche der oben genannten Wände.</w:t>
      </w:r>
    </w:p>
    <w:p w14:paraId="3A30875F" w14:textId="64B8795E" w:rsidR="00032417" w:rsidRPr="00E601CA" w:rsidRDefault="00675A9E" w:rsidP="00951EDB">
      <w:pPr>
        <w:pStyle w:val="Heading3"/>
        <w:keepNext/>
        <w:numPr>
          <w:ilvl w:val="0"/>
          <w:numId w:val="0"/>
        </w:numPr>
        <w:ind w:left="270" w:firstLine="14"/>
      </w:pPr>
      <w:r>
        <w:rPr>
          <w:b w:val="0"/>
        </w:rPr>
        <w:t>Artikel 34.</w:t>
      </w:r>
      <w:r>
        <w:t xml:space="preserve"> </w:t>
      </w:r>
      <w:bookmarkStart w:id="48" w:name="_Ref57726502"/>
      <w:r>
        <w:t>(Wärmebrücken)</w:t>
      </w:r>
      <w:bookmarkEnd w:id="48"/>
      <w:r>
        <w:t xml:space="preserve"> </w:t>
      </w:r>
    </w:p>
    <w:p w14:paraId="2E6EB67E" w14:textId="3F206AFA" w:rsidR="0032499B" w:rsidRPr="00E601CA" w:rsidRDefault="00F77068" w:rsidP="00E8319A">
      <w:pPr>
        <w:pStyle w:val="ListParagraph"/>
        <w:numPr>
          <w:ilvl w:val="0"/>
          <w:numId w:val="9"/>
        </w:numPr>
      </w:pPr>
      <w:r>
        <w:t xml:space="preserve">Die Gebäude sind so zu entwerfen und zu errichten, dass unter normalen Nutzungsbedingungen jede Situation vermieden wird, die zu einem punktuellen oder verbreiteten Auftreten von Kondenswasser an der Oberfläche oder innerhalb der Wände führen kann, es sei denn, dieses bildet sich nur vorübergehend. Die Kondenswasserbildung gilt als vorübergehend, wenn sie keine Gefahr eines physikalischen oder mikrobiologischen Abbaus der Materialien, wie z. B. die Schrumpfung eines Dämmstoffs oder die Bildung von Schimmel, nach sich zieht. </w:t>
      </w:r>
    </w:p>
    <w:p w14:paraId="6C58D0F1" w14:textId="3BA37593" w:rsidR="00267AB3" w:rsidRPr="00E601CA" w:rsidRDefault="00267AB3" w:rsidP="00E8319A">
      <w:pPr>
        <w:pStyle w:val="ListParagraph"/>
        <w:numPr>
          <w:ilvl w:val="0"/>
          <w:numId w:val="9"/>
        </w:numPr>
      </w:pPr>
      <w:r>
        <w:t>Bei Gebäuden, die unter winterlichen Bedingungen eine Oberflächentemperatur an der inneren Mauerfläche und entlang der inneren Fläche der Isolierung von unter 15 °C an jedem Punkt dieser Flächen aufweisen, wird angenommen, dass sie die Anforderung der Ziffer I erfüllen.</w:t>
      </w:r>
    </w:p>
    <w:p w14:paraId="77E6C9BD" w14:textId="48E16D86" w:rsidR="00F77068" w:rsidRPr="00E601CA" w:rsidRDefault="00324401" w:rsidP="007C4597">
      <w:pPr>
        <w:pStyle w:val="ListParagraph"/>
        <w:keepNext/>
        <w:numPr>
          <w:ilvl w:val="0"/>
          <w:numId w:val="9"/>
        </w:numPr>
      </w:pPr>
      <w:r>
        <w:t>Als technische Lösung wird bei Gebäuden, die gleichzeitig die folgenden Anforderungen erfüllen, davon ausgegangen, dass sie die Anforderung der Ziffer I erfüllen:</w:t>
      </w:r>
    </w:p>
    <w:p w14:paraId="53457061" w14:textId="1C0DFBB4" w:rsidR="00240FC6" w:rsidRPr="00E601CA" w:rsidRDefault="00240FC6" w:rsidP="007F40E5">
      <w:pPr>
        <w:pStyle w:val="ListParagraph"/>
        <w:numPr>
          <w:ilvl w:val="1"/>
          <w:numId w:val="1"/>
        </w:numPr>
      </w:pPr>
      <w:r>
        <w:t>Der allgemeine mittlere längenbezogene Wärmedurchgangskoeffizient ψ der Wärmebrücken des Gebäudes beträgt maximal 0,33 W/(m² Sref K).</w:t>
      </w:r>
    </w:p>
    <w:p w14:paraId="52B42AD8" w14:textId="09E458A6" w:rsidR="00240FC6" w:rsidRPr="00E601CA" w:rsidRDefault="00240FC6" w:rsidP="005C1BB6">
      <w:pPr>
        <w:pStyle w:val="ListParagraph"/>
        <w:numPr>
          <w:ilvl w:val="0"/>
          <w:numId w:val="0"/>
        </w:numPr>
        <w:ind w:left="1440"/>
      </w:pPr>
      <w:r>
        <w:t>Durch dieses Verhältnis werden die Wärmeverluste aller Wärmebrücken des Gebäudes in Bezug auf die Bezugsfläche des Gebäudes dargestellt. Es wird nach dem Berechnungsverfahren gemäß Artikel 17 ermittelt.</w:t>
      </w:r>
    </w:p>
    <w:p w14:paraId="70870A1D" w14:textId="30FB1EF5" w:rsidR="00EF6F19" w:rsidRPr="00E601CA" w:rsidRDefault="00045B74" w:rsidP="007F40E5">
      <w:pPr>
        <w:pStyle w:val="ListParagraph"/>
        <w:numPr>
          <w:ilvl w:val="1"/>
          <w:numId w:val="1"/>
        </w:numPr>
      </w:pPr>
      <w:r>
        <w:t>Der mittlere längenbezogene Wärmedurchgangskoeffizient der Verbindungen zwischen Zwischendecken und Außenwänden oder Wänden mit Anbindung an einen nicht beheizten Raum (Ψ 9) beträgt maximal 0,6 W/(lfm K).</w:t>
      </w:r>
    </w:p>
    <w:p w14:paraId="0F7D6CCE" w14:textId="5479AA42" w:rsidR="00032417" w:rsidRPr="00E601CA" w:rsidRDefault="00265D3D" w:rsidP="007C4597">
      <w:pPr>
        <w:pStyle w:val="Heading2"/>
        <w:keepNext/>
        <w:numPr>
          <w:ilvl w:val="0"/>
          <w:numId w:val="0"/>
        </w:numPr>
        <w:ind w:left="720" w:hanging="3"/>
      </w:pPr>
      <w:r>
        <w:t>KAPITEL XI.</w:t>
      </w:r>
      <w:r>
        <w:tab/>
        <w:t>ZUGANG ZU NATÜRLICHER BELEUCHTUNG</w:t>
      </w:r>
    </w:p>
    <w:p w14:paraId="448661CC" w14:textId="0259678F" w:rsidR="00032417" w:rsidRPr="00E601CA" w:rsidRDefault="00675A9E" w:rsidP="00951EDB">
      <w:pPr>
        <w:pStyle w:val="Heading3"/>
        <w:keepNext/>
        <w:numPr>
          <w:ilvl w:val="0"/>
          <w:numId w:val="0"/>
        </w:numPr>
        <w:ind w:left="270" w:firstLine="14"/>
      </w:pPr>
      <w:r>
        <w:rPr>
          <w:b w:val="0"/>
        </w:rPr>
        <w:t>Artikel 35.</w:t>
      </w:r>
      <w:r>
        <w:t xml:space="preserve"> (1/6 Glaswände in Einfamilienhäusern/Mehrfamilienhäusern)</w:t>
      </w:r>
    </w:p>
    <w:p w14:paraId="71944787" w14:textId="45C725F4" w:rsidR="00912046" w:rsidRPr="00E601CA" w:rsidRDefault="00912046" w:rsidP="007F40E5">
      <w:r>
        <w:t xml:space="preserve">Um eine ausreichende natürliche Beleuchtung und Sicht nach außen zu bieten, müssen zu Wohnzwecken genutzte Gebäude eine der unter den Ziffern I oder II des vorliegenden Artikels aufgeführten Anforderungen erfüllen. </w:t>
      </w:r>
    </w:p>
    <w:p w14:paraId="4269FEA1" w14:textId="6F32AF55" w:rsidR="00912046" w:rsidRPr="00E601CA" w:rsidRDefault="00912046" w:rsidP="007C4597">
      <w:pPr>
        <w:pStyle w:val="ListParagraph"/>
        <w:keepNext/>
        <w:numPr>
          <w:ilvl w:val="0"/>
          <w:numId w:val="30"/>
        </w:numPr>
        <w:ind w:left="697" w:hanging="340"/>
      </w:pPr>
      <w:r>
        <w:t>Jede Wohnung weist alle nachfolgenden Eigenschaften auf:</w:t>
      </w:r>
    </w:p>
    <w:p w14:paraId="5A743E6E" w14:textId="3512C35F" w:rsidR="00912046" w:rsidRPr="00E601CA" w:rsidRDefault="00912046" w:rsidP="007F40E5">
      <w:pPr>
        <w:pStyle w:val="ListParagraph"/>
        <w:numPr>
          <w:ilvl w:val="1"/>
          <w:numId w:val="1"/>
        </w:numPr>
      </w:pPr>
      <w:r>
        <w:t>Beleuchtungsstärke von mindestens 300 lx auf 50 % der Fläche der Wohnräume, in mehr als der Hälfte der Tageslichtstunden des Jahres,</w:t>
      </w:r>
    </w:p>
    <w:p w14:paraId="75D9F296" w14:textId="3EDEEEF9" w:rsidR="00912046" w:rsidRPr="00E601CA" w:rsidRDefault="00912046" w:rsidP="007F40E5">
      <w:pPr>
        <w:pStyle w:val="ListParagraph"/>
        <w:numPr>
          <w:ilvl w:val="1"/>
          <w:numId w:val="1"/>
        </w:numPr>
      </w:pPr>
      <w:r>
        <w:t>Beleuchtungsstärke von mindestens 100 lx auf 95 % der Fläche der Wohnräume, in mehr als der Hälfte der Tageslichtstunden des Jahres, </w:t>
      </w:r>
    </w:p>
    <w:p w14:paraId="6B2DFA1B" w14:textId="710AA6E2" w:rsidR="00912046" w:rsidRPr="00E601CA" w:rsidRDefault="00912046" w:rsidP="007F40E5">
      <w:pPr>
        <w:pStyle w:val="ListParagraph"/>
        <w:numPr>
          <w:ilvl w:val="1"/>
          <w:numId w:val="1"/>
        </w:numPr>
      </w:pPr>
      <w:r>
        <w:t>in mindestens einem Wohnraum haben die Bewohner in einem Abstand von mindestens 1 m von der Außenwand eine Sicht nach außen, bei der sowohl der Himmel als auch der Horizont zu sehen sind.</w:t>
      </w:r>
    </w:p>
    <w:p w14:paraId="6A45A093" w14:textId="3A5A45C4" w:rsidR="007F40E5" w:rsidRPr="00E601CA" w:rsidRDefault="007F40E5" w:rsidP="00E8319A">
      <w:pPr>
        <w:pStyle w:val="ListParagraph"/>
        <w:numPr>
          <w:ilvl w:val="0"/>
          <w:numId w:val="30"/>
        </w:numPr>
      </w:pPr>
      <w:r>
        <w:lastRenderedPageBreak/>
        <w:t>Die Gesamtfläche der Maueröffnungen, gemessen an der Laibung, beträgt mindestens ein Sechstel der Bezugsfläche.</w:t>
      </w:r>
    </w:p>
    <w:p w14:paraId="14970D75" w14:textId="4F3AD805" w:rsidR="007F40E5" w:rsidRPr="00E601CA" w:rsidRDefault="007F40E5" w:rsidP="007C6C0F">
      <w:pPr>
        <w:ind w:left="1080"/>
      </w:pPr>
      <w:r>
        <w:t>Beträgt die vorhandene Fassadenfläche des Gebäudes weniger als die Hälfte der Wohnfläche des Gebäudes oder beträgt die durchschnittliche Wohnfläche der Wohnungen in dem Gebäude weniger als 25 m², kann das Gebäude anstelle der vorgenannten Anforderungen eine Gesamtfläche der Maueröffnungen, gemessen an der Laibung, aufweisen, die mindestens einem Drittel der vorhandenen Fassadenfläche entspricht.</w:t>
      </w:r>
    </w:p>
    <w:p w14:paraId="1D31D860" w14:textId="5305FA84" w:rsidR="007F40E5" w:rsidRPr="00E601CA" w:rsidRDefault="007F40E5" w:rsidP="007F40E5">
      <w:pPr>
        <w:ind w:left="360"/>
      </w:pPr>
      <w:r>
        <w:t>Der vorliegende Artikel findet keine Anwendung, wenn seine Einhaltung gegen die Genehmigungspflicht in unter besonderem Schutz stehenden Bereichen, in Zonen zum Schutz des architektonischen, städtebaulichen und landschaftlichen Erbes oder Bereichen zur Förderung der Architektur und des kulturellen Erbes, in der Nähe von Denkmälern, eingetragenen und klassifizierten Stätten des Welterbes und der UNESCO-Liste der Weltkulturgüter oder jedes anderen von den Gebietskörperschaften eingerichteten Schutzgebietes verstößt, sowie für Standorte und Bereiche, die in Artikel L. 123-1-5 Ziffer III Nummer 2 der Städtebauordnung aufgeführt sind.</w:t>
      </w:r>
    </w:p>
    <w:p w14:paraId="5023B492" w14:textId="4859DD7C" w:rsidR="00032417" w:rsidRPr="00E601CA" w:rsidRDefault="00265D3D" w:rsidP="007C4597">
      <w:pPr>
        <w:pStyle w:val="Heading2"/>
        <w:keepNext/>
        <w:numPr>
          <w:ilvl w:val="0"/>
          <w:numId w:val="0"/>
        </w:numPr>
        <w:ind w:left="720" w:hanging="3"/>
      </w:pPr>
      <w:r>
        <w:t>KAPITEL XII.</w:t>
      </w:r>
      <w:r>
        <w:tab/>
        <w:t>SOMMERLICHE BEHAGLICHKEIT</w:t>
      </w:r>
    </w:p>
    <w:p w14:paraId="30D47EE3" w14:textId="50E70ED8" w:rsidR="00032417" w:rsidRPr="00E601CA" w:rsidRDefault="00675A9E" w:rsidP="007C4597">
      <w:pPr>
        <w:pStyle w:val="Heading3"/>
        <w:keepNext/>
        <w:numPr>
          <w:ilvl w:val="0"/>
          <w:numId w:val="0"/>
        </w:numPr>
        <w:ind w:left="270" w:firstLine="14"/>
      </w:pPr>
      <w:r>
        <w:rPr>
          <w:b w:val="0"/>
        </w:rPr>
        <w:t>Artikel 36.</w:t>
      </w:r>
      <w:r>
        <w:t xml:space="preserve"> (Sonnenschutz)</w:t>
      </w:r>
    </w:p>
    <w:p w14:paraId="5A6DBA47" w14:textId="4A2EB6C8" w:rsidR="00E8319A" w:rsidRPr="00E601CA" w:rsidRDefault="00E8319A" w:rsidP="007C4597">
      <w:pPr>
        <w:keepNext/>
      </w:pPr>
      <w:r>
        <w:t>Die Maueröffnungen haben einen Sonnenschutzfaktor, der kleiner oder gleich dem in der nachstehenden Tabelle festgelegten Sonnenschutzfaktor ist:</w:t>
      </w:r>
    </w:p>
    <w:tbl>
      <w:tblPr>
        <w:tblStyle w:val="TableGrid"/>
        <w:tblW w:w="5000" w:type="pct"/>
        <w:tblLook w:val="04A0" w:firstRow="1" w:lastRow="0" w:firstColumn="1" w:lastColumn="0" w:noHBand="0" w:noVBand="1"/>
      </w:tblPr>
      <w:tblGrid>
        <w:gridCol w:w="2826"/>
        <w:gridCol w:w="1783"/>
        <w:gridCol w:w="2227"/>
        <w:gridCol w:w="2226"/>
      </w:tblGrid>
      <w:tr w:rsidR="00AA57C7" w:rsidRPr="00E601CA" w14:paraId="1D42EE27"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6C5D6CC1" w14:textId="5C26CFD0" w:rsidR="00AA57C7" w:rsidRPr="00E601CA" w:rsidRDefault="00AA57C7" w:rsidP="00AA57C7">
            <w:pPr>
              <w:spacing w:before="100" w:beforeAutospacing="1" w:after="100" w:afterAutospacing="1"/>
              <w:jc w:val="left"/>
              <w:rPr>
                <w:rFonts w:eastAsia="Times New Roman" w:cs="Times New Roman"/>
              </w:rPr>
            </w:pPr>
            <w:r>
              <w:t>Zonen H2a</w:t>
            </w:r>
          </w:p>
        </w:tc>
        <w:tc>
          <w:tcPr>
            <w:tcW w:w="984" w:type="pct"/>
            <w:tcBorders>
              <w:top w:val="single" w:sz="4" w:space="0" w:color="auto"/>
              <w:left w:val="single" w:sz="4" w:space="0" w:color="auto"/>
              <w:bottom w:val="single" w:sz="4" w:space="0" w:color="auto"/>
              <w:right w:val="single" w:sz="4" w:space="0" w:color="auto"/>
            </w:tcBorders>
            <w:hideMark/>
          </w:tcPr>
          <w:p w14:paraId="57222505" w14:textId="77777777" w:rsidR="00AA57C7" w:rsidRPr="00E601CA" w:rsidRDefault="00AA57C7" w:rsidP="004E6D76">
            <w:pPr>
              <w:spacing w:before="100" w:beforeAutospacing="1" w:after="100" w:afterAutospacing="1"/>
              <w:jc w:val="center"/>
              <w:rPr>
                <w:rFonts w:eastAsia="Times New Roman" w:cs="Times New Roman"/>
              </w:rPr>
            </w:pPr>
            <w:r>
              <w:t>Alle Höhen</w:t>
            </w:r>
          </w:p>
        </w:tc>
        <w:tc>
          <w:tcPr>
            <w:tcW w:w="1229" w:type="pct"/>
            <w:tcBorders>
              <w:top w:val="single" w:sz="4" w:space="0" w:color="auto"/>
              <w:left w:val="single" w:sz="4" w:space="0" w:color="auto"/>
              <w:bottom w:val="single" w:sz="4" w:space="0" w:color="auto"/>
              <w:right w:val="single" w:sz="4" w:space="0" w:color="auto"/>
            </w:tcBorders>
            <w:hideMark/>
          </w:tcPr>
          <w:p w14:paraId="53F302DD" w14:textId="77777777" w:rsidR="00AA57C7" w:rsidRPr="00E601CA" w:rsidRDefault="00AA57C7" w:rsidP="004E6D76">
            <w:pPr>
              <w:rPr>
                <w:rFonts w:eastAsia="Times New Roman" w:cs="Times New Roman"/>
                <w:lang w:eastAsia="fr-FR" w:bidi="ar-SA"/>
              </w:rPr>
            </w:pPr>
          </w:p>
        </w:tc>
        <w:tc>
          <w:tcPr>
            <w:tcW w:w="1228" w:type="pct"/>
            <w:tcBorders>
              <w:top w:val="single" w:sz="4" w:space="0" w:color="auto"/>
              <w:left w:val="single" w:sz="4" w:space="0" w:color="auto"/>
              <w:bottom w:val="single" w:sz="4" w:space="0" w:color="auto"/>
              <w:right w:val="single" w:sz="4" w:space="0" w:color="auto"/>
            </w:tcBorders>
            <w:hideMark/>
          </w:tcPr>
          <w:p w14:paraId="2CC1AE28" w14:textId="77777777" w:rsidR="00AA57C7" w:rsidRPr="00E601CA" w:rsidRDefault="00AA57C7" w:rsidP="004E6D76">
            <w:pPr>
              <w:jc w:val="left"/>
              <w:rPr>
                <w:sz w:val="20"/>
                <w:szCs w:val="20"/>
                <w:lang w:eastAsia="fr-FR" w:bidi="ar-SA"/>
              </w:rPr>
            </w:pPr>
          </w:p>
        </w:tc>
      </w:tr>
      <w:tr w:rsidR="00AA57C7" w:rsidRPr="00E601CA" w14:paraId="7ACBA52E"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2BB71BCC" w14:textId="123EDA40" w:rsidR="00AA57C7" w:rsidRPr="00E601CA" w:rsidRDefault="00AA57C7" w:rsidP="004E6D76">
            <w:pPr>
              <w:spacing w:before="100" w:beforeAutospacing="1" w:after="100" w:afterAutospacing="1"/>
              <w:jc w:val="left"/>
              <w:rPr>
                <w:rFonts w:eastAsia="Times New Roman" w:cs="Times New Roman"/>
              </w:rPr>
            </w:pPr>
            <w:r>
              <w:t>Zonen H1b und H2b</w:t>
            </w:r>
          </w:p>
        </w:tc>
        <w:tc>
          <w:tcPr>
            <w:tcW w:w="984" w:type="pct"/>
            <w:tcBorders>
              <w:top w:val="single" w:sz="4" w:space="0" w:color="auto"/>
              <w:left w:val="single" w:sz="4" w:space="0" w:color="auto"/>
              <w:bottom w:val="single" w:sz="4" w:space="0" w:color="auto"/>
              <w:right w:val="single" w:sz="4" w:space="0" w:color="auto"/>
            </w:tcBorders>
            <w:hideMark/>
          </w:tcPr>
          <w:p w14:paraId="2AB21B7B" w14:textId="77777777" w:rsidR="00AA57C7" w:rsidRPr="00E601CA" w:rsidRDefault="00AA57C7" w:rsidP="004E6D76">
            <w:pPr>
              <w:spacing w:before="100" w:beforeAutospacing="1" w:after="100" w:afterAutospacing="1"/>
              <w:jc w:val="center"/>
              <w:rPr>
                <w:rFonts w:eastAsia="Times New Roman" w:cs="Times New Roman"/>
              </w:rPr>
            </w:pPr>
            <w:r>
              <w:t>Höhe &gt; 400 m</w:t>
            </w:r>
          </w:p>
        </w:tc>
        <w:tc>
          <w:tcPr>
            <w:tcW w:w="1229" w:type="pct"/>
            <w:tcBorders>
              <w:top w:val="single" w:sz="4" w:space="0" w:color="auto"/>
              <w:left w:val="single" w:sz="4" w:space="0" w:color="auto"/>
              <w:bottom w:val="single" w:sz="4" w:space="0" w:color="auto"/>
              <w:right w:val="single" w:sz="4" w:space="0" w:color="auto"/>
            </w:tcBorders>
            <w:hideMark/>
          </w:tcPr>
          <w:p w14:paraId="0DD50445" w14:textId="77777777" w:rsidR="00AA57C7" w:rsidRPr="00E601CA" w:rsidRDefault="00AA57C7" w:rsidP="004E6D76">
            <w:pPr>
              <w:spacing w:before="100" w:beforeAutospacing="1" w:after="100" w:afterAutospacing="1"/>
              <w:jc w:val="center"/>
              <w:rPr>
                <w:rFonts w:eastAsia="Times New Roman" w:cs="Times New Roman"/>
              </w:rPr>
            </w:pPr>
            <w:r>
              <w:t>Höhe &lt; oder = 400 m</w:t>
            </w:r>
          </w:p>
        </w:tc>
        <w:tc>
          <w:tcPr>
            <w:tcW w:w="1228" w:type="pct"/>
            <w:tcBorders>
              <w:top w:val="single" w:sz="4" w:space="0" w:color="auto"/>
              <w:left w:val="single" w:sz="4" w:space="0" w:color="auto"/>
              <w:bottom w:val="single" w:sz="4" w:space="0" w:color="auto"/>
              <w:right w:val="single" w:sz="4" w:space="0" w:color="auto"/>
            </w:tcBorders>
            <w:hideMark/>
          </w:tcPr>
          <w:p w14:paraId="40118297" w14:textId="77777777" w:rsidR="00AA57C7" w:rsidRPr="00E601CA" w:rsidRDefault="00AA57C7" w:rsidP="004E6D76">
            <w:pPr>
              <w:rPr>
                <w:rFonts w:eastAsia="Times New Roman" w:cs="Times New Roman"/>
                <w:lang w:eastAsia="fr-FR" w:bidi="ar-SA"/>
              </w:rPr>
            </w:pPr>
          </w:p>
        </w:tc>
      </w:tr>
      <w:tr w:rsidR="00AA57C7" w:rsidRPr="00E601CA" w14:paraId="0E839668"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718CDD1B" w14:textId="77777777" w:rsidR="00AA57C7" w:rsidRPr="00E601CA" w:rsidRDefault="00AA57C7" w:rsidP="004E6D76">
            <w:pPr>
              <w:spacing w:before="100" w:beforeAutospacing="1" w:after="100" w:afterAutospacing="1"/>
              <w:jc w:val="left"/>
              <w:rPr>
                <w:rFonts w:eastAsia="Times New Roman" w:cs="Times New Roman"/>
              </w:rPr>
            </w:pPr>
            <w:r>
              <w:t>Zonen H1c und H2c</w:t>
            </w:r>
          </w:p>
        </w:tc>
        <w:tc>
          <w:tcPr>
            <w:tcW w:w="984" w:type="pct"/>
            <w:tcBorders>
              <w:top w:val="single" w:sz="4" w:space="0" w:color="auto"/>
              <w:left w:val="single" w:sz="4" w:space="0" w:color="auto"/>
              <w:bottom w:val="single" w:sz="4" w:space="0" w:color="auto"/>
              <w:right w:val="single" w:sz="4" w:space="0" w:color="auto"/>
            </w:tcBorders>
            <w:hideMark/>
          </w:tcPr>
          <w:p w14:paraId="440B3757" w14:textId="77777777" w:rsidR="00AA57C7" w:rsidRPr="00E601CA" w:rsidRDefault="00AA57C7" w:rsidP="004E6D76">
            <w:pPr>
              <w:spacing w:before="100" w:beforeAutospacing="1" w:after="100" w:afterAutospacing="1"/>
              <w:jc w:val="center"/>
              <w:rPr>
                <w:rFonts w:eastAsia="Times New Roman" w:cs="Times New Roman"/>
              </w:rPr>
            </w:pPr>
            <w:r>
              <w:t>Höhe &gt; 800 m</w:t>
            </w:r>
          </w:p>
        </w:tc>
        <w:tc>
          <w:tcPr>
            <w:tcW w:w="1229" w:type="pct"/>
            <w:tcBorders>
              <w:top w:val="single" w:sz="4" w:space="0" w:color="auto"/>
              <w:left w:val="single" w:sz="4" w:space="0" w:color="auto"/>
              <w:bottom w:val="single" w:sz="4" w:space="0" w:color="auto"/>
              <w:right w:val="single" w:sz="4" w:space="0" w:color="auto"/>
            </w:tcBorders>
            <w:hideMark/>
          </w:tcPr>
          <w:p w14:paraId="7D56D90C" w14:textId="77777777" w:rsidR="00AA57C7" w:rsidRPr="00E601CA" w:rsidRDefault="00AA57C7" w:rsidP="004E6D76">
            <w:pPr>
              <w:spacing w:before="100" w:beforeAutospacing="1" w:after="100" w:afterAutospacing="1"/>
              <w:jc w:val="center"/>
              <w:rPr>
                <w:rFonts w:eastAsia="Times New Roman" w:cs="Times New Roman"/>
              </w:rPr>
            </w:pPr>
            <w:r>
              <w:t>Höhe &lt; oder = 800 m</w:t>
            </w:r>
          </w:p>
        </w:tc>
        <w:tc>
          <w:tcPr>
            <w:tcW w:w="1228" w:type="pct"/>
            <w:tcBorders>
              <w:top w:val="single" w:sz="4" w:space="0" w:color="auto"/>
              <w:left w:val="single" w:sz="4" w:space="0" w:color="auto"/>
              <w:bottom w:val="single" w:sz="4" w:space="0" w:color="auto"/>
              <w:right w:val="single" w:sz="4" w:space="0" w:color="auto"/>
            </w:tcBorders>
            <w:hideMark/>
          </w:tcPr>
          <w:p w14:paraId="07D19667" w14:textId="77777777" w:rsidR="00AA57C7" w:rsidRPr="00E601CA" w:rsidRDefault="00AA57C7" w:rsidP="004E6D76">
            <w:pPr>
              <w:rPr>
                <w:rFonts w:eastAsia="Times New Roman" w:cs="Times New Roman"/>
                <w:lang w:eastAsia="fr-FR" w:bidi="ar-SA"/>
              </w:rPr>
            </w:pPr>
          </w:p>
        </w:tc>
      </w:tr>
      <w:tr w:rsidR="00AA57C7" w:rsidRPr="00E601CA" w14:paraId="60197E2E"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692DD4F7" w14:textId="77777777" w:rsidR="00AA57C7" w:rsidRPr="00E601CA" w:rsidRDefault="00AA57C7" w:rsidP="004E6D76">
            <w:pPr>
              <w:spacing w:before="100" w:beforeAutospacing="1" w:after="100" w:afterAutospacing="1"/>
              <w:jc w:val="left"/>
              <w:rPr>
                <w:rFonts w:eastAsia="Times New Roman" w:cs="Times New Roman"/>
              </w:rPr>
            </w:pPr>
            <w:r>
              <w:t>Zonen H2d und H3</w:t>
            </w:r>
          </w:p>
        </w:tc>
        <w:tc>
          <w:tcPr>
            <w:tcW w:w="984" w:type="pct"/>
            <w:tcBorders>
              <w:top w:val="single" w:sz="4" w:space="0" w:color="auto"/>
              <w:left w:val="single" w:sz="4" w:space="0" w:color="auto"/>
              <w:bottom w:val="single" w:sz="4" w:space="0" w:color="auto"/>
              <w:right w:val="single" w:sz="4" w:space="0" w:color="auto"/>
            </w:tcBorders>
            <w:hideMark/>
          </w:tcPr>
          <w:p w14:paraId="1E5008FC" w14:textId="77777777" w:rsidR="00AA57C7" w:rsidRPr="00E601CA" w:rsidRDefault="00AA57C7" w:rsidP="004E6D76">
            <w:pPr>
              <w:rPr>
                <w:rFonts w:eastAsia="Times New Roman" w:cs="Times New Roman"/>
                <w:lang w:eastAsia="fr-FR" w:bidi="ar-SA"/>
              </w:rPr>
            </w:pPr>
          </w:p>
        </w:tc>
        <w:tc>
          <w:tcPr>
            <w:tcW w:w="1229" w:type="pct"/>
            <w:tcBorders>
              <w:top w:val="single" w:sz="4" w:space="0" w:color="auto"/>
              <w:left w:val="single" w:sz="4" w:space="0" w:color="auto"/>
              <w:bottom w:val="single" w:sz="4" w:space="0" w:color="auto"/>
              <w:right w:val="single" w:sz="4" w:space="0" w:color="auto"/>
            </w:tcBorders>
            <w:hideMark/>
          </w:tcPr>
          <w:p w14:paraId="7F756BAF" w14:textId="77777777" w:rsidR="00AA57C7" w:rsidRPr="00E601CA" w:rsidRDefault="00AA57C7" w:rsidP="004E6D76">
            <w:pPr>
              <w:spacing w:before="100" w:beforeAutospacing="1" w:after="100" w:afterAutospacing="1"/>
              <w:jc w:val="center"/>
              <w:rPr>
                <w:rFonts w:eastAsia="Times New Roman" w:cs="Times New Roman"/>
              </w:rPr>
            </w:pPr>
            <w:r>
              <w:t>Höhe &gt; 400 m</w:t>
            </w:r>
          </w:p>
        </w:tc>
        <w:tc>
          <w:tcPr>
            <w:tcW w:w="1228" w:type="pct"/>
            <w:tcBorders>
              <w:top w:val="single" w:sz="4" w:space="0" w:color="auto"/>
              <w:left w:val="single" w:sz="4" w:space="0" w:color="auto"/>
              <w:bottom w:val="single" w:sz="4" w:space="0" w:color="auto"/>
              <w:right w:val="single" w:sz="4" w:space="0" w:color="auto"/>
            </w:tcBorders>
            <w:hideMark/>
          </w:tcPr>
          <w:p w14:paraId="56B104FF" w14:textId="77777777" w:rsidR="00AA57C7" w:rsidRPr="00E601CA" w:rsidRDefault="00AA57C7" w:rsidP="004E6D76">
            <w:pPr>
              <w:spacing w:before="100" w:beforeAutospacing="1" w:after="100" w:afterAutospacing="1"/>
              <w:jc w:val="center"/>
              <w:rPr>
                <w:rFonts w:eastAsia="Times New Roman" w:cs="Times New Roman"/>
              </w:rPr>
            </w:pPr>
            <w:r>
              <w:t>Höhe &lt; oder = 400 m</w:t>
            </w:r>
          </w:p>
        </w:tc>
      </w:tr>
      <w:tr w:rsidR="00AA57C7" w:rsidRPr="00E601CA" w14:paraId="2A96E3D9" w14:textId="77777777" w:rsidTr="004E6D76">
        <w:tc>
          <w:tcPr>
            <w:tcW w:w="5000" w:type="pct"/>
            <w:gridSpan w:val="4"/>
            <w:tcBorders>
              <w:top w:val="single" w:sz="4" w:space="0" w:color="auto"/>
              <w:left w:val="single" w:sz="4" w:space="0" w:color="auto"/>
              <w:bottom w:val="single" w:sz="4" w:space="0" w:color="auto"/>
              <w:right w:val="single" w:sz="4" w:space="0" w:color="auto"/>
            </w:tcBorders>
            <w:hideMark/>
          </w:tcPr>
          <w:p w14:paraId="4D0A98DB" w14:textId="61D3592E" w:rsidR="00AA57C7" w:rsidRPr="00E601CA" w:rsidRDefault="00AA57C7" w:rsidP="007C4597">
            <w:pPr>
              <w:keepNext/>
              <w:spacing w:before="100" w:beforeAutospacing="1" w:after="100" w:afterAutospacing="1"/>
              <w:jc w:val="center"/>
              <w:rPr>
                <w:rFonts w:eastAsia="Times New Roman" w:cs="Times New Roman"/>
              </w:rPr>
            </w:pPr>
            <w:r>
              <w:t xml:space="preserve">1. Maueröffnungen mit Lärmexposition BR1 – Schlafräume </w:t>
            </w:r>
          </w:p>
        </w:tc>
      </w:tr>
      <w:tr w:rsidR="00AA57C7" w:rsidRPr="00E601CA" w14:paraId="300B5DC4"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79AFD0F3" w14:textId="77777777" w:rsidR="00AA57C7" w:rsidRPr="00E601CA" w:rsidRDefault="00AA57C7" w:rsidP="004E6D76">
            <w:pPr>
              <w:spacing w:before="100" w:beforeAutospacing="1" w:after="100" w:afterAutospacing="1"/>
              <w:jc w:val="left"/>
              <w:rPr>
                <w:rFonts w:eastAsia="Times New Roman" w:cs="Times New Roman"/>
              </w:rPr>
            </w:pPr>
            <w:r>
              <w:t>Senkrechte Maueröffnung nach Norden</w:t>
            </w:r>
          </w:p>
        </w:tc>
        <w:tc>
          <w:tcPr>
            <w:tcW w:w="984" w:type="pct"/>
            <w:tcBorders>
              <w:top w:val="single" w:sz="4" w:space="0" w:color="auto"/>
              <w:left w:val="single" w:sz="4" w:space="0" w:color="auto"/>
              <w:bottom w:val="single" w:sz="4" w:space="0" w:color="auto"/>
              <w:right w:val="single" w:sz="4" w:space="0" w:color="auto"/>
            </w:tcBorders>
            <w:hideMark/>
          </w:tcPr>
          <w:p w14:paraId="68EFE14D"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0,65</w:t>
            </w:r>
          </w:p>
        </w:tc>
        <w:tc>
          <w:tcPr>
            <w:tcW w:w="1229" w:type="pct"/>
            <w:tcBorders>
              <w:top w:val="single" w:sz="4" w:space="0" w:color="auto"/>
              <w:left w:val="single" w:sz="4" w:space="0" w:color="auto"/>
              <w:bottom w:val="single" w:sz="4" w:space="0" w:color="auto"/>
              <w:right w:val="single" w:sz="4" w:space="0" w:color="auto"/>
            </w:tcBorders>
            <w:hideMark/>
          </w:tcPr>
          <w:p w14:paraId="55A33DE2"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0,45</w:t>
            </w:r>
          </w:p>
        </w:tc>
        <w:tc>
          <w:tcPr>
            <w:tcW w:w="1228" w:type="pct"/>
            <w:tcBorders>
              <w:top w:val="single" w:sz="4" w:space="0" w:color="auto"/>
              <w:left w:val="single" w:sz="4" w:space="0" w:color="auto"/>
              <w:bottom w:val="single" w:sz="4" w:space="0" w:color="auto"/>
              <w:right w:val="single" w:sz="4" w:space="0" w:color="auto"/>
            </w:tcBorders>
            <w:hideMark/>
          </w:tcPr>
          <w:p w14:paraId="7289EB0E"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0,25</w:t>
            </w:r>
          </w:p>
        </w:tc>
      </w:tr>
      <w:tr w:rsidR="00AA57C7" w:rsidRPr="00E601CA" w14:paraId="39D4FC01"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3F18EE69" w14:textId="77777777" w:rsidR="00AA57C7" w:rsidRPr="00E601CA" w:rsidRDefault="00AA57C7" w:rsidP="004E6D76">
            <w:pPr>
              <w:spacing w:before="100" w:beforeAutospacing="1" w:after="100" w:afterAutospacing="1"/>
              <w:jc w:val="left"/>
              <w:rPr>
                <w:rFonts w:eastAsia="Times New Roman" w:cs="Times New Roman"/>
              </w:rPr>
            </w:pPr>
            <w:r>
              <w:t>Senkrechte Maueröffnung nicht nach Norden</w:t>
            </w:r>
          </w:p>
        </w:tc>
        <w:tc>
          <w:tcPr>
            <w:tcW w:w="984" w:type="pct"/>
            <w:tcBorders>
              <w:top w:val="single" w:sz="4" w:space="0" w:color="auto"/>
              <w:left w:val="single" w:sz="4" w:space="0" w:color="auto"/>
              <w:bottom w:val="single" w:sz="4" w:space="0" w:color="auto"/>
              <w:right w:val="single" w:sz="4" w:space="0" w:color="auto"/>
            </w:tcBorders>
            <w:hideMark/>
          </w:tcPr>
          <w:p w14:paraId="3A7F138D"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0,45</w:t>
            </w:r>
          </w:p>
        </w:tc>
        <w:tc>
          <w:tcPr>
            <w:tcW w:w="1229" w:type="pct"/>
            <w:tcBorders>
              <w:top w:val="single" w:sz="4" w:space="0" w:color="auto"/>
              <w:left w:val="single" w:sz="4" w:space="0" w:color="auto"/>
              <w:bottom w:val="single" w:sz="4" w:space="0" w:color="auto"/>
              <w:right w:val="single" w:sz="4" w:space="0" w:color="auto"/>
            </w:tcBorders>
            <w:hideMark/>
          </w:tcPr>
          <w:p w14:paraId="381DE728"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0,25</w:t>
            </w:r>
          </w:p>
        </w:tc>
        <w:tc>
          <w:tcPr>
            <w:tcW w:w="1228" w:type="pct"/>
            <w:tcBorders>
              <w:top w:val="single" w:sz="4" w:space="0" w:color="auto"/>
              <w:left w:val="single" w:sz="4" w:space="0" w:color="auto"/>
              <w:bottom w:val="single" w:sz="4" w:space="0" w:color="auto"/>
              <w:right w:val="single" w:sz="4" w:space="0" w:color="auto"/>
            </w:tcBorders>
            <w:hideMark/>
          </w:tcPr>
          <w:p w14:paraId="6E39C8B0"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0,15</w:t>
            </w:r>
          </w:p>
        </w:tc>
      </w:tr>
      <w:tr w:rsidR="00AA57C7" w:rsidRPr="00E601CA" w14:paraId="3BF16EDC"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3AD473C7" w14:textId="77777777" w:rsidR="00AA57C7" w:rsidRPr="00E601CA" w:rsidRDefault="00AA57C7" w:rsidP="004E6D76">
            <w:pPr>
              <w:spacing w:before="100" w:beforeAutospacing="1" w:after="100" w:afterAutospacing="1"/>
              <w:jc w:val="left"/>
              <w:rPr>
                <w:rFonts w:eastAsia="Times New Roman" w:cs="Times New Roman"/>
              </w:rPr>
            </w:pPr>
            <w:r>
              <w:t>Waagerechte Maueröffnung</w:t>
            </w:r>
          </w:p>
        </w:tc>
        <w:tc>
          <w:tcPr>
            <w:tcW w:w="984" w:type="pct"/>
            <w:tcBorders>
              <w:top w:val="single" w:sz="4" w:space="0" w:color="auto"/>
              <w:left w:val="single" w:sz="4" w:space="0" w:color="auto"/>
              <w:bottom w:val="single" w:sz="4" w:space="0" w:color="auto"/>
              <w:right w:val="single" w:sz="4" w:space="0" w:color="auto"/>
            </w:tcBorders>
            <w:hideMark/>
          </w:tcPr>
          <w:p w14:paraId="036A62BA"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0,25</w:t>
            </w:r>
          </w:p>
        </w:tc>
        <w:tc>
          <w:tcPr>
            <w:tcW w:w="1229" w:type="pct"/>
            <w:tcBorders>
              <w:top w:val="single" w:sz="4" w:space="0" w:color="auto"/>
              <w:left w:val="single" w:sz="4" w:space="0" w:color="auto"/>
              <w:bottom w:val="single" w:sz="4" w:space="0" w:color="auto"/>
              <w:right w:val="single" w:sz="4" w:space="0" w:color="auto"/>
            </w:tcBorders>
            <w:hideMark/>
          </w:tcPr>
          <w:p w14:paraId="235A2D59"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0,15</w:t>
            </w:r>
          </w:p>
        </w:tc>
        <w:tc>
          <w:tcPr>
            <w:tcW w:w="1228" w:type="pct"/>
            <w:tcBorders>
              <w:top w:val="single" w:sz="4" w:space="0" w:color="auto"/>
              <w:left w:val="single" w:sz="4" w:space="0" w:color="auto"/>
              <w:bottom w:val="single" w:sz="4" w:space="0" w:color="auto"/>
              <w:right w:val="single" w:sz="4" w:space="0" w:color="auto"/>
            </w:tcBorders>
            <w:hideMark/>
          </w:tcPr>
          <w:p w14:paraId="558A7683"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0,10</w:t>
            </w:r>
          </w:p>
        </w:tc>
      </w:tr>
      <w:tr w:rsidR="00AA57C7" w:rsidRPr="00E601CA" w14:paraId="271646F9" w14:textId="77777777" w:rsidTr="004E6D76">
        <w:tc>
          <w:tcPr>
            <w:tcW w:w="5000" w:type="pct"/>
            <w:gridSpan w:val="4"/>
            <w:tcBorders>
              <w:top w:val="single" w:sz="4" w:space="0" w:color="auto"/>
              <w:left w:val="single" w:sz="4" w:space="0" w:color="auto"/>
              <w:bottom w:val="single" w:sz="4" w:space="0" w:color="auto"/>
              <w:right w:val="single" w:sz="4" w:space="0" w:color="auto"/>
            </w:tcBorders>
            <w:hideMark/>
          </w:tcPr>
          <w:p w14:paraId="3836BDA5" w14:textId="04111760" w:rsidR="00AA57C7" w:rsidRPr="00E601CA" w:rsidRDefault="00AA57C7" w:rsidP="007C4597">
            <w:pPr>
              <w:keepNext/>
              <w:spacing w:before="100" w:beforeAutospacing="1" w:after="100" w:afterAutospacing="1"/>
              <w:jc w:val="center"/>
              <w:rPr>
                <w:rFonts w:eastAsia="Times New Roman" w:cs="Times New Roman"/>
                <w:color w:val="000000" w:themeColor="text1"/>
              </w:rPr>
            </w:pPr>
            <w:r>
              <w:rPr>
                <w:color w:val="000000" w:themeColor="text1"/>
              </w:rPr>
              <w:t xml:space="preserve">2. </w:t>
            </w:r>
            <w:r>
              <w:t>Maueröffnungen mit Lärmexposition</w:t>
            </w:r>
            <w:r>
              <w:rPr>
                <w:color w:val="000000" w:themeColor="text1"/>
              </w:rPr>
              <w:t xml:space="preserve"> BR2 oder BR3 – Schlafräume</w:t>
            </w:r>
          </w:p>
        </w:tc>
      </w:tr>
      <w:tr w:rsidR="00AA57C7" w:rsidRPr="00E601CA" w14:paraId="6FD8A56F"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1CAD84BE" w14:textId="77777777" w:rsidR="00AA57C7" w:rsidRPr="00E601CA" w:rsidRDefault="00AA57C7" w:rsidP="004E6D76">
            <w:pPr>
              <w:spacing w:before="100" w:beforeAutospacing="1" w:after="100" w:afterAutospacing="1"/>
              <w:jc w:val="left"/>
              <w:rPr>
                <w:rFonts w:eastAsia="Times New Roman" w:cs="Times New Roman"/>
              </w:rPr>
            </w:pPr>
            <w:r>
              <w:t>Senkrechte Maueröffnung nach Norden</w:t>
            </w:r>
          </w:p>
        </w:tc>
        <w:tc>
          <w:tcPr>
            <w:tcW w:w="984" w:type="pct"/>
            <w:tcBorders>
              <w:top w:val="single" w:sz="4" w:space="0" w:color="auto"/>
              <w:left w:val="single" w:sz="4" w:space="0" w:color="auto"/>
              <w:bottom w:val="single" w:sz="4" w:space="0" w:color="auto"/>
              <w:right w:val="single" w:sz="4" w:space="0" w:color="auto"/>
            </w:tcBorders>
            <w:hideMark/>
          </w:tcPr>
          <w:p w14:paraId="47CA2F09"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0,45</w:t>
            </w:r>
          </w:p>
        </w:tc>
        <w:tc>
          <w:tcPr>
            <w:tcW w:w="1229" w:type="pct"/>
            <w:tcBorders>
              <w:top w:val="single" w:sz="4" w:space="0" w:color="auto"/>
              <w:left w:val="single" w:sz="4" w:space="0" w:color="auto"/>
              <w:bottom w:val="single" w:sz="4" w:space="0" w:color="auto"/>
              <w:right w:val="single" w:sz="4" w:space="0" w:color="auto"/>
            </w:tcBorders>
            <w:hideMark/>
          </w:tcPr>
          <w:p w14:paraId="327B4715"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0,25</w:t>
            </w:r>
          </w:p>
        </w:tc>
        <w:tc>
          <w:tcPr>
            <w:tcW w:w="1228" w:type="pct"/>
            <w:tcBorders>
              <w:top w:val="single" w:sz="4" w:space="0" w:color="auto"/>
              <w:left w:val="single" w:sz="4" w:space="0" w:color="auto"/>
              <w:bottom w:val="single" w:sz="4" w:space="0" w:color="auto"/>
              <w:right w:val="single" w:sz="4" w:space="0" w:color="auto"/>
            </w:tcBorders>
            <w:hideMark/>
          </w:tcPr>
          <w:p w14:paraId="3E62D02A"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0,25</w:t>
            </w:r>
          </w:p>
        </w:tc>
      </w:tr>
      <w:tr w:rsidR="00AA57C7" w:rsidRPr="00E601CA" w14:paraId="65C7A9E7"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654F8CC8" w14:textId="77777777" w:rsidR="00AA57C7" w:rsidRPr="00E601CA" w:rsidRDefault="00AA57C7" w:rsidP="004E6D76">
            <w:pPr>
              <w:spacing w:before="100" w:beforeAutospacing="1" w:after="100" w:afterAutospacing="1"/>
              <w:jc w:val="left"/>
              <w:rPr>
                <w:rFonts w:eastAsia="Times New Roman" w:cs="Times New Roman"/>
              </w:rPr>
            </w:pPr>
            <w:r>
              <w:t>Senkrechte Maueröffnung nicht nach Norden</w:t>
            </w:r>
          </w:p>
        </w:tc>
        <w:tc>
          <w:tcPr>
            <w:tcW w:w="984" w:type="pct"/>
            <w:tcBorders>
              <w:top w:val="single" w:sz="4" w:space="0" w:color="auto"/>
              <w:left w:val="single" w:sz="4" w:space="0" w:color="auto"/>
              <w:bottom w:val="single" w:sz="4" w:space="0" w:color="auto"/>
              <w:right w:val="single" w:sz="4" w:space="0" w:color="auto"/>
            </w:tcBorders>
            <w:hideMark/>
          </w:tcPr>
          <w:p w14:paraId="37D8BF6E"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0,25</w:t>
            </w:r>
          </w:p>
        </w:tc>
        <w:tc>
          <w:tcPr>
            <w:tcW w:w="1229" w:type="pct"/>
            <w:tcBorders>
              <w:top w:val="single" w:sz="4" w:space="0" w:color="auto"/>
              <w:left w:val="single" w:sz="4" w:space="0" w:color="auto"/>
              <w:bottom w:val="single" w:sz="4" w:space="0" w:color="auto"/>
              <w:right w:val="single" w:sz="4" w:space="0" w:color="auto"/>
            </w:tcBorders>
            <w:hideMark/>
          </w:tcPr>
          <w:p w14:paraId="1134B296"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0,15</w:t>
            </w:r>
          </w:p>
        </w:tc>
        <w:tc>
          <w:tcPr>
            <w:tcW w:w="1228" w:type="pct"/>
            <w:tcBorders>
              <w:top w:val="single" w:sz="4" w:space="0" w:color="auto"/>
              <w:left w:val="single" w:sz="4" w:space="0" w:color="auto"/>
              <w:bottom w:val="single" w:sz="4" w:space="0" w:color="auto"/>
              <w:right w:val="single" w:sz="4" w:space="0" w:color="auto"/>
            </w:tcBorders>
            <w:hideMark/>
          </w:tcPr>
          <w:p w14:paraId="2DB3CCE1"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0,15</w:t>
            </w:r>
          </w:p>
        </w:tc>
      </w:tr>
      <w:tr w:rsidR="00AA57C7" w:rsidRPr="00E601CA" w14:paraId="6DB86879"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37CDFEC6" w14:textId="77777777" w:rsidR="00AA57C7" w:rsidRPr="00E601CA" w:rsidRDefault="00AA57C7" w:rsidP="004E6D76">
            <w:pPr>
              <w:spacing w:before="100" w:beforeAutospacing="1" w:after="100" w:afterAutospacing="1"/>
              <w:jc w:val="left"/>
              <w:rPr>
                <w:rFonts w:eastAsia="Times New Roman" w:cs="Times New Roman"/>
              </w:rPr>
            </w:pPr>
            <w:r>
              <w:t>Waagerechte Maueröffnung</w:t>
            </w:r>
          </w:p>
        </w:tc>
        <w:tc>
          <w:tcPr>
            <w:tcW w:w="984" w:type="pct"/>
            <w:tcBorders>
              <w:top w:val="single" w:sz="4" w:space="0" w:color="auto"/>
              <w:left w:val="single" w:sz="4" w:space="0" w:color="auto"/>
              <w:bottom w:val="single" w:sz="4" w:space="0" w:color="auto"/>
              <w:right w:val="single" w:sz="4" w:space="0" w:color="auto"/>
            </w:tcBorders>
            <w:hideMark/>
          </w:tcPr>
          <w:p w14:paraId="74B3D56E"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0,15</w:t>
            </w:r>
          </w:p>
        </w:tc>
        <w:tc>
          <w:tcPr>
            <w:tcW w:w="1229" w:type="pct"/>
            <w:tcBorders>
              <w:top w:val="single" w:sz="4" w:space="0" w:color="auto"/>
              <w:left w:val="single" w:sz="4" w:space="0" w:color="auto"/>
              <w:bottom w:val="single" w:sz="4" w:space="0" w:color="auto"/>
              <w:right w:val="single" w:sz="4" w:space="0" w:color="auto"/>
            </w:tcBorders>
            <w:hideMark/>
          </w:tcPr>
          <w:p w14:paraId="320FE58E"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0,10</w:t>
            </w:r>
          </w:p>
        </w:tc>
        <w:tc>
          <w:tcPr>
            <w:tcW w:w="1228" w:type="pct"/>
            <w:tcBorders>
              <w:top w:val="single" w:sz="4" w:space="0" w:color="auto"/>
              <w:left w:val="single" w:sz="4" w:space="0" w:color="auto"/>
              <w:bottom w:val="single" w:sz="4" w:space="0" w:color="auto"/>
              <w:right w:val="single" w:sz="4" w:space="0" w:color="auto"/>
            </w:tcBorders>
            <w:hideMark/>
          </w:tcPr>
          <w:p w14:paraId="26E65786" w14:textId="77777777" w:rsidR="00AA57C7" w:rsidRPr="00E601CA" w:rsidRDefault="00AA57C7" w:rsidP="004E6D76">
            <w:pPr>
              <w:spacing w:before="100" w:beforeAutospacing="1" w:after="100" w:afterAutospacing="1"/>
              <w:jc w:val="center"/>
              <w:rPr>
                <w:rFonts w:eastAsia="Times New Roman" w:cs="Times New Roman"/>
                <w:color w:val="000000" w:themeColor="text1"/>
              </w:rPr>
            </w:pPr>
            <w:r>
              <w:rPr>
                <w:color w:val="000000" w:themeColor="text1"/>
              </w:rPr>
              <w:t>0,10</w:t>
            </w:r>
          </w:p>
        </w:tc>
      </w:tr>
      <w:tr w:rsidR="00AA57C7" w:rsidRPr="00E601CA" w14:paraId="752E4D97" w14:textId="77777777" w:rsidTr="004E6D76">
        <w:tc>
          <w:tcPr>
            <w:tcW w:w="5000" w:type="pct"/>
            <w:gridSpan w:val="4"/>
            <w:tcBorders>
              <w:top w:val="single" w:sz="4" w:space="0" w:color="auto"/>
              <w:left w:val="single" w:sz="4" w:space="0" w:color="auto"/>
              <w:bottom w:val="single" w:sz="4" w:space="0" w:color="auto"/>
              <w:right w:val="single" w:sz="4" w:space="0" w:color="auto"/>
            </w:tcBorders>
            <w:hideMark/>
          </w:tcPr>
          <w:p w14:paraId="568CDE05" w14:textId="1EBA734D" w:rsidR="00AA57C7" w:rsidRPr="00E601CA" w:rsidRDefault="00AA57C7" w:rsidP="007C4597">
            <w:pPr>
              <w:keepNext/>
              <w:spacing w:before="100" w:beforeAutospacing="1" w:after="100" w:afterAutospacing="1"/>
              <w:jc w:val="center"/>
              <w:rPr>
                <w:rFonts w:eastAsia="Times New Roman" w:cs="Times New Roman"/>
                <w:color w:val="000000" w:themeColor="text1"/>
              </w:rPr>
            </w:pPr>
            <w:r>
              <w:t xml:space="preserve">3. Maueröffnungen mit </w:t>
            </w:r>
            <w:r>
              <w:rPr>
                <w:color w:val="000000" w:themeColor="text1"/>
              </w:rPr>
              <w:t>Lärmexposition BR1</w:t>
            </w:r>
            <w:r>
              <w:t xml:space="preserve"> – außer Schlafräume </w:t>
            </w:r>
          </w:p>
        </w:tc>
      </w:tr>
      <w:tr w:rsidR="00AA57C7" w:rsidRPr="00E601CA" w14:paraId="5668E035" w14:textId="77777777" w:rsidTr="00AA57C7">
        <w:tc>
          <w:tcPr>
            <w:tcW w:w="1559" w:type="pct"/>
            <w:tcBorders>
              <w:top w:val="single" w:sz="4" w:space="0" w:color="auto"/>
              <w:left w:val="single" w:sz="4" w:space="0" w:color="auto"/>
              <w:bottom w:val="single" w:sz="4" w:space="0" w:color="auto"/>
              <w:right w:val="single" w:sz="4" w:space="0" w:color="auto"/>
            </w:tcBorders>
            <w:hideMark/>
          </w:tcPr>
          <w:p w14:paraId="0C6389A7" w14:textId="031127BC" w:rsidR="00AA57C7" w:rsidRPr="00E601CA" w:rsidRDefault="00AA57C7" w:rsidP="00AA57C7">
            <w:pPr>
              <w:spacing w:before="100" w:beforeAutospacing="1" w:after="100" w:afterAutospacing="1"/>
              <w:jc w:val="left"/>
              <w:rPr>
                <w:rFonts w:eastAsia="Times New Roman" w:cs="Times New Roman"/>
              </w:rPr>
            </w:pPr>
            <w:r>
              <w:t>Senkrechte Maueröffnung nicht nach Norden</w:t>
            </w:r>
          </w:p>
        </w:tc>
        <w:tc>
          <w:tcPr>
            <w:tcW w:w="984" w:type="pct"/>
            <w:tcBorders>
              <w:top w:val="single" w:sz="4" w:space="0" w:color="auto"/>
              <w:left w:val="single" w:sz="4" w:space="0" w:color="auto"/>
              <w:bottom w:val="single" w:sz="4" w:space="0" w:color="auto"/>
              <w:right w:val="single" w:sz="4" w:space="0" w:color="auto"/>
            </w:tcBorders>
          </w:tcPr>
          <w:p w14:paraId="61A47F71" w14:textId="4A80F765" w:rsidR="00AA57C7" w:rsidRPr="00E601CA" w:rsidRDefault="00AA57C7" w:rsidP="00AA57C7">
            <w:pPr>
              <w:spacing w:before="100" w:beforeAutospacing="1" w:after="100" w:afterAutospacing="1"/>
              <w:jc w:val="center"/>
              <w:rPr>
                <w:rFonts w:eastAsia="Times New Roman" w:cs="Times New Roman"/>
                <w:color w:val="000000" w:themeColor="text1"/>
              </w:rPr>
            </w:pPr>
            <w:r>
              <w:rPr>
                <w:color w:val="000000" w:themeColor="text1"/>
              </w:rPr>
              <w:t>0,65</w:t>
            </w:r>
          </w:p>
        </w:tc>
        <w:tc>
          <w:tcPr>
            <w:tcW w:w="1229" w:type="pct"/>
            <w:tcBorders>
              <w:top w:val="single" w:sz="4" w:space="0" w:color="auto"/>
              <w:left w:val="single" w:sz="4" w:space="0" w:color="auto"/>
              <w:bottom w:val="single" w:sz="4" w:space="0" w:color="auto"/>
              <w:right w:val="single" w:sz="4" w:space="0" w:color="auto"/>
            </w:tcBorders>
          </w:tcPr>
          <w:p w14:paraId="7EB9FF98" w14:textId="509FC7B7" w:rsidR="00AA57C7" w:rsidRPr="00E601CA" w:rsidRDefault="00AA57C7" w:rsidP="00AA57C7">
            <w:pPr>
              <w:spacing w:before="100" w:beforeAutospacing="1" w:after="100" w:afterAutospacing="1"/>
              <w:jc w:val="center"/>
              <w:rPr>
                <w:rFonts w:eastAsia="Times New Roman" w:cs="Times New Roman"/>
                <w:color w:val="000000" w:themeColor="text1"/>
              </w:rPr>
            </w:pPr>
            <w:r>
              <w:rPr>
                <w:color w:val="000000" w:themeColor="text1"/>
              </w:rPr>
              <w:t>0,45</w:t>
            </w:r>
          </w:p>
        </w:tc>
        <w:tc>
          <w:tcPr>
            <w:tcW w:w="1228" w:type="pct"/>
            <w:tcBorders>
              <w:top w:val="single" w:sz="4" w:space="0" w:color="auto"/>
              <w:left w:val="single" w:sz="4" w:space="0" w:color="auto"/>
              <w:bottom w:val="single" w:sz="4" w:space="0" w:color="auto"/>
              <w:right w:val="single" w:sz="4" w:space="0" w:color="auto"/>
            </w:tcBorders>
          </w:tcPr>
          <w:p w14:paraId="408F597D" w14:textId="1CBD9225" w:rsidR="00AA57C7" w:rsidRPr="00E601CA" w:rsidRDefault="00AA57C7" w:rsidP="00AA57C7">
            <w:pPr>
              <w:spacing w:before="100" w:beforeAutospacing="1" w:after="100" w:afterAutospacing="1"/>
              <w:jc w:val="center"/>
              <w:rPr>
                <w:rFonts w:eastAsia="Times New Roman" w:cs="Times New Roman"/>
                <w:color w:val="000000" w:themeColor="text1"/>
              </w:rPr>
            </w:pPr>
            <w:r>
              <w:rPr>
                <w:color w:val="000000" w:themeColor="text1"/>
              </w:rPr>
              <w:t>0,25</w:t>
            </w:r>
          </w:p>
        </w:tc>
      </w:tr>
      <w:tr w:rsidR="00AA57C7" w:rsidRPr="00E601CA" w14:paraId="7A828C88" w14:textId="77777777" w:rsidTr="00AA57C7">
        <w:tc>
          <w:tcPr>
            <w:tcW w:w="1559" w:type="pct"/>
            <w:tcBorders>
              <w:top w:val="single" w:sz="4" w:space="0" w:color="auto"/>
              <w:left w:val="single" w:sz="4" w:space="0" w:color="auto"/>
              <w:bottom w:val="single" w:sz="4" w:space="0" w:color="auto"/>
              <w:right w:val="single" w:sz="4" w:space="0" w:color="auto"/>
            </w:tcBorders>
            <w:hideMark/>
          </w:tcPr>
          <w:p w14:paraId="106E3C41" w14:textId="77777777" w:rsidR="00AA57C7" w:rsidRPr="00E601CA" w:rsidRDefault="00AA57C7" w:rsidP="00AA57C7">
            <w:pPr>
              <w:spacing w:before="100" w:beforeAutospacing="1" w:after="100" w:afterAutospacing="1"/>
              <w:jc w:val="left"/>
              <w:rPr>
                <w:rFonts w:eastAsia="Times New Roman" w:cs="Times New Roman"/>
              </w:rPr>
            </w:pPr>
            <w:r>
              <w:t>Waagerechte Maueröffnung</w:t>
            </w:r>
          </w:p>
        </w:tc>
        <w:tc>
          <w:tcPr>
            <w:tcW w:w="984" w:type="pct"/>
            <w:tcBorders>
              <w:top w:val="single" w:sz="4" w:space="0" w:color="auto"/>
              <w:left w:val="single" w:sz="4" w:space="0" w:color="auto"/>
              <w:bottom w:val="single" w:sz="4" w:space="0" w:color="auto"/>
              <w:right w:val="single" w:sz="4" w:space="0" w:color="auto"/>
            </w:tcBorders>
          </w:tcPr>
          <w:p w14:paraId="700A4BC6" w14:textId="2F9C670A" w:rsidR="00AA57C7" w:rsidRPr="00E601CA" w:rsidRDefault="00AA57C7" w:rsidP="00AA57C7">
            <w:pPr>
              <w:spacing w:before="100" w:beforeAutospacing="1" w:after="100" w:afterAutospacing="1"/>
              <w:jc w:val="center"/>
              <w:rPr>
                <w:rFonts w:eastAsia="Times New Roman" w:cs="Times New Roman"/>
                <w:color w:val="000000" w:themeColor="text1"/>
              </w:rPr>
            </w:pPr>
            <w:r>
              <w:rPr>
                <w:color w:val="000000" w:themeColor="text1"/>
              </w:rPr>
              <w:t>0,45</w:t>
            </w:r>
          </w:p>
        </w:tc>
        <w:tc>
          <w:tcPr>
            <w:tcW w:w="1229" w:type="pct"/>
            <w:tcBorders>
              <w:top w:val="single" w:sz="4" w:space="0" w:color="auto"/>
              <w:left w:val="single" w:sz="4" w:space="0" w:color="auto"/>
              <w:bottom w:val="single" w:sz="4" w:space="0" w:color="auto"/>
              <w:right w:val="single" w:sz="4" w:space="0" w:color="auto"/>
            </w:tcBorders>
          </w:tcPr>
          <w:p w14:paraId="5609D3AE" w14:textId="1E29BD0E" w:rsidR="00AA57C7" w:rsidRPr="00E601CA" w:rsidRDefault="00AA57C7" w:rsidP="00AA57C7">
            <w:pPr>
              <w:spacing w:before="100" w:beforeAutospacing="1" w:after="100" w:afterAutospacing="1"/>
              <w:jc w:val="center"/>
              <w:rPr>
                <w:rFonts w:eastAsia="Times New Roman" w:cs="Times New Roman"/>
                <w:color w:val="000000" w:themeColor="text1"/>
              </w:rPr>
            </w:pPr>
            <w:r>
              <w:rPr>
                <w:color w:val="000000" w:themeColor="text1"/>
              </w:rPr>
              <w:t>0,25</w:t>
            </w:r>
          </w:p>
        </w:tc>
        <w:tc>
          <w:tcPr>
            <w:tcW w:w="1228" w:type="pct"/>
            <w:tcBorders>
              <w:top w:val="single" w:sz="4" w:space="0" w:color="auto"/>
              <w:left w:val="single" w:sz="4" w:space="0" w:color="auto"/>
              <w:bottom w:val="single" w:sz="4" w:space="0" w:color="auto"/>
              <w:right w:val="single" w:sz="4" w:space="0" w:color="auto"/>
            </w:tcBorders>
          </w:tcPr>
          <w:p w14:paraId="520A91A7" w14:textId="4246946F" w:rsidR="00AA57C7" w:rsidRPr="00E601CA" w:rsidRDefault="00AA57C7" w:rsidP="00AA57C7">
            <w:pPr>
              <w:spacing w:before="100" w:beforeAutospacing="1" w:after="100" w:afterAutospacing="1"/>
              <w:jc w:val="center"/>
              <w:rPr>
                <w:rFonts w:eastAsia="Times New Roman" w:cs="Times New Roman"/>
                <w:color w:val="000000" w:themeColor="text1"/>
              </w:rPr>
            </w:pPr>
            <w:r>
              <w:rPr>
                <w:color w:val="000000" w:themeColor="text1"/>
              </w:rPr>
              <w:t>0,15</w:t>
            </w:r>
          </w:p>
        </w:tc>
      </w:tr>
      <w:tr w:rsidR="00AA57C7" w:rsidRPr="00E601CA" w14:paraId="6D394170" w14:textId="77777777" w:rsidTr="00AA57C7">
        <w:tc>
          <w:tcPr>
            <w:tcW w:w="5000" w:type="pct"/>
            <w:gridSpan w:val="4"/>
            <w:tcBorders>
              <w:top w:val="single" w:sz="4" w:space="0" w:color="auto"/>
              <w:left w:val="single" w:sz="4" w:space="0" w:color="auto"/>
              <w:bottom w:val="single" w:sz="4" w:space="0" w:color="auto"/>
              <w:right w:val="single" w:sz="4" w:space="0" w:color="auto"/>
            </w:tcBorders>
          </w:tcPr>
          <w:p w14:paraId="7D562794" w14:textId="71E61801" w:rsidR="00AA57C7" w:rsidRPr="00E601CA" w:rsidRDefault="00AA57C7" w:rsidP="007C4597">
            <w:pPr>
              <w:keepNext/>
              <w:spacing w:before="100" w:beforeAutospacing="1" w:after="100" w:afterAutospacing="1"/>
              <w:jc w:val="center"/>
              <w:rPr>
                <w:rFonts w:eastAsia="Times New Roman" w:cs="Times New Roman"/>
                <w:color w:val="000000" w:themeColor="text1"/>
              </w:rPr>
            </w:pPr>
            <w:r>
              <w:rPr>
                <w:color w:val="000000" w:themeColor="text1"/>
              </w:rPr>
              <w:t xml:space="preserve">4. </w:t>
            </w:r>
            <w:r>
              <w:t>Maueröffnungen mit Lärmexposition</w:t>
            </w:r>
            <w:r>
              <w:rPr>
                <w:color w:val="000000" w:themeColor="text1"/>
              </w:rPr>
              <w:t xml:space="preserve"> BR2 oder BR3 – außer Schlafräume</w:t>
            </w:r>
          </w:p>
        </w:tc>
      </w:tr>
      <w:tr w:rsidR="00AA57C7" w:rsidRPr="00E601CA" w14:paraId="45D8898C" w14:textId="77777777" w:rsidTr="00AA57C7">
        <w:tc>
          <w:tcPr>
            <w:tcW w:w="1559" w:type="pct"/>
            <w:tcBorders>
              <w:top w:val="single" w:sz="4" w:space="0" w:color="auto"/>
              <w:left w:val="single" w:sz="4" w:space="0" w:color="auto"/>
              <w:bottom w:val="single" w:sz="4" w:space="0" w:color="auto"/>
              <w:right w:val="single" w:sz="4" w:space="0" w:color="auto"/>
            </w:tcBorders>
          </w:tcPr>
          <w:p w14:paraId="48905C73" w14:textId="4B52AA2D" w:rsidR="00AA57C7" w:rsidRPr="00E601CA" w:rsidRDefault="00AA57C7" w:rsidP="00AA57C7">
            <w:pPr>
              <w:spacing w:before="100" w:beforeAutospacing="1" w:after="100" w:afterAutospacing="1"/>
              <w:jc w:val="left"/>
              <w:rPr>
                <w:rFonts w:eastAsia="Times New Roman" w:cs="Times New Roman"/>
              </w:rPr>
            </w:pPr>
            <w:r>
              <w:t>Senkrechte Maueröffnung nicht nach Norden</w:t>
            </w:r>
          </w:p>
        </w:tc>
        <w:tc>
          <w:tcPr>
            <w:tcW w:w="984" w:type="pct"/>
            <w:tcBorders>
              <w:top w:val="single" w:sz="4" w:space="0" w:color="auto"/>
              <w:left w:val="single" w:sz="4" w:space="0" w:color="auto"/>
              <w:bottom w:val="single" w:sz="4" w:space="0" w:color="auto"/>
              <w:right w:val="single" w:sz="4" w:space="0" w:color="auto"/>
            </w:tcBorders>
          </w:tcPr>
          <w:p w14:paraId="65377DDE" w14:textId="3D57511F" w:rsidR="00AA57C7" w:rsidRPr="00E601CA" w:rsidRDefault="00AA57C7" w:rsidP="00AA57C7">
            <w:pPr>
              <w:spacing w:before="100" w:beforeAutospacing="1" w:after="100" w:afterAutospacing="1"/>
              <w:jc w:val="center"/>
              <w:rPr>
                <w:rFonts w:eastAsia="Times New Roman" w:cs="Times New Roman"/>
                <w:color w:val="000000" w:themeColor="text1"/>
              </w:rPr>
            </w:pPr>
            <w:r>
              <w:rPr>
                <w:color w:val="000000" w:themeColor="text1"/>
              </w:rPr>
              <w:t>0,45</w:t>
            </w:r>
          </w:p>
        </w:tc>
        <w:tc>
          <w:tcPr>
            <w:tcW w:w="1229" w:type="pct"/>
            <w:tcBorders>
              <w:top w:val="single" w:sz="4" w:space="0" w:color="auto"/>
              <w:left w:val="single" w:sz="4" w:space="0" w:color="auto"/>
              <w:bottom w:val="single" w:sz="4" w:space="0" w:color="auto"/>
              <w:right w:val="single" w:sz="4" w:space="0" w:color="auto"/>
            </w:tcBorders>
          </w:tcPr>
          <w:p w14:paraId="1CE4A28A" w14:textId="59CFE4C2" w:rsidR="00AA57C7" w:rsidRPr="00E601CA" w:rsidRDefault="00AA57C7" w:rsidP="00AA57C7">
            <w:pPr>
              <w:spacing w:before="100" w:beforeAutospacing="1" w:after="100" w:afterAutospacing="1"/>
              <w:jc w:val="center"/>
              <w:rPr>
                <w:rFonts w:eastAsia="Times New Roman" w:cs="Times New Roman"/>
                <w:color w:val="000000" w:themeColor="text1"/>
              </w:rPr>
            </w:pPr>
            <w:r>
              <w:rPr>
                <w:color w:val="000000" w:themeColor="text1"/>
              </w:rPr>
              <w:t>0,25</w:t>
            </w:r>
          </w:p>
        </w:tc>
        <w:tc>
          <w:tcPr>
            <w:tcW w:w="1228" w:type="pct"/>
            <w:tcBorders>
              <w:top w:val="single" w:sz="4" w:space="0" w:color="auto"/>
              <w:left w:val="single" w:sz="4" w:space="0" w:color="auto"/>
              <w:bottom w:val="single" w:sz="4" w:space="0" w:color="auto"/>
              <w:right w:val="single" w:sz="4" w:space="0" w:color="auto"/>
            </w:tcBorders>
          </w:tcPr>
          <w:p w14:paraId="0A3C4966" w14:textId="1787BFCB" w:rsidR="00AA57C7" w:rsidRPr="00E601CA" w:rsidRDefault="00AA57C7" w:rsidP="00AA57C7">
            <w:pPr>
              <w:spacing w:before="100" w:beforeAutospacing="1" w:after="100" w:afterAutospacing="1"/>
              <w:jc w:val="center"/>
              <w:rPr>
                <w:rFonts w:eastAsia="Times New Roman" w:cs="Times New Roman"/>
                <w:color w:val="000000" w:themeColor="text1"/>
              </w:rPr>
            </w:pPr>
            <w:r>
              <w:rPr>
                <w:color w:val="000000" w:themeColor="text1"/>
              </w:rPr>
              <w:t>0,25</w:t>
            </w:r>
          </w:p>
        </w:tc>
      </w:tr>
      <w:tr w:rsidR="00AA57C7" w:rsidRPr="00E601CA" w14:paraId="5B19B6E6" w14:textId="77777777" w:rsidTr="00AA57C7">
        <w:tc>
          <w:tcPr>
            <w:tcW w:w="1559" w:type="pct"/>
            <w:tcBorders>
              <w:top w:val="single" w:sz="4" w:space="0" w:color="auto"/>
              <w:left w:val="single" w:sz="4" w:space="0" w:color="auto"/>
              <w:bottom w:val="single" w:sz="4" w:space="0" w:color="auto"/>
              <w:right w:val="single" w:sz="4" w:space="0" w:color="auto"/>
            </w:tcBorders>
          </w:tcPr>
          <w:p w14:paraId="1F21A23E" w14:textId="4DD59601" w:rsidR="00AA57C7" w:rsidRPr="00E601CA" w:rsidRDefault="00AA57C7" w:rsidP="00AA57C7">
            <w:pPr>
              <w:spacing w:before="100" w:beforeAutospacing="1" w:after="100" w:afterAutospacing="1"/>
              <w:jc w:val="left"/>
              <w:rPr>
                <w:rFonts w:eastAsia="Times New Roman" w:cs="Times New Roman"/>
              </w:rPr>
            </w:pPr>
            <w:r>
              <w:t>Waagerechte Maueröffnung</w:t>
            </w:r>
          </w:p>
        </w:tc>
        <w:tc>
          <w:tcPr>
            <w:tcW w:w="984" w:type="pct"/>
            <w:tcBorders>
              <w:top w:val="single" w:sz="4" w:space="0" w:color="auto"/>
              <w:left w:val="single" w:sz="4" w:space="0" w:color="auto"/>
              <w:bottom w:val="single" w:sz="4" w:space="0" w:color="auto"/>
              <w:right w:val="single" w:sz="4" w:space="0" w:color="auto"/>
            </w:tcBorders>
          </w:tcPr>
          <w:p w14:paraId="6859EAF4" w14:textId="15E8743D" w:rsidR="00AA57C7" w:rsidRPr="00E601CA" w:rsidRDefault="00AA57C7" w:rsidP="00AA57C7">
            <w:pPr>
              <w:spacing w:before="100" w:beforeAutospacing="1" w:after="100" w:afterAutospacing="1"/>
              <w:jc w:val="center"/>
              <w:rPr>
                <w:rFonts w:eastAsia="Times New Roman" w:cs="Times New Roman"/>
                <w:color w:val="000000" w:themeColor="text1"/>
              </w:rPr>
            </w:pPr>
            <w:r>
              <w:rPr>
                <w:color w:val="000000" w:themeColor="text1"/>
              </w:rPr>
              <w:t>0,25</w:t>
            </w:r>
          </w:p>
        </w:tc>
        <w:tc>
          <w:tcPr>
            <w:tcW w:w="1229" w:type="pct"/>
            <w:tcBorders>
              <w:top w:val="single" w:sz="4" w:space="0" w:color="auto"/>
              <w:left w:val="single" w:sz="4" w:space="0" w:color="auto"/>
              <w:bottom w:val="single" w:sz="4" w:space="0" w:color="auto"/>
              <w:right w:val="single" w:sz="4" w:space="0" w:color="auto"/>
            </w:tcBorders>
          </w:tcPr>
          <w:p w14:paraId="5C9788F3" w14:textId="11C013C4" w:rsidR="00AA57C7" w:rsidRPr="00E601CA" w:rsidRDefault="00AA57C7" w:rsidP="00AA57C7">
            <w:pPr>
              <w:spacing w:before="100" w:beforeAutospacing="1" w:after="100" w:afterAutospacing="1"/>
              <w:jc w:val="center"/>
              <w:rPr>
                <w:rFonts w:eastAsia="Times New Roman" w:cs="Times New Roman"/>
                <w:color w:val="000000" w:themeColor="text1"/>
              </w:rPr>
            </w:pPr>
            <w:r>
              <w:rPr>
                <w:color w:val="000000" w:themeColor="text1"/>
              </w:rPr>
              <w:t>0,15</w:t>
            </w:r>
          </w:p>
        </w:tc>
        <w:tc>
          <w:tcPr>
            <w:tcW w:w="1228" w:type="pct"/>
            <w:tcBorders>
              <w:top w:val="single" w:sz="4" w:space="0" w:color="auto"/>
              <w:left w:val="single" w:sz="4" w:space="0" w:color="auto"/>
              <w:bottom w:val="single" w:sz="4" w:space="0" w:color="auto"/>
              <w:right w:val="single" w:sz="4" w:space="0" w:color="auto"/>
            </w:tcBorders>
          </w:tcPr>
          <w:p w14:paraId="3C6DCB36" w14:textId="10C3043F" w:rsidR="00AA57C7" w:rsidRPr="00E601CA" w:rsidRDefault="00AA57C7" w:rsidP="00AA57C7">
            <w:pPr>
              <w:spacing w:before="100" w:beforeAutospacing="1" w:after="100" w:afterAutospacing="1"/>
              <w:jc w:val="center"/>
              <w:rPr>
                <w:rFonts w:eastAsia="Times New Roman" w:cs="Times New Roman"/>
                <w:color w:val="000000" w:themeColor="text1"/>
              </w:rPr>
            </w:pPr>
            <w:r>
              <w:rPr>
                <w:color w:val="000000" w:themeColor="text1"/>
              </w:rPr>
              <w:t>0,15</w:t>
            </w:r>
          </w:p>
        </w:tc>
      </w:tr>
    </w:tbl>
    <w:p w14:paraId="1151A645" w14:textId="77777777" w:rsidR="00E8319A" w:rsidRPr="00E601CA" w:rsidRDefault="00E8319A" w:rsidP="00E8319A"/>
    <w:p w14:paraId="65E4E085" w14:textId="08726675" w:rsidR="00032417" w:rsidRPr="00E601CA" w:rsidRDefault="0056152E" w:rsidP="00951EDB">
      <w:pPr>
        <w:pStyle w:val="Heading3"/>
        <w:keepNext/>
        <w:numPr>
          <w:ilvl w:val="0"/>
          <w:numId w:val="0"/>
        </w:numPr>
        <w:ind w:left="270" w:firstLine="14"/>
      </w:pPr>
      <w:r>
        <w:rPr>
          <w:b w:val="0"/>
        </w:rPr>
        <w:lastRenderedPageBreak/>
        <w:t>Artikel 37.</w:t>
      </w:r>
      <w:r>
        <w:t xml:space="preserve"> (30 % Öffnungen)</w:t>
      </w:r>
    </w:p>
    <w:p w14:paraId="2CA33C90" w14:textId="77777777" w:rsidR="00971927" w:rsidRPr="00E601CA" w:rsidRDefault="00971927" w:rsidP="00971927">
      <w:r>
        <w:t>Außer wenn es die Hygiene- oder Sicherheitsvorschriften verbieten, müssen sich die Maueröffnungen eines Raums, sofern es sich nicht um einen gelegentlich genutzten Raum handelt, auf mindestens 30 % ihrer Gesamtfläche öffnen lassen.</w:t>
      </w:r>
    </w:p>
    <w:p w14:paraId="646328B9" w14:textId="64FA4BE0" w:rsidR="00971927" w:rsidRPr="00E601CA" w:rsidRDefault="00971927" w:rsidP="00971927">
      <w:r>
        <w:t>Dieser Grenzwert wird im Fall von Räumen, bei denen der Höhenunterschied zwischen dem niedrigsten Punkt der niedrigsten Öffnung und dem höchsten Punkt der höchsten Öffnung 4 m oder mehr beträgt, auf 10 % verringert.</w:t>
      </w:r>
    </w:p>
    <w:p w14:paraId="305C58CA" w14:textId="57BDD03C" w:rsidR="00FC495C" w:rsidRPr="00E601CA" w:rsidRDefault="00265D3D" w:rsidP="007C4597">
      <w:pPr>
        <w:pStyle w:val="Heading2"/>
        <w:keepNext/>
        <w:numPr>
          <w:ilvl w:val="0"/>
          <w:numId w:val="0"/>
        </w:numPr>
        <w:ind w:left="720" w:hanging="3"/>
      </w:pPr>
      <w:bookmarkStart w:id="49" w:name="_Ref57918073"/>
      <w:r>
        <w:t>KAPITEL XIII.</w:t>
      </w:r>
      <w:r>
        <w:tab/>
        <w:t>ENERGIEVERBRAUCH</w:t>
      </w:r>
      <w:bookmarkEnd w:id="49"/>
    </w:p>
    <w:p w14:paraId="61C70E9A" w14:textId="340CD4CD" w:rsidR="00FC495C" w:rsidRPr="00E601CA" w:rsidRDefault="0056152E" w:rsidP="007C4597">
      <w:pPr>
        <w:pStyle w:val="Heading3"/>
        <w:keepNext/>
        <w:numPr>
          <w:ilvl w:val="0"/>
          <w:numId w:val="0"/>
        </w:numPr>
        <w:ind w:left="270" w:firstLine="14"/>
      </w:pPr>
      <w:r>
        <w:rPr>
          <w:b w:val="0"/>
        </w:rPr>
        <w:t>Artikel 38.</w:t>
      </w:r>
      <w:r>
        <w:t xml:space="preserve"> (Begrenzung der automatischen Auslösung eines Energieverbrauchs) </w:t>
      </w:r>
    </w:p>
    <w:p w14:paraId="2C882641" w14:textId="77777777" w:rsidR="00FC495C" w:rsidRPr="00E601CA" w:rsidRDefault="00FC495C" w:rsidP="007C4597">
      <w:pPr>
        <w:keepNext/>
      </w:pPr>
      <w:r>
        <w:t>Jeder Automatismus, der zu einem Anstieg des Energieverbrauchs führt:</w:t>
      </w:r>
    </w:p>
    <w:p w14:paraId="7E304C33" w14:textId="77777777" w:rsidR="00FC495C" w:rsidRPr="00E601CA" w:rsidRDefault="00FC495C" w:rsidP="00FC495C">
      <w:pPr>
        <w:numPr>
          <w:ilvl w:val="0"/>
          <w:numId w:val="10"/>
        </w:numPr>
        <w:spacing w:after="0" w:line="276" w:lineRule="auto"/>
        <w:rPr>
          <w:color w:val="000000"/>
        </w:rPr>
      </w:pPr>
      <w:r>
        <w:rPr>
          <w:color w:val="000000"/>
        </w:rPr>
        <w:t>ist so konzipiert und ausgeführt, dass der Automatismus nur bei Bedarf ausgelöst wird,</w:t>
      </w:r>
    </w:p>
    <w:p w14:paraId="1DE83066" w14:textId="77777777" w:rsidR="00FC495C" w:rsidRPr="00E601CA" w:rsidRDefault="00FC495C" w:rsidP="00FC495C">
      <w:pPr>
        <w:numPr>
          <w:ilvl w:val="0"/>
          <w:numId w:val="10"/>
        </w:numPr>
        <w:spacing w:after="0" w:line="276" w:lineRule="auto"/>
        <w:rPr>
          <w:color w:val="000000"/>
        </w:rPr>
      </w:pPr>
      <w:r>
        <w:rPr>
          <w:color w:val="000000"/>
        </w:rPr>
        <w:t>ist entweder zeitgesteuert oder so programmiert, dass der Anstieg des Energieverbrauchs automatisch gestoppt wird, sobald dieser nicht mehr erforderlich ist,</w:t>
      </w:r>
    </w:p>
    <w:p w14:paraId="6F9573DF" w14:textId="77777777" w:rsidR="00FC495C" w:rsidRPr="00E601CA" w:rsidRDefault="00FC495C" w:rsidP="00FC495C">
      <w:pPr>
        <w:numPr>
          <w:ilvl w:val="0"/>
          <w:numId w:val="10"/>
        </w:numPr>
        <w:spacing w:after="200" w:line="276" w:lineRule="auto"/>
        <w:rPr>
          <w:color w:val="000000"/>
        </w:rPr>
      </w:pPr>
      <w:r>
        <w:rPr>
          <w:color w:val="000000"/>
        </w:rPr>
        <w:t>kann von dem zukünftigen Gebäudeverwalter entsprechend den Nutzungsbedingungen des Gebäudes angepasst werden; insbesondere ist eine Unterbrechung des durch den Automatismus gesteuerten Energieverbrauchs während Leerstandszeiten möglich.</w:t>
      </w:r>
    </w:p>
    <w:p w14:paraId="538B2267" w14:textId="77777777" w:rsidR="00FC495C" w:rsidRPr="00E601CA" w:rsidRDefault="00FC495C" w:rsidP="00FC495C">
      <w:pPr>
        <w:spacing w:after="200" w:line="276" w:lineRule="auto"/>
        <w:rPr>
          <w:color w:val="000000"/>
        </w:rPr>
      </w:pPr>
      <w:r>
        <w:rPr>
          <w:color w:val="000000"/>
        </w:rPr>
        <w:t>Die Automatismen ermöglichen die automatische Auslösung der künstlichen Beleuchtung in Wohnungen, Büros, Versammlungsräumen, Klassenzimmern und Mehrzweckräumen erst nach einer manuellen Handlung des Raumnutzers in dem betreffenden Raum oder dessen unmittelbarer Nähe, die weniger als 6 Stunden zuvor ausgeführt wurde.</w:t>
      </w:r>
    </w:p>
    <w:p w14:paraId="1BB3B4F1" w14:textId="24949FAE" w:rsidR="00FC495C" w:rsidRPr="00E601CA" w:rsidRDefault="0056152E" w:rsidP="00951EDB">
      <w:pPr>
        <w:pStyle w:val="Heading3"/>
        <w:keepNext/>
        <w:numPr>
          <w:ilvl w:val="0"/>
          <w:numId w:val="0"/>
        </w:numPr>
        <w:ind w:left="270" w:firstLine="14"/>
      </w:pPr>
      <w:bookmarkStart w:id="50" w:name="_Ref57918021"/>
      <w:r>
        <w:rPr>
          <w:b w:val="0"/>
        </w:rPr>
        <w:t>Artikel 39.</w:t>
      </w:r>
      <w:r>
        <w:t xml:space="preserve"> (Messung oder Schätzung des Energieverbrauchs – Gebäude oder Gebäudeteile für Wohnzwecke)</w:t>
      </w:r>
      <w:bookmarkEnd w:id="50"/>
    </w:p>
    <w:p w14:paraId="58314E20" w14:textId="6ED5991C" w:rsidR="00FC495C" w:rsidRPr="00E601CA" w:rsidRDefault="00FC495C" w:rsidP="00FC495C">
      <w:r>
        <w:t>Gebäude oder Gebäudeteile für Wohnzwecke werden mit Systemen ausgestattet, mit denen der Energieverbrauch jeder Wohnung gemessen oder geschätzt werden kann. Hiervon ausgenommen ist der Verbrauch von individuellen Holzfeuerungsanlagen in Einfamilien- oder Reihenhäusern.</w:t>
      </w:r>
    </w:p>
    <w:p w14:paraId="768F13E3" w14:textId="77777777" w:rsidR="00FC495C" w:rsidRPr="00E601CA" w:rsidRDefault="00FC495C" w:rsidP="00FC495C">
      <w:r>
        <w:t>Bei kollektiver Energieerzeugung versteht man unter dem Energieverbrauch pro Wohnung den Anteil des Gesamtenergieverbrauchs, der gemäß einem Verteilungsschlüssel, der vom Bauherrn bei der Errichtung des Gebäudes festzulegen ist, auf diese Wohnung entfällt.</w:t>
      </w:r>
    </w:p>
    <w:p w14:paraId="69FAEBBD" w14:textId="77777777" w:rsidR="00FC495C" w:rsidRPr="00E601CA" w:rsidRDefault="00FC495C" w:rsidP="00FC495C">
      <w:r>
        <w:t>Durch diese Systeme können die Bewohner mindestens monatlich über ihren Energieverbrauch informiert werden.</w:t>
      </w:r>
    </w:p>
    <w:p w14:paraId="5A32B0AA" w14:textId="77777777" w:rsidR="00FC495C" w:rsidRPr="00E601CA" w:rsidRDefault="00FC495C" w:rsidP="007C4597">
      <w:pPr>
        <w:keepNext/>
      </w:pPr>
      <w:r>
        <w:t>Diese Informationen werden für den bewohnbaren Raum je Energietyp mindestens mit der folgenden Aufschlüsselung bereitgestellt:</w:t>
      </w:r>
    </w:p>
    <w:p w14:paraId="65B03F06" w14:textId="77777777" w:rsidR="00FC495C" w:rsidRPr="00E601CA" w:rsidRDefault="00FC495C" w:rsidP="00FC495C">
      <w:pPr>
        <w:numPr>
          <w:ilvl w:val="0"/>
          <w:numId w:val="10"/>
        </w:numPr>
        <w:spacing w:after="0" w:line="276" w:lineRule="auto"/>
        <w:rPr>
          <w:color w:val="000000"/>
        </w:rPr>
      </w:pPr>
      <w:r>
        <w:rPr>
          <w:color w:val="000000"/>
        </w:rPr>
        <w:t>Heizung,</w:t>
      </w:r>
    </w:p>
    <w:p w14:paraId="356EBE25" w14:textId="77777777" w:rsidR="00FC495C" w:rsidRPr="00E601CA" w:rsidRDefault="00FC495C" w:rsidP="00FC495C">
      <w:pPr>
        <w:numPr>
          <w:ilvl w:val="0"/>
          <w:numId w:val="10"/>
        </w:numPr>
        <w:spacing w:after="0" w:line="276" w:lineRule="auto"/>
        <w:rPr>
          <w:color w:val="000000"/>
        </w:rPr>
      </w:pPr>
      <w:r>
        <w:rPr>
          <w:color w:val="000000"/>
        </w:rPr>
        <w:t>Kühlung,</w:t>
      </w:r>
    </w:p>
    <w:p w14:paraId="748159AB" w14:textId="77777777" w:rsidR="00FC495C" w:rsidRPr="00E601CA" w:rsidRDefault="00FC495C" w:rsidP="00FC495C">
      <w:pPr>
        <w:numPr>
          <w:ilvl w:val="0"/>
          <w:numId w:val="10"/>
        </w:numPr>
        <w:spacing w:after="0" w:line="276" w:lineRule="auto"/>
        <w:rPr>
          <w:color w:val="000000"/>
        </w:rPr>
      </w:pPr>
      <w:r>
        <w:rPr>
          <w:color w:val="000000"/>
        </w:rPr>
        <w:t>Warmwasserbereitung,</w:t>
      </w:r>
    </w:p>
    <w:p w14:paraId="2159F939" w14:textId="77777777" w:rsidR="00FC495C" w:rsidRPr="00E601CA" w:rsidRDefault="00FC495C" w:rsidP="00FC495C">
      <w:pPr>
        <w:numPr>
          <w:ilvl w:val="0"/>
          <w:numId w:val="10"/>
        </w:numPr>
        <w:spacing w:after="0" w:line="276" w:lineRule="auto"/>
        <w:rPr>
          <w:color w:val="000000"/>
        </w:rPr>
      </w:pPr>
      <w:r>
        <w:rPr>
          <w:color w:val="000000"/>
        </w:rPr>
        <w:t>Steckdosennetz,</w:t>
      </w:r>
    </w:p>
    <w:p w14:paraId="13BABC2D" w14:textId="77777777" w:rsidR="00FC495C" w:rsidRPr="00E601CA" w:rsidRDefault="00FC495C" w:rsidP="00FC495C">
      <w:pPr>
        <w:numPr>
          <w:ilvl w:val="0"/>
          <w:numId w:val="10"/>
        </w:numPr>
        <w:spacing w:after="0" w:line="276" w:lineRule="auto"/>
      </w:pPr>
      <w:r>
        <w:rPr>
          <w:color w:val="000000"/>
        </w:rPr>
        <w:t>Sonstige.</w:t>
      </w:r>
    </w:p>
    <w:p w14:paraId="7DD1D439" w14:textId="77777777" w:rsidR="00FC495C" w:rsidRPr="00E601CA" w:rsidRDefault="00FC495C" w:rsidP="00FC495C">
      <w:r>
        <w:t>Diese Aufschlüsselung kann entweder auf den gemessenen Daten oder auf Daten, die ausgehend von einer vorab festgelegten Parametrisierung geschätzt wurden, basieren.</w:t>
      </w:r>
    </w:p>
    <w:p w14:paraId="75C792A7" w14:textId="77777777" w:rsidR="00FC495C" w:rsidRPr="00E601CA" w:rsidRDefault="00FC495C" w:rsidP="00FC495C">
      <w:r>
        <w:lastRenderedPageBreak/>
        <w:t>Im Fall eines Bauherrn, der auch der zukünftige Eigentümer und Vermieter des errichteten Gebäudes ist, insbesondere Bauherren von Sozialmietwohnungen, können diese Informationen den Bewohnern jedoch auch auf elektronischem oder postalischem Weg (mindestens monatsweise) übermittelt werden und müssen nicht direkt in dem bewohnbaren Raum bereitgestellt werden.</w:t>
      </w:r>
    </w:p>
    <w:p w14:paraId="04520BEE" w14:textId="77777777" w:rsidR="00FC495C" w:rsidRPr="00E601CA" w:rsidRDefault="00FC495C" w:rsidP="00FC495C">
      <w:r>
        <w:t>Die Berücksichtigung dieses Artikels ist im Einklang mit den Leitlinien „Systeme der Messung bzw. Schätzung des Verbrauchs einer Wohnung“, in denen die Anwendungsmodalitäten festgelegt sind, nachzuweisen.</w:t>
      </w:r>
    </w:p>
    <w:p w14:paraId="5AA0554B" w14:textId="3C1C78C1" w:rsidR="00FC495C" w:rsidRPr="00E601CA" w:rsidRDefault="0056152E" w:rsidP="007C4597">
      <w:pPr>
        <w:pStyle w:val="Heading3"/>
        <w:keepNext/>
        <w:numPr>
          <w:ilvl w:val="0"/>
          <w:numId w:val="0"/>
        </w:numPr>
        <w:spacing w:line="256" w:lineRule="auto"/>
        <w:ind w:left="270" w:firstLine="14"/>
      </w:pPr>
      <w:bookmarkStart w:id="51" w:name="_Ref57918023"/>
      <w:r>
        <w:rPr>
          <w:b w:val="0"/>
        </w:rPr>
        <w:t>Artikel 40.</w:t>
      </w:r>
      <w:r>
        <w:t xml:space="preserve"> (Messung oder Schätzung des Energieverbrauchs – nicht zu Wohnzwecken genutzte Gebäude oder Gebäudeteile)</w:t>
      </w:r>
      <w:bookmarkEnd w:id="51"/>
    </w:p>
    <w:p w14:paraId="53F5020D" w14:textId="77777777" w:rsidR="00FC495C" w:rsidRPr="00E601CA" w:rsidRDefault="00FC495C" w:rsidP="007C4597">
      <w:pPr>
        <w:keepNext/>
      </w:pPr>
      <w:r>
        <w:t>Nicht zu Wohnzwecken genutzte Gebäude oder Gebäudeteile werden mit Systemen ausgestattet, mit denen der folgende Energieverbrauch gemessen oder berechnet werden kann:</w:t>
      </w:r>
    </w:p>
    <w:p w14:paraId="795C8476" w14:textId="77777777" w:rsidR="00FC495C" w:rsidRPr="00E601CA" w:rsidRDefault="00FC495C" w:rsidP="00FC495C">
      <w:pPr>
        <w:numPr>
          <w:ilvl w:val="0"/>
          <w:numId w:val="10"/>
        </w:numPr>
        <w:spacing w:after="0" w:line="276" w:lineRule="auto"/>
      </w:pPr>
      <w:r>
        <w:t>für die Heizung: je Teilbereich von 500 m² betroffener Fläche oder je Schalttafel oder je Geschoss oder je Direktabgang,</w:t>
      </w:r>
    </w:p>
    <w:p w14:paraId="6D52979A" w14:textId="77777777" w:rsidR="00FC495C" w:rsidRPr="00E601CA" w:rsidRDefault="00FC495C" w:rsidP="00FC495C">
      <w:pPr>
        <w:numPr>
          <w:ilvl w:val="0"/>
          <w:numId w:val="10"/>
        </w:numPr>
        <w:spacing w:after="0" w:line="276" w:lineRule="auto"/>
      </w:pPr>
      <w:r>
        <w:t>für die Kühlung: je Teilbereich von 500 m² betroffener Fläche oder je Schalttafel oder je Geschoss oder je Direktabgang,</w:t>
      </w:r>
    </w:p>
    <w:p w14:paraId="148EEF27" w14:textId="77777777" w:rsidR="00FC495C" w:rsidRPr="00E601CA" w:rsidRDefault="00FC495C" w:rsidP="00FC495C">
      <w:pPr>
        <w:numPr>
          <w:ilvl w:val="0"/>
          <w:numId w:val="10"/>
        </w:numPr>
        <w:spacing w:after="0" w:line="276" w:lineRule="auto"/>
      </w:pPr>
      <w:r>
        <w:t>für die Warmwasserbereitung,</w:t>
      </w:r>
    </w:p>
    <w:p w14:paraId="4A79568D" w14:textId="77777777" w:rsidR="00FC495C" w:rsidRPr="00E601CA" w:rsidRDefault="00FC495C" w:rsidP="00FC495C">
      <w:pPr>
        <w:numPr>
          <w:ilvl w:val="0"/>
          <w:numId w:val="10"/>
        </w:numPr>
        <w:spacing w:after="0" w:line="276" w:lineRule="auto"/>
      </w:pPr>
      <w:r>
        <w:t>für die Beleuchtung: je Teilbereich von 500 m² betroffener Fläche oder je Schalttafel oder je Geschoss,</w:t>
      </w:r>
    </w:p>
    <w:p w14:paraId="2BFA3F95" w14:textId="77777777" w:rsidR="00FC495C" w:rsidRPr="00E601CA" w:rsidRDefault="00FC495C" w:rsidP="00FC495C">
      <w:pPr>
        <w:numPr>
          <w:ilvl w:val="0"/>
          <w:numId w:val="10"/>
        </w:numPr>
        <w:spacing w:after="0" w:line="276" w:lineRule="auto"/>
      </w:pPr>
      <w:r>
        <w:t>für das Steckdosennetz: je Teilbereich von 500 m² betroffener Fläche oder je Schalttafel oder je Geschoss,</w:t>
      </w:r>
    </w:p>
    <w:p w14:paraId="3A66013C" w14:textId="77777777" w:rsidR="00FC495C" w:rsidRPr="00E601CA" w:rsidRDefault="00FC495C" w:rsidP="00FC495C">
      <w:pPr>
        <w:numPr>
          <w:ilvl w:val="0"/>
          <w:numId w:val="10"/>
        </w:numPr>
        <w:spacing w:after="0" w:line="276" w:lineRule="auto"/>
      </w:pPr>
      <w:r>
        <w:t>für Lüftungsanlagen: je Anlage,</w:t>
      </w:r>
    </w:p>
    <w:p w14:paraId="764A26EC" w14:textId="77777777" w:rsidR="00FC495C" w:rsidRPr="00E601CA" w:rsidRDefault="00FC495C" w:rsidP="00FC495C">
      <w:pPr>
        <w:numPr>
          <w:ilvl w:val="0"/>
          <w:numId w:val="10"/>
        </w:numPr>
        <w:spacing w:after="0" w:line="276" w:lineRule="auto"/>
      </w:pPr>
      <w:r>
        <w:t>je Direktabgang von mehr als 80 Ampere.</w:t>
      </w:r>
    </w:p>
    <w:p w14:paraId="1F3B85F1" w14:textId="0C9054FA" w:rsidR="00FC495C" w:rsidRPr="00E601CA" w:rsidRDefault="00265D3D" w:rsidP="007C4597">
      <w:pPr>
        <w:pStyle w:val="Heading2"/>
        <w:keepNext/>
        <w:numPr>
          <w:ilvl w:val="0"/>
          <w:numId w:val="0"/>
        </w:numPr>
        <w:ind w:left="720" w:hanging="3"/>
      </w:pPr>
      <w:bookmarkStart w:id="52" w:name="_Ref57918078"/>
      <w:r>
        <w:t>KAPITEL XIV.</w:t>
      </w:r>
      <w:r>
        <w:tab/>
        <w:t>HEIZUNG UND KÜHLUNG</w:t>
      </w:r>
      <w:bookmarkEnd w:id="52"/>
    </w:p>
    <w:p w14:paraId="498E258C" w14:textId="313D4E21" w:rsidR="00FC495C" w:rsidRPr="00E601CA" w:rsidRDefault="0056152E" w:rsidP="00951EDB">
      <w:pPr>
        <w:pStyle w:val="Heading3"/>
        <w:keepNext/>
        <w:numPr>
          <w:ilvl w:val="0"/>
          <w:numId w:val="0"/>
        </w:numPr>
        <w:ind w:left="270" w:firstLine="14"/>
      </w:pPr>
      <w:r>
        <w:rPr>
          <w:b w:val="0"/>
        </w:rPr>
        <w:t>Artikel 41.</w:t>
      </w:r>
      <w:r>
        <w:t xml:space="preserve"> (Manuelle Abschaltung und automatische Regelung der Heizung)</w:t>
      </w:r>
    </w:p>
    <w:p w14:paraId="6D435222" w14:textId="77777777" w:rsidR="00FC495C" w:rsidRPr="00E601CA" w:rsidRDefault="00FC495C" w:rsidP="00FC495C">
      <w:r>
        <w:t xml:space="preserve">Eine Heizungsanlage verfügt je angebundenem Raum über eine oder mehrere Vorrichtungen zur manuellen Abschaltung und automatischen Regelung in Abhängigkeit von der Innentemperatur dieses Raums. </w:t>
      </w:r>
    </w:p>
    <w:p w14:paraId="4AB2E03B" w14:textId="77777777" w:rsidR="00FC495C" w:rsidRPr="00E601CA" w:rsidRDefault="00FC495C" w:rsidP="00FC495C">
      <w:r>
        <w:t>Wenn jedoch die Beheizung durch eine Niedertemperatur-Warmwasser-Fußbodenheizung, durch Lufteinblasung oder durch eine eigenständige Holzheizung erfolgt, kann diese Vorrichtung für mehrere Räume mit einer Gesamtfläche von maximal 100 m² genutzt werden.</w:t>
      </w:r>
    </w:p>
    <w:p w14:paraId="4B511744" w14:textId="77777777" w:rsidR="00FC495C" w:rsidRPr="00E601CA" w:rsidRDefault="00FC495C" w:rsidP="00FC495C">
      <w:r>
        <w:t>Die automatische Regelung ist so programmiert, dass sie den Anforderungen des Artikels R. 241-26 des Energiegesetzbuchs entspricht.</w:t>
      </w:r>
    </w:p>
    <w:p w14:paraId="00F671C2" w14:textId="0AF0B70F" w:rsidR="00FC495C" w:rsidRPr="00E601CA" w:rsidRDefault="0056152E" w:rsidP="007C4597">
      <w:pPr>
        <w:pStyle w:val="Heading3"/>
        <w:keepNext/>
        <w:numPr>
          <w:ilvl w:val="0"/>
          <w:numId w:val="0"/>
        </w:numPr>
        <w:spacing w:line="256" w:lineRule="auto"/>
        <w:ind w:left="270" w:firstLine="14"/>
      </w:pPr>
      <w:r>
        <w:rPr>
          <w:b w:val="0"/>
        </w:rPr>
        <w:t>Artikel 42.</w:t>
      </w:r>
      <w:r>
        <w:t xml:space="preserve"> (Manuelle Abschaltung und automatische Regelung der Heizung bei gelegentlicher Nutzung)</w:t>
      </w:r>
    </w:p>
    <w:p w14:paraId="0976E217" w14:textId="77777777" w:rsidR="00FC495C" w:rsidRPr="00E601CA" w:rsidRDefault="00FC495C" w:rsidP="007C4597">
      <w:pPr>
        <w:keepNext/>
      </w:pPr>
      <w:r>
        <w:t>Im Fall von nicht zu Wohnzwecken genutzten Gebäuden oder Gebäudeteilen verfügt jede Heizungsanlage, die nicht ständig genutzte Räume versorgt, über eine Vorrichtung zur manuellen Steuerung und automatischen Regelung mit Zeituhr, die Folgendes ermöglicht:</w:t>
      </w:r>
    </w:p>
    <w:p w14:paraId="30CC5231" w14:textId="77777777" w:rsidR="00FC495C" w:rsidRPr="00E601CA" w:rsidRDefault="00FC495C" w:rsidP="00FC495C">
      <w:pPr>
        <w:numPr>
          <w:ilvl w:val="0"/>
          <w:numId w:val="10"/>
        </w:numPr>
        <w:spacing w:after="0" w:line="276" w:lineRule="auto"/>
      </w:pPr>
      <w:r>
        <w:t>Wärmelieferung entsprechend den vier folgenden Betriebsarten: Behaglichkeit, Absenkung, Frostschutz und Abschaltung,</w:t>
      </w:r>
    </w:p>
    <w:p w14:paraId="2979EBDE" w14:textId="77777777" w:rsidR="00FC495C" w:rsidRPr="00E601CA" w:rsidRDefault="00FC495C" w:rsidP="00FC495C">
      <w:pPr>
        <w:numPr>
          <w:ilvl w:val="0"/>
          <w:numId w:val="10"/>
        </w:numPr>
        <w:spacing w:after="0" w:line="276" w:lineRule="auto"/>
      </w:pPr>
      <w:r>
        <w:lastRenderedPageBreak/>
        <w:t>automatische Umschaltung zwischen diesen Betriebsarten.</w:t>
      </w:r>
    </w:p>
    <w:p w14:paraId="455A7F79" w14:textId="77777777" w:rsidR="00FC495C" w:rsidRPr="00E601CA" w:rsidRDefault="00FC495C" w:rsidP="00FC495C">
      <w:r>
        <w:t>Bei der Umschaltung zwischen zwei Betriebsarten ist die Heizleistung gleich null oder maximal, um die Dauer der Übergangsphasen minimal zu halten.</w:t>
      </w:r>
    </w:p>
    <w:p w14:paraId="3BD922A8" w14:textId="77777777" w:rsidR="00FC495C" w:rsidRPr="00E601CA" w:rsidRDefault="00FC495C" w:rsidP="00FC495C">
      <w:r>
        <w:t>Eine solche Vorrichtung kann nur Räume mit vergleichbaren Nutzungsstunden versorgen. Eine Vorrichtung dieser Art kann eine Fläche von höchstens 5000 m² versorgen.</w:t>
      </w:r>
    </w:p>
    <w:p w14:paraId="446A145A" w14:textId="0244B53D" w:rsidR="00FC495C" w:rsidRPr="00E601CA" w:rsidRDefault="0056152E" w:rsidP="00951EDB">
      <w:pPr>
        <w:pStyle w:val="Heading3"/>
        <w:keepNext/>
        <w:numPr>
          <w:ilvl w:val="0"/>
          <w:numId w:val="0"/>
        </w:numPr>
        <w:ind w:left="270" w:firstLine="14"/>
      </w:pPr>
      <w:bookmarkStart w:id="53" w:name="_Ref57976967"/>
      <w:r>
        <w:rPr>
          <w:b w:val="0"/>
        </w:rPr>
        <w:t>Artikel 43.</w:t>
      </w:r>
      <w:r>
        <w:t xml:space="preserve"> (Ausbalancieren der Steigleitungen und Abschaltung der Pumpen: Heizung und Kühlung)</w:t>
      </w:r>
      <w:bookmarkEnd w:id="53"/>
    </w:p>
    <w:p w14:paraId="349B8CF9" w14:textId="77777777" w:rsidR="00FC495C" w:rsidRPr="00E601CA" w:rsidRDefault="00FC495C" w:rsidP="00FC495C">
      <w:r>
        <w:t>Die Sammelverteilungsnetze mit Heiz- oder Kühlwasser werden mit einer Ausgleichsvorrichtung am Fuß jeder Steigleitung ausgestattet.</w:t>
      </w:r>
    </w:p>
    <w:p w14:paraId="4E7C02D9" w14:textId="77777777" w:rsidR="00FC495C" w:rsidRPr="00E601CA" w:rsidRDefault="00FC495C" w:rsidP="00FC495C">
      <w:r>
        <w:t>Die Pumpen der Heizungs- und Kühlsysteme werden mit einer Abschaltvorrichtung ausgerüstet.</w:t>
      </w:r>
    </w:p>
    <w:p w14:paraId="63E89393" w14:textId="60C991D3" w:rsidR="00FC495C" w:rsidRPr="00E601CA" w:rsidRDefault="0056152E" w:rsidP="00951EDB">
      <w:pPr>
        <w:pStyle w:val="Heading3"/>
        <w:keepNext/>
        <w:numPr>
          <w:ilvl w:val="0"/>
          <w:numId w:val="0"/>
        </w:numPr>
        <w:ind w:left="270" w:firstLine="14"/>
      </w:pPr>
      <w:r>
        <w:rPr>
          <w:b w:val="0"/>
        </w:rPr>
        <w:t>Artikel 44.</w:t>
      </w:r>
      <w:r>
        <w:t xml:space="preserve"> (Manuelle Abschaltung und automatische Regelung der Kühlung)</w:t>
      </w:r>
    </w:p>
    <w:p w14:paraId="6C7251C1" w14:textId="77777777" w:rsidR="00FC495C" w:rsidRPr="00E601CA" w:rsidRDefault="00FC495C" w:rsidP="00FC495C">
      <w:r>
        <w:t xml:space="preserve">Eine neue Kühlanlage verfügt je angebundenem Raum über eine oder mehrere Vorrichtungen zur manuellen Abschaltung und automatischen Regelung der Kältelieferung in Abhängigkeit von der Innentemperatur. </w:t>
      </w:r>
    </w:p>
    <w:p w14:paraId="78B753C5" w14:textId="77777777" w:rsidR="00FC495C" w:rsidRPr="00E601CA" w:rsidRDefault="00FC495C" w:rsidP="007C4597">
      <w:pPr>
        <w:keepNext/>
      </w:pPr>
      <w:r>
        <w:t>Hierbei gilt jedoch:</w:t>
      </w:r>
    </w:p>
    <w:p w14:paraId="2C1593BF" w14:textId="77777777" w:rsidR="00FC495C" w:rsidRPr="00E601CA" w:rsidRDefault="00FC495C" w:rsidP="00FC495C">
      <w:pPr>
        <w:numPr>
          <w:ilvl w:val="0"/>
          <w:numId w:val="10"/>
        </w:numPr>
        <w:spacing w:after="0" w:line="276" w:lineRule="auto"/>
        <w:rPr>
          <w:color w:val="000000"/>
        </w:rPr>
      </w:pPr>
      <w:r>
        <w:t>Wenn die Kälte über ein System mit variablem Luftdurchsatz geliefert wird, können dieser Vorrichtung mehrere Räume mit einer Gesamtfläche von maximal 100 m² zugeordnet werden, sofern die Regelung des eingeblasenen Gesamtdurchsatzes ohne Erhöhung des Druckverlusts erfolgt.</w:t>
      </w:r>
    </w:p>
    <w:p w14:paraId="52D1BE82" w14:textId="77777777" w:rsidR="00FC495C" w:rsidRPr="00E601CA" w:rsidRDefault="00FC495C" w:rsidP="00FC495C">
      <w:pPr>
        <w:numPr>
          <w:ilvl w:val="0"/>
          <w:numId w:val="10"/>
        </w:numPr>
        <w:spacing w:after="0" w:line="276" w:lineRule="auto"/>
        <w:rPr>
          <w:color w:val="000000"/>
        </w:rPr>
      </w:pPr>
      <w:r>
        <w:rPr>
          <w:color w:val="000000"/>
        </w:rPr>
        <w:t>Wenn die Kälte über eine Bodenkühlung geliefert wird, können dieser Vorrichtung mehrere Räume mit einer Gesamtfläche von maximal 100 m² zugeordnet werden.</w:t>
      </w:r>
    </w:p>
    <w:p w14:paraId="53865CF0" w14:textId="77777777" w:rsidR="00FC495C" w:rsidRPr="00E601CA" w:rsidRDefault="00FC495C" w:rsidP="00FC495C">
      <w:pPr>
        <w:numPr>
          <w:ilvl w:val="0"/>
          <w:numId w:val="10"/>
        </w:numPr>
        <w:spacing w:after="0" w:line="276" w:lineRule="auto"/>
        <w:rPr>
          <w:color w:val="000000"/>
        </w:rPr>
      </w:pPr>
      <w:r>
        <w:rPr>
          <w:color w:val="000000"/>
        </w:rPr>
        <w:t>Bei „Gebläsekonvektoren mit zwei Leitungen (nur Kühlen)“ gilt die Anforderung gemäß Absatz 1 als erfüllt, wenn jedes Gebläse innentemperaturabhängig gesteuert wird und wenn für die Erzeugung und Verteilung von Kaltwasser eine Vorrichtung vorgesehen wird, die deren Regelung gestattet.</w:t>
      </w:r>
    </w:p>
    <w:p w14:paraId="64A8499D" w14:textId="43F0D1AA" w:rsidR="00FC495C" w:rsidRPr="00E601CA" w:rsidRDefault="00FC495C" w:rsidP="00FC495C">
      <w:pPr>
        <w:numPr>
          <w:ilvl w:val="0"/>
          <w:numId w:val="10"/>
        </w:numPr>
        <w:spacing w:after="0" w:line="276" w:lineRule="auto"/>
      </w:pPr>
      <w:r>
        <w:t xml:space="preserve">Bei zu Wohnzwecken genutzten Gebäuden oder Gebäudeteilen, die durch Kühlung der Frischluft ohne Anstieg der behandelten Durchsatzmengen über das Doppelte des Hygienebedarfs hinaus gekühlt werden, gilt die Anforderung gemäß Absatz 1 als erfüllt, wenn die Kältelieferung zum einen mindestens in Abhängigkeit von der Luftrückstromtemperatur und der Außentemperatur geregelt wird und zum anderen in der Heizperiode verboten ist. </w:t>
      </w:r>
    </w:p>
    <w:p w14:paraId="1C692001" w14:textId="77777777" w:rsidR="00FC495C" w:rsidRPr="00E601CA" w:rsidRDefault="00FC495C" w:rsidP="00FC495C">
      <w:pPr>
        <w:spacing w:after="0" w:line="276" w:lineRule="auto"/>
      </w:pPr>
      <w:r>
        <w:t>Die automatische Regelung ist so programmiert, dass sie den Anforderungen des Artikels R. 241-30 des Energiegesetzbuchs entspricht.</w:t>
      </w:r>
    </w:p>
    <w:p w14:paraId="24294868" w14:textId="72A6C360" w:rsidR="00FC495C" w:rsidRPr="00E601CA" w:rsidRDefault="0056152E" w:rsidP="007C4597">
      <w:pPr>
        <w:pStyle w:val="Heading3"/>
        <w:keepNext/>
        <w:numPr>
          <w:ilvl w:val="0"/>
          <w:numId w:val="0"/>
        </w:numPr>
        <w:spacing w:line="256" w:lineRule="auto"/>
        <w:ind w:left="270" w:firstLine="14"/>
      </w:pPr>
      <w:r>
        <w:rPr>
          <w:b w:val="0"/>
        </w:rPr>
        <w:t>Artikel 45.</w:t>
      </w:r>
      <w:r>
        <w:t xml:space="preserve"> (Automatische Schließung der Zugangstüren zu einem gekühlten Bereich)</w:t>
      </w:r>
    </w:p>
    <w:p w14:paraId="5ECB80C4" w14:textId="7F53B833" w:rsidR="00FC495C" w:rsidRPr="00E601CA" w:rsidRDefault="00FC495C" w:rsidP="00FC495C">
      <w:r>
        <w:t>Die Zugangstüren zu einem gekühlten Bereich werden mit einer Vorrichtung ausgestattet, über die das Schließen dieser Türen nach dem Durchgang sichergestellt wird.</w:t>
      </w:r>
    </w:p>
    <w:p w14:paraId="4017C7E1" w14:textId="07BA1B9E" w:rsidR="00FC495C" w:rsidRPr="00E601CA" w:rsidRDefault="0056152E" w:rsidP="00951EDB">
      <w:pPr>
        <w:pStyle w:val="Heading3"/>
        <w:keepNext/>
        <w:numPr>
          <w:ilvl w:val="0"/>
          <w:numId w:val="0"/>
        </w:numPr>
        <w:ind w:left="270" w:firstLine="14"/>
      </w:pPr>
      <w:r>
        <w:rPr>
          <w:b w:val="0"/>
        </w:rPr>
        <w:t>Artikel 46.</w:t>
      </w:r>
      <w:r>
        <w:t xml:space="preserve"> (Verbot der Aufheizung und anschließenden Abkühlung von Luft)</w:t>
      </w:r>
    </w:p>
    <w:p w14:paraId="6B5BD30F" w14:textId="77777777" w:rsidR="00FC495C" w:rsidRPr="00E601CA" w:rsidRDefault="00FC495C" w:rsidP="00FC495C">
      <w:r>
        <w:t xml:space="preserve">Vor der endgültigen Abgabe in den Raum, außer wenn die Beheizung durch Wärmerückgewinnung aus der Kälteerzeugung erfolgt, wird die Luft nicht über Energie verbrauchende Vorrichtungen, die auslegungsgemäß für die Heizung oder Kühlung der Luft bestimmt sind, aufgeheizt und dann abgekühlt oder gekühlt und dann aufgeheizt. </w:t>
      </w:r>
    </w:p>
    <w:p w14:paraId="3CBCDBDD" w14:textId="14524C7D" w:rsidR="00FC495C" w:rsidRPr="00E601CA" w:rsidRDefault="00265D3D" w:rsidP="007C4597">
      <w:pPr>
        <w:pStyle w:val="Heading2"/>
        <w:keepNext/>
        <w:numPr>
          <w:ilvl w:val="0"/>
          <w:numId w:val="0"/>
        </w:numPr>
        <w:ind w:left="720" w:hanging="3"/>
      </w:pPr>
      <w:r>
        <w:lastRenderedPageBreak/>
        <w:t>KAPITEL XV.</w:t>
      </w:r>
      <w:r>
        <w:tab/>
        <w:t>BELEUCHTUNG</w:t>
      </w:r>
    </w:p>
    <w:p w14:paraId="344B790A" w14:textId="0AB7A038" w:rsidR="00FC495C" w:rsidRPr="00E601CA" w:rsidRDefault="0056152E" w:rsidP="007C4597">
      <w:pPr>
        <w:pStyle w:val="Heading3"/>
        <w:keepNext/>
        <w:numPr>
          <w:ilvl w:val="0"/>
          <w:numId w:val="0"/>
        </w:numPr>
        <w:spacing w:line="256" w:lineRule="auto"/>
        <w:ind w:left="270" w:firstLine="14"/>
      </w:pPr>
      <w:r>
        <w:rPr>
          <w:b w:val="0"/>
        </w:rPr>
        <w:t>Artikel 47.</w:t>
      </w:r>
      <w:r>
        <w:t xml:space="preserve"> (Automatische Ausschaltung und Absenkung der Beleuchtung von Gemeinschaftsbereichen und Parkplätzen)</w:t>
      </w:r>
    </w:p>
    <w:p w14:paraId="4CE07AB1" w14:textId="256EA729" w:rsidR="00FC495C" w:rsidRPr="00E601CA" w:rsidRDefault="00FC495C" w:rsidP="007C4597">
      <w:pPr>
        <w:keepNext/>
      </w:pPr>
      <w:r>
        <w:t>Auf den Verbindungswegen, in gemeinschaftlich genutzten senkrechten und waagerechten Innenbereichen und auf Parkplätzen verfügen alle Beleuchtungsanlagen für jeden Raum über eine automatische Vorrichtung, die bei Nichtnutzung des Raums oder Parkplatzes die Möglichkeit bietet:</w:t>
      </w:r>
    </w:p>
    <w:p w14:paraId="6AFB0873" w14:textId="6E3AA222" w:rsidR="00FC495C" w:rsidRPr="00E601CA" w:rsidRDefault="00FC495C" w:rsidP="00FC495C">
      <w:r>
        <w:t>– entweder die Beleuchtung auf ein gesetzlich zulässiges Mindestmaß abzusenken,</w:t>
      </w:r>
    </w:p>
    <w:p w14:paraId="3B8A019B" w14:textId="77777777" w:rsidR="00FC495C" w:rsidRPr="00E601CA" w:rsidRDefault="00FC495C" w:rsidP="00FC495C">
      <w:r>
        <w:t>– oder die künstlichen Lichtquellen auszuschalten, sofern durch keine Vorschrift ein Mindestmaß vorgesehen ist.</w:t>
      </w:r>
    </w:p>
    <w:p w14:paraId="555D7BB0" w14:textId="77777777" w:rsidR="00D3536F" w:rsidRPr="00E601CA" w:rsidRDefault="00D3536F" w:rsidP="00D3536F">
      <w:r>
        <w:t>Wenn der Raum ferner Zugang zu natürlicher Beleuchtung hat, ist darin eine Vorrichtung eingebaut, über die das Beleuchtungssystem automatisch ausgeschaltet werden kann, sobald die natürliche Beleuchtung ausreichend ist.</w:t>
      </w:r>
    </w:p>
    <w:p w14:paraId="4023F2DB" w14:textId="77777777" w:rsidR="00FC495C" w:rsidRPr="00E601CA" w:rsidRDefault="00FC495C" w:rsidP="007C4597">
      <w:pPr>
        <w:keepNext/>
      </w:pPr>
      <w:r>
        <w:t>Eine einzelne Vorrichtung versorgt höchstens:</w:t>
      </w:r>
    </w:p>
    <w:p w14:paraId="3307C89B" w14:textId="32F6C7C7" w:rsidR="00FC495C" w:rsidRPr="00E601CA" w:rsidRDefault="00FC495C" w:rsidP="00FC495C">
      <w:r>
        <w:t>– eine Fläche von höchstens 100 m² und ein einziges Geschoss im Fall von waagerechten Verbindungswegen und gemeinschaftlich genutzten Innenbereichen,</w:t>
      </w:r>
    </w:p>
    <w:p w14:paraId="5AB5E64B" w14:textId="77777777" w:rsidR="00FC495C" w:rsidRPr="00E601CA" w:rsidRDefault="00FC495C" w:rsidP="00FC495C">
      <w:r>
        <w:t>– drei Geschosse im Fall von senkrechten Verbindungswegen,</w:t>
      </w:r>
    </w:p>
    <w:p w14:paraId="68D1ECA6" w14:textId="77777777" w:rsidR="00FC495C" w:rsidRPr="00E601CA" w:rsidRDefault="00FC495C" w:rsidP="00FC495C">
      <w:r>
        <w:t xml:space="preserve">– ein einziges Geschoss und eine Fläche von höchstens 500 m² im Fall von Parkflächen. </w:t>
      </w:r>
    </w:p>
    <w:p w14:paraId="49A38B59" w14:textId="4ED830F9" w:rsidR="00FC495C" w:rsidRPr="00E601CA" w:rsidRDefault="0056152E" w:rsidP="00951EDB">
      <w:pPr>
        <w:pStyle w:val="Heading3"/>
        <w:keepNext/>
        <w:numPr>
          <w:ilvl w:val="0"/>
          <w:numId w:val="0"/>
        </w:numPr>
        <w:ind w:left="270" w:firstLine="14"/>
      </w:pPr>
      <w:r>
        <w:rPr>
          <w:b w:val="0"/>
        </w:rPr>
        <w:t>Artikel 48.</w:t>
      </w:r>
      <w:r>
        <w:t xml:space="preserve"> (Beleuchtung: manuelle oder automatische Ein-/Ausschaltvorrichtung)</w:t>
      </w:r>
    </w:p>
    <w:p w14:paraId="2225BE89" w14:textId="77777777" w:rsidR="00FC495C" w:rsidRPr="00E601CA" w:rsidRDefault="00FC495C" w:rsidP="00FC495C">
      <w:r>
        <w:t>In nicht zu Wohnzwecken genutzten Gebäuden oder Gebäudeteilen wird jeder Raum mit einer Vorrichtung zum manuellen oder automatischen Ein- und Ausschalten der Beleuchtung je nach Anwesenheit ausgestattet.</w:t>
      </w:r>
    </w:p>
    <w:p w14:paraId="1D0B4226" w14:textId="645B14D9" w:rsidR="00FC495C" w:rsidRPr="00E601CA" w:rsidRDefault="0056152E" w:rsidP="007C4597">
      <w:pPr>
        <w:pStyle w:val="Heading3"/>
        <w:keepNext/>
        <w:numPr>
          <w:ilvl w:val="0"/>
          <w:numId w:val="0"/>
        </w:numPr>
        <w:spacing w:line="256" w:lineRule="auto"/>
        <w:ind w:left="270" w:firstLine="14"/>
      </w:pPr>
      <w:r>
        <w:rPr>
          <w:b w:val="0"/>
        </w:rPr>
        <w:t>Artikel 49.</w:t>
      </w:r>
      <w:r>
        <w:t xml:space="preserve"> (Beleuchtung: Ein- und Ausschaltvorrichtung für Räume bei Steuerung durch das Verwaltungspersonal)</w:t>
      </w:r>
    </w:p>
    <w:p w14:paraId="53F55E01" w14:textId="77777777" w:rsidR="00FC495C" w:rsidRPr="00E601CA" w:rsidRDefault="00FC495C" w:rsidP="00FC495C">
      <w:r>
        <w:t>In nicht zu Wohnzwecken genutzten Gebäuden oder Gebäudeteilen wird jeder Raum, bei dem die Steuerung der Beleuchtung auch während der Nutzungszeiträume dem Verwaltungspersonal obliegt, mit einer Vorrichtung zum Ein- und Ausschalten der Beleuchtung ausgestattet. Wenn diese Vorrichtung nicht in dem betreffenden Raum angeordnet ist, kann der Status der Beleuchtung in diesem Raum am Ort der Steuerung angezeigt werden.</w:t>
      </w:r>
    </w:p>
    <w:p w14:paraId="07244108" w14:textId="4226280B" w:rsidR="00FC495C" w:rsidRPr="00E601CA" w:rsidRDefault="0056152E" w:rsidP="007C4597">
      <w:pPr>
        <w:pStyle w:val="Heading3"/>
        <w:keepNext/>
        <w:numPr>
          <w:ilvl w:val="0"/>
          <w:numId w:val="0"/>
        </w:numPr>
        <w:spacing w:line="256" w:lineRule="auto"/>
        <w:ind w:left="270" w:firstLine="14"/>
      </w:pPr>
      <w:r>
        <w:rPr>
          <w:b w:val="0"/>
        </w:rPr>
        <w:t>Artikel 50.</w:t>
      </w:r>
      <w:r>
        <w:t xml:space="preserve"> (Getrennte automatische Steuerung von Beleuchtungspunkten, die weniger als 5 m von Maueröffnungen entfernt sind)</w:t>
      </w:r>
    </w:p>
    <w:p w14:paraId="14DF7C44" w14:textId="77777777" w:rsidR="00FC495C" w:rsidRPr="00E601CA" w:rsidRDefault="00FC495C" w:rsidP="00FC495C">
      <w:r>
        <w:t xml:space="preserve">In nicht zu Wohnzwecken genutzten Gebäuden oder Gebäudeteilen werden in einem Raum die künstlich beleuchteten Punkte, die weniger als 5 m von einer Maueröffnung entfernt sind, getrennt von den anderen Beleuchtungspunkten gesteuert, sobald die an jedem dieser Punkte installierte Gesamtleistung mehr als 200 W beträgt. </w:t>
      </w:r>
    </w:p>
    <w:p w14:paraId="5CAF048F" w14:textId="1AFE53E5" w:rsidR="00FC495C" w:rsidRPr="00E601CA" w:rsidRDefault="00265D3D" w:rsidP="007C4597">
      <w:pPr>
        <w:pStyle w:val="Heading2"/>
        <w:keepNext/>
        <w:numPr>
          <w:ilvl w:val="0"/>
          <w:numId w:val="0"/>
        </w:numPr>
        <w:ind w:left="720" w:hanging="3"/>
      </w:pPr>
      <w:bookmarkStart w:id="54" w:name="_Ref57918002"/>
      <w:r>
        <w:lastRenderedPageBreak/>
        <w:t>KAPITEL XVI.</w:t>
      </w:r>
      <w:r>
        <w:tab/>
        <w:t>LÜFTUNG</w:t>
      </w:r>
      <w:bookmarkEnd w:id="54"/>
    </w:p>
    <w:p w14:paraId="414EC335" w14:textId="1DA2A7C4" w:rsidR="00FC495C" w:rsidRPr="00E601CA" w:rsidRDefault="0056152E" w:rsidP="007C4597">
      <w:pPr>
        <w:pStyle w:val="Heading3"/>
        <w:keepNext/>
        <w:numPr>
          <w:ilvl w:val="0"/>
          <w:numId w:val="0"/>
        </w:numPr>
        <w:spacing w:line="256" w:lineRule="auto"/>
        <w:ind w:left="270" w:firstLine="14"/>
      </w:pPr>
      <w:r>
        <w:rPr>
          <w:b w:val="0"/>
        </w:rPr>
        <w:t>Artikel 51.</w:t>
      </w:r>
      <w:r>
        <w:t xml:space="preserve"> (Lüftung durch unabhängige Systeme bei deutlich unterschiedlicher Raumbelegung oder </w:t>
      </w:r>
      <w:r>
        <w:noBreakHyphen/>
        <w:t>nutzung)</w:t>
      </w:r>
    </w:p>
    <w:p w14:paraId="05A39941" w14:textId="77777777" w:rsidR="00FC495C" w:rsidRPr="00E601CA" w:rsidRDefault="00FC495C" w:rsidP="00FC495C">
      <w:r>
        <w:t>Im Fall von nicht zu Wohnzwecken genutzten Gebäuden oder Gebäudeteilen wird die Lüftung von Räumen oder Gruppen von Räumen mit deutlich unterschiedlicher Belegung oder Nutzung durch unabhängige Systeme sichergestellt.</w:t>
      </w:r>
    </w:p>
    <w:p w14:paraId="703B13A6" w14:textId="5B320789" w:rsidR="00FC495C" w:rsidRPr="00E601CA" w:rsidRDefault="0056152E" w:rsidP="007C4597">
      <w:pPr>
        <w:pStyle w:val="Heading3"/>
        <w:keepNext/>
        <w:numPr>
          <w:ilvl w:val="0"/>
          <w:numId w:val="0"/>
        </w:numPr>
        <w:spacing w:line="256" w:lineRule="auto"/>
        <w:ind w:left="270" w:firstLine="14"/>
      </w:pPr>
      <w:r>
        <w:rPr>
          <w:b w:val="0"/>
        </w:rPr>
        <w:t>Artikel 52.</w:t>
      </w:r>
      <w:r>
        <w:t xml:space="preserve"> </w:t>
      </w:r>
      <w:bookmarkStart w:id="55" w:name="_Ref57977017"/>
      <w:r>
        <w:t>(Zeitsteuerung der Luftdurchflussraten, wenn eine manuelle Durchsatzänderung möglich ist)</w:t>
      </w:r>
      <w:bookmarkEnd w:id="55"/>
    </w:p>
    <w:p w14:paraId="1C03D1C6" w14:textId="59936714" w:rsidR="00FC495C" w:rsidRPr="00E601CA" w:rsidRDefault="00FC495C" w:rsidP="00FC495C">
      <w:r>
        <w:t>Im Fall von nicht zu Wohnzwecken genutzten Gebäuden oder Gebäudeteilen, die mit spezifischen mechanisierten Lüftungssystemen ausgestattet sind, wird jede Vorrichtung zur manuellen Einstellung der Luftdurchflussraten eines Raums zeitgesteuert.</w:t>
      </w:r>
    </w:p>
    <w:p w14:paraId="5E686963" w14:textId="77777777" w:rsidR="006921F1" w:rsidRPr="00E601CA" w:rsidRDefault="006921F1" w:rsidP="00DF0DDD"/>
    <w:p w14:paraId="4EA453B3" w14:textId="65FBF06A" w:rsidR="00E2614B" w:rsidRPr="00E601CA" w:rsidRDefault="009626C7" w:rsidP="007C4597">
      <w:pPr>
        <w:pStyle w:val="Heading1"/>
        <w:keepNext/>
        <w:numPr>
          <w:ilvl w:val="0"/>
          <w:numId w:val="0"/>
        </w:numPr>
        <w:ind w:left="1588" w:hanging="1588"/>
      </w:pPr>
      <w:bookmarkStart w:id="56" w:name="_Ref57400734"/>
      <w:r>
        <w:t>TITEL IV.</w:t>
      </w:r>
      <w:r>
        <w:tab/>
        <w:t>GENEHMIGUNG VON VEREINFACHTEN ANWENDUNGSMETHODEN IN EINFAMILIENHÄUSERN</w:t>
      </w:r>
      <w:bookmarkEnd w:id="56"/>
    </w:p>
    <w:p w14:paraId="70E055A3" w14:textId="4ACD3D7E" w:rsidR="00E2614B" w:rsidRPr="00E601CA" w:rsidRDefault="0056152E" w:rsidP="00951EDB">
      <w:pPr>
        <w:pStyle w:val="Heading3"/>
        <w:keepNext/>
        <w:numPr>
          <w:ilvl w:val="0"/>
          <w:numId w:val="0"/>
        </w:numPr>
        <w:ind w:left="270" w:firstLine="14"/>
      </w:pPr>
      <w:bookmarkStart w:id="57" w:name="_Ref49507613"/>
      <w:r>
        <w:rPr>
          <w:b w:val="0"/>
        </w:rPr>
        <w:t>Artikel 53.</w:t>
      </w:r>
      <w:r>
        <w:t xml:space="preserve"> (Definition der vereinfachten Anwendungsmethode, Anwendungsbereich)</w:t>
      </w:r>
      <w:bookmarkEnd w:id="57"/>
      <w:r>
        <w:t xml:space="preserve"> </w:t>
      </w:r>
    </w:p>
    <w:p w14:paraId="0E60FBC4" w14:textId="0E769278" w:rsidR="004A1D3F" w:rsidRPr="00E601CA" w:rsidRDefault="004A1D3F" w:rsidP="004A1D3F">
      <w:r>
        <w:t>Eine vereinfachte Anwendungsmethode ist eine Kombination aus architektonischen Eigenschaften, Energieeffizienz und Umweltverträglichkeit von Gebäuden und Ausrüstungen in Zusammenhang mit einer festgelegten Kategorie von Einfamilienhäusern, die von dem Minister für Bau- und Wohnungswesen und von dem Minister für Energie genehmigt wird. Sie stellt eine technische Lösung gemäß Artikel </w:t>
      </w:r>
      <w:r>
        <w:rPr>
          <w:highlight w:val="yellow"/>
        </w:rPr>
        <w:t>[L. 112-4</w:t>
      </w:r>
      <w:r>
        <w:t>] Ziffer II der Bau- und Wohnungsordnung zu den Bestimmungen des vorliegenden Erlasses für alle Gebäude dieser Kategorie dar.</w:t>
      </w:r>
    </w:p>
    <w:p w14:paraId="39A7559C" w14:textId="77777777" w:rsidR="004A1D3F" w:rsidRPr="00E601CA" w:rsidRDefault="004A1D3F" w:rsidP="004A1D3F">
      <w:r>
        <w:t>Der Rückgriff auf eine vereinfachte Anwendungsmethode ist jedoch nur zulässig, wenn sie vollständig genutzt wird.</w:t>
      </w:r>
    </w:p>
    <w:p w14:paraId="29154376" w14:textId="54C64789" w:rsidR="006921F1" w:rsidRPr="00E601CA" w:rsidRDefault="0056152E" w:rsidP="00951EDB">
      <w:pPr>
        <w:pStyle w:val="Heading3"/>
        <w:keepNext/>
        <w:numPr>
          <w:ilvl w:val="0"/>
          <w:numId w:val="0"/>
        </w:numPr>
        <w:ind w:left="270" w:firstLine="14"/>
      </w:pPr>
      <w:r>
        <w:rPr>
          <w:b w:val="0"/>
        </w:rPr>
        <w:t>Artikel 54.</w:t>
      </w:r>
      <w:r>
        <w:t xml:space="preserve"> (Genehmigungsantrag) </w:t>
      </w:r>
    </w:p>
    <w:p w14:paraId="1B1FF8BE" w14:textId="18298125" w:rsidR="00697894" w:rsidRPr="00E601CA" w:rsidRDefault="00697894" w:rsidP="00697894">
      <w:r>
        <w:t>Der Antrag auf Genehmigung einer vereinfachten Anwendungsmethode wird zusammen mit den in ANHANG IX aufgeführten Prüfunterlagen an den Minister für Energie und den Minister für Bauwesen gerichtet.</w:t>
      </w:r>
    </w:p>
    <w:p w14:paraId="44D6E8BF" w14:textId="01A90FEA" w:rsidR="006921F1" w:rsidRPr="00E601CA" w:rsidRDefault="0056152E" w:rsidP="00951EDB">
      <w:pPr>
        <w:pStyle w:val="Heading3"/>
        <w:keepNext/>
        <w:numPr>
          <w:ilvl w:val="0"/>
          <w:numId w:val="0"/>
        </w:numPr>
        <w:ind w:left="270" w:firstLine="14"/>
      </w:pPr>
      <w:r>
        <w:rPr>
          <w:b w:val="0"/>
        </w:rPr>
        <w:t>Artikel 55.</w:t>
      </w:r>
      <w:r>
        <w:t xml:space="preserve"> (Genehmigungsbedingungen) </w:t>
      </w:r>
    </w:p>
    <w:p w14:paraId="410A9D3A" w14:textId="00C96D3E" w:rsidR="00697894" w:rsidRPr="00E601CA" w:rsidRDefault="00697894" w:rsidP="00697894">
      <w:r>
        <w:t>Der Minister für Energie und der Minister für Bauwesen können die vereinfachte Anwendungsmethode für eine Frist, die nach Stellungnahme einer zu diesem Zweck gebildeten Sachverständigenkommission festgelegt wird, genehmigen.</w:t>
      </w:r>
    </w:p>
    <w:p w14:paraId="2B32FEAE" w14:textId="77777777" w:rsidR="00697894" w:rsidRPr="00E601CA" w:rsidRDefault="00697894" w:rsidP="007C4597">
      <w:pPr>
        <w:keepNext/>
      </w:pPr>
      <w:r>
        <w:t>Die Kommission gibt nach Prüfung der vorgeschlagenen vereinfachten Anwendungsmethode sowie unter Berücksichtigung der folgenden Elemente eine Stellungnahme ab, die in einem Protokoll festgehalten wird:</w:t>
      </w:r>
    </w:p>
    <w:p w14:paraId="621F5EB9" w14:textId="0D9D78DB" w:rsidR="00697894" w:rsidRPr="00E601CA" w:rsidRDefault="007F40E5" w:rsidP="007F40E5">
      <w:pPr>
        <w:pStyle w:val="ListParagraph"/>
        <w:numPr>
          <w:ilvl w:val="0"/>
          <w:numId w:val="1"/>
        </w:numPr>
      </w:pPr>
      <w:r>
        <w:t>Festlegung der geplanten Einfamilienhäuser,</w:t>
      </w:r>
    </w:p>
    <w:p w14:paraId="3DCD6D3F" w14:textId="622E4485" w:rsidR="00697894" w:rsidRPr="00E601CA" w:rsidRDefault="007F40E5" w:rsidP="007F40E5">
      <w:pPr>
        <w:pStyle w:val="ListParagraph"/>
        <w:numPr>
          <w:ilvl w:val="0"/>
          <w:numId w:val="1"/>
        </w:numPr>
      </w:pPr>
      <w:r>
        <w:t>Festlegung und Eignung der Probe, an der die Überprüfung der Zuverlässigkeit der vereinfachten Anwendungsmethode durchgeführt wird,</w:t>
      </w:r>
    </w:p>
    <w:p w14:paraId="4D604104" w14:textId="2CB90704" w:rsidR="00697894" w:rsidRPr="00E601CA" w:rsidRDefault="007F40E5" w:rsidP="007F40E5">
      <w:pPr>
        <w:pStyle w:val="ListParagraph"/>
        <w:numPr>
          <w:ilvl w:val="0"/>
          <w:numId w:val="1"/>
        </w:numPr>
      </w:pPr>
      <w:r>
        <w:t>Beschreibung der Funktionsweise der vereinfachten Anwendungsmethode,</w:t>
      </w:r>
    </w:p>
    <w:p w14:paraId="769F5D89" w14:textId="558AD7B8" w:rsidR="00697894" w:rsidRPr="00E601CA" w:rsidRDefault="007F40E5" w:rsidP="007F40E5">
      <w:pPr>
        <w:pStyle w:val="ListParagraph"/>
        <w:numPr>
          <w:ilvl w:val="0"/>
          <w:numId w:val="1"/>
        </w:numPr>
      </w:pPr>
      <w:r>
        <w:lastRenderedPageBreak/>
        <w:t>Einhaltung der Eigenschaften gemäß Titel III,</w:t>
      </w:r>
    </w:p>
    <w:p w14:paraId="3A674439" w14:textId="01456E97" w:rsidR="000C3CCD" w:rsidRPr="00E601CA" w:rsidRDefault="007F40E5" w:rsidP="007F40E5">
      <w:pPr>
        <w:pStyle w:val="ListParagraph"/>
        <w:numPr>
          <w:ilvl w:val="0"/>
          <w:numId w:val="1"/>
        </w:numPr>
      </w:pPr>
      <w:r>
        <w:t>Abweichung zwischen den mit der vereinfachten Anwendungsmethode ermittelten Werten und den mit dem in Artikel 17 festgelegten Berechnungsverfahren ermittelten Werten, bezogen auf eine repräsentative Probe des Anwendungsbereichs, für die Indikatoren gemäß Artikel 6 bis 8 und für die Leistungsanforderungen gemäß KAPITEL V.</w:t>
      </w:r>
    </w:p>
    <w:p w14:paraId="2013B69C" w14:textId="77777777" w:rsidR="000C3CCD" w:rsidRPr="00E601CA" w:rsidRDefault="000C3CCD" w:rsidP="000C3CCD"/>
    <w:p w14:paraId="717684D7" w14:textId="79D4ED4A" w:rsidR="006921F1" w:rsidRPr="00E601CA" w:rsidRDefault="009626C7" w:rsidP="007C4597">
      <w:pPr>
        <w:pStyle w:val="Heading1"/>
        <w:keepNext/>
        <w:numPr>
          <w:ilvl w:val="0"/>
          <w:numId w:val="0"/>
        </w:numPr>
        <w:ind w:left="1588" w:hanging="1588"/>
      </w:pPr>
      <w:bookmarkStart w:id="58" w:name="_Ref57884999"/>
      <w:r>
        <w:t>TITEL V.</w:t>
      </w:r>
      <w:r>
        <w:tab/>
        <w:t>SONDERFÄLLE</w:t>
      </w:r>
      <w:bookmarkEnd w:id="58"/>
    </w:p>
    <w:p w14:paraId="67D40398" w14:textId="66917CC7" w:rsidR="00E04AE5" w:rsidRPr="00E601CA" w:rsidRDefault="0056152E" w:rsidP="00951EDB">
      <w:pPr>
        <w:pStyle w:val="Heading3"/>
        <w:keepNext/>
        <w:numPr>
          <w:ilvl w:val="0"/>
          <w:numId w:val="0"/>
        </w:numPr>
        <w:ind w:left="270" w:firstLine="14"/>
      </w:pPr>
      <w:r>
        <w:rPr>
          <w:b w:val="0"/>
        </w:rPr>
        <w:t>Artikel 56.</w:t>
      </w:r>
      <w:r>
        <w:t xml:space="preserve"> </w:t>
      </w:r>
      <w:bookmarkStart w:id="59" w:name="_Ref57885378"/>
      <w:r>
        <w:t>(Anwendungsbereich, Antrag auf Berücksichtigung von Besonderheiten)</w:t>
      </w:r>
      <w:bookmarkEnd w:id="59"/>
      <w:r>
        <w:t xml:space="preserve"> </w:t>
      </w:r>
    </w:p>
    <w:p w14:paraId="5BC33F66" w14:textId="5FB03770" w:rsidR="0074061C" w:rsidRPr="00E601CA" w:rsidRDefault="00E04AE5" w:rsidP="00E04AE5">
      <w:r>
        <w:t xml:space="preserve">Falls die Besonderheiten eines Bauprojekts in dem Berechnungsverfahren gemäß Artikel 17 nicht berücksichtigt werden, wird ein Antrag auf Genehmigung des Projekts an den Minister für Energie und den Minister für Bauwesen gerichtet. </w:t>
      </w:r>
    </w:p>
    <w:p w14:paraId="655EB8EC" w14:textId="0B47D116" w:rsidR="002A23D0" w:rsidRPr="00E601CA" w:rsidRDefault="0074061C" w:rsidP="007C4597">
      <w:pPr>
        <w:keepNext/>
      </w:pPr>
      <w:r>
        <w:t>Ein Antrag auf Genehmigung des Projekts oder des Verfahrens zum Nachweis der Leistung des Heiz- oder Kühlsystems oder des Wärme- bzw. Kältenetzes kann in den folgenden Fällen an den Minister für Energie und den Minister für Bauwesen gerichtet werden:</w:t>
      </w:r>
    </w:p>
    <w:p w14:paraId="5BE12FC6" w14:textId="652DD029" w:rsidR="002A23D0" w:rsidRPr="00E601CA" w:rsidRDefault="002A23D0" w:rsidP="007F40E5">
      <w:pPr>
        <w:pStyle w:val="ListParagraph"/>
        <w:numPr>
          <w:ilvl w:val="0"/>
          <w:numId w:val="1"/>
        </w:numPr>
      </w:pPr>
      <w:r>
        <w:t>wenn die Besonderheiten eines Systems in dem Berechnungsverfahren gemäß Artikel 17 nicht berücksichtigt werden,</w:t>
      </w:r>
    </w:p>
    <w:p w14:paraId="4E4B0BBD" w14:textId="2F927814" w:rsidR="002A23D0" w:rsidRPr="00E601CA" w:rsidRDefault="002A23D0" w:rsidP="007F40E5">
      <w:pPr>
        <w:pStyle w:val="ListParagraph"/>
        <w:numPr>
          <w:ilvl w:val="0"/>
          <w:numId w:val="1"/>
        </w:numPr>
      </w:pPr>
      <w:r>
        <w:t>wenn ein Fernwärme- bzw. Fernkältenetz eingerichtet wird,</w:t>
      </w:r>
    </w:p>
    <w:p w14:paraId="6E05A6D8" w14:textId="064BB529" w:rsidR="0074061C" w:rsidRPr="00E601CA" w:rsidRDefault="002A23D0" w:rsidP="007F40E5">
      <w:pPr>
        <w:pStyle w:val="ListParagraph"/>
        <w:numPr>
          <w:ilvl w:val="0"/>
          <w:numId w:val="1"/>
        </w:numPr>
      </w:pPr>
      <w:r>
        <w:t xml:space="preserve">wenn Arbeiten zur Modifizierung eines Wärme- bzw. Kältenetzes wahrscheinlich zu einer erheblichen Änderung des Emissionsfaktors oder der Quote der erneuerbaren Energie und der Rückgewinnung gemäß den Artikeln 18 und 19 führen. </w:t>
      </w:r>
    </w:p>
    <w:p w14:paraId="1E289180" w14:textId="2171AC67" w:rsidR="00E04AE5" w:rsidRPr="00E601CA" w:rsidRDefault="002A23D0" w:rsidP="00E04AE5">
      <w:r>
        <w:t xml:space="preserve">Den Genehmigungsanträgen werden die in ANHANG IX aufgeführten Prüfunterlagen beigefügt, aus denen insbesondere hervorgeht, weswegen die Besonderheiten des Bauprojekts oder ggf. des Systems in dem Berechnungsverfahren gemäß Artikel 17 nicht berücksichtigt werden. </w:t>
      </w:r>
    </w:p>
    <w:p w14:paraId="77FC03CD" w14:textId="224F8B6F" w:rsidR="006921F1" w:rsidRPr="00E601CA" w:rsidRDefault="0056152E" w:rsidP="00951EDB">
      <w:pPr>
        <w:pStyle w:val="Heading3"/>
        <w:keepNext/>
        <w:numPr>
          <w:ilvl w:val="0"/>
          <w:numId w:val="0"/>
        </w:numPr>
        <w:ind w:left="270" w:firstLine="14"/>
      </w:pPr>
      <w:r>
        <w:rPr>
          <w:b w:val="0"/>
        </w:rPr>
        <w:t>Artikel 57.</w:t>
      </w:r>
      <w:r>
        <w:t xml:space="preserve"> (Genehmigungsbedingungen) </w:t>
      </w:r>
    </w:p>
    <w:p w14:paraId="177624FB" w14:textId="37B8F885" w:rsidR="009547F1" w:rsidRDefault="009547F1" w:rsidP="009547F1">
      <w:r>
        <w:t>Der Minister für Energie und der Minister für Bauwesen können die vorgeschlagene Berücksichtigung des Bauprojekts, Systems oder Wärme- bzw. Kältenetzes nach Stellungnahme einer zu diesem Zweck gebildeten Sachverständigenkommission genehmigen. Bei Fernwärme- bzw. Fernkältenetzen hat die Genehmigung eine Gültigkeit von maximal drei Jahren.</w:t>
      </w:r>
    </w:p>
    <w:p w14:paraId="4E22D836" w14:textId="77777777" w:rsidR="004E68E1" w:rsidRPr="00E601CA" w:rsidRDefault="004E68E1" w:rsidP="009547F1"/>
    <w:p w14:paraId="0CD7AA43" w14:textId="34BAA9CE" w:rsidR="006921F1" w:rsidRPr="00E601CA" w:rsidRDefault="009626C7" w:rsidP="007C4597">
      <w:pPr>
        <w:pStyle w:val="Heading1"/>
        <w:keepNext/>
        <w:numPr>
          <w:ilvl w:val="0"/>
          <w:numId w:val="0"/>
        </w:numPr>
        <w:ind w:left="1588" w:hanging="1588"/>
      </w:pPr>
      <w:bookmarkStart w:id="60" w:name="_Ref57884985"/>
      <w:r>
        <w:t>TITEL VI.</w:t>
      </w:r>
      <w:r>
        <w:tab/>
        <w:t>SONSTIGE BESTIMMUNGEN</w:t>
      </w:r>
      <w:bookmarkEnd w:id="60"/>
      <w:r>
        <w:t xml:space="preserve"> </w:t>
      </w:r>
    </w:p>
    <w:p w14:paraId="4D5ACA75" w14:textId="0DB1719F" w:rsidR="006921F1" w:rsidRPr="00E601CA" w:rsidRDefault="0056152E" w:rsidP="00951EDB">
      <w:pPr>
        <w:pStyle w:val="Heading3"/>
        <w:keepNext/>
        <w:numPr>
          <w:ilvl w:val="0"/>
          <w:numId w:val="0"/>
        </w:numPr>
        <w:ind w:left="270" w:firstLine="14"/>
      </w:pPr>
      <w:r>
        <w:rPr>
          <w:b w:val="0"/>
        </w:rPr>
        <w:t>Artikel 58.</w:t>
      </w:r>
      <w:r>
        <w:t xml:space="preserve"> (Gebäudeübergabe ohne Heizsystem) </w:t>
      </w:r>
    </w:p>
    <w:p w14:paraId="2263486A" w14:textId="603C05F5" w:rsidR="00825713" w:rsidRPr="00E601CA" w:rsidRDefault="00825713" w:rsidP="00825713">
      <w:r>
        <w:t>Wird ein Gebäude oder Gebäudeteil ohne Heizsystem übergeben, wird es mit einem Standardheizsystem bewertet, wie es in dem Verfahren gemäß Artikel 17 vorgesehen ist. Wenn in dem Verfahren für das betreffende Gebäude kein Standardheizsystem vorgesehen ist, kann es nur die Anforderungen an die Maßnahmen gemäß Titel III und die Anforderungen gemäß den Artikeln 12, 14 und 15 des vorliegenden Erlasses erfüllen.</w:t>
      </w:r>
    </w:p>
    <w:p w14:paraId="7F0E0B76" w14:textId="5180FD9F" w:rsidR="006921F1" w:rsidRPr="00E601CA" w:rsidRDefault="0056152E" w:rsidP="00951EDB">
      <w:pPr>
        <w:pStyle w:val="Heading3"/>
        <w:keepNext/>
        <w:numPr>
          <w:ilvl w:val="0"/>
          <w:numId w:val="0"/>
        </w:numPr>
        <w:ind w:left="270" w:firstLine="14"/>
      </w:pPr>
      <w:r>
        <w:rPr>
          <w:b w:val="0"/>
        </w:rPr>
        <w:lastRenderedPageBreak/>
        <w:t>Artikel 59.</w:t>
      </w:r>
      <w:r>
        <w:t xml:space="preserve"> (Einhaltung der Umweltvorschriften RE2020 gilt als Einhaltung der Wärmeschutzvorschriften RT2012 und Vorschriften RTex)</w:t>
      </w:r>
    </w:p>
    <w:p w14:paraId="123F3876" w14:textId="5B452109" w:rsidR="00A3740F" w:rsidRPr="00E601CA" w:rsidRDefault="00A3740F" w:rsidP="00E8319A">
      <w:pPr>
        <w:pStyle w:val="ListParagraph"/>
        <w:numPr>
          <w:ilvl w:val="0"/>
          <w:numId w:val="13"/>
        </w:numPr>
      </w:pPr>
      <w:r>
        <w:t>Die in den oben genannten Erlassen vom 26. Oktober 2010 und 28. Dezember 2012 festgelegten Anforderungen gelten als erfüllt, wenn die in dem vorliegenden Erlass festgelegten Anforderungen eingehalten werden.</w:t>
      </w:r>
    </w:p>
    <w:p w14:paraId="06112E8A" w14:textId="05B560EB" w:rsidR="001D2511" w:rsidRPr="00E601CA" w:rsidRDefault="001D2511" w:rsidP="00E8319A">
      <w:pPr>
        <w:pStyle w:val="ListParagraph"/>
        <w:numPr>
          <w:ilvl w:val="0"/>
          <w:numId w:val="13"/>
        </w:numPr>
      </w:pPr>
      <w:r>
        <w:t>Die in den oben genannten Erlassen vom 13. Juni 2008 und 3. Mai 2007 festgelegten Anforderungen gelten als erfüllt, wenn die in dem vorliegenden Erlass festgelegten Anforderungen eingehalten werden.</w:t>
      </w:r>
    </w:p>
    <w:p w14:paraId="27CAAC4B" w14:textId="3FD035B1" w:rsidR="00CE44A8" w:rsidRPr="00E601CA" w:rsidRDefault="0056152E" w:rsidP="00951EDB">
      <w:pPr>
        <w:pStyle w:val="Heading3"/>
        <w:keepNext/>
        <w:numPr>
          <w:ilvl w:val="0"/>
          <w:numId w:val="0"/>
        </w:numPr>
        <w:ind w:left="270" w:firstLine="14"/>
      </w:pPr>
      <w:r>
        <w:rPr>
          <w:b w:val="0"/>
        </w:rPr>
        <w:t>Artikel 60.</w:t>
      </w:r>
      <w:r>
        <w:t xml:space="preserve"> (Prävalenz der geltenden Gesundheits-, Hygiene- und Sicherheitsvorschriften) </w:t>
      </w:r>
    </w:p>
    <w:p w14:paraId="0D2F0D6B" w14:textId="089A5BFC" w:rsidR="00A3740F" w:rsidRPr="00E601CA" w:rsidRDefault="00A3740F" w:rsidP="00A3740F">
      <w:r>
        <w:t>Die Bestimmungen des vorliegenden Erlasses dürfen keine geltenden gesetzlichen und rechtlichen Bestimmungen hinsichtlich Gesundheit, Hygiene und Sicherheit beeinträchtigen.</w:t>
      </w:r>
    </w:p>
    <w:p w14:paraId="5ADDCCDF" w14:textId="439C2992" w:rsidR="0016067B" w:rsidRPr="00E601CA" w:rsidRDefault="0056152E" w:rsidP="00951EDB">
      <w:pPr>
        <w:pStyle w:val="Heading3"/>
        <w:keepNext/>
        <w:numPr>
          <w:ilvl w:val="0"/>
          <w:numId w:val="0"/>
        </w:numPr>
        <w:ind w:left="270" w:firstLine="14"/>
      </w:pPr>
      <w:r>
        <w:rPr>
          <w:b w:val="0"/>
        </w:rPr>
        <w:t>Artikel 61.</w:t>
      </w:r>
      <w:r>
        <w:t xml:space="preserve"> (Veröffentlichung im Amtsblatt der Französischen Republik)</w:t>
      </w:r>
    </w:p>
    <w:p w14:paraId="126340EA" w14:textId="6BA0D84F" w:rsidR="00A3740F" w:rsidRPr="00E601CA" w:rsidRDefault="00A3740F" w:rsidP="00A3740F">
      <w:r>
        <w:t>Der vorliegende Erlass wird im Amtsblatt der Französischen Republik veröffentlicht.</w:t>
      </w:r>
    </w:p>
    <w:p w14:paraId="7319FA0E" w14:textId="1EA77E33" w:rsidR="00814CEF" w:rsidRPr="00E601CA" w:rsidRDefault="00814CEF" w:rsidP="00DF0DDD"/>
    <w:p w14:paraId="1AA11B88" w14:textId="31AA024E" w:rsidR="00814CEF" w:rsidRPr="00E601CA" w:rsidRDefault="00814CEF" w:rsidP="00DF0DDD"/>
    <w:p w14:paraId="62273244" w14:textId="14C042EE" w:rsidR="00814CEF" w:rsidRPr="00E601CA" w:rsidRDefault="00814CEF" w:rsidP="00DF0DDD"/>
    <w:p w14:paraId="2ED47157" w14:textId="270CD805" w:rsidR="00814CEF" w:rsidRPr="00E601CA" w:rsidRDefault="00814CEF" w:rsidP="00DF0DDD"/>
    <w:p w14:paraId="32C8013F" w14:textId="3DE4A807" w:rsidR="00814CEF" w:rsidRPr="00E601CA" w:rsidRDefault="00814CEF" w:rsidP="00DF0DDD"/>
    <w:p w14:paraId="080EDBBB" w14:textId="3D10377A" w:rsidR="00814CEF" w:rsidRPr="00E601CA" w:rsidRDefault="00814CEF" w:rsidP="00DF0DDD"/>
    <w:p w14:paraId="322D130C" w14:textId="77777777" w:rsidR="00814CEF" w:rsidRPr="00E601CA" w:rsidRDefault="00814CEF" w:rsidP="00DF0DDD"/>
    <w:p w14:paraId="796BC17A" w14:textId="77777777" w:rsidR="00814CEF" w:rsidRPr="00E601CA" w:rsidRDefault="00814CEF" w:rsidP="00814CEF">
      <w:r>
        <w:t>Die Ministerin für den ökologischen Wandel,</w:t>
      </w:r>
    </w:p>
    <w:p w14:paraId="35EA568A" w14:textId="77777777" w:rsidR="00814CEF" w:rsidRPr="00E601CA" w:rsidRDefault="00814CEF" w:rsidP="00814CEF"/>
    <w:p w14:paraId="7A06B14A" w14:textId="77777777" w:rsidR="00814CEF" w:rsidRPr="00E601CA" w:rsidRDefault="00814CEF" w:rsidP="00814CEF">
      <w:r>
        <w:t>Barbara POMPILI</w:t>
      </w:r>
    </w:p>
    <w:p w14:paraId="6DCC56D2" w14:textId="77777777" w:rsidR="00814CEF" w:rsidRPr="00E601CA" w:rsidRDefault="00814CEF" w:rsidP="00814CEF"/>
    <w:p w14:paraId="532BA8B4" w14:textId="77777777" w:rsidR="00814CEF" w:rsidRPr="00E601CA" w:rsidRDefault="00814CEF" w:rsidP="00814CEF"/>
    <w:p w14:paraId="4CF3E951" w14:textId="77777777" w:rsidR="00814CEF" w:rsidRPr="00E601CA" w:rsidRDefault="00814CEF" w:rsidP="00814CEF">
      <w:pPr>
        <w:jc w:val="right"/>
      </w:pPr>
    </w:p>
    <w:p w14:paraId="444A9FCB" w14:textId="77777777" w:rsidR="00814CEF" w:rsidRPr="00E601CA" w:rsidRDefault="00814CEF" w:rsidP="00814CEF">
      <w:pPr>
        <w:jc w:val="right"/>
      </w:pPr>
      <w:r>
        <w:t>Die beigeordnete Ministerin für das Wohnungswesen bei der Ministerin für den ökologischen Wandel,</w:t>
      </w:r>
    </w:p>
    <w:p w14:paraId="7DE100A4" w14:textId="77777777" w:rsidR="00814CEF" w:rsidRPr="00E601CA" w:rsidRDefault="00814CEF" w:rsidP="00814CEF">
      <w:pPr>
        <w:jc w:val="right"/>
      </w:pPr>
    </w:p>
    <w:p w14:paraId="3BE281E0" w14:textId="77777777" w:rsidR="00814CEF" w:rsidRPr="00E601CA" w:rsidRDefault="00814CEF" w:rsidP="00814CEF">
      <w:pPr>
        <w:jc w:val="right"/>
      </w:pPr>
    </w:p>
    <w:p w14:paraId="7B9D303C" w14:textId="77777777" w:rsidR="00814CEF" w:rsidRPr="00E601CA" w:rsidRDefault="00814CEF" w:rsidP="00814CEF">
      <w:pPr>
        <w:jc w:val="right"/>
      </w:pPr>
      <w:r>
        <w:t>Emmanuelle Wargon</w:t>
      </w:r>
    </w:p>
    <w:p w14:paraId="45194ABC" w14:textId="10852E67" w:rsidR="006921F1" w:rsidRPr="00E601CA" w:rsidRDefault="003815E1" w:rsidP="003815E1">
      <w:pPr>
        <w:pStyle w:val="Heading4"/>
        <w:pageBreakBefore/>
        <w:numPr>
          <w:ilvl w:val="0"/>
          <w:numId w:val="0"/>
        </w:numPr>
      </w:pPr>
      <w:bookmarkStart w:id="61" w:name="_Ref49444345"/>
      <w:bookmarkStart w:id="62" w:name="_Ref57296081"/>
      <w:r>
        <w:rPr>
          <w:b w:val="0"/>
        </w:rPr>
        <w:lastRenderedPageBreak/>
        <w:t xml:space="preserve">ANHANG I. </w:t>
      </w:r>
      <w:bookmarkEnd w:id="61"/>
      <w:r>
        <w:t>(BEGRIFFSBESTIMMUNGEN)</w:t>
      </w:r>
      <w:bookmarkEnd w:id="62"/>
      <w:r>
        <w:t xml:space="preserve"> </w:t>
      </w:r>
    </w:p>
    <w:p w14:paraId="315621D6" w14:textId="77777777" w:rsidR="0053472A" w:rsidRPr="00E601CA" w:rsidRDefault="0053472A" w:rsidP="00DF0DDD"/>
    <w:p w14:paraId="2244B085" w14:textId="619B0E73" w:rsidR="00BC21DF" w:rsidRPr="00E601CA" w:rsidRDefault="0053472A" w:rsidP="00DF0DDD">
      <w:r>
        <w:t>Höhe: Die Höhe eines Gebäudes entspricht der Höhe der Schwelle der Haupteingangstür des Gebäudes.</w:t>
      </w:r>
    </w:p>
    <w:p w14:paraId="6C649F24" w14:textId="77777777" w:rsidR="0053472A" w:rsidRPr="00E601CA" w:rsidRDefault="0053472A" w:rsidP="00DF0DDD"/>
    <w:p w14:paraId="2231401B" w14:textId="14863E5A" w:rsidR="00BC21DF" w:rsidRPr="00E601CA" w:rsidRDefault="00BC21DF" w:rsidP="00DF0DDD">
      <w:r>
        <w:t>Gebäude: Ein überdachtes unbewegliches Gefüge, das zur Bewohnung, für eine Tätigkeit oder eine andere menschliche Nutzung bestimmt ist.</w:t>
      </w:r>
    </w:p>
    <w:p w14:paraId="7D12BDBC" w14:textId="77777777" w:rsidR="0053472A" w:rsidRPr="00E601CA" w:rsidRDefault="0053472A" w:rsidP="00DF0DDD"/>
    <w:p w14:paraId="6EF6B169" w14:textId="325EAD8A" w:rsidR="00BC21DF" w:rsidRPr="00E601CA" w:rsidRDefault="00BC21DF" w:rsidP="00DF0DDD">
      <w:r>
        <w:t>Zu Wohnzwecken genutzter Gebäudeteil: Als zu Wohnzwecken genutzter Gebäudeteil im Sinne des vorliegenden Erlasses gilt ein Gebäudeteil, der aus Wohnräumen sowie ggf. Gemeinschaftsbereichen besteht.</w:t>
      </w:r>
    </w:p>
    <w:p w14:paraId="6F9E5D4D" w14:textId="5305DA98" w:rsidR="00BC21DF" w:rsidRPr="00E601CA" w:rsidRDefault="00BC21DF" w:rsidP="00BC21DF">
      <w:r>
        <w:t>Ferienwohnungen mit Schlafraum, Küche und sanitären Einrichtungen unterliegen den in dem vorliegenden Erlass festgelegten Vorschriften für zu Wohnzwecken genutzte Gebäude.</w:t>
      </w:r>
    </w:p>
    <w:p w14:paraId="229FD874" w14:textId="77777777" w:rsidR="0053472A" w:rsidRPr="00E601CA" w:rsidRDefault="0053472A" w:rsidP="00BC21DF"/>
    <w:p w14:paraId="332FC662" w14:textId="6BCE36E0" w:rsidR="00AA57C7" w:rsidRPr="00E601CA" w:rsidRDefault="00AA57C7" w:rsidP="00AA57C7">
      <w:r>
        <w:t>Mehrfamilienwohnhaus, auch „Mehrfamilienhaus“ genannt: Gebäude, das hauptsächlich zu Wohnzwecken genutzt wird und mehr als zwei Wohnungen umfasst, die teilweise oder ganz übereinander liegen.</w:t>
      </w:r>
    </w:p>
    <w:p w14:paraId="76C1C7BD" w14:textId="77777777" w:rsidR="0053472A" w:rsidRPr="00E601CA" w:rsidRDefault="0053472A" w:rsidP="00AA57C7"/>
    <w:p w14:paraId="39C61FFE" w14:textId="77777777" w:rsidR="00AA57C7" w:rsidRPr="00E601CA" w:rsidRDefault="00AA57C7" w:rsidP="00AA57C7">
      <w:r>
        <w:t>Reihenhäuser: Zwei Gebäude werden als Reihenhäuser bezeichnet, wenn sie nebeneinander liegen und über Wände miteinander verbunden sind, deren Kontaktfläche mindestens 15 m² bei Wohnhäusern und 50 m² bei sonstigen Gebäuden beträgt. Für die Zwecke des vorliegenden Erlasses werden Reihenhäuser als ein einziges Gebäude betrachtet, ohne dass dadurch die für jeden Gebäudeteil zu berücksichtigende Nutzung geändert wird.</w:t>
      </w:r>
    </w:p>
    <w:p w14:paraId="0267D7D3" w14:textId="77777777" w:rsidR="0053472A" w:rsidRPr="00E601CA" w:rsidRDefault="0053472A" w:rsidP="00702F49"/>
    <w:p w14:paraId="469A729B" w14:textId="35330C33" w:rsidR="00702F49" w:rsidRPr="00E601CA" w:rsidRDefault="00702F49" w:rsidP="00702F49">
      <w:r>
        <w:t>Komponente: Der Begriff „Komponente“ ist im Sinne des Artikels R. 111-20-3 der Bau- und Wohnungsordnung zu verstehen.</w:t>
      </w:r>
    </w:p>
    <w:p w14:paraId="00D45142" w14:textId="77777777" w:rsidR="00AB6ABD" w:rsidRPr="00E601CA" w:rsidRDefault="00AB6ABD" w:rsidP="00AB6ABD"/>
    <w:p w14:paraId="62475260" w14:textId="2A6122DA" w:rsidR="00AB6ABD" w:rsidRPr="00E601CA" w:rsidRDefault="00AB6ABD" w:rsidP="00AB6ABD">
      <w:r>
        <w:t>Wesentliche Abweichung von dem Berechnungsverfahren: Abweichung bei mindestens einem der vorgeschriebenen Indikatoren, die mit dem Berechnungsverfahren gemäß Artikel 17 berechnet werden, deren Wert um mindestens 2 % günstiger als der Wert ist, der anhand derselben beschreibenden Daten nach korrekter Anwendung dieses Berechnungsverfahrens ermittelt wurde.</w:t>
      </w:r>
    </w:p>
    <w:p w14:paraId="4371BC97" w14:textId="77777777" w:rsidR="0053472A" w:rsidRPr="00E601CA" w:rsidRDefault="0053472A" w:rsidP="007A5D47"/>
    <w:p w14:paraId="40559DA0" w14:textId="03189121" w:rsidR="007A5D47" w:rsidRPr="00E601CA" w:rsidRDefault="007A5D47" w:rsidP="007A5D47">
      <w:r>
        <w:t>Raum: Ein Raum ist ein Volumenteil, der durch waagerechte und senkrechte fest angebrachte oder bewegliche Wände vollständig von der Außenumgebung oder von anderen Volumenteilen abgetrennt ist.</w:t>
      </w:r>
    </w:p>
    <w:p w14:paraId="60844F04" w14:textId="77777777" w:rsidR="0053472A" w:rsidRPr="00E601CA" w:rsidRDefault="0053472A" w:rsidP="007A5D47"/>
    <w:p w14:paraId="03EB249D" w14:textId="79BD6DFA" w:rsidR="007A5D47" w:rsidRPr="00E601CA" w:rsidRDefault="007A5D47" w:rsidP="00DF0DDD">
      <w:r>
        <w:t xml:space="preserve">Durchgangsraum: Im Hinblick auf die sommerliche Behaglichkeit des Berechnungsverfahrens gemäß Artikel 17 gilt ein Raum als Durchgangsraum, wenn für jede Ausrichtung (nördliche Vertikale, östliche </w:t>
      </w:r>
      <w:r>
        <w:lastRenderedPageBreak/>
        <w:t>Vertikale, südliche Vertikale, westliche Vertikale, Horizontale) die Fläche der Maueröffnungen weniger als 75 % der Gesamtfläche der Maueröffnungen des Raums beträgt.</w:t>
      </w:r>
    </w:p>
    <w:p w14:paraId="5495E8F3" w14:textId="77777777" w:rsidR="00AB6ABD" w:rsidRPr="00E601CA" w:rsidRDefault="00AB6ABD" w:rsidP="00DF0DDD"/>
    <w:p w14:paraId="0AC5A1DB" w14:textId="77777777" w:rsidR="00AB6ABD" w:rsidRPr="00E601CA" w:rsidRDefault="00AB6ABD" w:rsidP="00AB6ABD">
      <w:r>
        <w:t>Einfamilienhaus: Ein Einfamilienhaus ist ein zu Wohnzwecken genutztes Gebäude, das kein Mehrfamilienwohnhaus ist.</w:t>
      </w:r>
    </w:p>
    <w:p w14:paraId="5ADF1630" w14:textId="77777777" w:rsidR="00AB6ABD" w:rsidRPr="00E601CA" w:rsidRDefault="00AB6ABD" w:rsidP="00AB6ABD"/>
    <w:p w14:paraId="3B632227" w14:textId="77777777" w:rsidR="00AB6ABD" w:rsidRPr="00E601CA" w:rsidRDefault="00AB6ABD" w:rsidP="00AB6ABD">
      <w:r>
        <w:t>Thermisch homogener Gebäudeteil: Eine Gruppe von Räumen mit einer ähnlichen Entwicklung der Innentemperatur. Insbesondere Räume, die an verschiedene Kühlsysteme angeschlossen sind, sind nicht als thermisch homogen anzusehen. Durchgangsräume und Räume, die keine Durchgangsräume sind, werden nicht als thermisch homogen angesehen.</w:t>
      </w:r>
    </w:p>
    <w:p w14:paraId="57BD3757" w14:textId="77777777" w:rsidR="0053472A" w:rsidRPr="00E601CA" w:rsidRDefault="0053472A" w:rsidP="00DF0DDD"/>
    <w:p w14:paraId="66A5E431" w14:textId="4A13C6FA" w:rsidR="00BC21DF" w:rsidRPr="00E601CA" w:rsidRDefault="00BC21DF" w:rsidP="00BC21DF">
      <w:r>
        <w:t>Gelegentliche Nutzung eines Raums: Ein gelegentlich genutzter Raum ist ein Raum, bei dem bestimmungsgemäß nicht vorgesehen ist, dass sich ein Nutzer länger als eine halbe Stunde darin aufhält.</w:t>
      </w:r>
    </w:p>
    <w:p w14:paraId="09AFC408" w14:textId="6C7CB8C8" w:rsidR="00BC21DF" w:rsidRPr="00E601CA" w:rsidRDefault="00BC21DF" w:rsidP="00BC21DF">
      <w:r>
        <w:t>Dies ist beispielsweise der Fall bei Verbindungswegen, Badezimmern, Duschräumen und Toilettenräumen. Hingegen gilt eine Küche oder eine Halle, in der sich ein Arbeitsplatz befindet, nicht als gelegentlich genutzter Raum.</w:t>
      </w:r>
    </w:p>
    <w:p w14:paraId="0B4FEC0C" w14:textId="77777777" w:rsidR="00AB6ABD" w:rsidRPr="00E601CA" w:rsidRDefault="00AB6ABD" w:rsidP="00AB6ABD"/>
    <w:p w14:paraId="080B0C0A" w14:textId="30E2E3F5" w:rsidR="00AB6ABD" w:rsidRPr="00E601CA" w:rsidRDefault="00AB6ABD" w:rsidP="00F74657">
      <w:pPr>
        <w:keepNext/>
      </w:pPr>
      <w:r>
        <w:t>Ausrichtungen:</w:t>
      </w:r>
    </w:p>
    <w:p w14:paraId="2AD98BBD" w14:textId="77777777" w:rsidR="00AB6ABD" w:rsidRPr="00E601CA" w:rsidRDefault="00AB6ABD" w:rsidP="00AB6ABD">
      <w:r>
        <w:t>Die Nordausrichtung umfasst sämtliche Ausrichtungen von Nordosten über Norden bis Nordwesten, einschließlich Nordosten und Nordwesten.</w:t>
      </w:r>
    </w:p>
    <w:p w14:paraId="76D29CA9" w14:textId="77777777" w:rsidR="00AB6ABD" w:rsidRPr="00E601CA" w:rsidRDefault="00AB6ABD" w:rsidP="00AB6ABD">
      <w:r>
        <w:t>Die Ostausrichtung umfasst sämtliche Ausrichtungen von Nordosten über Osten bis Südosten, jedoch ausschließlich Nordosten und Südosten.</w:t>
      </w:r>
    </w:p>
    <w:p w14:paraId="08D0F8C8" w14:textId="77777777" w:rsidR="00AB6ABD" w:rsidRPr="00E601CA" w:rsidRDefault="00AB6ABD" w:rsidP="00AB6ABD">
      <w:r>
        <w:t>Die Südausrichtung umfasst sämtliche Ausrichtungen von Südosten über Süden bis Südwesten, einschließlich Südosten und Südwesten.</w:t>
      </w:r>
    </w:p>
    <w:p w14:paraId="07C9BAAF" w14:textId="5EE3B617" w:rsidR="00BC21DF" w:rsidRPr="00E601CA" w:rsidRDefault="00AB6ABD" w:rsidP="00AB6ABD">
      <w:r>
        <w:t>Die Westausrichtung umfasst sämtliche Ausrichtungen von Südosten über Westen bis Südwesten, jedoch ausschließlich Südwesten und Nordwesten.</w:t>
      </w:r>
    </w:p>
    <w:p w14:paraId="60CD86AA" w14:textId="77777777" w:rsidR="00AB6ABD" w:rsidRPr="00E601CA" w:rsidRDefault="00AB6ABD" w:rsidP="00AB6ABD"/>
    <w:p w14:paraId="4E050021" w14:textId="6FA88106" w:rsidR="00AB6ABD" w:rsidRPr="00E601CA" w:rsidRDefault="00AB6ABD" w:rsidP="00AB6ABD">
      <w:r>
        <w:t>Vertikale oder horizontale Wand: Eine Wand wird als vertikal bezeichnet, wenn der Winkel dieser Wand mit der Horizontalen gleich oder größer als 60 Grad ist, sie wird als horizontal bezeichnet, wenn dieser Winkel kleiner als 60 Grad ist.</w:t>
      </w:r>
    </w:p>
    <w:p w14:paraId="2E6AC089" w14:textId="77777777" w:rsidR="00AB6ABD" w:rsidRPr="00E601CA" w:rsidRDefault="00AB6ABD" w:rsidP="00AB6ABD"/>
    <w:p w14:paraId="682141BC" w14:textId="7E81E3BD" w:rsidR="00AB6ABD" w:rsidRPr="00E601CA" w:rsidRDefault="00AB6ABD" w:rsidP="00AB6ABD">
      <w:r>
        <w:t>Boden: Ein Boden ist ein waagerechtes Bauteil, bei dem lediglich die Oberseite mit einem beheizten Raum verbunden ist.</w:t>
      </w:r>
    </w:p>
    <w:p w14:paraId="580AD7B9" w14:textId="3302BD08" w:rsidR="00AB6ABD" w:rsidRPr="00E601CA" w:rsidRDefault="00AB6ABD" w:rsidP="00AB6ABD"/>
    <w:p w14:paraId="0B1ABA2B" w14:textId="73F24F10" w:rsidR="00AB6ABD" w:rsidRPr="00E601CA" w:rsidRDefault="00AB6ABD" w:rsidP="00AB6ABD">
      <w:r>
        <w:t>Zwischendecke: Eine Zwischendecke ist ein waagerechtes Bauteil, bei dem Unter- und Oberseite mit einem beheizten Raum verbunden sind.</w:t>
      </w:r>
    </w:p>
    <w:p w14:paraId="31D01BB7" w14:textId="77777777" w:rsidR="00AB6ABD" w:rsidRPr="00E601CA" w:rsidRDefault="00AB6ABD" w:rsidP="00AB6ABD"/>
    <w:p w14:paraId="71DB92BC" w14:textId="77777777" w:rsidR="00AB6ABD" w:rsidRPr="00E601CA" w:rsidRDefault="00AB6ABD" w:rsidP="00AB6ABD">
      <w:r>
        <w:t>Fernwärme- bzw. Fernkältenetz: Netz, durch das die Verteilung von Wärme oder Kälte an mehrere Gebäude auf verschiedenen Grundstücken ermöglicht wird. Bei einer gleichzeitigen Errichtung von Gebäuden und eines diese Gebäude versorgenden Wärmenetzes gilt dieses Wärmenetz nur dann als Fernwärmenetz im Sinne des vorliegenden Erlasses, wenn der oder die Bauherren der errichteten und durch das Netz versorgten Gebäude keinen Zugriff auf die technischen Eigenschaften der errichteten Gebäude und Netze haben. Gehört der Bauherr der Gebäude zu derselben Einheit wie der Bauherr des die Gebäude versorgenden Wärmenetzes, gilt das Netz nicht als Fernwärmenetz im Sinne des vorliegenden Erlasses.</w:t>
      </w:r>
    </w:p>
    <w:p w14:paraId="76F35248" w14:textId="77777777" w:rsidR="00AB6ABD" w:rsidRPr="00E601CA" w:rsidRDefault="00AB6ABD" w:rsidP="00AB6ABD"/>
    <w:p w14:paraId="1C1EB5D0" w14:textId="2A8FB2C6" w:rsidR="00BC21DF" w:rsidRPr="00E601CA" w:rsidRDefault="00BC21DF" w:rsidP="00F74657">
      <w:pPr>
        <w:keepNext/>
      </w:pPr>
      <w:r>
        <w:t>Bezugsfläche eines Gebäudes oder Gebäudeteils:</w:t>
      </w:r>
    </w:p>
    <w:p w14:paraId="65CA250D" w14:textId="5691D6A3" w:rsidR="00BC21DF" w:rsidRPr="00E601CA" w:rsidRDefault="00BC21DF" w:rsidP="00AA57C7">
      <w:pPr>
        <w:pStyle w:val="ListParagraph"/>
        <w:numPr>
          <w:ilvl w:val="0"/>
          <w:numId w:val="27"/>
        </w:numPr>
      </w:pPr>
      <w:r>
        <w:t>bei einem zu Wohnzwecken genutzten Gebäude oder Gebäudeteil: die Wohnfläche des Gebäudes oder Gebäudeteils,</w:t>
      </w:r>
    </w:p>
    <w:p w14:paraId="33E419CF" w14:textId="63627DC0" w:rsidR="00BC21DF" w:rsidRPr="00E601CA" w:rsidRDefault="00BC21DF" w:rsidP="00AA57C7">
      <w:pPr>
        <w:pStyle w:val="ListParagraph"/>
        <w:numPr>
          <w:ilvl w:val="0"/>
          <w:numId w:val="27"/>
        </w:numPr>
      </w:pPr>
      <w:r>
        <w:t>in anderen Fällen: Nutzfläche des Gebäudes oder Gebäudeteils. </w:t>
      </w:r>
    </w:p>
    <w:p w14:paraId="547F23C9" w14:textId="77777777" w:rsidR="00BC21DF" w:rsidRPr="00E601CA" w:rsidRDefault="00BC21DF" w:rsidP="00AA57C7"/>
    <w:p w14:paraId="6AB79C5B" w14:textId="6FAB5D14" w:rsidR="00BC21DF" w:rsidRPr="00E601CA" w:rsidRDefault="00BC21DF" w:rsidP="00AA57C7">
      <w:r>
        <w:t>Wohnfläche eines Gebäudes oder Gebäudeteils: Diese Fläche wird für jedes Gebäude oder jeden Gebäudeteil, das bzw. der zu Wohnzwecken genutzt wird, festgelegt.</w:t>
      </w:r>
    </w:p>
    <w:p w14:paraId="0DB59602" w14:textId="23F3B340" w:rsidR="00BC21DF" w:rsidRPr="00E601CA" w:rsidRDefault="00BC21DF" w:rsidP="00AA57C7">
      <w:r>
        <w:t>Die Wohnfläche einer Wohnung im Sinne des vorliegenden Erlasses ist die in Artikel R.* 111-2 der Bau- und Wohnungsordnung definierte Wohnfläche, einschließlich der Fläche von beheizten Veranden, die durch den Absatz 3 des genannten Artikels ausgeschlossen ist. Die Wohnfläche eines Gebäudes oder Gebäudeteils ist die Summe der Wohnflächen der darin befindlichen Wohnungen.</w:t>
      </w:r>
    </w:p>
    <w:p w14:paraId="21F2EB65" w14:textId="77777777" w:rsidR="00BC21DF" w:rsidRPr="00E601CA" w:rsidRDefault="00BC21DF" w:rsidP="00AA57C7"/>
    <w:p w14:paraId="334BB048" w14:textId="334DF16C" w:rsidR="00BC21DF" w:rsidRPr="00E601CA" w:rsidRDefault="00BC21DF" w:rsidP="00F74657">
      <w:pPr>
        <w:keepNext/>
      </w:pPr>
      <w:r>
        <w:t>Nutzfläche eines Gebäudes oder Gebäudeteils:</w:t>
      </w:r>
    </w:p>
    <w:p w14:paraId="79B698B6" w14:textId="77777777" w:rsidR="00BC21DF" w:rsidRPr="00E601CA" w:rsidRDefault="00BC21DF" w:rsidP="00AA57C7">
      <w:r>
        <w:t>Diese Fläche wird für jedes Gebäude oder jeden Gebäudeteil, das bzw. der nicht zu Wohnzwecken genutzt wird, festgelegt.</w:t>
      </w:r>
    </w:p>
    <w:p w14:paraId="6D0D8729" w14:textId="531BC817" w:rsidR="00BC21DF" w:rsidRPr="00E601CA" w:rsidRDefault="00BC21DF" w:rsidP="00F74657">
      <w:pPr>
        <w:keepNext/>
      </w:pPr>
      <w:r>
        <w:t>Die Nutzfläche eines Gebäudes oder eines Gebäudeteils im Sinne des vorliegenden Erlasses entspricht der bebauten Bodenfläche von Räumen, die den Wärmeschutzvorschriften unterliegen, abzüglich der folgenden Flächen:</w:t>
      </w:r>
    </w:p>
    <w:p w14:paraId="3B071247" w14:textId="100293D6" w:rsidR="00BC21DF" w:rsidRPr="00E601CA" w:rsidRDefault="00BC21DF" w:rsidP="00AA57C7">
      <w:pPr>
        <w:pStyle w:val="ListParagraph"/>
        <w:numPr>
          <w:ilvl w:val="0"/>
          <w:numId w:val="28"/>
        </w:numPr>
        <w:spacing w:before="0" w:after="0"/>
      </w:pPr>
      <w:r>
        <w:t>Flächen, die von Mauern eingenommen werden, einschließlich der Wärmedämmung,</w:t>
      </w:r>
    </w:p>
    <w:p w14:paraId="1954F44E" w14:textId="2B4798AC" w:rsidR="00BC21DF" w:rsidRPr="00E601CA" w:rsidRDefault="00BC21DF" w:rsidP="00AA57C7">
      <w:pPr>
        <w:pStyle w:val="ListParagraph"/>
        <w:numPr>
          <w:ilvl w:val="0"/>
          <w:numId w:val="28"/>
        </w:numPr>
        <w:spacing w:before="0" w:after="0"/>
      </w:pPr>
      <w:r>
        <w:t>fest eingebaute Trennwände, die in den Plänen vorgesehen sind,</w:t>
      </w:r>
    </w:p>
    <w:p w14:paraId="6B2D04E3" w14:textId="6B5BF793" w:rsidR="00BC21DF" w:rsidRPr="00E601CA" w:rsidRDefault="00BC21DF" w:rsidP="00AA57C7">
      <w:pPr>
        <w:pStyle w:val="ListParagraph"/>
        <w:numPr>
          <w:ilvl w:val="0"/>
          <w:numId w:val="28"/>
        </w:numPr>
        <w:spacing w:before="0" w:after="0"/>
      </w:pPr>
      <w:r>
        <w:t>Pfosten,</w:t>
      </w:r>
    </w:p>
    <w:p w14:paraId="39216D47" w14:textId="68B9703D" w:rsidR="00BC21DF" w:rsidRPr="00E601CA" w:rsidRDefault="00BC21DF" w:rsidP="00AA57C7">
      <w:pPr>
        <w:pStyle w:val="ListParagraph"/>
        <w:numPr>
          <w:ilvl w:val="0"/>
          <w:numId w:val="28"/>
        </w:numPr>
        <w:spacing w:before="0" w:after="0"/>
      </w:pPr>
      <w:r>
        <w:t>Stufen und Treppenhäuser,</w:t>
      </w:r>
    </w:p>
    <w:p w14:paraId="526A1D86" w14:textId="75851F2C" w:rsidR="00BC21DF" w:rsidRPr="00E601CA" w:rsidRDefault="00BC21DF" w:rsidP="00AA57C7">
      <w:pPr>
        <w:pStyle w:val="ListParagraph"/>
        <w:numPr>
          <w:ilvl w:val="0"/>
          <w:numId w:val="28"/>
        </w:numPr>
        <w:spacing w:before="0" w:after="0"/>
      </w:pPr>
      <w:r>
        <w:t>Schächte,</w:t>
      </w:r>
    </w:p>
    <w:p w14:paraId="4BFB8AA0" w14:textId="049283CA" w:rsidR="00BC21DF" w:rsidRPr="00E601CA" w:rsidRDefault="00BC21DF" w:rsidP="00AA57C7">
      <w:pPr>
        <w:pStyle w:val="ListParagraph"/>
        <w:numPr>
          <w:ilvl w:val="0"/>
          <w:numId w:val="28"/>
        </w:numPr>
        <w:spacing w:before="0" w:after="0"/>
      </w:pPr>
      <w:r>
        <w:t>Laibungen an Türen und Fenstern,</w:t>
      </w:r>
    </w:p>
    <w:p w14:paraId="0C01FA03" w14:textId="0943C1B0" w:rsidR="00BC21DF" w:rsidRPr="00E601CA" w:rsidRDefault="00BC21DF" w:rsidP="00AA57C7">
      <w:pPr>
        <w:pStyle w:val="ListParagraph"/>
        <w:numPr>
          <w:ilvl w:val="0"/>
          <w:numId w:val="28"/>
        </w:numPr>
        <w:spacing w:before="0" w:after="0"/>
      </w:pPr>
      <w:r>
        <w:t>Teile von Räumen mit einer Höhe unter 1,80 m,</w:t>
      </w:r>
    </w:p>
    <w:p w14:paraId="42E10F6B" w14:textId="63D76D8D" w:rsidR="00BC21DF" w:rsidRPr="00E601CA" w:rsidRDefault="00BC21DF" w:rsidP="00AA57C7">
      <w:pPr>
        <w:pStyle w:val="ListParagraph"/>
        <w:numPr>
          <w:ilvl w:val="0"/>
          <w:numId w:val="28"/>
        </w:numPr>
        <w:spacing w:before="0" w:after="0"/>
      </w:pPr>
      <w:r>
        <w:t>Teile des Untergeschosses, die als Fläche für eine Treppe oder Zugangsrampe dienen, oder Teile des Untergeschosses, in denen Aufzüge, Lastenaufzüge, Rauch- oder Belüftungskanäle enden,</w:t>
      </w:r>
    </w:p>
    <w:p w14:paraId="412EEEF5" w14:textId="7C81E137" w:rsidR="00BC21DF" w:rsidRPr="00E601CA" w:rsidRDefault="00BC21DF" w:rsidP="00AA57C7">
      <w:pPr>
        <w:pStyle w:val="ListParagraph"/>
        <w:numPr>
          <w:ilvl w:val="0"/>
          <w:numId w:val="28"/>
        </w:numPr>
        <w:spacing w:before="0" w:after="0"/>
      </w:pPr>
      <w:r>
        <w:t>Technikräume, die ausschließlich dem allgemeinen Betrieb des Gebäudes zugewiesen sind und gelegentlich genutzt werden.</w:t>
      </w:r>
    </w:p>
    <w:p w14:paraId="007B6DF1" w14:textId="77777777" w:rsidR="0053472A" w:rsidRPr="00E601CA" w:rsidRDefault="0053472A" w:rsidP="00AA57C7"/>
    <w:p w14:paraId="2C28A2B9" w14:textId="0E4E189C" w:rsidR="0001250E" w:rsidRPr="00E601CA" w:rsidRDefault="0001250E" w:rsidP="00AA57C7">
      <w:r>
        <w:lastRenderedPageBreak/>
        <w:t>System: Komponente oder Gruppe von Komponenten, durch die eine oder mehrere Funktionen in dem Gebäude ausgeführt werden. Diese Funktionen können insbesondere die Erzeugung von Wärme, Warmwasser oder Kälte, die Regelung dieser Erzeugung oder die Wärmedämmung des Gebäudes gegen äußere klimatische Bedingungen umfassen.</w:t>
      </w:r>
    </w:p>
    <w:p w14:paraId="6512DBE1" w14:textId="77777777" w:rsidR="00AB6ABD" w:rsidRPr="00E601CA" w:rsidRDefault="00AB6ABD" w:rsidP="00AA57C7"/>
    <w:p w14:paraId="4D95679D" w14:textId="3EF4B2EC" w:rsidR="00E76A8B" w:rsidRPr="00E601CA" w:rsidRDefault="00AB6ABD" w:rsidP="00AA57C7">
      <w:r>
        <w:t>Klimaanlage: Eine Klimaanlage ist eine Anlage zur Kälteerzeugung in Verbindung mit Kälte abgebenden Vorrichtungen, die der Behaglichkeit von Personen dient und das Erreichen einer Solltemperatur von 26 °C unter sommerlichen Bedingungen ermöglicht.</w:t>
      </w:r>
    </w:p>
    <w:p w14:paraId="4C80EF36" w14:textId="77777777" w:rsidR="00AB6ABD" w:rsidRPr="00E601CA" w:rsidRDefault="00AB6ABD" w:rsidP="00AA57C7"/>
    <w:p w14:paraId="69FC919F" w14:textId="1D2B6D32" w:rsidR="005671F2" w:rsidRPr="00E601CA" w:rsidRDefault="005671F2" w:rsidP="00AA57C7">
      <w:r>
        <w:t>Nutzung eines Gebäudeteils: Bezeichnet die Funktion des Gebäudeteils oder der spezifischen Räume, aus denen dieser besteht. Im Fall einer Erweiterung ist die Nutzung dieser Erweiterung, wenn keine spezifischen Räume vorhanden sind, die des bestehenden Gebäudes.</w:t>
      </w:r>
    </w:p>
    <w:p w14:paraId="2608D3A2" w14:textId="77777777" w:rsidR="008E1467" w:rsidRPr="00E601CA" w:rsidRDefault="008E1467" w:rsidP="00AA57C7"/>
    <w:p w14:paraId="0C448E3B" w14:textId="2D568060" w:rsidR="00BC21DF" w:rsidRPr="00E601CA" w:rsidRDefault="008E1467" w:rsidP="00AA57C7">
      <w:r>
        <w:t>Hauptnutzung eines Gebäudes: Nutzung, der die größte Bodenfläche des Gebäudes zugewiesen wird.</w:t>
      </w:r>
    </w:p>
    <w:p w14:paraId="6A87B9DD" w14:textId="77777777" w:rsidR="00AB6ABD" w:rsidRPr="00E601CA" w:rsidRDefault="00AB6ABD" w:rsidP="00AA57C7"/>
    <w:p w14:paraId="6D007A10" w14:textId="115CB5E1" w:rsidR="00E76A8B" w:rsidRPr="00E601CA" w:rsidRDefault="00AB6ABD" w:rsidP="00AB6ABD">
      <w:r>
        <w:t>Gebäudezone: Eine Gebäudezone, manchmal auch nur als „Zone“ bezeichnet, ist ein Gebäudeteil mit einer einzigen Nutzung.</w:t>
      </w:r>
    </w:p>
    <w:p w14:paraId="2CBA4265" w14:textId="77777777" w:rsidR="003815E1" w:rsidRPr="00E601CA" w:rsidRDefault="003815E1" w:rsidP="00AB6ABD"/>
    <w:p w14:paraId="37928EFC" w14:textId="67E22099" w:rsidR="000523B4" w:rsidRPr="00E601CA" w:rsidRDefault="003815E1" w:rsidP="00F74657">
      <w:pPr>
        <w:pStyle w:val="Heading4"/>
        <w:keepNext/>
        <w:numPr>
          <w:ilvl w:val="0"/>
          <w:numId w:val="0"/>
        </w:numPr>
        <w:ind w:left="360" w:hanging="360"/>
      </w:pPr>
      <w:bookmarkStart w:id="63" w:name="_Ref49444555"/>
      <w:r>
        <w:rPr>
          <w:b w:val="0"/>
        </w:rPr>
        <w:t>ANHANG II.</w:t>
      </w:r>
      <w:r>
        <w:t xml:space="preserve"> (FESTLEGUNG DER GEOGRAFISCHEN GEBIETE) </w:t>
      </w:r>
      <w:bookmarkEnd w:id="63"/>
    </w:p>
    <w:p w14:paraId="77E10F34" w14:textId="77777777" w:rsidR="00A93FE3" w:rsidRPr="00E601CA" w:rsidRDefault="00A93FE3" w:rsidP="00A93FE3">
      <w:r>
        <w:t>Die acht klimatischen Zonen (H1a, H1b, H1c, H2a, H2b, H2c, H2d und H3) sind entsprechend der folgenden Tabelle festgelegt.</w:t>
      </w:r>
    </w:p>
    <w:tbl>
      <w:tblPr>
        <w:tblStyle w:val="TableGrid"/>
        <w:tblW w:w="2970" w:type="pct"/>
        <w:jc w:val="center"/>
        <w:tblLook w:val="04A0" w:firstRow="1" w:lastRow="0" w:firstColumn="1" w:lastColumn="0" w:noHBand="0" w:noVBand="1"/>
      </w:tblPr>
      <w:tblGrid>
        <w:gridCol w:w="3397"/>
        <w:gridCol w:w="1986"/>
      </w:tblGrid>
      <w:tr w:rsidR="00A93FE3" w:rsidRPr="00E601CA" w14:paraId="3784C9B5" w14:textId="77777777" w:rsidTr="00511F7F">
        <w:trPr>
          <w:tblHeader/>
          <w:jc w:val="center"/>
        </w:trPr>
        <w:tc>
          <w:tcPr>
            <w:tcW w:w="3155" w:type="pct"/>
            <w:hideMark/>
          </w:tcPr>
          <w:p w14:paraId="1011304F" w14:textId="77777777" w:rsidR="00A93FE3" w:rsidRPr="00E601CA" w:rsidRDefault="00A93FE3" w:rsidP="00F74657">
            <w:pPr>
              <w:keepNext/>
              <w:jc w:val="center"/>
              <w:rPr>
                <w:rFonts w:eastAsia="Times New Roman" w:cs="Times New Roman"/>
                <w:b/>
                <w:bCs/>
              </w:rPr>
            </w:pPr>
            <w:r>
              <w:rPr>
                <w:b/>
              </w:rPr>
              <w:t>Departement</w:t>
            </w:r>
          </w:p>
        </w:tc>
        <w:tc>
          <w:tcPr>
            <w:tcW w:w="1845" w:type="pct"/>
            <w:hideMark/>
          </w:tcPr>
          <w:p w14:paraId="7E770842" w14:textId="77777777" w:rsidR="00A93FE3" w:rsidRPr="00E601CA" w:rsidRDefault="00A93FE3" w:rsidP="00F74657">
            <w:pPr>
              <w:keepNext/>
              <w:jc w:val="center"/>
              <w:rPr>
                <w:rFonts w:eastAsia="Times New Roman" w:cs="Times New Roman"/>
                <w:b/>
                <w:bCs/>
              </w:rPr>
            </w:pPr>
            <w:r>
              <w:rPr>
                <w:b/>
              </w:rPr>
              <w:t>Klimatische Zone</w:t>
            </w:r>
          </w:p>
        </w:tc>
      </w:tr>
      <w:tr w:rsidR="00A93FE3" w:rsidRPr="00E601CA" w14:paraId="0CE9A5BE" w14:textId="77777777" w:rsidTr="00511F7F">
        <w:trPr>
          <w:jc w:val="center"/>
        </w:trPr>
        <w:tc>
          <w:tcPr>
            <w:tcW w:w="3155" w:type="pct"/>
            <w:hideMark/>
          </w:tcPr>
          <w:p w14:paraId="7C3AF6CC" w14:textId="77777777" w:rsidR="00A93FE3" w:rsidRPr="00E601CA" w:rsidRDefault="00A93FE3" w:rsidP="00511F7F">
            <w:pPr>
              <w:spacing w:before="100" w:beforeAutospacing="1" w:after="100" w:afterAutospacing="1"/>
              <w:jc w:val="left"/>
              <w:rPr>
                <w:rFonts w:eastAsia="Times New Roman" w:cs="Times New Roman"/>
              </w:rPr>
            </w:pPr>
            <w:r>
              <w:t>01 ― Ain</w:t>
            </w:r>
          </w:p>
        </w:tc>
        <w:tc>
          <w:tcPr>
            <w:tcW w:w="1845" w:type="pct"/>
            <w:hideMark/>
          </w:tcPr>
          <w:p w14:paraId="7D1AEC56" w14:textId="77777777" w:rsidR="00A93FE3" w:rsidRPr="00E601CA" w:rsidRDefault="00A93FE3" w:rsidP="00511F7F">
            <w:pPr>
              <w:jc w:val="center"/>
              <w:rPr>
                <w:rFonts w:eastAsia="Times New Roman" w:cs="Times New Roman"/>
              </w:rPr>
            </w:pPr>
            <w:r>
              <w:t>H1c</w:t>
            </w:r>
          </w:p>
        </w:tc>
      </w:tr>
      <w:tr w:rsidR="00A93FE3" w:rsidRPr="00E601CA" w14:paraId="619523E6" w14:textId="77777777" w:rsidTr="00511F7F">
        <w:trPr>
          <w:jc w:val="center"/>
        </w:trPr>
        <w:tc>
          <w:tcPr>
            <w:tcW w:w="3155" w:type="pct"/>
            <w:hideMark/>
          </w:tcPr>
          <w:p w14:paraId="7A881F4B" w14:textId="77777777" w:rsidR="00A93FE3" w:rsidRPr="00E601CA" w:rsidRDefault="00A93FE3" w:rsidP="00511F7F">
            <w:pPr>
              <w:spacing w:before="100" w:beforeAutospacing="1" w:after="100" w:afterAutospacing="1"/>
              <w:jc w:val="left"/>
              <w:rPr>
                <w:rFonts w:eastAsia="Times New Roman" w:cs="Times New Roman"/>
              </w:rPr>
            </w:pPr>
            <w:r>
              <w:t>02 ― Aisne</w:t>
            </w:r>
          </w:p>
        </w:tc>
        <w:tc>
          <w:tcPr>
            <w:tcW w:w="1845" w:type="pct"/>
            <w:hideMark/>
          </w:tcPr>
          <w:p w14:paraId="53258611" w14:textId="77777777" w:rsidR="00A93FE3" w:rsidRPr="00E601CA" w:rsidRDefault="00A93FE3" w:rsidP="00511F7F">
            <w:pPr>
              <w:jc w:val="center"/>
              <w:rPr>
                <w:rFonts w:eastAsia="Times New Roman" w:cs="Times New Roman"/>
              </w:rPr>
            </w:pPr>
            <w:r>
              <w:t>H1a</w:t>
            </w:r>
          </w:p>
        </w:tc>
      </w:tr>
      <w:tr w:rsidR="00A93FE3" w:rsidRPr="00E601CA" w14:paraId="20382AAB" w14:textId="77777777" w:rsidTr="00511F7F">
        <w:trPr>
          <w:jc w:val="center"/>
        </w:trPr>
        <w:tc>
          <w:tcPr>
            <w:tcW w:w="3155" w:type="pct"/>
            <w:hideMark/>
          </w:tcPr>
          <w:p w14:paraId="318F13B6" w14:textId="77777777" w:rsidR="00A93FE3" w:rsidRPr="00E601CA" w:rsidRDefault="00A93FE3" w:rsidP="00511F7F">
            <w:pPr>
              <w:spacing w:before="100" w:beforeAutospacing="1" w:after="100" w:afterAutospacing="1"/>
              <w:jc w:val="left"/>
              <w:rPr>
                <w:rFonts w:eastAsia="Times New Roman" w:cs="Times New Roman"/>
              </w:rPr>
            </w:pPr>
            <w:r>
              <w:t>03 ― Allier</w:t>
            </w:r>
          </w:p>
        </w:tc>
        <w:tc>
          <w:tcPr>
            <w:tcW w:w="1845" w:type="pct"/>
            <w:hideMark/>
          </w:tcPr>
          <w:p w14:paraId="58F3E8D5" w14:textId="77777777" w:rsidR="00A93FE3" w:rsidRPr="00E601CA" w:rsidRDefault="00A93FE3" w:rsidP="00511F7F">
            <w:pPr>
              <w:jc w:val="center"/>
              <w:rPr>
                <w:rFonts w:eastAsia="Times New Roman" w:cs="Times New Roman"/>
              </w:rPr>
            </w:pPr>
            <w:r>
              <w:t>H1c</w:t>
            </w:r>
          </w:p>
        </w:tc>
      </w:tr>
      <w:tr w:rsidR="00A93FE3" w:rsidRPr="00E601CA" w14:paraId="56E85D61" w14:textId="77777777" w:rsidTr="00511F7F">
        <w:trPr>
          <w:jc w:val="center"/>
        </w:trPr>
        <w:tc>
          <w:tcPr>
            <w:tcW w:w="3155" w:type="pct"/>
            <w:hideMark/>
          </w:tcPr>
          <w:p w14:paraId="25C99C31" w14:textId="77777777" w:rsidR="00A93FE3" w:rsidRPr="00E601CA" w:rsidRDefault="00A93FE3" w:rsidP="00511F7F">
            <w:pPr>
              <w:spacing w:before="100" w:beforeAutospacing="1" w:after="100" w:afterAutospacing="1"/>
              <w:jc w:val="left"/>
              <w:rPr>
                <w:rFonts w:eastAsia="Times New Roman" w:cs="Times New Roman"/>
              </w:rPr>
            </w:pPr>
            <w:r>
              <w:t>04 ― Alpes-de-Haute-Provence</w:t>
            </w:r>
          </w:p>
        </w:tc>
        <w:tc>
          <w:tcPr>
            <w:tcW w:w="1845" w:type="pct"/>
            <w:hideMark/>
          </w:tcPr>
          <w:p w14:paraId="4279D4E0" w14:textId="77777777" w:rsidR="00A93FE3" w:rsidRPr="00E601CA" w:rsidRDefault="00A93FE3" w:rsidP="00511F7F">
            <w:pPr>
              <w:jc w:val="center"/>
              <w:rPr>
                <w:rFonts w:eastAsia="Times New Roman" w:cs="Times New Roman"/>
              </w:rPr>
            </w:pPr>
            <w:r>
              <w:t>H2d</w:t>
            </w:r>
          </w:p>
        </w:tc>
      </w:tr>
      <w:tr w:rsidR="00A93FE3" w:rsidRPr="00E601CA" w14:paraId="4CFCCF6A" w14:textId="77777777" w:rsidTr="00511F7F">
        <w:trPr>
          <w:jc w:val="center"/>
        </w:trPr>
        <w:tc>
          <w:tcPr>
            <w:tcW w:w="3155" w:type="pct"/>
            <w:hideMark/>
          </w:tcPr>
          <w:p w14:paraId="2B53416F" w14:textId="77777777" w:rsidR="00A93FE3" w:rsidRPr="00E601CA" w:rsidRDefault="00A93FE3" w:rsidP="00511F7F">
            <w:pPr>
              <w:spacing w:before="100" w:beforeAutospacing="1" w:after="100" w:afterAutospacing="1"/>
              <w:jc w:val="left"/>
              <w:rPr>
                <w:rFonts w:eastAsia="Times New Roman" w:cs="Times New Roman"/>
              </w:rPr>
            </w:pPr>
            <w:r>
              <w:t>05 ― Hautes-Alpes</w:t>
            </w:r>
          </w:p>
        </w:tc>
        <w:tc>
          <w:tcPr>
            <w:tcW w:w="1845" w:type="pct"/>
            <w:hideMark/>
          </w:tcPr>
          <w:p w14:paraId="34020815" w14:textId="77777777" w:rsidR="00A93FE3" w:rsidRPr="00E601CA" w:rsidRDefault="00A93FE3" w:rsidP="00511F7F">
            <w:pPr>
              <w:jc w:val="center"/>
              <w:rPr>
                <w:rFonts w:eastAsia="Times New Roman" w:cs="Times New Roman"/>
              </w:rPr>
            </w:pPr>
            <w:r>
              <w:t>H1c</w:t>
            </w:r>
          </w:p>
        </w:tc>
      </w:tr>
      <w:tr w:rsidR="00A93FE3" w:rsidRPr="00E601CA" w14:paraId="312AEFDB" w14:textId="77777777" w:rsidTr="00511F7F">
        <w:trPr>
          <w:jc w:val="center"/>
        </w:trPr>
        <w:tc>
          <w:tcPr>
            <w:tcW w:w="3155" w:type="pct"/>
            <w:hideMark/>
          </w:tcPr>
          <w:p w14:paraId="19AE01C8" w14:textId="77777777" w:rsidR="00A93FE3" w:rsidRPr="00E601CA" w:rsidRDefault="00A93FE3" w:rsidP="00511F7F">
            <w:pPr>
              <w:spacing w:before="100" w:beforeAutospacing="1" w:after="100" w:afterAutospacing="1"/>
              <w:jc w:val="left"/>
              <w:rPr>
                <w:rFonts w:eastAsia="Times New Roman" w:cs="Times New Roman"/>
              </w:rPr>
            </w:pPr>
            <w:r>
              <w:t>06 ― Alpes-Maritimes</w:t>
            </w:r>
          </w:p>
        </w:tc>
        <w:tc>
          <w:tcPr>
            <w:tcW w:w="1845" w:type="pct"/>
            <w:hideMark/>
          </w:tcPr>
          <w:p w14:paraId="43871B31" w14:textId="77777777" w:rsidR="00A93FE3" w:rsidRPr="00E601CA" w:rsidRDefault="00A93FE3" w:rsidP="00511F7F">
            <w:pPr>
              <w:jc w:val="center"/>
              <w:rPr>
                <w:rFonts w:eastAsia="Times New Roman" w:cs="Times New Roman"/>
              </w:rPr>
            </w:pPr>
            <w:r>
              <w:t>H3</w:t>
            </w:r>
          </w:p>
        </w:tc>
      </w:tr>
      <w:tr w:rsidR="00A93FE3" w:rsidRPr="00E601CA" w14:paraId="38EA3162" w14:textId="77777777" w:rsidTr="00511F7F">
        <w:trPr>
          <w:jc w:val="center"/>
        </w:trPr>
        <w:tc>
          <w:tcPr>
            <w:tcW w:w="3155" w:type="pct"/>
            <w:hideMark/>
          </w:tcPr>
          <w:p w14:paraId="57408238" w14:textId="77777777" w:rsidR="00A93FE3" w:rsidRPr="00E601CA" w:rsidRDefault="00A93FE3" w:rsidP="00511F7F">
            <w:pPr>
              <w:spacing w:before="100" w:beforeAutospacing="1" w:after="100" w:afterAutospacing="1"/>
              <w:jc w:val="left"/>
              <w:rPr>
                <w:rFonts w:eastAsia="Times New Roman" w:cs="Times New Roman"/>
              </w:rPr>
            </w:pPr>
            <w:r>
              <w:t>07 ― Ardèche</w:t>
            </w:r>
          </w:p>
        </w:tc>
        <w:tc>
          <w:tcPr>
            <w:tcW w:w="1845" w:type="pct"/>
            <w:hideMark/>
          </w:tcPr>
          <w:p w14:paraId="60D07A21" w14:textId="77777777" w:rsidR="00A93FE3" w:rsidRPr="00E601CA" w:rsidRDefault="00A93FE3" w:rsidP="00511F7F">
            <w:pPr>
              <w:jc w:val="center"/>
              <w:rPr>
                <w:rFonts w:eastAsia="Times New Roman" w:cs="Times New Roman"/>
              </w:rPr>
            </w:pPr>
            <w:r>
              <w:t>H2d</w:t>
            </w:r>
          </w:p>
        </w:tc>
      </w:tr>
      <w:tr w:rsidR="00A93FE3" w:rsidRPr="00E601CA" w14:paraId="3C9735AA" w14:textId="77777777" w:rsidTr="00511F7F">
        <w:trPr>
          <w:jc w:val="center"/>
        </w:trPr>
        <w:tc>
          <w:tcPr>
            <w:tcW w:w="3155" w:type="pct"/>
            <w:hideMark/>
          </w:tcPr>
          <w:p w14:paraId="0B755DF0" w14:textId="77777777" w:rsidR="00A93FE3" w:rsidRPr="00E601CA" w:rsidRDefault="00A93FE3" w:rsidP="00511F7F">
            <w:pPr>
              <w:spacing w:before="100" w:beforeAutospacing="1" w:after="100" w:afterAutospacing="1"/>
              <w:jc w:val="left"/>
              <w:rPr>
                <w:rFonts w:eastAsia="Times New Roman" w:cs="Times New Roman"/>
              </w:rPr>
            </w:pPr>
            <w:r>
              <w:t>08 ― Ardennes</w:t>
            </w:r>
          </w:p>
        </w:tc>
        <w:tc>
          <w:tcPr>
            <w:tcW w:w="1845" w:type="pct"/>
            <w:hideMark/>
          </w:tcPr>
          <w:p w14:paraId="30A171CB" w14:textId="77777777" w:rsidR="00A93FE3" w:rsidRPr="00E601CA" w:rsidRDefault="00A93FE3" w:rsidP="00511F7F">
            <w:pPr>
              <w:jc w:val="center"/>
              <w:rPr>
                <w:rFonts w:eastAsia="Times New Roman" w:cs="Times New Roman"/>
              </w:rPr>
            </w:pPr>
            <w:r>
              <w:t>H1b</w:t>
            </w:r>
          </w:p>
        </w:tc>
      </w:tr>
      <w:tr w:rsidR="00A93FE3" w:rsidRPr="00E601CA" w14:paraId="5E381A43" w14:textId="77777777" w:rsidTr="00511F7F">
        <w:trPr>
          <w:jc w:val="center"/>
        </w:trPr>
        <w:tc>
          <w:tcPr>
            <w:tcW w:w="3155" w:type="pct"/>
            <w:hideMark/>
          </w:tcPr>
          <w:p w14:paraId="0FF28816" w14:textId="77777777" w:rsidR="00A93FE3" w:rsidRPr="00E601CA" w:rsidRDefault="00A93FE3" w:rsidP="00511F7F">
            <w:pPr>
              <w:spacing w:before="100" w:beforeAutospacing="1" w:after="100" w:afterAutospacing="1"/>
              <w:jc w:val="left"/>
              <w:rPr>
                <w:rFonts w:eastAsia="Times New Roman" w:cs="Times New Roman"/>
              </w:rPr>
            </w:pPr>
            <w:r>
              <w:t>09 ― Ariège</w:t>
            </w:r>
          </w:p>
        </w:tc>
        <w:tc>
          <w:tcPr>
            <w:tcW w:w="1845" w:type="pct"/>
            <w:hideMark/>
          </w:tcPr>
          <w:p w14:paraId="665B78D9" w14:textId="77777777" w:rsidR="00A93FE3" w:rsidRPr="00E601CA" w:rsidRDefault="00A93FE3" w:rsidP="00511F7F">
            <w:pPr>
              <w:jc w:val="center"/>
              <w:rPr>
                <w:rFonts w:eastAsia="Times New Roman" w:cs="Times New Roman"/>
              </w:rPr>
            </w:pPr>
            <w:r>
              <w:t>H2c</w:t>
            </w:r>
          </w:p>
        </w:tc>
      </w:tr>
      <w:tr w:rsidR="00A93FE3" w:rsidRPr="00E601CA" w14:paraId="64583D46" w14:textId="77777777" w:rsidTr="00511F7F">
        <w:trPr>
          <w:jc w:val="center"/>
        </w:trPr>
        <w:tc>
          <w:tcPr>
            <w:tcW w:w="3155" w:type="pct"/>
            <w:hideMark/>
          </w:tcPr>
          <w:p w14:paraId="295458BA" w14:textId="77777777" w:rsidR="00A93FE3" w:rsidRPr="00E601CA" w:rsidRDefault="00A93FE3" w:rsidP="00511F7F">
            <w:pPr>
              <w:spacing w:before="100" w:beforeAutospacing="1" w:after="100" w:afterAutospacing="1"/>
              <w:jc w:val="left"/>
              <w:rPr>
                <w:rFonts w:eastAsia="Times New Roman" w:cs="Times New Roman"/>
              </w:rPr>
            </w:pPr>
            <w:r>
              <w:t>10 ― Aube</w:t>
            </w:r>
          </w:p>
        </w:tc>
        <w:tc>
          <w:tcPr>
            <w:tcW w:w="1845" w:type="pct"/>
            <w:hideMark/>
          </w:tcPr>
          <w:p w14:paraId="23DCAFFD" w14:textId="77777777" w:rsidR="00A93FE3" w:rsidRPr="00E601CA" w:rsidRDefault="00A93FE3" w:rsidP="00511F7F">
            <w:pPr>
              <w:jc w:val="center"/>
              <w:rPr>
                <w:rFonts w:eastAsia="Times New Roman" w:cs="Times New Roman"/>
              </w:rPr>
            </w:pPr>
            <w:r>
              <w:t>H1b</w:t>
            </w:r>
          </w:p>
        </w:tc>
      </w:tr>
      <w:tr w:rsidR="00A93FE3" w:rsidRPr="00E601CA" w14:paraId="6E926868" w14:textId="77777777" w:rsidTr="00511F7F">
        <w:trPr>
          <w:jc w:val="center"/>
        </w:trPr>
        <w:tc>
          <w:tcPr>
            <w:tcW w:w="3155" w:type="pct"/>
            <w:hideMark/>
          </w:tcPr>
          <w:p w14:paraId="28338165" w14:textId="77777777" w:rsidR="00A93FE3" w:rsidRPr="00E601CA" w:rsidRDefault="00A93FE3" w:rsidP="00511F7F">
            <w:pPr>
              <w:spacing w:before="100" w:beforeAutospacing="1" w:after="100" w:afterAutospacing="1"/>
              <w:jc w:val="left"/>
              <w:rPr>
                <w:rFonts w:eastAsia="Times New Roman" w:cs="Times New Roman"/>
              </w:rPr>
            </w:pPr>
            <w:r>
              <w:t>11 ― Aude</w:t>
            </w:r>
          </w:p>
        </w:tc>
        <w:tc>
          <w:tcPr>
            <w:tcW w:w="1845" w:type="pct"/>
            <w:hideMark/>
          </w:tcPr>
          <w:p w14:paraId="5AF7C6CC" w14:textId="77777777" w:rsidR="00A93FE3" w:rsidRPr="00E601CA" w:rsidRDefault="00A93FE3" w:rsidP="00511F7F">
            <w:pPr>
              <w:jc w:val="center"/>
              <w:rPr>
                <w:rFonts w:eastAsia="Times New Roman" w:cs="Times New Roman"/>
              </w:rPr>
            </w:pPr>
            <w:r>
              <w:t>H3</w:t>
            </w:r>
          </w:p>
        </w:tc>
      </w:tr>
      <w:tr w:rsidR="00A93FE3" w:rsidRPr="00E601CA" w14:paraId="59232C5A" w14:textId="77777777" w:rsidTr="00511F7F">
        <w:trPr>
          <w:jc w:val="center"/>
        </w:trPr>
        <w:tc>
          <w:tcPr>
            <w:tcW w:w="3155" w:type="pct"/>
            <w:hideMark/>
          </w:tcPr>
          <w:p w14:paraId="01BC57FE" w14:textId="77777777" w:rsidR="00A93FE3" w:rsidRPr="00E601CA" w:rsidRDefault="00A93FE3" w:rsidP="00511F7F">
            <w:pPr>
              <w:spacing w:before="100" w:beforeAutospacing="1" w:after="100" w:afterAutospacing="1"/>
              <w:jc w:val="left"/>
              <w:rPr>
                <w:rFonts w:eastAsia="Times New Roman" w:cs="Times New Roman"/>
              </w:rPr>
            </w:pPr>
            <w:r>
              <w:t>12 ― Aveyron</w:t>
            </w:r>
          </w:p>
        </w:tc>
        <w:tc>
          <w:tcPr>
            <w:tcW w:w="1845" w:type="pct"/>
            <w:hideMark/>
          </w:tcPr>
          <w:p w14:paraId="318868A4" w14:textId="77777777" w:rsidR="00A93FE3" w:rsidRPr="00E601CA" w:rsidRDefault="00A93FE3" w:rsidP="00511F7F">
            <w:pPr>
              <w:jc w:val="center"/>
              <w:rPr>
                <w:rFonts w:eastAsia="Times New Roman" w:cs="Times New Roman"/>
              </w:rPr>
            </w:pPr>
            <w:r>
              <w:t>H2c</w:t>
            </w:r>
          </w:p>
        </w:tc>
      </w:tr>
      <w:tr w:rsidR="00A93FE3" w:rsidRPr="00E601CA" w14:paraId="5028F297" w14:textId="77777777" w:rsidTr="00511F7F">
        <w:trPr>
          <w:jc w:val="center"/>
        </w:trPr>
        <w:tc>
          <w:tcPr>
            <w:tcW w:w="3155" w:type="pct"/>
            <w:hideMark/>
          </w:tcPr>
          <w:p w14:paraId="35696232" w14:textId="77777777" w:rsidR="00A93FE3" w:rsidRPr="00E601CA" w:rsidRDefault="00A93FE3" w:rsidP="00511F7F">
            <w:pPr>
              <w:spacing w:before="100" w:beforeAutospacing="1" w:after="100" w:afterAutospacing="1"/>
              <w:jc w:val="left"/>
              <w:rPr>
                <w:rFonts w:eastAsia="Times New Roman" w:cs="Times New Roman"/>
              </w:rPr>
            </w:pPr>
            <w:r>
              <w:t>13 ― Bouches-du-Rhône</w:t>
            </w:r>
          </w:p>
        </w:tc>
        <w:tc>
          <w:tcPr>
            <w:tcW w:w="1845" w:type="pct"/>
            <w:hideMark/>
          </w:tcPr>
          <w:p w14:paraId="26E8E86A" w14:textId="77777777" w:rsidR="00A93FE3" w:rsidRPr="00E601CA" w:rsidRDefault="00A93FE3" w:rsidP="00511F7F">
            <w:pPr>
              <w:jc w:val="center"/>
              <w:rPr>
                <w:rFonts w:eastAsia="Times New Roman" w:cs="Times New Roman"/>
              </w:rPr>
            </w:pPr>
            <w:r>
              <w:t>H3</w:t>
            </w:r>
          </w:p>
        </w:tc>
      </w:tr>
      <w:tr w:rsidR="00A93FE3" w:rsidRPr="00E601CA" w14:paraId="26149949" w14:textId="77777777" w:rsidTr="00511F7F">
        <w:trPr>
          <w:jc w:val="center"/>
        </w:trPr>
        <w:tc>
          <w:tcPr>
            <w:tcW w:w="3155" w:type="pct"/>
            <w:hideMark/>
          </w:tcPr>
          <w:p w14:paraId="4DEF5AA7" w14:textId="77777777" w:rsidR="00A93FE3" w:rsidRPr="00E601CA" w:rsidRDefault="00A93FE3" w:rsidP="00511F7F">
            <w:pPr>
              <w:spacing w:before="100" w:beforeAutospacing="1" w:after="100" w:afterAutospacing="1"/>
              <w:jc w:val="left"/>
              <w:rPr>
                <w:rFonts w:eastAsia="Times New Roman" w:cs="Times New Roman"/>
              </w:rPr>
            </w:pPr>
            <w:r>
              <w:t>14 ― Calvados</w:t>
            </w:r>
          </w:p>
        </w:tc>
        <w:tc>
          <w:tcPr>
            <w:tcW w:w="1845" w:type="pct"/>
            <w:hideMark/>
          </w:tcPr>
          <w:p w14:paraId="7275A3AA" w14:textId="77777777" w:rsidR="00A93FE3" w:rsidRPr="00E601CA" w:rsidRDefault="00A93FE3" w:rsidP="00511F7F">
            <w:pPr>
              <w:jc w:val="center"/>
              <w:rPr>
                <w:rFonts w:eastAsia="Times New Roman" w:cs="Times New Roman"/>
              </w:rPr>
            </w:pPr>
            <w:r>
              <w:t>H1a</w:t>
            </w:r>
          </w:p>
        </w:tc>
      </w:tr>
      <w:tr w:rsidR="00A93FE3" w:rsidRPr="00E601CA" w14:paraId="7DAA4A5E" w14:textId="77777777" w:rsidTr="00511F7F">
        <w:trPr>
          <w:jc w:val="center"/>
        </w:trPr>
        <w:tc>
          <w:tcPr>
            <w:tcW w:w="3155" w:type="pct"/>
            <w:hideMark/>
          </w:tcPr>
          <w:p w14:paraId="7F4947FA" w14:textId="77777777" w:rsidR="00A93FE3" w:rsidRPr="00E601CA" w:rsidRDefault="00A93FE3" w:rsidP="00511F7F">
            <w:pPr>
              <w:spacing w:before="100" w:beforeAutospacing="1" w:after="100" w:afterAutospacing="1"/>
              <w:jc w:val="left"/>
              <w:rPr>
                <w:rFonts w:eastAsia="Times New Roman" w:cs="Times New Roman"/>
              </w:rPr>
            </w:pPr>
            <w:r>
              <w:t>15 ― Cantal</w:t>
            </w:r>
          </w:p>
        </w:tc>
        <w:tc>
          <w:tcPr>
            <w:tcW w:w="1845" w:type="pct"/>
            <w:hideMark/>
          </w:tcPr>
          <w:p w14:paraId="395B4672" w14:textId="77777777" w:rsidR="00A93FE3" w:rsidRPr="00E601CA" w:rsidRDefault="00A93FE3" w:rsidP="00511F7F">
            <w:pPr>
              <w:jc w:val="center"/>
              <w:rPr>
                <w:rFonts w:eastAsia="Times New Roman" w:cs="Times New Roman"/>
              </w:rPr>
            </w:pPr>
            <w:r>
              <w:t>H1c</w:t>
            </w:r>
          </w:p>
        </w:tc>
      </w:tr>
      <w:tr w:rsidR="00A93FE3" w:rsidRPr="00E601CA" w14:paraId="0CD5A284" w14:textId="77777777" w:rsidTr="00511F7F">
        <w:trPr>
          <w:jc w:val="center"/>
        </w:trPr>
        <w:tc>
          <w:tcPr>
            <w:tcW w:w="3155" w:type="pct"/>
            <w:hideMark/>
          </w:tcPr>
          <w:p w14:paraId="08F3F8E1" w14:textId="77777777" w:rsidR="00A93FE3" w:rsidRPr="00E601CA" w:rsidRDefault="00A93FE3" w:rsidP="00511F7F">
            <w:pPr>
              <w:spacing w:before="100" w:beforeAutospacing="1" w:after="100" w:afterAutospacing="1"/>
              <w:jc w:val="left"/>
              <w:rPr>
                <w:rFonts w:eastAsia="Times New Roman" w:cs="Times New Roman"/>
              </w:rPr>
            </w:pPr>
            <w:r>
              <w:t>16 ― Charente</w:t>
            </w:r>
          </w:p>
        </w:tc>
        <w:tc>
          <w:tcPr>
            <w:tcW w:w="1845" w:type="pct"/>
            <w:hideMark/>
          </w:tcPr>
          <w:p w14:paraId="129F859D" w14:textId="77777777" w:rsidR="00A93FE3" w:rsidRPr="00E601CA" w:rsidRDefault="00A93FE3" w:rsidP="00511F7F">
            <w:pPr>
              <w:jc w:val="center"/>
              <w:rPr>
                <w:rFonts w:eastAsia="Times New Roman" w:cs="Times New Roman"/>
              </w:rPr>
            </w:pPr>
            <w:r>
              <w:t>H2b</w:t>
            </w:r>
          </w:p>
        </w:tc>
      </w:tr>
      <w:tr w:rsidR="00A93FE3" w:rsidRPr="00E601CA" w14:paraId="00D47B6A" w14:textId="77777777" w:rsidTr="00511F7F">
        <w:trPr>
          <w:jc w:val="center"/>
        </w:trPr>
        <w:tc>
          <w:tcPr>
            <w:tcW w:w="3155" w:type="pct"/>
            <w:hideMark/>
          </w:tcPr>
          <w:p w14:paraId="7AC86A8E" w14:textId="77777777" w:rsidR="00A93FE3" w:rsidRPr="00E601CA" w:rsidRDefault="00A93FE3" w:rsidP="00511F7F">
            <w:pPr>
              <w:spacing w:before="100" w:beforeAutospacing="1" w:after="100" w:afterAutospacing="1"/>
              <w:jc w:val="left"/>
              <w:rPr>
                <w:rFonts w:eastAsia="Times New Roman" w:cs="Times New Roman"/>
              </w:rPr>
            </w:pPr>
            <w:r>
              <w:t>17 ― Charente-Maritime</w:t>
            </w:r>
          </w:p>
        </w:tc>
        <w:tc>
          <w:tcPr>
            <w:tcW w:w="1845" w:type="pct"/>
            <w:hideMark/>
          </w:tcPr>
          <w:p w14:paraId="75ACCA29" w14:textId="77777777" w:rsidR="00A93FE3" w:rsidRPr="00E601CA" w:rsidRDefault="00A93FE3" w:rsidP="00511F7F">
            <w:pPr>
              <w:jc w:val="center"/>
              <w:rPr>
                <w:rFonts w:eastAsia="Times New Roman" w:cs="Times New Roman"/>
              </w:rPr>
            </w:pPr>
            <w:r>
              <w:t>H2b</w:t>
            </w:r>
          </w:p>
        </w:tc>
      </w:tr>
      <w:tr w:rsidR="00A93FE3" w:rsidRPr="00E601CA" w14:paraId="553FFCE3" w14:textId="77777777" w:rsidTr="00511F7F">
        <w:trPr>
          <w:jc w:val="center"/>
        </w:trPr>
        <w:tc>
          <w:tcPr>
            <w:tcW w:w="3155" w:type="pct"/>
            <w:hideMark/>
          </w:tcPr>
          <w:p w14:paraId="728F3000" w14:textId="77777777" w:rsidR="00A93FE3" w:rsidRPr="00E601CA" w:rsidRDefault="00A93FE3" w:rsidP="00511F7F">
            <w:pPr>
              <w:spacing w:before="100" w:beforeAutospacing="1" w:after="100" w:afterAutospacing="1"/>
              <w:jc w:val="left"/>
              <w:rPr>
                <w:rFonts w:eastAsia="Times New Roman" w:cs="Times New Roman"/>
              </w:rPr>
            </w:pPr>
            <w:r>
              <w:t>18 ― Cher</w:t>
            </w:r>
          </w:p>
        </w:tc>
        <w:tc>
          <w:tcPr>
            <w:tcW w:w="1845" w:type="pct"/>
            <w:hideMark/>
          </w:tcPr>
          <w:p w14:paraId="7A316D6E" w14:textId="77777777" w:rsidR="00A93FE3" w:rsidRPr="00E601CA" w:rsidRDefault="00A93FE3" w:rsidP="00511F7F">
            <w:pPr>
              <w:jc w:val="center"/>
              <w:rPr>
                <w:rFonts w:eastAsia="Times New Roman" w:cs="Times New Roman"/>
              </w:rPr>
            </w:pPr>
            <w:r>
              <w:t>H2b</w:t>
            </w:r>
          </w:p>
        </w:tc>
      </w:tr>
      <w:tr w:rsidR="00A93FE3" w:rsidRPr="00E601CA" w14:paraId="3C455D9E" w14:textId="77777777" w:rsidTr="00511F7F">
        <w:trPr>
          <w:jc w:val="center"/>
        </w:trPr>
        <w:tc>
          <w:tcPr>
            <w:tcW w:w="3155" w:type="pct"/>
            <w:hideMark/>
          </w:tcPr>
          <w:p w14:paraId="12D567E9" w14:textId="77777777" w:rsidR="00A93FE3" w:rsidRPr="00E601CA" w:rsidRDefault="00A93FE3" w:rsidP="00511F7F">
            <w:pPr>
              <w:spacing w:before="100" w:beforeAutospacing="1" w:after="100" w:afterAutospacing="1"/>
              <w:jc w:val="left"/>
              <w:rPr>
                <w:rFonts w:eastAsia="Times New Roman" w:cs="Times New Roman"/>
              </w:rPr>
            </w:pPr>
            <w:r>
              <w:t>19 ― Corrèze</w:t>
            </w:r>
          </w:p>
        </w:tc>
        <w:tc>
          <w:tcPr>
            <w:tcW w:w="1845" w:type="pct"/>
            <w:hideMark/>
          </w:tcPr>
          <w:p w14:paraId="20000826" w14:textId="77777777" w:rsidR="00A93FE3" w:rsidRPr="00E601CA" w:rsidRDefault="00A93FE3" w:rsidP="00511F7F">
            <w:pPr>
              <w:jc w:val="center"/>
              <w:rPr>
                <w:rFonts w:eastAsia="Times New Roman" w:cs="Times New Roman"/>
              </w:rPr>
            </w:pPr>
            <w:r>
              <w:t>H1c</w:t>
            </w:r>
          </w:p>
        </w:tc>
      </w:tr>
      <w:tr w:rsidR="00A93FE3" w:rsidRPr="00E601CA" w14:paraId="093C4A37" w14:textId="77777777" w:rsidTr="00511F7F">
        <w:trPr>
          <w:jc w:val="center"/>
        </w:trPr>
        <w:tc>
          <w:tcPr>
            <w:tcW w:w="3155" w:type="pct"/>
            <w:hideMark/>
          </w:tcPr>
          <w:p w14:paraId="4C2538A2" w14:textId="77777777" w:rsidR="00A93FE3" w:rsidRPr="00E601CA" w:rsidRDefault="00A93FE3" w:rsidP="00511F7F">
            <w:pPr>
              <w:spacing w:before="100" w:beforeAutospacing="1" w:after="100" w:afterAutospacing="1"/>
              <w:jc w:val="left"/>
              <w:rPr>
                <w:rFonts w:eastAsia="Times New Roman" w:cs="Times New Roman"/>
              </w:rPr>
            </w:pPr>
            <w:r>
              <w:t>2A ― Corse-du-Sud</w:t>
            </w:r>
          </w:p>
        </w:tc>
        <w:tc>
          <w:tcPr>
            <w:tcW w:w="1845" w:type="pct"/>
            <w:hideMark/>
          </w:tcPr>
          <w:p w14:paraId="4AFA8E92" w14:textId="77777777" w:rsidR="00A93FE3" w:rsidRPr="00E601CA" w:rsidRDefault="00A93FE3" w:rsidP="00511F7F">
            <w:pPr>
              <w:jc w:val="center"/>
              <w:rPr>
                <w:rFonts w:eastAsia="Times New Roman" w:cs="Times New Roman"/>
              </w:rPr>
            </w:pPr>
            <w:r>
              <w:t>H3</w:t>
            </w:r>
          </w:p>
        </w:tc>
      </w:tr>
      <w:tr w:rsidR="00A93FE3" w:rsidRPr="00E601CA" w14:paraId="3375B5F3" w14:textId="77777777" w:rsidTr="00511F7F">
        <w:trPr>
          <w:jc w:val="center"/>
        </w:trPr>
        <w:tc>
          <w:tcPr>
            <w:tcW w:w="3155" w:type="pct"/>
            <w:hideMark/>
          </w:tcPr>
          <w:p w14:paraId="68F7C4EB" w14:textId="77777777" w:rsidR="00A93FE3" w:rsidRPr="00E601CA" w:rsidRDefault="00A93FE3" w:rsidP="00511F7F">
            <w:pPr>
              <w:spacing w:before="100" w:beforeAutospacing="1" w:after="100" w:afterAutospacing="1"/>
              <w:jc w:val="left"/>
              <w:rPr>
                <w:rFonts w:eastAsia="Times New Roman" w:cs="Times New Roman"/>
              </w:rPr>
            </w:pPr>
            <w:r>
              <w:lastRenderedPageBreak/>
              <w:t>2B ― Haute-Corse</w:t>
            </w:r>
          </w:p>
        </w:tc>
        <w:tc>
          <w:tcPr>
            <w:tcW w:w="1845" w:type="pct"/>
            <w:hideMark/>
          </w:tcPr>
          <w:p w14:paraId="044A5A45" w14:textId="77777777" w:rsidR="00A93FE3" w:rsidRPr="00E601CA" w:rsidRDefault="00A93FE3" w:rsidP="00511F7F">
            <w:pPr>
              <w:jc w:val="center"/>
              <w:rPr>
                <w:rFonts w:eastAsia="Times New Roman" w:cs="Times New Roman"/>
              </w:rPr>
            </w:pPr>
            <w:r>
              <w:t>H3</w:t>
            </w:r>
          </w:p>
        </w:tc>
      </w:tr>
      <w:tr w:rsidR="00A93FE3" w:rsidRPr="00E601CA" w14:paraId="1B1BF079" w14:textId="77777777" w:rsidTr="00511F7F">
        <w:trPr>
          <w:jc w:val="center"/>
        </w:trPr>
        <w:tc>
          <w:tcPr>
            <w:tcW w:w="3155" w:type="pct"/>
            <w:hideMark/>
          </w:tcPr>
          <w:p w14:paraId="45D1FD8C" w14:textId="77777777" w:rsidR="00A93FE3" w:rsidRPr="00E601CA" w:rsidRDefault="00A93FE3" w:rsidP="00511F7F">
            <w:pPr>
              <w:spacing w:before="100" w:beforeAutospacing="1" w:after="100" w:afterAutospacing="1"/>
              <w:jc w:val="left"/>
              <w:rPr>
                <w:rFonts w:eastAsia="Times New Roman" w:cs="Times New Roman"/>
              </w:rPr>
            </w:pPr>
            <w:r>
              <w:t>21 ― Côte-d'Or</w:t>
            </w:r>
          </w:p>
        </w:tc>
        <w:tc>
          <w:tcPr>
            <w:tcW w:w="1845" w:type="pct"/>
            <w:hideMark/>
          </w:tcPr>
          <w:p w14:paraId="23F8CEA2" w14:textId="77777777" w:rsidR="00A93FE3" w:rsidRPr="00E601CA" w:rsidRDefault="00A93FE3" w:rsidP="00511F7F">
            <w:pPr>
              <w:jc w:val="center"/>
              <w:rPr>
                <w:rFonts w:eastAsia="Times New Roman" w:cs="Times New Roman"/>
              </w:rPr>
            </w:pPr>
            <w:r>
              <w:t>H1c</w:t>
            </w:r>
          </w:p>
        </w:tc>
      </w:tr>
      <w:tr w:rsidR="00A93FE3" w:rsidRPr="00E601CA" w14:paraId="4498543A" w14:textId="77777777" w:rsidTr="00511F7F">
        <w:trPr>
          <w:jc w:val="center"/>
        </w:trPr>
        <w:tc>
          <w:tcPr>
            <w:tcW w:w="3155" w:type="pct"/>
            <w:hideMark/>
          </w:tcPr>
          <w:p w14:paraId="19E520B6" w14:textId="77777777" w:rsidR="00A93FE3" w:rsidRPr="00E601CA" w:rsidRDefault="00A93FE3" w:rsidP="00511F7F">
            <w:pPr>
              <w:spacing w:before="100" w:beforeAutospacing="1" w:after="100" w:afterAutospacing="1"/>
              <w:jc w:val="left"/>
              <w:rPr>
                <w:rFonts w:eastAsia="Times New Roman" w:cs="Times New Roman"/>
              </w:rPr>
            </w:pPr>
            <w:r>
              <w:t>22 ― Côtes-d’Armor</w:t>
            </w:r>
          </w:p>
        </w:tc>
        <w:tc>
          <w:tcPr>
            <w:tcW w:w="1845" w:type="pct"/>
            <w:hideMark/>
          </w:tcPr>
          <w:p w14:paraId="062495ED" w14:textId="77777777" w:rsidR="00A93FE3" w:rsidRPr="00E601CA" w:rsidRDefault="00A93FE3" w:rsidP="00511F7F">
            <w:pPr>
              <w:jc w:val="center"/>
              <w:rPr>
                <w:rFonts w:eastAsia="Times New Roman" w:cs="Times New Roman"/>
              </w:rPr>
            </w:pPr>
            <w:r>
              <w:t>H2a</w:t>
            </w:r>
          </w:p>
        </w:tc>
      </w:tr>
      <w:tr w:rsidR="00A93FE3" w:rsidRPr="00E601CA" w14:paraId="5838A2B6" w14:textId="77777777" w:rsidTr="00511F7F">
        <w:trPr>
          <w:jc w:val="center"/>
        </w:trPr>
        <w:tc>
          <w:tcPr>
            <w:tcW w:w="3155" w:type="pct"/>
            <w:hideMark/>
          </w:tcPr>
          <w:p w14:paraId="22E41894" w14:textId="77777777" w:rsidR="00A93FE3" w:rsidRPr="00E601CA" w:rsidRDefault="00A93FE3" w:rsidP="00511F7F">
            <w:pPr>
              <w:spacing w:before="100" w:beforeAutospacing="1" w:after="100" w:afterAutospacing="1"/>
              <w:jc w:val="left"/>
              <w:rPr>
                <w:rFonts w:eastAsia="Times New Roman" w:cs="Times New Roman"/>
              </w:rPr>
            </w:pPr>
            <w:r>
              <w:t>23 ― Creuse</w:t>
            </w:r>
          </w:p>
        </w:tc>
        <w:tc>
          <w:tcPr>
            <w:tcW w:w="1845" w:type="pct"/>
            <w:hideMark/>
          </w:tcPr>
          <w:p w14:paraId="238FA1A3" w14:textId="77777777" w:rsidR="00A93FE3" w:rsidRPr="00E601CA" w:rsidRDefault="00A93FE3" w:rsidP="00511F7F">
            <w:pPr>
              <w:jc w:val="center"/>
              <w:rPr>
                <w:rFonts w:eastAsia="Times New Roman" w:cs="Times New Roman"/>
              </w:rPr>
            </w:pPr>
            <w:r>
              <w:t>H1c</w:t>
            </w:r>
          </w:p>
        </w:tc>
      </w:tr>
      <w:tr w:rsidR="00A93FE3" w:rsidRPr="00E601CA" w14:paraId="6C5695A4" w14:textId="77777777" w:rsidTr="00511F7F">
        <w:trPr>
          <w:jc w:val="center"/>
        </w:trPr>
        <w:tc>
          <w:tcPr>
            <w:tcW w:w="3155" w:type="pct"/>
            <w:hideMark/>
          </w:tcPr>
          <w:p w14:paraId="0FC6F850" w14:textId="77777777" w:rsidR="00A93FE3" w:rsidRPr="00E601CA" w:rsidRDefault="00A93FE3" w:rsidP="00511F7F">
            <w:pPr>
              <w:spacing w:before="100" w:beforeAutospacing="1" w:after="100" w:afterAutospacing="1"/>
              <w:jc w:val="left"/>
              <w:rPr>
                <w:rFonts w:eastAsia="Times New Roman" w:cs="Times New Roman"/>
              </w:rPr>
            </w:pPr>
            <w:r>
              <w:t>24 ― Dordogne</w:t>
            </w:r>
          </w:p>
        </w:tc>
        <w:tc>
          <w:tcPr>
            <w:tcW w:w="1845" w:type="pct"/>
            <w:hideMark/>
          </w:tcPr>
          <w:p w14:paraId="5F30C085" w14:textId="77777777" w:rsidR="00A93FE3" w:rsidRPr="00E601CA" w:rsidRDefault="00A93FE3" w:rsidP="00511F7F">
            <w:pPr>
              <w:jc w:val="center"/>
              <w:rPr>
                <w:rFonts w:eastAsia="Times New Roman" w:cs="Times New Roman"/>
              </w:rPr>
            </w:pPr>
            <w:r>
              <w:t>H2c</w:t>
            </w:r>
          </w:p>
        </w:tc>
      </w:tr>
      <w:tr w:rsidR="00A93FE3" w:rsidRPr="00E601CA" w14:paraId="78E3489E" w14:textId="77777777" w:rsidTr="00511F7F">
        <w:trPr>
          <w:jc w:val="center"/>
        </w:trPr>
        <w:tc>
          <w:tcPr>
            <w:tcW w:w="3155" w:type="pct"/>
            <w:hideMark/>
          </w:tcPr>
          <w:p w14:paraId="50B7A0EC" w14:textId="77777777" w:rsidR="00A93FE3" w:rsidRPr="00E601CA" w:rsidRDefault="00A93FE3" w:rsidP="00511F7F">
            <w:pPr>
              <w:spacing w:before="100" w:beforeAutospacing="1" w:after="100" w:afterAutospacing="1"/>
              <w:jc w:val="left"/>
              <w:rPr>
                <w:rFonts w:eastAsia="Times New Roman" w:cs="Times New Roman"/>
              </w:rPr>
            </w:pPr>
            <w:r>
              <w:t>25 ― Doubs</w:t>
            </w:r>
          </w:p>
        </w:tc>
        <w:tc>
          <w:tcPr>
            <w:tcW w:w="1845" w:type="pct"/>
            <w:hideMark/>
          </w:tcPr>
          <w:p w14:paraId="2FA570C0" w14:textId="77777777" w:rsidR="00A93FE3" w:rsidRPr="00E601CA" w:rsidRDefault="00A93FE3" w:rsidP="00511F7F">
            <w:pPr>
              <w:jc w:val="center"/>
              <w:rPr>
                <w:rFonts w:eastAsia="Times New Roman" w:cs="Times New Roman"/>
              </w:rPr>
            </w:pPr>
            <w:r>
              <w:t>H1c</w:t>
            </w:r>
          </w:p>
        </w:tc>
      </w:tr>
      <w:tr w:rsidR="00A93FE3" w:rsidRPr="00E601CA" w14:paraId="438A7E90" w14:textId="77777777" w:rsidTr="00511F7F">
        <w:trPr>
          <w:jc w:val="center"/>
        </w:trPr>
        <w:tc>
          <w:tcPr>
            <w:tcW w:w="3155" w:type="pct"/>
            <w:hideMark/>
          </w:tcPr>
          <w:p w14:paraId="4265D18E" w14:textId="77777777" w:rsidR="00A93FE3" w:rsidRPr="00E601CA" w:rsidRDefault="00A93FE3" w:rsidP="00511F7F">
            <w:pPr>
              <w:spacing w:before="100" w:beforeAutospacing="1" w:after="100" w:afterAutospacing="1"/>
              <w:jc w:val="left"/>
              <w:rPr>
                <w:rFonts w:eastAsia="Times New Roman" w:cs="Times New Roman"/>
              </w:rPr>
            </w:pPr>
            <w:r>
              <w:t>26 ― Drôme</w:t>
            </w:r>
          </w:p>
        </w:tc>
        <w:tc>
          <w:tcPr>
            <w:tcW w:w="1845" w:type="pct"/>
            <w:hideMark/>
          </w:tcPr>
          <w:p w14:paraId="57250DAD" w14:textId="77777777" w:rsidR="00A93FE3" w:rsidRPr="00E601CA" w:rsidRDefault="00A93FE3" w:rsidP="00511F7F">
            <w:pPr>
              <w:jc w:val="center"/>
              <w:rPr>
                <w:rFonts w:eastAsia="Times New Roman" w:cs="Times New Roman"/>
              </w:rPr>
            </w:pPr>
            <w:r>
              <w:t>H2d</w:t>
            </w:r>
          </w:p>
        </w:tc>
      </w:tr>
      <w:tr w:rsidR="00A93FE3" w:rsidRPr="00E601CA" w14:paraId="283A86FF" w14:textId="77777777" w:rsidTr="00511F7F">
        <w:trPr>
          <w:jc w:val="center"/>
        </w:trPr>
        <w:tc>
          <w:tcPr>
            <w:tcW w:w="3155" w:type="pct"/>
            <w:hideMark/>
          </w:tcPr>
          <w:p w14:paraId="3326368D" w14:textId="77777777" w:rsidR="00A93FE3" w:rsidRPr="00E601CA" w:rsidRDefault="00A93FE3" w:rsidP="00511F7F">
            <w:pPr>
              <w:spacing w:before="100" w:beforeAutospacing="1" w:after="100" w:afterAutospacing="1"/>
              <w:jc w:val="left"/>
              <w:rPr>
                <w:rFonts w:eastAsia="Times New Roman" w:cs="Times New Roman"/>
              </w:rPr>
            </w:pPr>
            <w:r>
              <w:t>27 ― Eure</w:t>
            </w:r>
          </w:p>
        </w:tc>
        <w:tc>
          <w:tcPr>
            <w:tcW w:w="1845" w:type="pct"/>
            <w:hideMark/>
          </w:tcPr>
          <w:p w14:paraId="5C0789B3" w14:textId="77777777" w:rsidR="00A93FE3" w:rsidRPr="00E601CA" w:rsidRDefault="00A93FE3" w:rsidP="00511F7F">
            <w:pPr>
              <w:jc w:val="center"/>
              <w:rPr>
                <w:rFonts w:eastAsia="Times New Roman" w:cs="Times New Roman"/>
              </w:rPr>
            </w:pPr>
            <w:r>
              <w:t>H1a</w:t>
            </w:r>
          </w:p>
        </w:tc>
      </w:tr>
      <w:tr w:rsidR="00A93FE3" w:rsidRPr="00E601CA" w14:paraId="2C513E1E" w14:textId="77777777" w:rsidTr="00511F7F">
        <w:trPr>
          <w:jc w:val="center"/>
        </w:trPr>
        <w:tc>
          <w:tcPr>
            <w:tcW w:w="3155" w:type="pct"/>
            <w:hideMark/>
          </w:tcPr>
          <w:p w14:paraId="6859BED9" w14:textId="77777777" w:rsidR="00A93FE3" w:rsidRPr="00E601CA" w:rsidRDefault="00A93FE3" w:rsidP="00511F7F">
            <w:pPr>
              <w:spacing w:before="100" w:beforeAutospacing="1" w:after="100" w:afterAutospacing="1"/>
              <w:jc w:val="left"/>
              <w:rPr>
                <w:rFonts w:eastAsia="Times New Roman" w:cs="Times New Roman"/>
              </w:rPr>
            </w:pPr>
            <w:r>
              <w:t>28 ― Eure-et-Loire</w:t>
            </w:r>
          </w:p>
        </w:tc>
        <w:tc>
          <w:tcPr>
            <w:tcW w:w="1845" w:type="pct"/>
            <w:hideMark/>
          </w:tcPr>
          <w:p w14:paraId="55FB7F58" w14:textId="77777777" w:rsidR="00A93FE3" w:rsidRPr="00E601CA" w:rsidRDefault="00A93FE3" w:rsidP="00511F7F">
            <w:pPr>
              <w:jc w:val="center"/>
              <w:rPr>
                <w:rFonts w:eastAsia="Times New Roman" w:cs="Times New Roman"/>
              </w:rPr>
            </w:pPr>
            <w:r>
              <w:t>H1a</w:t>
            </w:r>
          </w:p>
        </w:tc>
      </w:tr>
      <w:tr w:rsidR="00A93FE3" w:rsidRPr="00E601CA" w14:paraId="3B3E327C" w14:textId="77777777" w:rsidTr="00511F7F">
        <w:trPr>
          <w:jc w:val="center"/>
        </w:trPr>
        <w:tc>
          <w:tcPr>
            <w:tcW w:w="3155" w:type="pct"/>
            <w:hideMark/>
          </w:tcPr>
          <w:p w14:paraId="43C8D4FF" w14:textId="77777777" w:rsidR="00A93FE3" w:rsidRPr="00E601CA" w:rsidRDefault="00A93FE3" w:rsidP="00511F7F">
            <w:pPr>
              <w:spacing w:before="100" w:beforeAutospacing="1" w:after="100" w:afterAutospacing="1"/>
              <w:jc w:val="left"/>
              <w:rPr>
                <w:rFonts w:eastAsia="Times New Roman" w:cs="Times New Roman"/>
              </w:rPr>
            </w:pPr>
            <w:r>
              <w:t>29 ― Finistère</w:t>
            </w:r>
          </w:p>
        </w:tc>
        <w:tc>
          <w:tcPr>
            <w:tcW w:w="1845" w:type="pct"/>
            <w:hideMark/>
          </w:tcPr>
          <w:p w14:paraId="0AA01B26" w14:textId="77777777" w:rsidR="00A93FE3" w:rsidRPr="00E601CA" w:rsidRDefault="00A93FE3" w:rsidP="00511F7F">
            <w:pPr>
              <w:jc w:val="center"/>
              <w:rPr>
                <w:rFonts w:eastAsia="Times New Roman" w:cs="Times New Roman"/>
              </w:rPr>
            </w:pPr>
            <w:r>
              <w:t>H2a</w:t>
            </w:r>
          </w:p>
        </w:tc>
      </w:tr>
      <w:tr w:rsidR="00A93FE3" w:rsidRPr="00E601CA" w14:paraId="3F6CFC24" w14:textId="77777777" w:rsidTr="00511F7F">
        <w:trPr>
          <w:jc w:val="center"/>
        </w:trPr>
        <w:tc>
          <w:tcPr>
            <w:tcW w:w="3155" w:type="pct"/>
            <w:hideMark/>
          </w:tcPr>
          <w:p w14:paraId="5C2382EE" w14:textId="77777777" w:rsidR="00A93FE3" w:rsidRPr="00E601CA" w:rsidRDefault="00A93FE3" w:rsidP="00511F7F">
            <w:pPr>
              <w:spacing w:before="100" w:beforeAutospacing="1" w:after="100" w:afterAutospacing="1"/>
              <w:jc w:val="left"/>
              <w:rPr>
                <w:rFonts w:eastAsia="Times New Roman" w:cs="Times New Roman"/>
              </w:rPr>
            </w:pPr>
            <w:r>
              <w:t>30 ― Gard</w:t>
            </w:r>
          </w:p>
        </w:tc>
        <w:tc>
          <w:tcPr>
            <w:tcW w:w="1845" w:type="pct"/>
            <w:hideMark/>
          </w:tcPr>
          <w:p w14:paraId="5962D407" w14:textId="77777777" w:rsidR="00A93FE3" w:rsidRPr="00E601CA" w:rsidRDefault="00A93FE3" w:rsidP="00511F7F">
            <w:pPr>
              <w:jc w:val="center"/>
              <w:rPr>
                <w:rFonts w:eastAsia="Times New Roman" w:cs="Times New Roman"/>
              </w:rPr>
            </w:pPr>
            <w:r>
              <w:t>H3</w:t>
            </w:r>
          </w:p>
        </w:tc>
      </w:tr>
      <w:tr w:rsidR="00A93FE3" w:rsidRPr="00E601CA" w14:paraId="7ED69F91" w14:textId="77777777" w:rsidTr="00511F7F">
        <w:trPr>
          <w:jc w:val="center"/>
        </w:trPr>
        <w:tc>
          <w:tcPr>
            <w:tcW w:w="3155" w:type="pct"/>
            <w:hideMark/>
          </w:tcPr>
          <w:p w14:paraId="5311C49F" w14:textId="77777777" w:rsidR="00A93FE3" w:rsidRPr="00E601CA" w:rsidRDefault="00A93FE3" w:rsidP="00511F7F">
            <w:pPr>
              <w:spacing w:before="100" w:beforeAutospacing="1" w:after="100" w:afterAutospacing="1"/>
              <w:jc w:val="left"/>
              <w:rPr>
                <w:rFonts w:eastAsia="Times New Roman" w:cs="Times New Roman"/>
              </w:rPr>
            </w:pPr>
            <w:r>
              <w:t>31 ― Haute-Garonne</w:t>
            </w:r>
          </w:p>
        </w:tc>
        <w:tc>
          <w:tcPr>
            <w:tcW w:w="1845" w:type="pct"/>
            <w:hideMark/>
          </w:tcPr>
          <w:p w14:paraId="6BB0F5E7" w14:textId="77777777" w:rsidR="00A93FE3" w:rsidRPr="00E601CA" w:rsidRDefault="00A93FE3" w:rsidP="00511F7F">
            <w:pPr>
              <w:jc w:val="center"/>
              <w:rPr>
                <w:rFonts w:eastAsia="Times New Roman" w:cs="Times New Roman"/>
              </w:rPr>
            </w:pPr>
            <w:r>
              <w:t>H2c</w:t>
            </w:r>
          </w:p>
        </w:tc>
      </w:tr>
      <w:tr w:rsidR="00A93FE3" w:rsidRPr="00E601CA" w14:paraId="194EBA30" w14:textId="77777777" w:rsidTr="00511F7F">
        <w:trPr>
          <w:jc w:val="center"/>
        </w:trPr>
        <w:tc>
          <w:tcPr>
            <w:tcW w:w="3155" w:type="pct"/>
            <w:hideMark/>
          </w:tcPr>
          <w:p w14:paraId="0AB4793C" w14:textId="77777777" w:rsidR="00A93FE3" w:rsidRPr="00E601CA" w:rsidRDefault="00A93FE3" w:rsidP="00511F7F">
            <w:pPr>
              <w:spacing w:before="100" w:beforeAutospacing="1" w:after="100" w:afterAutospacing="1"/>
              <w:jc w:val="left"/>
              <w:rPr>
                <w:rFonts w:eastAsia="Times New Roman" w:cs="Times New Roman"/>
              </w:rPr>
            </w:pPr>
            <w:r>
              <w:t>32 ― Gers</w:t>
            </w:r>
          </w:p>
        </w:tc>
        <w:tc>
          <w:tcPr>
            <w:tcW w:w="1845" w:type="pct"/>
            <w:hideMark/>
          </w:tcPr>
          <w:p w14:paraId="489BBA81" w14:textId="77777777" w:rsidR="00A93FE3" w:rsidRPr="00E601CA" w:rsidRDefault="00A93FE3" w:rsidP="00511F7F">
            <w:pPr>
              <w:jc w:val="center"/>
              <w:rPr>
                <w:rFonts w:eastAsia="Times New Roman" w:cs="Times New Roman"/>
              </w:rPr>
            </w:pPr>
            <w:r>
              <w:t>H2c</w:t>
            </w:r>
          </w:p>
        </w:tc>
      </w:tr>
      <w:tr w:rsidR="00A93FE3" w:rsidRPr="00E601CA" w14:paraId="00B05DA1" w14:textId="77777777" w:rsidTr="00511F7F">
        <w:trPr>
          <w:jc w:val="center"/>
        </w:trPr>
        <w:tc>
          <w:tcPr>
            <w:tcW w:w="3155" w:type="pct"/>
            <w:hideMark/>
          </w:tcPr>
          <w:p w14:paraId="7C49764F" w14:textId="77777777" w:rsidR="00A93FE3" w:rsidRPr="00E601CA" w:rsidRDefault="00A93FE3" w:rsidP="00511F7F">
            <w:pPr>
              <w:spacing w:before="100" w:beforeAutospacing="1" w:after="100" w:afterAutospacing="1"/>
              <w:jc w:val="left"/>
              <w:rPr>
                <w:rFonts w:eastAsia="Times New Roman" w:cs="Times New Roman"/>
              </w:rPr>
            </w:pPr>
            <w:r>
              <w:t>33 ― Gironde</w:t>
            </w:r>
          </w:p>
        </w:tc>
        <w:tc>
          <w:tcPr>
            <w:tcW w:w="1845" w:type="pct"/>
            <w:hideMark/>
          </w:tcPr>
          <w:p w14:paraId="294CC1B7" w14:textId="77777777" w:rsidR="00A93FE3" w:rsidRPr="00E601CA" w:rsidRDefault="00A93FE3" w:rsidP="00511F7F">
            <w:pPr>
              <w:jc w:val="center"/>
              <w:rPr>
                <w:rFonts w:eastAsia="Times New Roman" w:cs="Times New Roman"/>
              </w:rPr>
            </w:pPr>
            <w:r>
              <w:t>H2c</w:t>
            </w:r>
          </w:p>
        </w:tc>
      </w:tr>
      <w:tr w:rsidR="00A93FE3" w:rsidRPr="00E601CA" w14:paraId="6125784B" w14:textId="77777777" w:rsidTr="00511F7F">
        <w:trPr>
          <w:jc w:val="center"/>
        </w:trPr>
        <w:tc>
          <w:tcPr>
            <w:tcW w:w="3155" w:type="pct"/>
            <w:hideMark/>
          </w:tcPr>
          <w:p w14:paraId="09049C4B" w14:textId="77777777" w:rsidR="00A93FE3" w:rsidRPr="00E601CA" w:rsidRDefault="00A93FE3" w:rsidP="00511F7F">
            <w:pPr>
              <w:spacing w:before="100" w:beforeAutospacing="1" w:after="100" w:afterAutospacing="1"/>
              <w:jc w:val="left"/>
              <w:rPr>
                <w:rFonts w:eastAsia="Times New Roman" w:cs="Times New Roman"/>
              </w:rPr>
            </w:pPr>
            <w:r>
              <w:t>34 ― Hérault</w:t>
            </w:r>
          </w:p>
        </w:tc>
        <w:tc>
          <w:tcPr>
            <w:tcW w:w="1845" w:type="pct"/>
            <w:hideMark/>
          </w:tcPr>
          <w:p w14:paraId="10ECA292" w14:textId="77777777" w:rsidR="00A93FE3" w:rsidRPr="00E601CA" w:rsidRDefault="00A93FE3" w:rsidP="00511F7F">
            <w:pPr>
              <w:jc w:val="center"/>
              <w:rPr>
                <w:rFonts w:eastAsia="Times New Roman" w:cs="Times New Roman"/>
              </w:rPr>
            </w:pPr>
            <w:r>
              <w:t>H3</w:t>
            </w:r>
          </w:p>
        </w:tc>
      </w:tr>
      <w:tr w:rsidR="00A93FE3" w:rsidRPr="00E601CA" w14:paraId="2F73D693" w14:textId="77777777" w:rsidTr="00511F7F">
        <w:trPr>
          <w:jc w:val="center"/>
        </w:trPr>
        <w:tc>
          <w:tcPr>
            <w:tcW w:w="3155" w:type="pct"/>
            <w:hideMark/>
          </w:tcPr>
          <w:p w14:paraId="7584AEBF" w14:textId="77777777" w:rsidR="00A93FE3" w:rsidRPr="00E601CA" w:rsidRDefault="00A93FE3" w:rsidP="00511F7F">
            <w:pPr>
              <w:spacing w:before="100" w:beforeAutospacing="1" w:after="100" w:afterAutospacing="1"/>
              <w:jc w:val="left"/>
              <w:rPr>
                <w:rFonts w:eastAsia="Times New Roman" w:cs="Times New Roman"/>
              </w:rPr>
            </w:pPr>
            <w:r>
              <w:t>35 ― Ille-et-Vilaine</w:t>
            </w:r>
          </w:p>
        </w:tc>
        <w:tc>
          <w:tcPr>
            <w:tcW w:w="1845" w:type="pct"/>
            <w:hideMark/>
          </w:tcPr>
          <w:p w14:paraId="7E30C148" w14:textId="77777777" w:rsidR="00A93FE3" w:rsidRPr="00E601CA" w:rsidRDefault="00A93FE3" w:rsidP="00511F7F">
            <w:pPr>
              <w:jc w:val="center"/>
              <w:rPr>
                <w:rFonts w:eastAsia="Times New Roman" w:cs="Times New Roman"/>
              </w:rPr>
            </w:pPr>
            <w:r>
              <w:t>H2a</w:t>
            </w:r>
          </w:p>
        </w:tc>
      </w:tr>
      <w:tr w:rsidR="00A93FE3" w:rsidRPr="00E601CA" w14:paraId="5C84DCDE" w14:textId="77777777" w:rsidTr="00511F7F">
        <w:trPr>
          <w:jc w:val="center"/>
        </w:trPr>
        <w:tc>
          <w:tcPr>
            <w:tcW w:w="3155" w:type="pct"/>
            <w:hideMark/>
          </w:tcPr>
          <w:p w14:paraId="09FBA324" w14:textId="77777777" w:rsidR="00A93FE3" w:rsidRPr="00E601CA" w:rsidRDefault="00A93FE3" w:rsidP="00511F7F">
            <w:pPr>
              <w:spacing w:before="100" w:beforeAutospacing="1" w:after="100" w:afterAutospacing="1"/>
              <w:jc w:val="left"/>
              <w:rPr>
                <w:rFonts w:eastAsia="Times New Roman" w:cs="Times New Roman"/>
              </w:rPr>
            </w:pPr>
            <w:r>
              <w:t>36 ― Indre</w:t>
            </w:r>
          </w:p>
        </w:tc>
        <w:tc>
          <w:tcPr>
            <w:tcW w:w="1845" w:type="pct"/>
            <w:hideMark/>
          </w:tcPr>
          <w:p w14:paraId="15AE5879" w14:textId="77777777" w:rsidR="00A93FE3" w:rsidRPr="00E601CA" w:rsidRDefault="00A93FE3" w:rsidP="00511F7F">
            <w:pPr>
              <w:jc w:val="center"/>
              <w:rPr>
                <w:rFonts w:eastAsia="Times New Roman" w:cs="Times New Roman"/>
              </w:rPr>
            </w:pPr>
            <w:r>
              <w:t>H2b</w:t>
            </w:r>
          </w:p>
        </w:tc>
      </w:tr>
      <w:tr w:rsidR="00A93FE3" w:rsidRPr="00E601CA" w14:paraId="1329809E" w14:textId="77777777" w:rsidTr="00511F7F">
        <w:trPr>
          <w:jc w:val="center"/>
        </w:trPr>
        <w:tc>
          <w:tcPr>
            <w:tcW w:w="3155" w:type="pct"/>
            <w:hideMark/>
          </w:tcPr>
          <w:p w14:paraId="701A125A" w14:textId="77777777" w:rsidR="00A93FE3" w:rsidRPr="00E601CA" w:rsidRDefault="00A93FE3" w:rsidP="00511F7F">
            <w:pPr>
              <w:spacing w:before="100" w:beforeAutospacing="1" w:after="100" w:afterAutospacing="1"/>
              <w:jc w:val="left"/>
              <w:rPr>
                <w:rFonts w:eastAsia="Times New Roman" w:cs="Times New Roman"/>
              </w:rPr>
            </w:pPr>
            <w:r>
              <w:t>37 ― Indre-et-Loire</w:t>
            </w:r>
          </w:p>
        </w:tc>
        <w:tc>
          <w:tcPr>
            <w:tcW w:w="1845" w:type="pct"/>
            <w:hideMark/>
          </w:tcPr>
          <w:p w14:paraId="333F0181" w14:textId="77777777" w:rsidR="00A93FE3" w:rsidRPr="00E601CA" w:rsidRDefault="00A93FE3" w:rsidP="00511F7F">
            <w:pPr>
              <w:jc w:val="center"/>
              <w:rPr>
                <w:rFonts w:eastAsia="Times New Roman" w:cs="Times New Roman"/>
              </w:rPr>
            </w:pPr>
            <w:r>
              <w:t>H2b</w:t>
            </w:r>
          </w:p>
        </w:tc>
      </w:tr>
      <w:tr w:rsidR="00A93FE3" w:rsidRPr="00E601CA" w14:paraId="585F381B" w14:textId="77777777" w:rsidTr="00511F7F">
        <w:trPr>
          <w:jc w:val="center"/>
        </w:trPr>
        <w:tc>
          <w:tcPr>
            <w:tcW w:w="3155" w:type="pct"/>
            <w:hideMark/>
          </w:tcPr>
          <w:p w14:paraId="3A37DD34" w14:textId="77777777" w:rsidR="00A93FE3" w:rsidRPr="00E601CA" w:rsidRDefault="00A93FE3" w:rsidP="00511F7F">
            <w:pPr>
              <w:spacing w:before="100" w:beforeAutospacing="1" w:after="100" w:afterAutospacing="1"/>
              <w:jc w:val="left"/>
              <w:rPr>
                <w:rFonts w:eastAsia="Times New Roman" w:cs="Times New Roman"/>
              </w:rPr>
            </w:pPr>
            <w:r>
              <w:t>38 ― Isère</w:t>
            </w:r>
          </w:p>
        </w:tc>
        <w:tc>
          <w:tcPr>
            <w:tcW w:w="1845" w:type="pct"/>
            <w:hideMark/>
          </w:tcPr>
          <w:p w14:paraId="0C2DE963" w14:textId="77777777" w:rsidR="00A93FE3" w:rsidRPr="00E601CA" w:rsidRDefault="00A93FE3" w:rsidP="00511F7F">
            <w:pPr>
              <w:jc w:val="center"/>
              <w:rPr>
                <w:rFonts w:eastAsia="Times New Roman" w:cs="Times New Roman"/>
              </w:rPr>
            </w:pPr>
            <w:r>
              <w:t>H1c</w:t>
            </w:r>
          </w:p>
        </w:tc>
      </w:tr>
      <w:tr w:rsidR="00A93FE3" w:rsidRPr="00E601CA" w14:paraId="28E8D5F7" w14:textId="77777777" w:rsidTr="00511F7F">
        <w:trPr>
          <w:jc w:val="center"/>
        </w:trPr>
        <w:tc>
          <w:tcPr>
            <w:tcW w:w="3155" w:type="pct"/>
            <w:hideMark/>
          </w:tcPr>
          <w:p w14:paraId="57F8460A" w14:textId="77777777" w:rsidR="00A93FE3" w:rsidRPr="00E601CA" w:rsidRDefault="00A93FE3" w:rsidP="00511F7F">
            <w:pPr>
              <w:spacing w:before="100" w:beforeAutospacing="1" w:after="100" w:afterAutospacing="1"/>
              <w:jc w:val="left"/>
              <w:rPr>
                <w:rFonts w:eastAsia="Times New Roman" w:cs="Times New Roman"/>
              </w:rPr>
            </w:pPr>
            <w:r>
              <w:t>39 ― Jura</w:t>
            </w:r>
          </w:p>
        </w:tc>
        <w:tc>
          <w:tcPr>
            <w:tcW w:w="1845" w:type="pct"/>
            <w:hideMark/>
          </w:tcPr>
          <w:p w14:paraId="6AA3CC7D" w14:textId="77777777" w:rsidR="00A93FE3" w:rsidRPr="00E601CA" w:rsidRDefault="00A93FE3" w:rsidP="00511F7F">
            <w:pPr>
              <w:jc w:val="center"/>
              <w:rPr>
                <w:rFonts w:eastAsia="Times New Roman" w:cs="Times New Roman"/>
              </w:rPr>
            </w:pPr>
            <w:r>
              <w:t>H1c</w:t>
            </w:r>
          </w:p>
        </w:tc>
      </w:tr>
      <w:tr w:rsidR="00A93FE3" w:rsidRPr="00E601CA" w14:paraId="55043534" w14:textId="77777777" w:rsidTr="00511F7F">
        <w:trPr>
          <w:jc w:val="center"/>
        </w:trPr>
        <w:tc>
          <w:tcPr>
            <w:tcW w:w="3155" w:type="pct"/>
            <w:hideMark/>
          </w:tcPr>
          <w:p w14:paraId="0765368E" w14:textId="77777777" w:rsidR="00A93FE3" w:rsidRPr="00E601CA" w:rsidRDefault="00A93FE3" w:rsidP="00511F7F">
            <w:pPr>
              <w:spacing w:before="100" w:beforeAutospacing="1" w:after="100" w:afterAutospacing="1"/>
              <w:jc w:val="left"/>
              <w:rPr>
                <w:rFonts w:eastAsia="Times New Roman" w:cs="Times New Roman"/>
              </w:rPr>
            </w:pPr>
            <w:r>
              <w:t>40 ― Landes</w:t>
            </w:r>
          </w:p>
        </w:tc>
        <w:tc>
          <w:tcPr>
            <w:tcW w:w="1845" w:type="pct"/>
            <w:hideMark/>
          </w:tcPr>
          <w:p w14:paraId="50EAA68C" w14:textId="77777777" w:rsidR="00A93FE3" w:rsidRPr="00E601CA" w:rsidRDefault="00A93FE3" w:rsidP="00511F7F">
            <w:pPr>
              <w:jc w:val="center"/>
              <w:rPr>
                <w:rFonts w:eastAsia="Times New Roman" w:cs="Times New Roman"/>
              </w:rPr>
            </w:pPr>
            <w:r>
              <w:t>H2c</w:t>
            </w:r>
          </w:p>
        </w:tc>
      </w:tr>
      <w:tr w:rsidR="00A93FE3" w:rsidRPr="00E601CA" w14:paraId="6688232D" w14:textId="77777777" w:rsidTr="00511F7F">
        <w:trPr>
          <w:jc w:val="center"/>
        </w:trPr>
        <w:tc>
          <w:tcPr>
            <w:tcW w:w="3155" w:type="pct"/>
            <w:hideMark/>
          </w:tcPr>
          <w:p w14:paraId="1D79FEC2" w14:textId="77777777" w:rsidR="00A93FE3" w:rsidRPr="00E601CA" w:rsidRDefault="00A93FE3" w:rsidP="00511F7F">
            <w:pPr>
              <w:spacing w:before="100" w:beforeAutospacing="1" w:after="100" w:afterAutospacing="1"/>
              <w:jc w:val="left"/>
              <w:rPr>
                <w:rFonts w:eastAsia="Times New Roman" w:cs="Times New Roman"/>
              </w:rPr>
            </w:pPr>
            <w:r>
              <w:t>41 ― Loir-et-Cher</w:t>
            </w:r>
          </w:p>
        </w:tc>
        <w:tc>
          <w:tcPr>
            <w:tcW w:w="1845" w:type="pct"/>
            <w:hideMark/>
          </w:tcPr>
          <w:p w14:paraId="6C2F1D69" w14:textId="77777777" w:rsidR="00A93FE3" w:rsidRPr="00E601CA" w:rsidRDefault="00A93FE3" w:rsidP="00511F7F">
            <w:pPr>
              <w:jc w:val="center"/>
              <w:rPr>
                <w:rFonts w:eastAsia="Times New Roman" w:cs="Times New Roman"/>
              </w:rPr>
            </w:pPr>
            <w:r>
              <w:t>H2b</w:t>
            </w:r>
          </w:p>
        </w:tc>
      </w:tr>
      <w:tr w:rsidR="00A93FE3" w:rsidRPr="00E601CA" w14:paraId="2FB6ABC5" w14:textId="77777777" w:rsidTr="00511F7F">
        <w:trPr>
          <w:jc w:val="center"/>
        </w:trPr>
        <w:tc>
          <w:tcPr>
            <w:tcW w:w="3155" w:type="pct"/>
            <w:hideMark/>
          </w:tcPr>
          <w:p w14:paraId="0FBA740E" w14:textId="77777777" w:rsidR="00A93FE3" w:rsidRPr="00E601CA" w:rsidRDefault="00A93FE3" w:rsidP="00511F7F">
            <w:pPr>
              <w:spacing w:before="100" w:beforeAutospacing="1" w:after="100" w:afterAutospacing="1"/>
              <w:jc w:val="left"/>
              <w:rPr>
                <w:rFonts w:eastAsia="Times New Roman" w:cs="Times New Roman"/>
              </w:rPr>
            </w:pPr>
            <w:r>
              <w:t>42 ― Loire</w:t>
            </w:r>
          </w:p>
        </w:tc>
        <w:tc>
          <w:tcPr>
            <w:tcW w:w="1845" w:type="pct"/>
            <w:hideMark/>
          </w:tcPr>
          <w:p w14:paraId="7F02F67A" w14:textId="77777777" w:rsidR="00A93FE3" w:rsidRPr="00E601CA" w:rsidRDefault="00A93FE3" w:rsidP="00511F7F">
            <w:pPr>
              <w:jc w:val="center"/>
              <w:rPr>
                <w:rFonts w:eastAsia="Times New Roman" w:cs="Times New Roman"/>
              </w:rPr>
            </w:pPr>
            <w:r>
              <w:t>H1c</w:t>
            </w:r>
          </w:p>
        </w:tc>
      </w:tr>
      <w:tr w:rsidR="00A93FE3" w:rsidRPr="00E601CA" w14:paraId="546D844D" w14:textId="77777777" w:rsidTr="00511F7F">
        <w:trPr>
          <w:jc w:val="center"/>
        </w:trPr>
        <w:tc>
          <w:tcPr>
            <w:tcW w:w="3155" w:type="pct"/>
            <w:hideMark/>
          </w:tcPr>
          <w:p w14:paraId="0DE86B61" w14:textId="77777777" w:rsidR="00A93FE3" w:rsidRPr="00E601CA" w:rsidRDefault="00A93FE3" w:rsidP="00511F7F">
            <w:pPr>
              <w:spacing w:before="100" w:beforeAutospacing="1" w:after="100" w:afterAutospacing="1"/>
              <w:jc w:val="left"/>
              <w:rPr>
                <w:rFonts w:eastAsia="Times New Roman" w:cs="Times New Roman"/>
              </w:rPr>
            </w:pPr>
            <w:r>
              <w:t>43 ― Haute-Loire</w:t>
            </w:r>
          </w:p>
        </w:tc>
        <w:tc>
          <w:tcPr>
            <w:tcW w:w="1845" w:type="pct"/>
            <w:hideMark/>
          </w:tcPr>
          <w:p w14:paraId="286C0E4E" w14:textId="77777777" w:rsidR="00A93FE3" w:rsidRPr="00E601CA" w:rsidRDefault="00A93FE3" w:rsidP="00511F7F">
            <w:pPr>
              <w:jc w:val="center"/>
              <w:rPr>
                <w:rFonts w:eastAsia="Times New Roman" w:cs="Times New Roman"/>
              </w:rPr>
            </w:pPr>
            <w:r>
              <w:t>H1c</w:t>
            </w:r>
          </w:p>
        </w:tc>
      </w:tr>
      <w:tr w:rsidR="00A93FE3" w:rsidRPr="00E601CA" w14:paraId="77A6F90C" w14:textId="77777777" w:rsidTr="00511F7F">
        <w:trPr>
          <w:jc w:val="center"/>
        </w:trPr>
        <w:tc>
          <w:tcPr>
            <w:tcW w:w="3155" w:type="pct"/>
            <w:hideMark/>
          </w:tcPr>
          <w:p w14:paraId="08796022" w14:textId="77777777" w:rsidR="00A93FE3" w:rsidRPr="00E601CA" w:rsidRDefault="00A93FE3" w:rsidP="00511F7F">
            <w:pPr>
              <w:spacing w:before="100" w:beforeAutospacing="1" w:after="100" w:afterAutospacing="1"/>
              <w:jc w:val="left"/>
              <w:rPr>
                <w:rFonts w:eastAsia="Times New Roman" w:cs="Times New Roman"/>
              </w:rPr>
            </w:pPr>
            <w:r>
              <w:t>44 ― Loire-Atlantique</w:t>
            </w:r>
          </w:p>
        </w:tc>
        <w:tc>
          <w:tcPr>
            <w:tcW w:w="1845" w:type="pct"/>
            <w:hideMark/>
          </w:tcPr>
          <w:p w14:paraId="3369A9E1" w14:textId="77777777" w:rsidR="00A93FE3" w:rsidRPr="00E601CA" w:rsidRDefault="00A93FE3" w:rsidP="00511F7F">
            <w:pPr>
              <w:jc w:val="center"/>
              <w:rPr>
                <w:rFonts w:eastAsia="Times New Roman" w:cs="Times New Roman"/>
              </w:rPr>
            </w:pPr>
            <w:r>
              <w:t>H2b</w:t>
            </w:r>
          </w:p>
        </w:tc>
      </w:tr>
      <w:tr w:rsidR="00A93FE3" w:rsidRPr="00E601CA" w14:paraId="35E8E30E" w14:textId="77777777" w:rsidTr="00511F7F">
        <w:trPr>
          <w:jc w:val="center"/>
        </w:trPr>
        <w:tc>
          <w:tcPr>
            <w:tcW w:w="3155" w:type="pct"/>
            <w:hideMark/>
          </w:tcPr>
          <w:p w14:paraId="5BAD392B" w14:textId="77777777" w:rsidR="00A93FE3" w:rsidRPr="00E601CA" w:rsidRDefault="00A93FE3" w:rsidP="00511F7F">
            <w:pPr>
              <w:spacing w:before="100" w:beforeAutospacing="1" w:after="100" w:afterAutospacing="1"/>
              <w:jc w:val="left"/>
              <w:rPr>
                <w:rFonts w:eastAsia="Times New Roman" w:cs="Times New Roman"/>
              </w:rPr>
            </w:pPr>
            <w:r>
              <w:t>45 ― Loiret</w:t>
            </w:r>
          </w:p>
        </w:tc>
        <w:tc>
          <w:tcPr>
            <w:tcW w:w="1845" w:type="pct"/>
            <w:hideMark/>
          </w:tcPr>
          <w:p w14:paraId="1F77118C" w14:textId="77777777" w:rsidR="00A93FE3" w:rsidRPr="00E601CA" w:rsidRDefault="00A93FE3" w:rsidP="00511F7F">
            <w:pPr>
              <w:jc w:val="center"/>
              <w:rPr>
                <w:rFonts w:eastAsia="Times New Roman" w:cs="Times New Roman"/>
              </w:rPr>
            </w:pPr>
            <w:r>
              <w:t>H1b</w:t>
            </w:r>
          </w:p>
        </w:tc>
      </w:tr>
      <w:tr w:rsidR="00A93FE3" w:rsidRPr="00E601CA" w14:paraId="72AAF929" w14:textId="77777777" w:rsidTr="00511F7F">
        <w:trPr>
          <w:jc w:val="center"/>
        </w:trPr>
        <w:tc>
          <w:tcPr>
            <w:tcW w:w="3155" w:type="pct"/>
            <w:hideMark/>
          </w:tcPr>
          <w:p w14:paraId="425B5698" w14:textId="77777777" w:rsidR="00A93FE3" w:rsidRPr="00E601CA" w:rsidRDefault="00A93FE3" w:rsidP="00511F7F">
            <w:pPr>
              <w:spacing w:before="100" w:beforeAutospacing="1" w:after="100" w:afterAutospacing="1"/>
              <w:jc w:val="left"/>
              <w:rPr>
                <w:rFonts w:eastAsia="Times New Roman" w:cs="Times New Roman"/>
              </w:rPr>
            </w:pPr>
            <w:r>
              <w:t>46 ― Lot</w:t>
            </w:r>
          </w:p>
        </w:tc>
        <w:tc>
          <w:tcPr>
            <w:tcW w:w="1845" w:type="pct"/>
            <w:hideMark/>
          </w:tcPr>
          <w:p w14:paraId="4515DC23" w14:textId="77777777" w:rsidR="00A93FE3" w:rsidRPr="00E601CA" w:rsidRDefault="00A93FE3" w:rsidP="00511F7F">
            <w:pPr>
              <w:jc w:val="center"/>
              <w:rPr>
                <w:rFonts w:eastAsia="Times New Roman" w:cs="Times New Roman"/>
              </w:rPr>
            </w:pPr>
            <w:r>
              <w:t>H2c</w:t>
            </w:r>
          </w:p>
        </w:tc>
      </w:tr>
      <w:tr w:rsidR="00A93FE3" w:rsidRPr="00E601CA" w14:paraId="22D3634C" w14:textId="77777777" w:rsidTr="00511F7F">
        <w:trPr>
          <w:jc w:val="center"/>
        </w:trPr>
        <w:tc>
          <w:tcPr>
            <w:tcW w:w="3155" w:type="pct"/>
            <w:hideMark/>
          </w:tcPr>
          <w:p w14:paraId="2425A0EB" w14:textId="77777777" w:rsidR="00A93FE3" w:rsidRPr="00E601CA" w:rsidRDefault="00A93FE3" w:rsidP="00511F7F">
            <w:pPr>
              <w:spacing w:before="100" w:beforeAutospacing="1" w:after="100" w:afterAutospacing="1"/>
              <w:jc w:val="left"/>
              <w:rPr>
                <w:rFonts w:eastAsia="Times New Roman" w:cs="Times New Roman"/>
              </w:rPr>
            </w:pPr>
            <w:r>
              <w:t>47 ― Lot-et-Garonne</w:t>
            </w:r>
          </w:p>
        </w:tc>
        <w:tc>
          <w:tcPr>
            <w:tcW w:w="1845" w:type="pct"/>
            <w:hideMark/>
          </w:tcPr>
          <w:p w14:paraId="529B1722" w14:textId="77777777" w:rsidR="00A93FE3" w:rsidRPr="00E601CA" w:rsidRDefault="00A93FE3" w:rsidP="00511F7F">
            <w:pPr>
              <w:jc w:val="center"/>
              <w:rPr>
                <w:rFonts w:eastAsia="Times New Roman" w:cs="Times New Roman"/>
              </w:rPr>
            </w:pPr>
            <w:r>
              <w:t>H2c</w:t>
            </w:r>
          </w:p>
        </w:tc>
      </w:tr>
      <w:tr w:rsidR="00A93FE3" w:rsidRPr="00E601CA" w14:paraId="50EF715F" w14:textId="77777777" w:rsidTr="00511F7F">
        <w:trPr>
          <w:jc w:val="center"/>
        </w:trPr>
        <w:tc>
          <w:tcPr>
            <w:tcW w:w="3155" w:type="pct"/>
            <w:hideMark/>
          </w:tcPr>
          <w:p w14:paraId="22951C53" w14:textId="77777777" w:rsidR="00A93FE3" w:rsidRPr="00E601CA" w:rsidRDefault="00A93FE3" w:rsidP="00511F7F">
            <w:pPr>
              <w:spacing w:before="100" w:beforeAutospacing="1" w:after="100" w:afterAutospacing="1"/>
              <w:jc w:val="left"/>
              <w:rPr>
                <w:rFonts w:eastAsia="Times New Roman" w:cs="Times New Roman"/>
              </w:rPr>
            </w:pPr>
            <w:r>
              <w:t>48 ― Lozère</w:t>
            </w:r>
          </w:p>
        </w:tc>
        <w:tc>
          <w:tcPr>
            <w:tcW w:w="1845" w:type="pct"/>
            <w:hideMark/>
          </w:tcPr>
          <w:p w14:paraId="4D6C5B17" w14:textId="77777777" w:rsidR="00A93FE3" w:rsidRPr="00E601CA" w:rsidRDefault="00A93FE3" w:rsidP="00511F7F">
            <w:pPr>
              <w:jc w:val="center"/>
              <w:rPr>
                <w:rFonts w:eastAsia="Times New Roman" w:cs="Times New Roman"/>
              </w:rPr>
            </w:pPr>
            <w:r>
              <w:t>H2d</w:t>
            </w:r>
          </w:p>
        </w:tc>
      </w:tr>
      <w:tr w:rsidR="00A93FE3" w:rsidRPr="00E601CA" w14:paraId="3C8BCF99" w14:textId="77777777" w:rsidTr="00511F7F">
        <w:trPr>
          <w:jc w:val="center"/>
        </w:trPr>
        <w:tc>
          <w:tcPr>
            <w:tcW w:w="3155" w:type="pct"/>
            <w:hideMark/>
          </w:tcPr>
          <w:p w14:paraId="0CDD388F" w14:textId="77777777" w:rsidR="00A93FE3" w:rsidRPr="00E601CA" w:rsidRDefault="00A93FE3" w:rsidP="00511F7F">
            <w:pPr>
              <w:spacing w:before="100" w:beforeAutospacing="1" w:after="100" w:afterAutospacing="1"/>
              <w:jc w:val="left"/>
              <w:rPr>
                <w:rFonts w:eastAsia="Times New Roman" w:cs="Times New Roman"/>
              </w:rPr>
            </w:pPr>
            <w:r>
              <w:t>49 ― Maine-et-Loire</w:t>
            </w:r>
          </w:p>
        </w:tc>
        <w:tc>
          <w:tcPr>
            <w:tcW w:w="1845" w:type="pct"/>
            <w:hideMark/>
          </w:tcPr>
          <w:p w14:paraId="1DCF80C5" w14:textId="77777777" w:rsidR="00A93FE3" w:rsidRPr="00E601CA" w:rsidRDefault="00A93FE3" w:rsidP="00511F7F">
            <w:pPr>
              <w:jc w:val="center"/>
              <w:rPr>
                <w:rFonts w:eastAsia="Times New Roman" w:cs="Times New Roman"/>
              </w:rPr>
            </w:pPr>
            <w:r>
              <w:t>H2b</w:t>
            </w:r>
          </w:p>
        </w:tc>
      </w:tr>
      <w:tr w:rsidR="00A93FE3" w:rsidRPr="00E601CA" w14:paraId="1643BDDA" w14:textId="77777777" w:rsidTr="00511F7F">
        <w:trPr>
          <w:jc w:val="center"/>
        </w:trPr>
        <w:tc>
          <w:tcPr>
            <w:tcW w:w="3155" w:type="pct"/>
            <w:hideMark/>
          </w:tcPr>
          <w:p w14:paraId="5AA7E5BD" w14:textId="77777777" w:rsidR="00A93FE3" w:rsidRPr="00E601CA" w:rsidRDefault="00A93FE3" w:rsidP="00511F7F">
            <w:pPr>
              <w:spacing w:before="100" w:beforeAutospacing="1" w:after="100" w:afterAutospacing="1"/>
              <w:jc w:val="left"/>
              <w:rPr>
                <w:rFonts w:eastAsia="Times New Roman" w:cs="Times New Roman"/>
              </w:rPr>
            </w:pPr>
            <w:r>
              <w:t>50 ― Manche</w:t>
            </w:r>
          </w:p>
        </w:tc>
        <w:tc>
          <w:tcPr>
            <w:tcW w:w="1845" w:type="pct"/>
            <w:hideMark/>
          </w:tcPr>
          <w:p w14:paraId="76257699" w14:textId="77777777" w:rsidR="00A93FE3" w:rsidRPr="00E601CA" w:rsidRDefault="00A93FE3" w:rsidP="00511F7F">
            <w:pPr>
              <w:jc w:val="center"/>
              <w:rPr>
                <w:rFonts w:eastAsia="Times New Roman" w:cs="Times New Roman"/>
              </w:rPr>
            </w:pPr>
            <w:r>
              <w:t>H2a</w:t>
            </w:r>
          </w:p>
        </w:tc>
      </w:tr>
      <w:tr w:rsidR="00A93FE3" w:rsidRPr="00E601CA" w14:paraId="283462B4" w14:textId="77777777" w:rsidTr="00511F7F">
        <w:trPr>
          <w:jc w:val="center"/>
        </w:trPr>
        <w:tc>
          <w:tcPr>
            <w:tcW w:w="3155" w:type="pct"/>
            <w:hideMark/>
          </w:tcPr>
          <w:p w14:paraId="3FD707D2" w14:textId="77777777" w:rsidR="00A93FE3" w:rsidRPr="00E601CA" w:rsidRDefault="00A93FE3" w:rsidP="00511F7F">
            <w:pPr>
              <w:spacing w:before="100" w:beforeAutospacing="1" w:after="100" w:afterAutospacing="1"/>
              <w:jc w:val="left"/>
              <w:rPr>
                <w:rFonts w:eastAsia="Times New Roman" w:cs="Times New Roman"/>
              </w:rPr>
            </w:pPr>
            <w:r>
              <w:t>51 ― Marne</w:t>
            </w:r>
          </w:p>
        </w:tc>
        <w:tc>
          <w:tcPr>
            <w:tcW w:w="1845" w:type="pct"/>
            <w:hideMark/>
          </w:tcPr>
          <w:p w14:paraId="3753E2E6" w14:textId="77777777" w:rsidR="00A93FE3" w:rsidRPr="00E601CA" w:rsidRDefault="00A93FE3" w:rsidP="00511F7F">
            <w:pPr>
              <w:jc w:val="center"/>
              <w:rPr>
                <w:rFonts w:eastAsia="Times New Roman" w:cs="Times New Roman"/>
              </w:rPr>
            </w:pPr>
            <w:r>
              <w:t>H1b</w:t>
            </w:r>
          </w:p>
        </w:tc>
      </w:tr>
      <w:tr w:rsidR="00A93FE3" w:rsidRPr="00E601CA" w14:paraId="54C4E520" w14:textId="77777777" w:rsidTr="00511F7F">
        <w:trPr>
          <w:jc w:val="center"/>
        </w:trPr>
        <w:tc>
          <w:tcPr>
            <w:tcW w:w="3155" w:type="pct"/>
            <w:hideMark/>
          </w:tcPr>
          <w:p w14:paraId="7CBB625D" w14:textId="77777777" w:rsidR="00A93FE3" w:rsidRPr="00E601CA" w:rsidRDefault="00A93FE3" w:rsidP="00511F7F">
            <w:pPr>
              <w:spacing w:before="100" w:beforeAutospacing="1" w:after="100" w:afterAutospacing="1"/>
              <w:jc w:val="left"/>
              <w:rPr>
                <w:rFonts w:eastAsia="Times New Roman" w:cs="Times New Roman"/>
              </w:rPr>
            </w:pPr>
            <w:r>
              <w:t>52 ― Haute-Marne</w:t>
            </w:r>
          </w:p>
        </w:tc>
        <w:tc>
          <w:tcPr>
            <w:tcW w:w="1845" w:type="pct"/>
            <w:hideMark/>
          </w:tcPr>
          <w:p w14:paraId="3BB974DC" w14:textId="77777777" w:rsidR="00A93FE3" w:rsidRPr="00E601CA" w:rsidRDefault="00A93FE3" w:rsidP="00511F7F">
            <w:pPr>
              <w:jc w:val="center"/>
              <w:rPr>
                <w:rFonts w:eastAsia="Times New Roman" w:cs="Times New Roman"/>
              </w:rPr>
            </w:pPr>
            <w:r>
              <w:t>H1b</w:t>
            </w:r>
          </w:p>
        </w:tc>
      </w:tr>
      <w:tr w:rsidR="00A93FE3" w:rsidRPr="00E601CA" w14:paraId="3591D365" w14:textId="77777777" w:rsidTr="00511F7F">
        <w:trPr>
          <w:jc w:val="center"/>
        </w:trPr>
        <w:tc>
          <w:tcPr>
            <w:tcW w:w="3155" w:type="pct"/>
            <w:hideMark/>
          </w:tcPr>
          <w:p w14:paraId="2096E839" w14:textId="77777777" w:rsidR="00A93FE3" w:rsidRPr="00E601CA" w:rsidRDefault="00A93FE3" w:rsidP="00511F7F">
            <w:pPr>
              <w:spacing w:before="100" w:beforeAutospacing="1" w:after="100" w:afterAutospacing="1"/>
              <w:jc w:val="left"/>
              <w:rPr>
                <w:rFonts w:eastAsia="Times New Roman" w:cs="Times New Roman"/>
              </w:rPr>
            </w:pPr>
            <w:r>
              <w:t>53 ― Mayenne</w:t>
            </w:r>
          </w:p>
        </w:tc>
        <w:tc>
          <w:tcPr>
            <w:tcW w:w="1845" w:type="pct"/>
            <w:hideMark/>
          </w:tcPr>
          <w:p w14:paraId="5857A640" w14:textId="77777777" w:rsidR="00A93FE3" w:rsidRPr="00E601CA" w:rsidRDefault="00A93FE3" w:rsidP="00511F7F">
            <w:pPr>
              <w:jc w:val="center"/>
              <w:rPr>
                <w:rFonts w:eastAsia="Times New Roman" w:cs="Times New Roman"/>
              </w:rPr>
            </w:pPr>
            <w:r>
              <w:t>H2b</w:t>
            </w:r>
          </w:p>
        </w:tc>
      </w:tr>
      <w:tr w:rsidR="00A93FE3" w:rsidRPr="00E601CA" w14:paraId="510DD600" w14:textId="77777777" w:rsidTr="00511F7F">
        <w:trPr>
          <w:jc w:val="center"/>
        </w:trPr>
        <w:tc>
          <w:tcPr>
            <w:tcW w:w="3155" w:type="pct"/>
            <w:hideMark/>
          </w:tcPr>
          <w:p w14:paraId="3667A3FB" w14:textId="77777777" w:rsidR="00A93FE3" w:rsidRPr="00E601CA" w:rsidRDefault="00A93FE3" w:rsidP="00511F7F">
            <w:pPr>
              <w:spacing w:before="100" w:beforeAutospacing="1" w:after="100" w:afterAutospacing="1"/>
              <w:jc w:val="left"/>
              <w:rPr>
                <w:rFonts w:eastAsia="Times New Roman" w:cs="Times New Roman"/>
              </w:rPr>
            </w:pPr>
            <w:r>
              <w:t>54 ― Meurthe-et-Moselle</w:t>
            </w:r>
          </w:p>
        </w:tc>
        <w:tc>
          <w:tcPr>
            <w:tcW w:w="1845" w:type="pct"/>
            <w:hideMark/>
          </w:tcPr>
          <w:p w14:paraId="410AA94D" w14:textId="77777777" w:rsidR="00A93FE3" w:rsidRPr="00E601CA" w:rsidRDefault="00A93FE3" w:rsidP="00511F7F">
            <w:pPr>
              <w:jc w:val="center"/>
              <w:rPr>
                <w:rFonts w:eastAsia="Times New Roman" w:cs="Times New Roman"/>
              </w:rPr>
            </w:pPr>
            <w:r>
              <w:t>H1b</w:t>
            </w:r>
          </w:p>
        </w:tc>
      </w:tr>
      <w:tr w:rsidR="00A93FE3" w:rsidRPr="00E601CA" w14:paraId="383BCB5A" w14:textId="77777777" w:rsidTr="00511F7F">
        <w:trPr>
          <w:jc w:val="center"/>
        </w:trPr>
        <w:tc>
          <w:tcPr>
            <w:tcW w:w="3155" w:type="pct"/>
            <w:hideMark/>
          </w:tcPr>
          <w:p w14:paraId="1AD78E7A" w14:textId="77777777" w:rsidR="00A93FE3" w:rsidRPr="00E601CA" w:rsidRDefault="00A93FE3" w:rsidP="00511F7F">
            <w:pPr>
              <w:spacing w:before="100" w:beforeAutospacing="1" w:after="100" w:afterAutospacing="1"/>
              <w:jc w:val="left"/>
              <w:rPr>
                <w:rFonts w:eastAsia="Times New Roman" w:cs="Times New Roman"/>
              </w:rPr>
            </w:pPr>
            <w:r>
              <w:t>55 ― Meuse</w:t>
            </w:r>
          </w:p>
        </w:tc>
        <w:tc>
          <w:tcPr>
            <w:tcW w:w="1845" w:type="pct"/>
            <w:hideMark/>
          </w:tcPr>
          <w:p w14:paraId="5A8194F1" w14:textId="77777777" w:rsidR="00A93FE3" w:rsidRPr="00E601CA" w:rsidRDefault="00A93FE3" w:rsidP="00511F7F">
            <w:pPr>
              <w:jc w:val="center"/>
              <w:rPr>
                <w:rFonts w:eastAsia="Times New Roman" w:cs="Times New Roman"/>
              </w:rPr>
            </w:pPr>
            <w:r>
              <w:t>H1b</w:t>
            </w:r>
          </w:p>
        </w:tc>
      </w:tr>
      <w:tr w:rsidR="00A93FE3" w:rsidRPr="00E601CA" w14:paraId="7BA8BFBD" w14:textId="77777777" w:rsidTr="00511F7F">
        <w:trPr>
          <w:jc w:val="center"/>
        </w:trPr>
        <w:tc>
          <w:tcPr>
            <w:tcW w:w="3155" w:type="pct"/>
            <w:hideMark/>
          </w:tcPr>
          <w:p w14:paraId="68F50174" w14:textId="77777777" w:rsidR="00A93FE3" w:rsidRPr="00E601CA" w:rsidRDefault="00A93FE3" w:rsidP="00511F7F">
            <w:pPr>
              <w:spacing w:before="100" w:beforeAutospacing="1" w:after="100" w:afterAutospacing="1"/>
              <w:jc w:val="left"/>
              <w:rPr>
                <w:rFonts w:eastAsia="Times New Roman" w:cs="Times New Roman"/>
              </w:rPr>
            </w:pPr>
            <w:r>
              <w:t>56 ― Morbihan</w:t>
            </w:r>
          </w:p>
        </w:tc>
        <w:tc>
          <w:tcPr>
            <w:tcW w:w="1845" w:type="pct"/>
            <w:hideMark/>
          </w:tcPr>
          <w:p w14:paraId="1A459D1A" w14:textId="77777777" w:rsidR="00A93FE3" w:rsidRPr="00E601CA" w:rsidRDefault="00A93FE3" w:rsidP="00511F7F">
            <w:pPr>
              <w:jc w:val="center"/>
              <w:rPr>
                <w:rFonts w:eastAsia="Times New Roman" w:cs="Times New Roman"/>
              </w:rPr>
            </w:pPr>
            <w:r>
              <w:t>H2a</w:t>
            </w:r>
          </w:p>
        </w:tc>
      </w:tr>
      <w:tr w:rsidR="00A93FE3" w:rsidRPr="00E601CA" w14:paraId="252175EA" w14:textId="77777777" w:rsidTr="00511F7F">
        <w:trPr>
          <w:jc w:val="center"/>
        </w:trPr>
        <w:tc>
          <w:tcPr>
            <w:tcW w:w="3155" w:type="pct"/>
            <w:hideMark/>
          </w:tcPr>
          <w:p w14:paraId="13D0B8F0" w14:textId="77777777" w:rsidR="00A93FE3" w:rsidRPr="00E601CA" w:rsidRDefault="00A93FE3" w:rsidP="00511F7F">
            <w:pPr>
              <w:spacing w:before="100" w:beforeAutospacing="1" w:after="100" w:afterAutospacing="1"/>
              <w:jc w:val="left"/>
              <w:rPr>
                <w:rFonts w:eastAsia="Times New Roman" w:cs="Times New Roman"/>
              </w:rPr>
            </w:pPr>
            <w:r>
              <w:t>57 ― Moselle</w:t>
            </w:r>
          </w:p>
        </w:tc>
        <w:tc>
          <w:tcPr>
            <w:tcW w:w="1845" w:type="pct"/>
            <w:hideMark/>
          </w:tcPr>
          <w:p w14:paraId="49538BA8" w14:textId="77777777" w:rsidR="00A93FE3" w:rsidRPr="00E601CA" w:rsidRDefault="00A93FE3" w:rsidP="00511F7F">
            <w:pPr>
              <w:jc w:val="center"/>
              <w:rPr>
                <w:rFonts w:eastAsia="Times New Roman" w:cs="Times New Roman"/>
              </w:rPr>
            </w:pPr>
            <w:r>
              <w:t>H1b</w:t>
            </w:r>
          </w:p>
        </w:tc>
      </w:tr>
      <w:tr w:rsidR="00A93FE3" w:rsidRPr="00E601CA" w14:paraId="4CB955C4" w14:textId="77777777" w:rsidTr="00511F7F">
        <w:trPr>
          <w:jc w:val="center"/>
        </w:trPr>
        <w:tc>
          <w:tcPr>
            <w:tcW w:w="3155" w:type="pct"/>
            <w:hideMark/>
          </w:tcPr>
          <w:p w14:paraId="0FB5493C" w14:textId="77777777" w:rsidR="00A93FE3" w:rsidRPr="00E601CA" w:rsidRDefault="00A93FE3" w:rsidP="00511F7F">
            <w:pPr>
              <w:spacing w:before="100" w:beforeAutospacing="1" w:after="100" w:afterAutospacing="1"/>
              <w:jc w:val="left"/>
              <w:rPr>
                <w:rFonts w:eastAsia="Times New Roman" w:cs="Times New Roman"/>
              </w:rPr>
            </w:pPr>
            <w:r>
              <w:t>58 ― Nièvre</w:t>
            </w:r>
          </w:p>
        </w:tc>
        <w:tc>
          <w:tcPr>
            <w:tcW w:w="1845" w:type="pct"/>
            <w:hideMark/>
          </w:tcPr>
          <w:p w14:paraId="38C73141" w14:textId="77777777" w:rsidR="00A93FE3" w:rsidRPr="00E601CA" w:rsidRDefault="00A93FE3" w:rsidP="00511F7F">
            <w:pPr>
              <w:jc w:val="center"/>
              <w:rPr>
                <w:rFonts w:eastAsia="Times New Roman" w:cs="Times New Roman"/>
              </w:rPr>
            </w:pPr>
            <w:r>
              <w:t>H1b</w:t>
            </w:r>
          </w:p>
        </w:tc>
      </w:tr>
      <w:tr w:rsidR="00A93FE3" w:rsidRPr="00E601CA" w14:paraId="61756A32" w14:textId="77777777" w:rsidTr="00511F7F">
        <w:trPr>
          <w:jc w:val="center"/>
        </w:trPr>
        <w:tc>
          <w:tcPr>
            <w:tcW w:w="3155" w:type="pct"/>
            <w:hideMark/>
          </w:tcPr>
          <w:p w14:paraId="7D1C2128" w14:textId="77777777" w:rsidR="00A93FE3" w:rsidRPr="00E601CA" w:rsidRDefault="00A93FE3" w:rsidP="00511F7F">
            <w:pPr>
              <w:spacing w:before="100" w:beforeAutospacing="1" w:after="100" w:afterAutospacing="1"/>
              <w:jc w:val="left"/>
              <w:rPr>
                <w:rFonts w:eastAsia="Times New Roman" w:cs="Times New Roman"/>
              </w:rPr>
            </w:pPr>
            <w:r>
              <w:t>59 ― Nord</w:t>
            </w:r>
          </w:p>
        </w:tc>
        <w:tc>
          <w:tcPr>
            <w:tcW w:w="1845" w:type="pct"/>
            <w:hideMark/>
          </w:tcPr>
          <w:p w14:paraId="3B30FD62" w14:textId="77777777" w:rsidR="00A93FE3" w:rsidRPr="00E601CA" w:rsidRDefault="00A93FE3" w:rsidP="00511F7F">
            <w:pPr>
              <w:jc w:val="center"/>
              <w:rPr>
                <w:rFonts w:eastAsia="Times New Roman" w:cs="Times New Roman"/>
              </w:rPr>
            </w:pPr>
            <w:r>
              <w:t>H1a</w:t>
            </w:r>
          </w:p>
        </w:tc>
      </w:tr>
      <w:tr w:rsidR="00A93FE3" w:rsidRPr="00E601CA" w14:paraId="33394994" w14:textId="77777777" w:rsidTr="00511F7F">
        <w:trPr>
          <w:jc w:val="center"/>
        </w:trPr>
        <w:tc>
          <w:tcPr>
            <w:tcW w:w="3155" w:type="pct"/>
            <w:hideMark/>
          </w:tcPr>
          <w:p w14:paraId="7077F8F2" w14:textId="77777777" w:rsidR="00A93FE3" w:rsidRPr="00E601CA" w:rsidRDefault="00A93FE3" w:rsidP="00511F7F">
            <w:pPr>
              <w:spacing w:before="100" w:beforeAutospacing="1" w:after="100" w:afterAutospacing="1"/>
              <w:jc w:val="left"/>
              <w:rPr>
                <w:rFonts w:eastAsia="Times New Roman" w:cs="Times New Roman"/>
              </w:rPr>
            </w:pPr>
            <w:r>
              <w:t>60 ― Oise</w:t>
            </w:r>
          </w:p>
        </w:tc>
        <w:tc>
          <w:tcPr>
            <w:tcW w:w="1845" w:type="pct"/>
            <w:hideMark/>
          </w:tcPr>
          <w:p w14:paraId="459654A0" w14:textId="77777777" w:rsidR="00A93FE3" w:rsidRPr="00E601CA" w:rsidRDefault="00A93FE3" w:rsidP="00511F7F">
            <w:pPr>
              <w:jc w:val="center"/>
              <w:rPr>
                <w:rFonts w:eastAsia="Times New Roman" w:cs="Times New Roman"/>
              </w:rPr>
            </w:pPr>
            <w:r>
              <w:t>H1a</w:t>
            </w:r>
          </w:p>
        </w:tc>
      </w:tr>
      <w:tr w:rsidR="00A93FE3" w:rsidRPr="00E601CA" w14:paraId="3E5DC47E" w14:textId="77777777" w:rsidTr="00511F7F">
        <w:trPr>
          <w:jc w:val="center"/>
        </w:trPr>
        <w:tc>
          <w:tcPr>
            <w:tcW w:w="3155" w:type="pct"/>
            <w:hideMark/>
          </w:tcPr>
          <w:p w14:paraId="37C8893C" w14:textId="77777777" w:rsidR="00A93FE3" w:rsidRPr="00E601CA" w:rsidRDefault="00A93FE3" w:rsidP="00511F7F">
            <w:pPr>
              <w:spacing w:before="100" w:beforeAutospacing="1" w:after="100" w:afterAutospacing="1"/>
              <w:jc w:val="left"/>
              <w:rPr>
                <w:rFonts w:eastAsia="Times New Roman" w:cs="Times New Roman"/>
              </w:rPr>
            </w:pPr>
            <w:r>
              <w:t>61 ― Orne</w:t>
            </w:r>
          </w:p>
        </w:tc>
        <w:tc>
          <w:tcPr>
            <w:tcW w:w="1845" w:type="pct"/>
            <w:hideMark/>
          </w:tcPr>
          <w:p w14:paraId="23458DCD" w14:textId="77777777" w:rsidR="00A93FE3" w:rsidRPr="00E601CA" w:rsidRDefault="00A93FE3" w:rsidP="00511F7F">
            <w:pPr>
              <w:jc w:val="center"/>
              <w:rPr>
                <w:rFonts w:eastAsia="Times New Roman" w:cs="Times New Roman"/>
              </w:rPr>
            </w:pPr>
            <w:r>
              <w:t>H1a</w:t>
            </w:r>
          </w:p>
        </w:tc>
      </w:tr>
      <w:tr w:rsidR="00A93FE3" w:rsidRPr="00E601CA" w14:paraId="7BA831B5" w14:textId="77777777" w:rsidTr="00511F7F">
        <w:trPr>
          <w:jc w:val="center"/>
        </w:trPr>
        <w:tc>
          <w:tcPr>
            <w:tcW w:w="3155" w:type="pct"/>
            <w:hideMark/>
          </w:tcPr>
          <w:p w14:paraId="2E47F981" w14:textId="77777777" w:rsidR="00A93FE3" w:rsidRPr="00E601CA" w:rsidRDefault="00A93FE3" w:rsidP="00511F7F">
            <w:pPr>
              <w:spacing w:before="100" w:beforeAutospacing="1" w:after="100" w:afterAutospacing="1"/>
              <w:jc w:val="left"/>
              <w:rPr>
                <w:rFonts w:eastAsia="Times New Roman" w:cs="Times New Roman"/>
              </w:rPr>
            </w:pPr>
            <w:r>
              <w:t>62 ― Pas-de-Calais</w:t>
            </w:r>
          </w:p>
        </w:tc>
        <w:tc>
          <w:tcPr>
            <w:tcW w:w="1845" w:type="pct"/>
            <w:hideMark/>
          </w:tcPr>
          <w:p w14:paraId="1A3B9AA3" w14:textId="77777777" w:rsidR="00A93FE3" w:rsidRPr="00E601CA" w:rsidRDefault="00A93FE3" w:rsidP="00511F7F">
            <w:pPr>
              <w:jc w:val="center"/>
              <w:rPr>
                <w:rFonts w:eastAsia="Times New Roman" w:cs="Times New Roman"/>
              </w:rPr>
            </w:pPr>
            <w:r>
              <w:t>H1a</w:t>
            </w:r>
          </w:p>
        </w:tc>
      </w:tr>
      <w:tr w:rsidR="00A93FE3" w:rsidRPr="00E601CA" w14:paraId="185C9515" w14:textId="77777777" w:rsidTr="00511F7F">
        <w:trPr>
          <w:jc w:val="center"/>
        </w:trPr>
        <w:tc>
          <w:tcPr>
            <w:tcW w:w="3155" w:type="pct"/>
            <w:hideMark/>
          </w:tcPr>
          <w:p w14:paraId="7E87EC6E" w14:textId="77777777" w:rsidR="00A93FE3" w:rsidRPr="00E601CA" w:rsidRDefault="00A93FE3" w:rsidP="00511F7F">
            <w:pPr>
              <w:spacing w:before="100" w:beforeAutospacing="1" w:after="100" w:afterAutospacing="1"/>
              <w:jc w:val="left"/>
              <w:rPr>
                <w:rFonts w:eastAsia="Times New Roman" w:cs="Times New Roman"/>
              </w:rPr>
            </w:pPr>
            <w:r>
              <w:t>63 ― Puy-de Dôme</w:t>
            </w:r>
          </w:p>
        </w:tc>
        <w:tc>
          <w:tcPr>
            <w:tcW w:w="1845" w:type="pct"/>
            <w:hideMark/>
          </w:tcPr>
          <w:p w14:paraId="3F862595" w14:textId="77777777" w:rsidR="00A93FE3" w:rsidRPr="00E601CA" w:rsidRDefault="00A93FE3" w:rsidP="00511F7F">
            <w:pPr>
              <w:jc w:val="center"/>
              <w:rPr>
                <w:rFonts w:eastAsia="Times New Roman" w:cs="Times New Roman"/>
              </w:rPr>
            </w:pPr>
            <w:r>
              <w:t>H1c</w:t>
            </w:r>
          </w:p>
        </w:tc>
      </w:tr>
      <w:tr w:rsidR="00A93FE3" w:rsidRPr="00E601CA" w14:paraId="1F3CBBAE" w14:textId="77777777" w:rsidTr="00511F7F">
        <w:trPr>
          <w:jc w:val="center"/>
        </w:trPr>
        <w:tc>
          <w:tcPr>
            <w:tcW w:w="3155" w:type="pct"/>
            <w:hideMark/>
          </w:tcPr>
          <w:p w14:paraId="32CFF2D6" w14:textId="77777777" w:rsidR="00A93FE3" w:rsidRPr="00E601CA" w:rsidRDefault="00A93FE3" w:rsidP="00511F7F">
            <w:pPr>
              <w:spacing w:before="100" w:beforeAutospacing="1" w:after="100" w:afterAutospacing="1"/>
              <w:jc w:val="left"/>
              <w:rPr>
                <w:rFonts w:eastAsia="Times New Roman" w:cs="Times New Roman"/>
              </w:rPr>
            </w:pPr>
            <w:r>
              <w:t>64 ― Pyrénées-Atlantiques</w:t>
            </w:r>
          </w:p>
        </w:tc>
        <w:tc>
          <w:tcPr>
            <w:tcW w:w="1845" w:type="pct"/>
            <w:hideMark/>
          </w:tcPr>
          <w:p w14:paraId="6EA3DC06" w14:textId="77777777" w:rsidR="00A93FE3" w:rsidRPr="00E601CA" w:rsidRDefault="00A93FE3" w:rsidP="00511F7F">
            <w:pPr>
              <w:jc w:val="center"/>
              <w:rPr>
                <w:rFonts w:eastAsia="Times New Roman" w:cs="Times New Roman"/>
              </w:rPr>
            </w:pPr>
            <w:r>
              <w:t>H2c</w:t>
            </w:r>
          </w:p>
        </w:tc>
      </w:tr>
      <w:tr w:rsidR="00A93FE3" w:rsidRPr="00E601CA" w14:paraId="0E2CFA3B" w14:textId="77777777" w:rsidTr="00511F7F">
        <w:trPr>
          <w:jc w:val="center"/>
        </w:trPr>
        <w:tc>
          <w:tcPr>
            <w:tcW w:w="3155" w:type="pct"/>
            <w:hideMark/>
          </w:tcPr>
          <w:p w14:paraId="77F8D275" w14:textId="77777777" w:rsidR="00A93FE3" w:rsidRPr="00E601CA" w:rsidRDefault="00A93FE3" w:rsidP="00511F7F">
            <w:pPr>
              <w:spacing w:before="100" w:beforeAutospacing="1" w:after="100" w:afterAutospacing="1"/>
              <w:jc w:val="left"/>
              <w:rPr>
                <w:rFonts w:eastAsia="Times New Roman" w:cs="Times New Roman"/>
              </w:rPr>
            </w:pPr>
            <w:r>
              <w:t>65 ― Hautes-Pyrénées</w:t>
            </w:r>
          </w:p>
        </w:tc>
        <w:tc>
          <w:tcPr>
            <w:tcW w:w="1845" w:type="pct"/>
            <w:hideMark/>
          </w:tcPr>
          <w:p w14:paraId="1FAEC0F3" w14:textId="77777777" w:rsidR="00A93FE3" w:rsidRPr="00E601CA" w:rsidRDefault="00A93FE3" w:rsidP="00511F7F">
            <w:pPr>
              <w:jc w:val="center"/>
              <w:rPr>
                <w:rFonts w:eastAsia="Times New Roman" w:cs="Times New Roman"/>
              </w:rPr>
            </w:pPr>
            <w:r>
              <w:t>H2c</w:t>
            </w:r>
          </w:p>
        </w:tc>
      </w:tr>
      <w:tr w:rsidR="00A93FE3" w:rsidRPr="00E601CA" w14:paraId="61A6657E" w14:textId="77777777" w:rsidTr="00511F7F">
        <w:trPr>
          <w:jc w:val="center"/>
        </w:trPr>
        <w:tc>
          <w:tcPr>
            <w:tcW w:w="3155" w:type="pct"/>
            <w:hideMark/>
          </w:tcPr>
          <w:p w14:paraId="6E8855A4" w14:textId="77777777" w:rsidR="00A93FE3" w:rsidRPr="00E601CA" w:rsidRDefault="00A93FE3" w:rsidP="00511F7F">
            <w:pPr>
              <w:spacing w:before="100" w:beforeAutospacing="1" w:after="100" w:afterAutospacing="1"/>
              <w:jc w:val="left"/>
              <w:rPr>
                <w:rFonts w:eastAsia="Times New Roman" w:cs="Times New Roman"/>
              </w:rPr>
            </w:pPr>
            <w:r>
              <w:t>66 ― Pyrénées-Orientales</w:t>
            </w:r>
          </w:p>
        </w:tc>
        <w:tc>
          <w:tcPr>
            <w:tcW w:w="1845" w:type="pct"/>
            <w:hideMark/>
          </w:tcPr>
          <w:p w14:paraId="7F4A54DC" w14:textId="77777777" w:rsidR="00A93FE3" w:rsidRPr="00E601CA" w:rsidRDefault="00A93FE3" w:rsidP="00511F7F">
            <w:pPr>
              <w:jc w:val="center"/>
              <w:rPr>
                <w:rFonts w:eastAsia="Times New Roman" w:cs="Times New Roman"/>
              </w:rPr>
            </w:pPr>
            <w:r>
              <w:t>H3</w:t>
            </w:r>
          </w:p>
        </w:tc>
      </w:tr>
      <w:tr w:rsidR="00A93FE3" w:rsidRPr="00E601CA" w14:paraId="280674E2" w14:textId="77777777" w:rsidTr="00511F7F">
        <w:trPr>
          <w:jc w:val="center"/>
        </w:trPr>
        <w:tc>
          <w:tcPr>
            <w:tcW w:w="3155" w:type="pct"/>
            <w:hideMark/>
          </w:tcPr>
          <w:p w14:paraId="4790906E" w14:textId="77777777" w:rsidR="00A93FE3" w:rsidRPr="00E601CA" w:rsidRDefault="00A93FE3" w:rsidP="00511F7F">
            <w:pPr>
              <w:spacing w:before="100" w:beforeAutospacing="1" w:after="100" w:afterAutospacing="1"/>
              <w:jc w:val="left"/>
              <w:rPr>
                <w:rFonts w:eastAsia="Times New Roman" w:cs="Times New Roman"/>
              </w:rPr>
            </w:pPr>
            <w:r>
              <w:t>67 ― Bas-Rhin</w:t>
            </w:r>
          </w:p>
        </w:tc>
        <w:tc>
          <w:tcPr>
            <w:tcW w:w="1845" w:type="pct"/>
            <w:hideMark/>
          </w:tcPr>
          <w:p w14:paraId="100196E4" w14:textId="77777777" w:rsidR="00A93FE3" w:rsidRPr="00E601CA" w:rsidRDefault="00A93FE3" w:rsidP="00511F7F">
            <w:pPr>
              <w:jc w:val="center"/>
              <w:rPr>
                <w:rFonts w:eastAsia="Times New Roman" w:cs="Times New Roman"/>
              </w:rPr>
            </w:pPr>
            <w:r>
              <w:t>H1b</w:t>
            </w:r>
          </w:p>
        </w:tc>
      </w:tr>
      <w:tr w:rsidR="00A93FE3" w:rsidRPr="00E601CA" w14:paraId="0C7ABBA2" w14:textId="77777777" w:rsidTr="00511F7F">
        <w:trPr>
          <w:jc w:val="center"/>
        </w:trPr>
        <w:tc>
          <w:tcPr>
            <w:tcW w:w="3155" w:type="pct"/>
            <w:hideMark/>
          </w:tcPr>
          <w:p w14:paraId="1ABEC397" w14:textId="77777777" w:rsidR="00A93FE3" w:rsidRPr="00E601CA" w:rsidRDefault="00A93FE3" w:rsidP="00511F7F">
            <w:pPr>
              <w:spacing w:before="100" w:beforeAutospacing="1" w:after="100" w:afterAutospacing="1"/>
              <w:jc w:val="left"/>
              <w:rPr>
                <w:rFonts w:eastAsia="Times New Roman" w:cs="Times New Roman"/>
              </w:rPr>
            </w:pPr>
            <w:r>
              <w:t>68 ― Haut-Rhin</w:t>
            </w:r>
          </w:p>
        </w:tc>
        <w:tc>
          <w:tcPr>
            <w:tcW w:w="1845" w:type="pct"/>
            <w:hideMark/>
          </w:tcPr>
          <w:p w14:paraId="23624841" w14:textId="77777777" w:rsidR="00A93FE3" w:rsidRPr="00E601CA" w:rsidRDefault="00A93FE3" w:rsidP="00511F7F">
            <w:pPr>
              <w:jc w:val="center"/>
              <w:rPr>
                <w:rFonts w:eastAsia="Times New Roman" w:cs="Times New Roman"/>
              </w:rPr>
            </w:pPr>
            <w:r>
              <w:t>H1b</w:t>
            </w:r>
          </w:p>
        </w:tc>
      </w:tr>
      <w:tr w:rsidR="00A93FE3" w:rsidRPr="00E601CA" w14:paraId="0E8D9E87" w14:textId="77777777" w:rsidTr="00511F7F">
        <w:trPr>
          <w:jc w:val="center"/>
        </w:trPr>
        <w:tc>
          <w:tcPr>
            <w:tcW w:w="3155" w:type="pct"/>
            <w:hideMark/>
          </w:tcPr>
          <w:p w14:paraId="5B7CFD68" w14:textId="77777777" w:rsidR="00A93FE3" w:rsidRPr="00E601CA" w:rsidRDefault="00A93FE3" w:rsidP="00511F7F">
            <w:pPr>
              <w:spacing w:before="100" w:beforeAutospacing="1" w:after="100" w:afterAutospacing="1"/>
              <w:jc w:val="left"/>
              <w:rPr>
                <w:rFonts w:eastAsia="Times New Roman" w:cs="Times New Roman"/>
              </w:rPr>
            </w:pPr>
            <w:r>
              <w:lastRenderedPageBreak/>
              <w:t>69 ― Rhône</w:t>
            </w:r>
          </w:p>
        </w:tc>
        <w:tc>
          <w:tcPr>
            <w:tcW w:w="1845" w:type="pct"/>
            <w:hideMark/>
          </w:tcPr>
          <w:p w14:paraId="65126A87" w14:textId="77777777" w:rsidR="00A93FE3" w:rsidRPr="00E601CA" w:rsidRDefault="00A93FE3" w:rsidP="00511F7F">
            <w:pPr>
              <w:jc w:val="center"/>
              <w:rPr>
                <w:rFonts w:eastAsia="Times New Roman" w:cs="Times New Roman"/>
              </w:rPr>
            </w:pPr>
            <w:r>
              <w:t>H1c</w:t>
            </w:r>
          </w:p>
        </w:tc>
      </w:tr>
      <w:tr w:rsidR="00A93FE3" w:rsidRPr="00E601CA" w14:paraId="017FB2B3" w14:textId="77777777" w:rsidTr="00511F7F">
        <w:trPr>
          <w:jc w:val="center"/>
        </w:trPr>
        <w:tc>
          <w:tcPr>
            <w:tcW w:w="3155" w:type="pct"/>
            <w:hideMark/>
          </w:tcPr>
          <w:p w14:paraId="6A076094" w14:textId="77777777" w:rsidR="00A93FE3" w:rsidRPr="00E601CA" w:rsidRDefault="00A93FE3" w:rsidP="00511F7F">
            <w:pPr>
              <w:spacing w:before="100" w:beforeAutospacing="1" w:after="100" w:afterAutospacing="1"/>
              <w:jc w:val="left"/>
              <w:rPr>
                <w:rFonts w:eastAsia="Times New Roman" w:cs="Times New Roman"/>
              </w:rPr>
            </w:pPr>
            <w:r>
              <w:t>70 ― Haute-Saône</w:t>
            </w:r>
          </w:p>
        </w:tc>
        <w:tc>
          <w:tcPr>
            <w:tcW w:w="1845" w:type="pct"/>
            <w:hideMark/>
          </w:tcPr>
          <w:p w14:paraId="38110F2B" w14:textId="77777777" w:rsidR="00A93FE3" w:rsidRPr="00E601CA" w:rsidRDefault="00A93FE3" w:rsidP="00511F7F">
            <w:pPr>
              <w:jc w:val="center"/>
              <w:rPr>
                <w:rFonts w:eastAsia="Times New Roman" w:cs="Times New Roman"/>
              </w:rPr>
            </w:pPr>
            <w:r>
              <w:t>H1b</w:t>
            </w:r>
          </w:p>
        </w:tc>
      </w:tr>
      <w:tr w:rsidR="00A93FE3" w:rsidRPr="00E601CA" w14:paraId="27ECFF93" w14:textId="77777777" w:rsidTr="00511F7F">
        <w:trPr>
          <w:jc w:val="center"/>
        </w:trPr>
        <w:tc>
          <w:tcPr>
            <w:tcW w:w="3155" w:type="pct"/>
            <w:hideMark/>
          </w:tcPr>
          <w:p w14:paraId="1AF73AD9" w14:textId="77777777" w:rsidR="00A93FE3" w:rsidRPr="00E601CA" w:rsidRDefault="00A93FE3" w:rsidP="00511F7F">
            <w:pPr>
              <w:spacing w:before="100" w:beforeAutospacing="1" w:after="100" w:afterAutospacing="1"/>
              <w:jc w:val="left"/>
              <w:rPr>
                <w:rFonts w:eastAsia="Times New Roman" w:cs="Times New Roman"/>
              </w:rPr>
            </w:pPr>
            <w:r>
              <w:t>71 ― Saône-et-Loire</w:t>
            </w:r>
          </w:p>
        </w:tc>
        <w:tc>
          <w:tcPr>
            <w:tcW w:w="1845" w:type="pct"/>
            <w:hideMark/>
          </w:tcPr>
          <w:p w14:paraId="199944B1" w14:textId="77777777" w:rsidR="00A93FE3" w:rsidRPr="00E601CA" w:rsidRDefault="00A93FE3" w:rsidP="00511F7F">
            <w:pPr>
              <w:jc w:val="center"/>
              <w:rPr>
                <w:rFonts w:eastAsia="Times New Roman" w:cs="Times New Roman"/>
              </w:rPr>
            </w:pPr>
            <w:r>
              <w:t>H1c</w:t>
            </w:r>
          </w:p>
        </w:tc>
      </w:tr>
      <w:tr w:rsidR="00A93FE3" w:rsidRPr="00E601CA" w14:paraId="55E2C0AE" w14:textId="77777777" w:rsidTr="00511F7F">
        <w:trPr>
          <w:jc w:val="center"/>
        </w:trPr>
        <w:tc>
          <w:tcPr>
            <w:tcW w:w="3155" w:type="pct"/>
            <w:hideMark/>
          </w:tcPr>
          <w:p w14:paraId="4A156E40" w14:textId="77777777" w:rsidR="00A93FE3" w:rsidRPr="00E601CA" w:rsidRDefault="00A93FE3" w:rsidP="00511F7F">
            <w:pPr>
              <w:spacing w:before="100" w:beforeAutospacing="1" w:after="100" w:afterAutospacing="1"/>
              <w:jc w:val="left"/>
              <w:rPr>
                <w:rFonts w:eastAsia="Times New Roman" w:cs="Times New Roman"/>
              </w:rPr>
            </w:pPr>
            <w:r>
              <w:t>72 ― Sarthe</w:t>
            </w:r>
          </w:p>
        </w:tc>
        <w:tc>
          <w:tcPr>
            <w:tcW w:w="1845" w:type="pct"/>
            <w:hideMark/>
          </w:tcPr>
          <w:p w14:paraId="33336627" w14:textId="77777777" w:rsidR="00A93FE3" w:rsidRPr="00E601CA" w:rsidRDefault="00A93FE3" w:rsidP="00511F7F">
            <w:pPr>
              <w:jc w:val="center"/>
              <w:rPr>
                <w:rFonts w:eastAsia="Times New Roman" w:cs="Times New Roman"/>
              </w:rPr>
            </w:pPr>
            <w:r>
              <w:t>H2b</w:t>
            </w:r>
          </w:p>
        </w:tc>
      </w:tr>
      <w:tr w:rsidR="00A93FE3" w:rsidRPr="00E601CA" w14:paraId="20F15D9E" w14:textId="77777777" w:rsidTr="00511F7F">
        <w:trPr>
          <w:jc w:val="center"/>
        </w:trPr>
        <w:tc>
          <w:tcPr>
            <w:tcW w:w="3155" w:type="pct"/>
            <w:hideMark/>
          </w:tcPr>
          <w:p w14:paraId="7706BD3B" w14:textId="77777777" w:rsidR="00A93FE3" w:rsidRPr="00E601CA" w:rsidRDefault="00A93FE3" w:rsidP="00511F7F">
            <w:pPr>
              <w:spacing w:before="100" w:beforeAutospacing="1" w:after="100" w:afterAutospacing="1"/>
              <w:jc w:val="left"/>
              <w:rPr>
                <w:rFonts w:eastAsia="Times New Roman" w:cs="Times New Roman"/>
              </w:rPr>
            </w:pPr>
            <w:r>
              <w:t>73 ― Savoie</w:t>
            </w:r>
          </w:p>
        </w:tc>
        <w:tc>
          <w:tcPr>
            <w:tcW w:w="1845" w:type="pct"/>
            <w:hideMark/>
          </w:tcPr>
          <w:p w14:paraId="58968175" w14:textId="77777777" w:rsidR="00A93FE3" w:rsidRPr="00E601CA" w:rsidRDefault="00A93FE3" w:rsidP="00511F7F">
            <w:pPr>
              <w:jc w:val="center"/>
              <w:rPr>
                <w:rFonts w:eastAsia="Times New Roman" w:cs="Times New Roman"/>
              </w:rPr>
            </w:pPr>
            <w:r>
              <w:t>H1c</w:t>
            </w:r>
          </w:p>
        </w:tc>
      </w:tr>
      <w:tr w:rsidR="00A93FE3" w:rsidRPr="00E601CA" w14:paraId="7E56CA3C" w14:textId="77777777" w:rsidTr="00511F7F">
        <w:trPr>
          <w:jc w:val="center"/>
        </w:trPr>
        <w:tc>
          <w:tcPr>
            <w:tcW w:w="3155" w:type="pct"/>
            <w:hideMark/>
          </w:tcPr>
          <w:p w14:paraId="66A13064" w14:textId="77777777" w:rsidR="00A93FE3" w:rsidRPr="00E601CA" w:rsidRDefault="00A93FE3" w:rsidP="00511F7F">
            <w:pPr>
              <w:spacing w:before="100" w:beforeAutospacing="1" w:after="100" w:afterAutospacing="1"/>
              <w:jc w:val="left"/>
              <w:rPr>
                <w:rFonts w:eastAsia="Times New Roman" w:cs="Times New Roman"/>
              </w:rPr>
            </w:pPr>
            <w:r>
              <w:t>74 ― Haute-Savoie</w:t>
            </w:r>
          </w:p>
        </w:tc>
        <w:tc>
          <w:tcPr>
            <w:tcW w:w="1845" w:type="pct"/>
            <w:hideMark/>
          </w:tcPr>
          <w:p w14:paraId="50CA5CCB" w14:textId="77777777" w:rsidR="00A93FE3" w:rsidRPr="00E601CA" w:rsidRDefault="00A93FE3" w:rsidP="00511F7F">
            <w:pPr>
              <w:jc w:val="center"/>
              <w:rPr>
                <w:rFonts w:eastAsia="Times New Roman" w:cs="Times New Roman"/>
              </w:rPr>
            </w:pPr>
            <w:r>
              <w:t>H1c</w:t>
            </w:r>
          </w:p>
        </w:tc>
      </w:tr>
      <w:tr w:rsidR="00A93FE3" w:rsidRPr="00E601CA" w14:paraId="2C53D61D" w14:textId="77777777" w:rsidTr="00511F7F">
        <w:trPr>
          <w:jc w:val="center"/>
        </w:trPr>
        <w:tc>
          <w:tcPr>
            <w:tcW w:w="3155" w:type="pct"/>
            <w:hideMark/>
          </w:tcPr>
          <w:p w14:paraId="62994E9D" w14:textId="77777777" w:rsidR="00A93FE3" w:rsidRPr="00E601CA" w:rsidRDefault="00A93FE3" w:rsidP="00511F7F">
            <w:pPr>
              <w:spacing w:before="100" w:beforeAutospacing="1" w:after="100" w:afterAutospacing="1"/>
              <w:jc w:val="left"/>
              <w:rPr>
                <w:rFonts w:eastAsia="Times New Roman" w:cs="Times New Roman"/>
              </w:rPr>
            </w:pPr>
            <w:r>
              <w:t>75 ― Paris</w:t>
            </w:r>
          </w:p>
        </w:tc>
        <w:tc>
          <w:tcPr>
            <w:tcW w:w="1845" w:type="pct"/>
            <w:hideMark/>
          </w:tcPr>
          <w:p w14:paraId="2E69CFC0" w14:textId="77777777" w:rsidR="00A93FE3" w:rsidRPr="00E601CA" w:rsidRDefault="00A93FE3" w:rsidP="00511F7F">
            <w:pPr>
              <w:jc w:val="center"/>
              <w:rPr>
                <w:rFonts w:eastAsia="Times New Roman" w:cs="Times New Roman"/>
              </w:rPr>
            </w:pPr>
            <w:r>
              <w:t>H1a</w:t>
            </w:r>
          </w:p>
        </w:tc>
      </w:tr>
      <w:tr w:rsidR="00A93FE3" w:rsidRPr="00E601CA" w14:paraId="71CE0A14" w14:textId="77777777" w:rsidTr="00511F7F">
        <w:trPr>
          <w:jc w:val="center"/>
        </w:trPr>
        <w:tc>
          <w:tcPr>
            <w:tcW w:w="3155" w:type="pct"/>
            <w:hideMark/>
          </w:tcPr>
          <w:p w14:paraId="2749D673" w14:textId="77777777" w:rsidR="00A93FE3" w:rsidRPr="00E601CA" w:rsidRDefault="00A93FE3" w:rsidP="00511F7F">
            <w:pPr>
              <w:spacing w:before="100" w:beforeAutospacing="1" w:after="100" w:afterAutospacing="1"/>
              <w:jc w:val="left"/>
              <w:rPr>
                <w:rFonts w:eastAsia="Times New Roman" w:cs="Times New Roman"/>
              </w:rPr>
            </w:pPr>
            <w:r>
              <w:t>76 ― Seine-Maritime</w:t>
            </w:r>
          </w:p>
        </w:tc>
        <w:tc>
          <w:tcPr>
            <w:tcW w:w="1845" w:type="pct"/>
            <w:hideMark/>
          </w:tcPr>
          <w:p w14:paraId="56B4D14B" w14:textId="77777777" w:rsidR="00A93FE3" w:rsidRPr="00E601CA" w:rsidRDefault="00A93FE3" w:rsidP="00511F7F">
            <w:pPr>
              <w:jc w:val="center"/>
              <w:rPr>
                <w:rFonts w:eastAsia="Times New Roman" w:cs="Times New Roman"/>
              </w:rPr>
            </w:pPr>
            <w:r>
              <w:t>H1a</w:t>
            </w:r>
          </w:p>
        </w:tc>
      </w:tr>
      <w:tr w:rsidR="00A93FE3" w:rsidRPr="00E601CA" w14:paraId="70654FFD" w14:textId="77777777" w:rsidTr="00511F7F">
        <w:trPr>
          <w:jc w:val="center"/>
        </w:trPr>
        <w:tc>
          <w:tcPr>
            <w:tcW w:w="3155" w:type="pct"/>
            <w:hideMark/>
          </w:tcPr>
          <w:p w14:paraId="08658752" w14:textId="77777777" w:rsidR="00A93FE3" w:rsidRPr="00E601CA" w:rsidRDefault="00A93FE3" w:rsidP="00511F7F">
            <w:pPr>
              <w:spacing w:before="100" w:beforeAutospacing="1" w:after="100" w:afterAutospacing="1"/>
              <w:jc w:val="left"/>
              <w:rPr>
                <w:rFonts w:eastAsia="Times New Roman" w:cs="Times New Roman"/>
              </w:rPr>
            </w:pPr>
            <w:r>
              <w:t>77 ― Seine-et-Marne</w:t>
            </w:r>
          </w:p>
        </w:tc>
        <w:tc>
          <w:tcPr>
            <w:tcW w:w="1845" w:type="pct"/>
            <w:hideMark/>
          </w:tcPr>
          <w:p w14:paraId="3A05178D" w14:textId="77777777" w:rsidR="00A93FE3" w:rsidRPr="00E601CA" w:rsidRDefault="00A93FE3" w:rsidP="00511F7F">
            <w:pPr>
              <w:jc w:val="center"/>
              <w:rPr>
                <w:rFonts w:eastAsia="Times New Roman" w:cs="Times New Roman"/>
              </w:rPr>
            </w:pPr>
            <w:r>
              <w:t>H1a</w:t>
            </w:r>
          </w:p>
        </w:tc>
      </w:tr>
      <w:tr w:rsidR="00A93FE3" w:rsidRPr="00E601CA" w14:paraId="5771E96F" w14:textId="77777777" w:rsidTr="00511F7F">
        <w:trPr>
          <w:jc w:val="center"/>
        </w:trPr>
        <w:tc>
          <w:tcPr>
            <w:tcW w:w="3155" w:type="pct"/>
            <w:hideMark/>
          </w:tcPr>
          <w:p w14:paraId="79BA9FF5" w14:textId="77777777" w:rsidR="00A93FE3" w:rsidRPr="00E601CA" w:rsidRDefault="00A93FE3" w:rsidP="00511F7F">
            <w:pPr>
              <w:spacing w:before="100" w:beforeAutospacing="1" w:after="100" w:afterAutospacing="1"/>
              <w:jc w:val="left"/>
              <w:rPr>
                <w:rFonts w:eastAsia="Times New Roman" w:cs="Times New Roman"/>
              </w:rPr>
            </w:pPr>
            <w:r>
              <w:t>78 ― Yvelines</w:t>
            </w:r>
          </w:p>
        </w:tc>
        <w:tc>
          <w:tcPr>
            <w:tcW w:w="1845" w:type="pct"/>
            <w:hideMark/>
          </w:tcPr>
          <w:p w14:paraId="07976E5F" w14:textId="77777777" w:rsidR="00A93FE3" w:rsidRPr="00E601CA" w:rsidRDefault="00A93FE3" w:rsidP="00511F7F">
            <w:pPr>
              <w:jc w:val="center"/>
              <w:rPr>
                <w:rFonts w:eastAsia="Times New Roman" w:cs="Times New Roman"/>
              </w:rPr>
            </w:pPr>
            <w:r>
              <w:t>H1a</w:t>
            </w:r>
          </w:p>
        </w:tc>
      </w:tr>
      <w:tr w:rsidR="00A93FE3" w:rsidRPr="00E601CA" w14:paraId="0A51CADF" w14:textId="77777777" w:rsidTr="00511F7F">
        <w:trPr>
          <w:jc w:val="center"/>
        </w:trPr>
        <w:tc>
          <w:tcPr>
            <w:tcW w:w="3155" w:type="pct"/>
            <w:hideMark/>
          </w:tcPr>
          <w:p w14:paraId="481526A2" w14:textId="77777777" w:rsidR="00A93FE3" w:rsidRPr="00E601CA" w:rsidRDefault="00A93FE3" w:rsidP="00511F7F">
            <w:pPr>
              <w:spacing w:before="100" w:beforeAutospacing="1" w:after="100" w:afterAutospacing="1"/>
              <w:jc w:val="left"/>
              <w:rPr>
                <w:rFonts w:eastAsia="Times New Roman" w:cs="Times New Roman"/>
              </w:rPr>
            </w:pPr>
            <w:r>
              <w:t>79 ― Deux-Sèvres</w:t>
            </w:r>
          </w:p>
        </w:tc>
        <w:tc>
          <w:tcPr>
            <w:tcW w:w="1845" w:type="pct"/>
            <w:hideMark/>
          </w:tcPr>
          <w:p w14:paraId="6E77F07D" w14:textId="77777777" w:rsidR="00A93FE3" w:rsidRPr="00E601CA" w:rsidRDefault="00A93FE3" w:rsidP="00511F7F">
            <w:pPr>
              <w:jc w:val="center"/>
              <w:rPr>
                <w:rFonts w:eastAsia="Times New Roman" w:cs="Times New Roman"/>
              </w:rPr>
            </w:pPr>
            <w:r>
              <w:t>H2b</w:t>
            </w:r>
          </w:p>
        </w:tc>
      </w:tr>
      <w:tr w:rsidR="00A93FE3" w:rsidRPr="00E601CA" w14:paraId="538868FD" w14:textId="77777777" w:rsidTr="00511F7F">
        <w:trPr>
          <w:jc w:val="center"/>
        </w:trPr>
        <w:tc>
          <w:tcPr>
            <w:tcW w:w="3155" w:type="pct"/>
            <w:hideMark/>
          </w:tcPr>
          <w:p w14:paraId="7EE0905E" w14:textId="77777777" w:rsidR="00A93FE3" w:rsidRPr="00E601CA" w:rsidRDefault="00A93FE3" w:rsidP="00511F7F">
            <w:pPr>
              <w:spacing w:before="100" w:beforeAutospacing="1" w:after="100" w:afterAutospacing="1"/>
              <w:jc w:val="left"/>
              <w:rPr>
                <w:rFonts w:eastAsia="Times New Roman" w:cs="Times New Roman"/>
              </w:rPr>
            </w:pPr>
            <w:r>
              <w:t>80 ― Somme</w:t>
            </w:r>
          </w:p>
        </w:tc>
        <w:tc>
          <w:tcPr>
            <w:tcW w:w="1845" w:type="pct"/>
            <w:hideMark/>
          </w:tcPr>
          <w:p w14:paraId="080F71AB" w14:textId="77777777" w:rsidR="00A93FE3" w:rsidRPr="00E601CA" w:rsidRDefault="00A93FE3" w:rsidP="00511F7F">
            <w:pPr>
              <w:jc w:val="center"/>
              <w:rPr>
                <w:rFonts w:eastAsia="Times New Roman" w:cs="Times New Roman"/>
              </w:rPr>
            </w:pPr>
            <w:r>
              <w:t>H1a</w:t>
            </w:r>
          </w:p>
        </w:tc>
      </w:tr>
      <w:tr w:rsidR="00A93FE3" w:rsidRPr="00E601CA" w14:paraId="3ECCBD4C" w14:textId="77777777" w:rsidTr="00511F7F">
        <w:trPr>
          <w:jc w:val="center"/>
        </w:trPr>
        <w:tc>
          <w:tcPr>
            <w:tcW w:w="3155" w:type="pct"/>
            <w:hideMark/>
          </w:tcPr>
          <w:p w14:paraId="333090C5" w14:textId="77777777" w:rsidR="00A93FE3" w:rsidRPr="00E601CA" w:rsidRDefault="00A93FE3" w:rsidP="00511F7F">
            <w:pPr>
              <w:spacing w:before="100" w:beforeAutospacing="1" w:after="100" w:afterAutospacing="1"/>
              <w:jc w:val="left"/>
              <w:rPr>
                <w:rFonts w:eastAsia="Times New Roman" w:cs="Times New Roman"/>
              </w:rPr>
            </w:pPr>
            <w:r>
              <w:t>81 ― Tarn</w:t>
            </w:r>
          </w:p>
        </w:tc>
        <w:tc>
          <w:tcPr>
            <w:tcW w:w="1845" w:type="pct"/>
            <w:hideMark/>
          </w:tcPr>
          <w:p w14:paraId="692EADC1" w14:textId="77777777" w:rsidR="00A93FE3" w:rsidRPr="00E601CA" w:rsidRDefault="00A93FE3" w:rsidP="00511F7F">
            <w:pPr>
              <w:jc w:val="center"/>
              <w:rPr>
                <w:rFonts w:eastAsia="Times New Roman" w:cs="Times New Roman"/>
              </w:rPr>
            </w:pPr>
            <w:r>
              <w:t>H2c</w:t>
            </w:r>
          </w:p>
        </w:tc>
      </w:tr>
      <w:tr w:rsidR="00A93FE3" w:rsidRPr="00E601CA" w14:paraId="1731D87D" w14:textId="77777777" w:rsidTr="00511F7F">
        <w:trPr>
          <w:jc w:val="center"/>
        </w:trPr>
        <w:tc>
          <w:tcPr>
            <w:tcW w:w="3155" w:type="pct"/>
            <w:hideMark/>
          </w:tcPr>
          <w:p w14:paraId="4F86F3EF" w14:textId="77777777" w:rsidR="00A93FE3" w:rsidRPr="00E601CA" w:rsidRDefault="00A93FE3" w:rsidP="00511F7F">
            <w:pPr>
              <w:spacing w:before="100" w:beforeAutospacing="1" w:after="100" w:afterAutospacing="1"/>
              <w:jc w:val="left"/>
              <w:rPr>
                <w:rFonts w:eastAsia="Times New Roman" w:cs="Times New Roman"/>
              </w:rPr>
            </w:pPr>
            <w:r>
              <w:t>82 ― Tarn-et-Garonne</w:t>
            </w:r>
          </w:p>
        </w:tc>
        <w:tc>
          <w:tcPr>
            <w:tcW w:w="1845" w:type="pct"/>
            <w:hideMark/>
          </w:tcPr>
          <w:p w14:paraId="0749042D" w14:textId="77777777" w:rsidR="00A93FE3" w:rsidRPr="00E601CA" w:rsidRDefault="00A93FE3" w:rsidP="00511F7F">
            <w:pPr>
              <w:jc w:val="center"/>
              <w:rPr>
                <w:rFonts w:eastAsia="Times New Roman" w:cs="Times New Roman"/>
              </w:rPr>
            </w:pPr>
            <w:r>
              <w:t>H2c</w:t>
            </w:r>
          </w:p>
        </w:tc>
      </w:tr>
      <w:tr w:rsidR="00A93FE3" w:rsidRPr="00E601CA" w14:paraId="4B8CCCB4" w14:textId="77777777" w:rsidTr="00511F7F">
        <w:trPr>
          <w:jc w:val="center"/>
        </w:trPr>
        <w:tc>
          <w:tcPr>
            <w:tcW w:w="3155" w:type="pct"/>
            <w:hideMark/>
          </w:tcPr>
          <w:p w14:paraId="6E4AF857" w14:textId="77777777" w:rsidR="00A93FE3" w:rsidRPr="00E601CA" w:rsidRDefault="00A93FE3" w:rsidP="00511F7F">
            <w:pPr>
              <w:spacing w:before="100" w:beforeAutospacing="1" w:after="100" w:afterAutospacing="1"/>
              <w:jc w:val="left"/>
              <w:rPr>
                <w:rFonts w:eastAsia="Times New Roman" w:cs="Times New Roman"/>
              </w:rPr>
            </w:pPr>
            <w:r>
              <w:t>83 ― Var</w:t>
            </w:r>
          </w:p>
        </w:tc>
        <w:tc>
          <w:tcPr>
            <w:tcW w:w="1845" w:type="pct"/>
            <w:hideMark/>
          </w:tcPr>
          <w:p w14:paraId="4D262601" w14:textId="77777777" w:rsidR="00A93FE3" w:rsidRPr="00E601CA" w:rsidRDefault="00A93FE3" w:rsidP="00511F7F">
            <w:pPr>
              <w:jc w:val="center"/>
              <w:rPr>
                <w:rFonts w:eastAsia="Times New Roman" w:cs="Times New Roman"/>
              </w:rPr>
            </w:pPr>
            <w:r>
              <w:t>H3</w:t>
            </w:r>
          </w:p>
        </w:tc>
      </w:tr>
      <w:tr w:rsidR="00A93FE3" w:rsidRPr="00E601CA" w14:paraId="73EB9EA2" w14:textId="77777777" w:rsidTr="00511F7F">
        <w:trPr>
          <w:jc w:val="center"/>
        </w:trPr>
        <w:tc>
          <w:tcPr>
            <w:tcW w:w="3155" w:type="pct"/>
            <w:hideMark/>
          </w:tcPr>
          <w:p w14:paraId="7395F525" w14:textId="77777777" w:rsidR="00A93FE3" w:rsidRPr="00E601CA" w:rsidRDefault="00A93FE3" w:rsidP="00511F7F">
            <w:pPr>
              <w:spacing w:before="100" w:beforeAutospacing="1" w:after="100" w:afterAutospacing="1"/>
              <w:jc w:val="left"/>
              <w:rPr>
                <w:rFonts w:eastAsia="Times New Roman" w:cs="Times New Roman"/>
              </w:rPr>
            </w:pPr>
            <w:r>
              <w:t>84 ― Vaucluse</w:t>
            </w:r>
          </w:p>
        </w:tc>
        <w:tc>
          <w:tcPr>
            <w:tcW w:w="1845" w:type="pct"/>
            <w:hideMark/>
          </w:tcPr>
          <w:p w14:paraId="5AEA91E3" w14:textId="77777777" w:rsidR="00A93FE3" w:rsidRPr="00E601CA" w:rsidRDefault="00A93FE3" w:rsidP="00511F7F">
            <w:pPr>
              <w:jc w:val="center"/>
              <w:rPr>
                <w:rFonts w:eastAsia="Times New Roman" w:cs="Times New Roman"/>
              </w:rPr>
            </w:pPr>
            <w:r>
              <w:t>H2d</w:t>
            </w:r>
          </w:p>
        </w:tc>
      </w:tr>
      <w:tr w:rsidR="00A93FE3" w:rsidRPr="00E601CA" w14:paraId="6ACEB86F" w14:textId="77777777" w:rsidTr="00511F7F">
        <w:trPr>
          <w:jc w:val="center"/>
        </w:trPr>
        <w:tc>
          <w:tcPr>
            <w:tcW w:w="3155" w:type="pct"/>
            <w:hideMark/>
          </w:tcPr>
          <w:p w14:paraId="31319FA5" w14:textId="77777777" w:rsidR="00A93FE3" w:rsidRPr="00E601CA" w:rsidRDefault="00A93FE3" w:rsidP="00511F7F">
            <w:pPr>
              <w:spacing w:before="100" w:beforeAutospacing="1" w:after="100" w:afterAutospacing="1"/>
              <w:jc w:val="left"/>
              <w:rPr>
                <w:rFonts w:eastAsia="Times New Roman" w:cs="Times New Roman"/>
              </w:rPr>
            </w:pPr>
            <w:r>
              <w:t>85 ― Vendée</w:t>
            </w:r>
          </w:p>
        </w:tc>
        <w:tc>
          <w:tcPr>
            <w:tcW w:w="1845" w:type="pct"/>
            <w:hideMark/>
          </w:tcPr>
          <w:p w14:paraId="57C63AE8" w14:textId="77777777" w:rsidR="00A93FE3" w:rsidRPr="00E601CA" w:rsidRDefault="00A93FE3" w:rsidP="00511F7F">
            <w:pPr>
              <w:jc w:val="center"/>
              <w:rPr>
                <w:rFonts w:eastAsia="Times New Roman" w:cs="Times New Roman"/>
              </w:rPr>
            </w:pPr>
            <w:r>
              <w:t>H2b</w:t>
            </w:r>
          </w:p>
        </w:tc>
      </w:tr>
      <w:tr w:rsidR="00A93FE3" w:rsidRPr="00E601CA" w14:paraId="71758A95" w14:textId="77777777" w:rsidTr="00511F7F">
        <w:trPr>
          <w:jc w:val="center"/>
        </w:trPr>
        <w:tc>
          <w:tcPr>
            <w:tcW w:w="3155" w:type="pct"/>
            <w:hideMark/>
          </w:tcPr>
          <w:p w14:paraId="17867895" w14:textId="77777777" w:rsidR="00A93FE3" w:rsidRPr="00E601CA" w:rsidRDefault="00A93FE3" w:rsidP="00511F7F">
            <w:pPr>
              <w:spacing w:before="100" w:beforeAutospacing="1" w:after="100" w:afterAutospacing="1"/>
              <w:jc w:val="left"/>
              <w:rPr>
                <w:rFonts w:eastAsia="Times New Roman" w:cs="Times New Roman"/>
              </w:rPr>
            </w:pPr>
            <w:r>
              <w:t>86 ― Vienne</w:t>
            </w:r>
          </w:p>
        </w:tc>
        <w:tc>
          <w:tcPr>
            <w:tcW w:w="1845" w:type="pct"/>
            <w:hideMark/>
          </w:tcPr>
          <w:p w14:paraId="1CCCA228" w14:textId="77777777" w:rsidR="00A93FE3" w:rsidRPr="00E601CA" w:rsidRDefault="00A93FE3" w:rsidP="00511F7F">
            <w:pPr>
              <w:jc w:val="center"/>
              <w:rPr>
                <w:rFonts w:eastAsia="Times New Roman" w:cs="Times New Roman"/>
              </w:rPr>
            </w:pPr>
            <w:r>
              <w:t>H2b</w:t>
            </w:r>
          </w:p>
        </w:tc>
      </w:tr>
      <w:tr w:rsidR="00A93FE3" w:rsidRPr="00E601CA" w14:paraId="21D973A9" w14:textId="77777777" w:rsidTr="00511F7F">
        <w:trPr>
          <w:jc w:val="center"/>
        </w:trPr>
        <w:tc>
          <w:tcPr>
            <w:tcW w:w="3155" w:type="pct"/>
            <w:hideMark/>
          </w:tcPr>
          <w:p w14:paraId="45525CDB" w14:textId="77777777" w:rsidR="00A93FE3" w:rsidRPr="00E601CA" w:rsidRDefault="00A93FE3" w:rsidP="00511F7F">
            <w:pPr>
              <w:spacing w:before="100" w:beforeAutospacing="1" w:after="100" w:afterAutospacing="1"/>
              <w:jc w:val="left"/>
              <w:rPr>
                <w:rFonts w:eastAsia="Times New Roman" w:cs="Times New Roman"/>
              </w:rPr>
            </w:pPr>
            <w:r>
              <w:t>87 ― Haute-Vienne</w:t>
            </w:r>
          </w:p>
        </w:tc>
        <w:tc>
          <w:tcPr>
            <w:tcW w:w="1845" w:type="pct"/>
            <w:hideMark/>
          </w:tcPr>
          <w:p w14:paraId="03C1189A" w14:textId="77777777" w:rsidR="00A93FE3" w:rsidRPr="00E601CA" w:rsidRDefault="00A93FE3" w:rsidP="00511F7F">
            <w:pPr>
              <w:jc w:val="center"/>
              <w:rPr>
                <w:rFonts w:eastAsia="Times New Roman" w:cs="Times New Roman"/>
              </w:rPr>
            </w:pPr>
            <w:r>
              <w:t>H1c</w:t>
            </w:r>
          </w:p>
        </w:tc>
      </w:tr>
      <w:tr w:rsidR="00A93FE3" w:rsidRPr="00E601CA" w14:paraId="7B2FE8DF" w14:textId="77777777" w:rsidTr="00511F7F">
        <w:trPr>
          <w:jc w:val="center"/>
        </w:trPr>
        <w:tc>
          <w:tcPr>
            <w:tcW w:w="3155" w:type="pct"/>
            <w:hideMark/>
          </w:tcPr>
          <w:p w14:paraId="2E36D836" w14:textId="77777777" w:rsidR="00A93FE3" w:rsidRPr="00E601CA" w:rsidRDefault="00A93FE3" w:rsidP="00511F7F">
            <w:pPr>
              <w:spacing w:before="100" w:beforeAutospacing="1" w:after="100" w:afterAutospacing="1"/>
              <w:jc w:val="left"/>
              <w:rPr>
                <w:rFonts w:eastAsia="Times New Roman" w:cs="Times New Roman"/>
              </w:rPr>
            </w:pPr>
            <w:r>
              <w:t>88 ― Vosges</w:t>
            </w:r>
          </w:p>
        </w:tc>
        <w:tc>
          <w:tcPr>
            <w:tcW w:w="1845" w:type="pct"/>
            <w:hideMark/>
          </w:tcPr>
          <w:p w14:paraId="091163D7" w14:textId="77777777" w:rsidR="00A93FE3" w:rsidRPr="00E601CA" w:rsidRDefault="00A93FE3" w:rsidP="00511F7F">
            <w:pPr>
              <w:jc w:val="center"/>
              <w:rPr>
                <w:rFonts w:eastAsia="Times New Roman" w:cs="Times New Roman"/>
              </w:rPr>
            </w:pPr>
            <w:r>
              <w:t>H1b</w:t>
            </w:r>
          </w:p>
        </w:tc>
      </w:tr>
      <w:tr w:rsidR="00A93FE3" w:rsidRPr="00E601CA" w14:paraId="7900215B" w14:textId="77777777" w:rsidTr="00511F7F">
        <w:trPr>
          <w:jc w:val="center"/>
        </w:trPr>
        <w:tc>
          <w:tcPr>
            <w:tcW w:w="3155" w:type="pct"/>
            <w:hideMark/>
          </w:tcPr>
          <w:p w14:paraId="7805B4EF" w14:textId="77777777" w:rsidR="00A93FE3" w:rsidRPr="00E601CA" w:rsidRDefault="00A93FE3" w:rsidP="00511F7F">
            <w:pPr>
              <w:spacing w:before="100" w:beforeAutospacing="1" w:after="100" w:afterAutospacing="1"/>
              <w:jc w:val="left"/>
              <w:rPr>
                <w:rFonts w:eastAsia="Times New Roman" w:cs="Times New Roman"/>
              </w:rPr>
            </w:pPr>
            <w:r>
              <w:t>89 ― Yonne</w:t>
            </w:r>
          </w:p>
        </w:tc>
        <w:tc>
          <w:tcPr>
            <w:tcW w:w="1845" w:type="pct"/>
            <w:hideMark/>
          </w:tcPr>
          <w:p w14:paraId="0DFB33D5" w14:textId="77777777" w:rsidR="00A93FE3" w:rsidRPr="00E601CA" w:rsidRDefault="00A93FE3" w:rsidP="00511F7F">
            <w:pPr>
              <w:jc w:val="center"/>
              <w:rPr>
                <w:rFonts w:eastAsia="Times New Roman" w:cs="Times New Roman"/>
              </w:rPr>
            </w:pPr>
            <w:r>
              <w:t>H1b</w:t>
            </w:r>
          </w:p>
        </w:tc>
      </w:tr>
      <w:tr w:rsidR="00A93FE3" w:rsidRPr="00E601CA" w14:paraId="02650475" w14:textId="77777777" w:rsidTr="00511F7F">
        <w:trPr>
          <w:jc w:val="center"/>
        </w:trPr>
        <w:tc>
          <w:tcPr>
            <w:tcW w:w="3155" w:type="pct"/>
            <w:hideMark/>
          </w:tcPr>
          <w:p w14:paraId="150C9BFE" w14:textId="77777777" w:rsidR="00A93FE3" w:rsidRPr="00E601CA" w:rsidRDefault="00A93FE3" w:rsidP="00511F7F">
            <w:pPr>
              <w:spacing w:before="100" w:beforeAutospacing="1" w:after="100" w:afterAutospacing="1"/>
              <w:jc w:val="left"/>
              <w:rPr>
                <w:rFonts w:eastAsia="Times New Roman" w:cs="Times New Roman"/>
              </w:rPr>
            </w:pPr>
            <w:r>
              <w:t>90 ― Territoire de Belfort</w:t>
            </w:r>
          </w:p>
        </w:tc>
        <w:tc>
          <w:tcPr>
            <w:tcW w:w="1845" w:type="pct"/>
            <w:hideMark/>
          </w:tcPr>
          <w:p w14:paraId="1FC92389" w14:textId="77777777" w:rsidR="00A93FE3" w:rsidRPr="00E601CA" w:rsidRDefault="00A93FE3" w:rsidP="00511F7F">
            <w:pPr>
              <w:jc w:val="center"/>
              <w:rPr>
                <w:rFonts w:eastAsia="Times New Roman" w:cs="Times New Roman"/>
              </w:rPr>
            </w:pPr>
            <w:r>
              <w:t>H1b</w:t>
            </w:r>
          </w:p>
        </w:tc>
      </w:tr>
      <w:tr w:rsidR="00A93FE3" w:rsidRPr="00E601CA" w14:paraId="7EC4672D" w14:textId="77777777" w:rsidTr="00511F7F">
        <w:trPr>
          <w:jc w:val="center"/>
        </w:trPr>
        <w:tc>
          <w:tcPr>
            <w:tcW w:w="3155" w:type="pct"/>
            <w:hideMark/>
          </w:tcPr>
          <w:p w14:paraId="7868AD21" w14:textId="77777777" w:rsidR="00A93FE3" w:rsidRPr="00E601CA" w:rsidRDefault="00A93FE3" w:rsidP="00511F7F">
            <w:pPr>
              <w:spacing w:before="100" w:beforeAutospacing="1" w:after="100" w:afterAutospacing="1"/>
              <w:jc w:val="left"/>
              <w:rPr>
                <w:rFonts w:eastAsia="Times New Roman" w:cs="Times New Roman"/>
              </w:rPr>
            </w:pPr>
            <w:r>
              <w:t>91 ― Essonne</w:t>
            </w:r>
          </w:p>
        </w:tc>
        <w:tc>
          <w:tcPr>
            <w:tcW w:w="1845" w:type="pct"/>
            <w:hideMark/>
          </w:tcPr>
          <w:p w14:paraId="62C6C6C5" w14:textId="77777777" w:rsidR="00A93FE3" w:rsidRPr="00E601CA" w:rsidRDefault="00A93FE3" w:rsidP="00511F7F">
            <w:pPr>
              <w:jc w:val="center"/>
              <w:rPr>
                <w:rFonts w:eastAsia="Times New Roman" w:cs="Times New Roman"/>
              </w:rPr>
            </w:pPr>
            <w:r>
              <w:t>H1a</w:t>
            </w:r>
          </w:p>
        </w:tc>
      </w:tr>
      <w:tr w:rsidR="00A93FE3" w:rsidRPr="00E601CA" w14:paraId="47C58420" w14:textId="77777777" w:rsidTr="00511F7F">
        <w:trPr>
          <w:jc w:val="center"/>
        </w:trPr>
        <w:tc>
          <w:tcPr>
            <w:tcW w:w="3155" w:type="pct"/>
            <w:hideMark/>
          </w:tcPr>
          <w:p w14:paraId="4FB733F7" w14:textId="77777777" w:rsidR="00A93FE3" w:rsidRPr="00E601CA" w:rsidRDefault="00A93FE3" w:rsidP="00511F7F">
            <w:pPr>
              <w:spacing w:before="100" w:beforeAutospacing="1" w:after="100" w:afterAutospacing="1"/>
              <w:jc w:val="left"/>
              <w:rPr>
                <w:rFonts w:eastAsia="Times New Roman" w:cs="Times New Roman"/>
              </w:rPr>
            </w:pPr>
            <w:r>
              <w:t>92 ― Hauts-de-Seine</w:t>
            </w:r>
          </w:p>
        </w:tc>
        <w:tc>
          <w:tcPr>
            <w:tcW w:w="1845" w:type="pct"/>
            <w:hideMark/>
          </w:tcPr>
          <w:p w14:paraId="42516611" w14:textId="77777777" w:rsidR="00A93FE3" w:rsidRPr="00E601CA" w:rsidRDefault="00A93FE3" w:rsidP="00511F7F">
            <w:pPr>
              <w:jc w:val="center"/>
              <w:rPr>
                <w:rFonts w:eastAsia="Times New Roman" w:cs="Times New Roman"/>
              </w:rPr>
            </w:pPr>
            <w:r>
              <w:t>H1a</w:t>
            </w:r>
          </w:p>
        </w:tc>
      </w:tr>
      <w:tr w:rsidR="00A93FE3" w:rsidRPr="00E601CA" w14:paraId="140EFB47" w14:textId="77777777" w:rsidTr="00511F7F">
        <w:trPr>
          <w:jc w:val="center"/>
        </w:trPr>
        <w:tc>
          <w:tcPr>
            <w:tcW w:w="3155" w:type="pct"/>
            <w:hideMark/>
          </w:tcPr>
          <w:p w14:paraId="7F6A9351" w14:textId="77777777" w:rsidR="00A93FE3" w:rsidRPr="00E601CA" w:rsidRDefault="00A93FE3" w:rsidP="00511F7F">
            <w:pPr>
              <w:spacing w:before="100" w:beforeAutospacing="1" w:after="100" w:afterAutospacing="1"/>
              <w:jc w:val="left"/>
              <w:rPr>
                <w:rFonts w:eastAsia="Times New Roman" w:cs="Times New Roman"/>
              </w:rPr>
            </w:pPr>
            <w:r>
              <w:t>93 ― Seine-Saint-Denis</w:t>
            </w:r>
          </w:p>
        </w:tc>
        <w:tc>
          <w:tcPr>
            <w:tcW w:w="1845" w:type="pct"/>
            <w:hideMark/>
          </w:tcPr>
          <w:p w14:paraId="36A28682" w14:textId="77777777" w:rsidR="00A93FE3" w:rsidRPr="00E601CA" w:rsidRDefault="00A93FE3" w:rsidP="00511F7F">
            <w:pPr>
              <w:jc w:val="center"/>
              <w:rPr>
                <w:rFonts w:eastAsia="Times New Roman" w:cs="Times New Roman"/>
              </w:rPr>
            </w:pPr>
            <w:r>
              <w:t>H1a</w:t>
            </w:r>
          </w:p>
        </w:tc>
      </w:tr>
      <w:tr w:rsidR="00A93FE3" w:rsidRPr="00E601CA" w14:paraId="70DFFDD8" w14:textId="77777777" w:rsidTr="00511F7F">
        <w:trPr>
          <w:jc w:val="center"/>
        </w:trPr>
        <w:tc>
          <w:tcPr>
            <w:tcW w:w="3155" w:type="pct"/>
            <w:hideMark/>
          </w:tcPr>
          <w:p w14:paraId="1DCA824D" w14:textId="77777777" w:rsidR="00A93FE3" w:rsidRPr="00E601CA" w:rsidRDefault="00A93FE3" w:rsidP="00511F7F">
            <w:pPr>
              <w:spacing w:before="100" w:beforeAutospacing="1" w:after="100" w:afterAutospacing="1"/>
              <w:jc w:val="left"/>
              <w:rPr>
                <w:rFonts w:eastAsia="Times New Roman" w:cs="Times New Roman"/>
              </w:rPr>
            </w:pPr>
            <w:r>
              <w:t>94 ― Val-de-Marne</w:t>
            </w:r>
          </w:p>
        </w:tc>
        <w:tc>
          <w:tcPr>
            <w:tcW w:w="1845" w:type="pct"/>
            <w:hideMark/>
          </w:tcPr>
          <w:p w14:paraId="7CF57D97" w14:textId="77777777" w:rsidR="00A93FE3" w:rsidRPr="00E601CA" w:rsidRDefault="00A93FE3" w:rsidP="00511F7F">
            <w:pPr>
              <w:jc w:val="center"/>
              <w:rPr>
                <w:rFonts w:eastAsia="Times New Roman" w:cs="Times New Roman"/>
              </w:rPr>
            </w:pPr>
            <w:r>
              <w:t>H1a</w:t>
            </w:r>
          </w:p>
        </w:tc>
      </w:tr>
      <w:tr w:rsidR="00A93FE3" w:rsidRPr="00E601CA" w14:paraId="7731F4B6" w14:textId="77777777" w:rsidTr="00511F7F">
        <w:trPr>
          <w:jc w:val="center"/>
        </w:trPr>
        <w:tc>
          <w:tcPr>
            <w:tcW w:w="3155" w:type="pct"/>
            <w:hideMark/>
          </w:tcPr>
          <w:p w14:paraId="5C1A2833" w14:textId="77777777" w:rsidR="00A93FE3" w:rsidRPr="00E601CA" w:rsidRDefault="00A93FE3" w:rsidP="00511F7F">
            <w:pPr>
              <w:spacing w:before="100" w:beforeAutospacing="1" w:after="100" w:afterAutospacing="1"/>
              <w:jc w:val="left"/>
              <w:rPr>
                <w:rFonts w:eastAsia="Times New Roman" w:cs="Times New Roman"/>
              </w:rPr>
            </w:pPr>
            <w:r>
              <w:t>95 ― Val-d’Oise</w:t>
            </w:r>
          </w:p>
        </w:tc>
        <w:tc>
          <w:tcPr>
            <w:tcW w:w="1845" w:type="pct"/>
            <w:hideMark/>
          </w:tcPr>
          <w:p w14:paraId="7285198C" w14:textId="77777777" w:rsidR="00A93FE3" w:rsidRPr="00E601CA" w:rsidRDefault="00A93FE3" w:rsidP="00511F7F">
            <w:pPr>
              <w:jc w:val="center"/>
              <w:rPr>
                <w:rFonts w:eastAsia="Times New Roman" w:cs="Times New Roman"/>
              </w:rPr>
            </w:pPr>
            <w:r>
              <w:t>H1a</w:t>
            </w:r>
          </w:p>
        </w:tc>
      </w:tr>
    </w:tbl>
    <w:p w14:paraId="738FBF28" w14:textId="4CFF88D9" w:rsidR="00A93FE3" w:rsidRPr="00E601CA" w:rsidRDefault="00A93FE3" w:rsidP="00A93FE3">
      <w:pPr>
        <w:jc w:val="left"/>
      </w:pPr>
    </w:p>
    <w:p w14:paraId="6CB53E8A" w14:textId="749E1ADC" w:rsidR="00965E1A" w:rsidRPr="00E601CA" w:rsidRDefault="003815E1" w:rsidP="00F74657">
      <w:pPr>
        <w:pStyle w:val="Heading4"/>
        <w:keepNext/>
        <w:numPr>
          <w:ilvl w:val="0"/>
          <w:numId w:val="0"/>
        </w:numPr>
      </w:pPr>
      <w:bookmarkStart w:id="64" w:name="_Ref57899455"/>
      <w:bookmarkStart w:id="65" w:name="_Ref49444576"/>
      <w:r>
        <w:rPr>
          <w:b w:val="0"/>
        </w:rPr>
        <w:t xml:space="preserve">ANHANG III. </w:t>
      </w:r>
      <w:r>
        <w:t>(DEFINITION UND FESTLEGUNG DER EXPOSITIONSKLASSEN VON MAUERÖFFNUNGEN BEZOGEN AUF VERKEHRSINFRASTRUKTURLÄRM)</w:t>
      </w:r>
    </w:p>
    <w:p w14:paraId="29884B15" w14:textId="77777777" w:rsidR="00965E1A" w:rsidRPr="00E601CA" w:rsidRDefault="00965E1A" w:rsidP="00F74657">
      <w:pPr>
        <w:keepNext/>
      </w:pPr>
    </w:p>
    <w:bookmarkEnd w:id="64"/>
    <w:bookmarkEnd w:id="65"/>
    <w:p w14:paraId="72C936F4" w14:textId="39E985E7" w:rsidR="00A93FE3" w:rsidRPr="00E601CA" w:rsidRDefault="00A93FE3" w:rsidP="00F74657">
      <w:pPr>
        <w:keepNext/>
      </w:pPr>
      <w:r>
        <w:t>Die Festlegung der Lärmexpositionsklassen (BR1, BR2, BR3) erfolgt nach:</w:t>
      </w:r>
    </w:p>
    <w:p w14:paraId="2C4E1F8F" w14:textId="77777777" w:rsidR="00A93FE3" w:rsidRPr="00E601CA" w:rsidRDefault="00A93FE3" w:rsidP="00A93FE3">
      <w:pPr>
        <w:ind w:left="567"/>
      </w:pPr>
      <w:r>
        <w:t>– der Kategorieneinstufung der Landverkehrsinfrastruktur in der Nähe des Bauwerks. Die Einstufung der Verkehrswege erfolgt durch einen Präfektorialerlass gemäß Artikel R. 571-38 des Umweltgesetzbuchs,</w:t>
      </w:r>
    </w:p>
    <w:p w14:paraId="4C1D8099" w14:textId="77777777" w:rsidR="00A93FE3" w:rsidRPr="00E601CA" w:rsidRDefault="00A93FE3" w:rsidP="00A93FE3">
      <w:pPr>
        <w:ind w:left="567"/>
      </w:pPr>
      <w:r>
        <w:t>– der Lage der Maueröffnung in Bezug auf diese Infrastrukturen,</w:t>
      </w:r>
    </w:p>
    <w:p w14:paraId="22DB4AA5" w14:textId="77777777" w:rsidR="00A93FE3" w:rsidRPr="00E601CA" w:rsidRDefault="00A93FE3" w:rsidP="00A93FE3">
      <w:pPr>
        <w:ind w:left="567"/>
      </w:pPr>
      <w:r>
        <w:t>– der Lage des Gebäudes in Bezug auf die Zonen A, B, C oder D des Lärmexpositionsplans (LEP) des nächstgelegenen Flughafens. Der Lärmexpositionsplan wird durch einen Präfektorialerlass genehmigt, der in Anwendung der Artikel R. 112-4 bis R. 112-17 der Städtebauordnung erlassen wird.</w:t>
      </w:r>
    </w:p>
    <w:p w14:paraId="51CB6658" w14:textId="77777777" w:rsidR="00A93FE3" w:rsidRPr="00E601CA" w:rsidRDefault="00A93FE3" w:rsidP="00A93FE3">
      <w:r>
        <w:t>Die Festlegung der Lärmexpositionsklassen erfolgt für jede einzelne Maueröffnung gemäß den folgenden Modalitäten und Bedingungen.</w:t>
      </w:r>
    </w:p>
    <w:p w14:paraId="5017796E" w14:textId="12326467" w:rsidR="00A93FE3" w:rsidRPr="00E601CA" w:rsidRDefault="008203F4" w:rsidP="00F74657">
      <w:pPr>
        <w:pStyle w:val="Heading5"/>
        <w:keepNext/>
        <w:numPr>
          <w:ilvl w:val="0"/>
          <w:numId w:val="0"/>
        </w:numPr>
        <w:ind w:left="360"/>
      </w:pPr>
      <w:r>
        <w:rPr>
          <w:b w:val="0"/>
        </w:rPr>
        <w:lastRenderedPageBreak/>
        <w:t>TEIL I:</w:t>
      </w:r>
      <w:r>
        <w:rPr>
          <w:b w:val="0"/>
        </w:rPr>
        <w:tab/>
      </w:r>
      <w:r>
        <w:t>Begriffsbestimmung eines „stark schützenden“ und „wenig schützenden“ Hindernisses in Bezug auf die Lärmexposition</w:t>
      </w:r>
    </w:p>
    <w:p w14:paraId="2F9A3EBD" w14:textId="77777777" w:rsidR="00A93FE3" w:rsidRPr="00E601CA" w:rsidRDefault="00A93FE3" w:rsidP="00A93FE3">
      <w:r>
        <w:t>Ein Lärmhindernis ist ein Schutz gegenüber der Lärmausbreitung (Gebäude, Schallwand, Erdhügel usw.). Ein Hindernis ist „stark schützend“, wenn es sich oberhalb oder auf gleicher Höhe wie das jeweilige exponierte Geschoss befindet. Ein Hindernis ist „wenig schützend“, wenn es sich unterhalb des betreffenden Geschosses befindet, jedoch Sichtschutz gegenüber der Infrastruktur bietet.</w:t>
      </w:r>
    </w:p>
    <w:p w14:paraId="4B65B7F8" w14:textId="77777777" w:rsidR="00A93FE3" w:rsidRPr="00E601CA" w:rsidRDefault="00A93FE3" w:rsidP="00A93FE3">
      <w:r>
        <w:t>Wenn das Hindernis mehr als 250 m von der betreffenden Maueröffnung entfernt ist und zur Berücksichtigung des Kurveneffekts der Lärmausbreitung (nächtliche Temperaturinversion), werden 10 m zur erforderlichen Mindesthöhe bei der Bemessung des Hindernisses für Wohnräume hinzuaddiert.</w:t>
      </w:r>
    </w:p>
    <w:p w14:paraId="3D0A6565" w14:textId="23F788E2" w:rsidR="00A93FE3" w:rsidRPr="00E601CA" w:rsidRDefault="008203F4" w:rsidP="00F74657">
      <w:pPr>
        <w:pStyle w:val="Heading5"/>
        <w:keepNext/>
        <w:numPr>
          <w:ilvl w:val="0"/>
          <w:numId w:val="0"/>
        </w:numPr>
        <w:ind w:left="360" w:hanging="3"/>
      </w:pPr>
      <w:r>
        <w:rPr>
          <w:b w:val="0"/>
        </w:rPr>
        <w:t>TEIL II:</w:t>
      </w:r>
      <w:r>
        <w:rPr>
          <w:b w:val="0"/>
        </w:rPr>
        <w:tab/>
      </w:r>
      <w:r>
        <w:t>Begriffsbestimmung der Sichtlinie von einer Maueröffnung zur Infrastruktur</w:t>
      </w:r>
    </w:p>
    <w:p w14:paraId="52E096E7" w14:textId="77777777" w:rsidR="00A93FE3" w:rsidRPr="00E601CA" w:rsidRDefault="00A93FE3" w:rsidP="00F74657">
      <w:pPr>
        <w:keepNext/>
      </w:pPr>
      <w:r>
        <w:t>Die Sichtlinie von einer Maueröffnung zur Infrastruktur ist wie folgt definiert:</w:t>
      </w:r>
    </w:p>
    <w:p w14:paraId="0D09F323" w14:textId="77777777" w:rsidR="00A93FE3" w:rsidRPr="00E601CA" w:rsidRDefault="00A93FE3" w:rsidP="00A93FE3">
      <w:pPr>
        <w:pStyle w:val="ListParagraph"/>
        <w:numPr>
          <w:ilvl w:val="0"/>
          <w:numId w:val="17"/>
        </w:numPr>
      </w:pPr>
      <w:r>
        <w:t>Unter einer direkten Sichtlinie versteht man eine gerade Sichtlinie zur Infrastruktur von über 90 Grad nach Abzug von stark schützenden Lärmhindernissen. Dies ist der Fall bei den Seitenwänden eines Gebäudes ohne Schutz.</w:t>
      </w:r>
    </w:p>
    <w:p w14:paraId="51C149AD" w14:textId="77777777" w:rsidR="00A93FE3" w:rsidRPr="00E601CA" w:rsidRDefault="00A93FE3" w:rsidP="00A93FE3">
      <w:pPr>
        <w:pStyle w:val="ListParagraph"/>
        <w:numPr>
          <w:ilvl w:val="0"/>
          <w:numId w:val="17"/>
        </w:numPr>
      </w:pPr>
      <w:r>
        <w:t>Unter einer partiellen Sichtlinie versteht man eine horizontale Sichtlinie zur Infrastruktur von unter 90 Grad nach Abzug von stark schützenden Lärmhindernissen.</w:t>
      </w:r>
    </w:p>
    <w:p w14:paraId="7F344204" w14:textId="77777777" w:rsidR="00A93FE3" w:rsidRPr="00E601CA" w:rsidRDefault="00A93FE3" w:rsidP="00A93FE3">
      <w:pPr>
        <w:pStyle w:val="ListParagraph"/>
        <w:numPr>
          <w:ilvl w:val="0"/>
          <w:numId w:val="17"/>
        </w:numPr>
      </w:pPr>
      <w:r>
        <w:t>Es besteht eine geschützte Sichtlinie zur Infrastruktur, wenn die Infrastruktur unter Berücksichtigung der Lärmhindernisse von der Maueröffnung aus nicht gesehen werden kann. Diese Hindernisse können entsprechend der Begriffsbestimmung eines „stark schützenden“ oder „wenig schützenden“ Lärmhindernisses „stark schützend“ oder „wenig schützend“ sein.</w:t>
      </w:r>
    </w:p>
    <w:p w14:paraId="12D5A14C" w14:textId="77777777" w:rsidR="00A93FE3" w:rsidRPr="00E601CA" w:rsidRDefault="00A93FE3" w:rsidP="00A93FE3">
      <w:pPr>
        <w:pStyle w:val="ListParagraph"/>
        <w:numPr>
          <w:ilvl w:val="0"/>
          <w:numId w:val="17"/>
        </w:numPr>
      </w:pPr>
      <w:r>
        <w:t>Unter rückwärtiger Sichtlinie versteht man die Fassade hinter dem Gebäude in Bezug auf die Infrastruktur.</w:t>
      </w:r>
    </w:p>
    <w:p w14:paraId="25F2ABC1" w14:textId="53E4BA0D" w:rsidR="00A93FE3" w:rsidRPr="00E601CA" w:rsidRDefault="008203F4" w:rsidP="00F74657">
      <w:pPr>
        <w:pStyle w:val="Heading5"/>
        <w:keepNext/>
        <w:numPr>
          <w:ilvl w:val="0"/>
          <w:numId w:val="0"/>
        </w:numPr>
        <w:ind w:left="360" w:hanging="3"/>
      </w:pPr>
      <w:r>
        <w:rPr>
          <w:b w:val="0"/>
        </w:rPr>
        <w:t>TEIL III:</w:t>
      </w:r>
      <w:r>
        <w:rPr>
          <w:b w:val="0"/>
        </w:rPr>
        <w:tab/>
      </w:r>
      <w:r>
        <w:t>Festlegung der Lärmexpositionsklasse einer Maueröffnung in einem Gebäude</w:t>
      </w:r>
    </w:p>
    <w:p w14:paraId="69B3CCAC" w14:textId="77777777" w:rsidR="00A93FE3" w:rsidRPr="00E601CA" w:rsidRDefault="00A93FE3" w:rsidP="00F74657">
      <w:pPr>
        <w:pStyle w:val="Heading6"/>
        <w:numPr>
          <w:ilvl w:val="0"/>
          <w:numId w:val="16"/>
        </w:numPr>
        <w:ind w:left="754" w:hanging="357"/>
      </w:pPr>
      <w:r>
        <w:t>Konfiguration 1:</w:t>
      </w:r>
    </w:p>
    <w:p w14:paraId="31BFE037" w14:textId="77777777" w:rsidR="00A93FE3" w:rsidRPr="00E601CA" w:rsidRDefault="00A93FE3" w:rsidP="00A93FE3">
      <w:r>
        <w:t>Je nach Kategorie der Infrastruktur, in deren Nähe das Gebäude oder der Gebäudeteil gebaut wird, und soweit sich dieses Gebäude oder dieser Gebäudeteil in einer Entfernung befindet, die größer als die maximale Entfernung zur Berücksichtigung der nachfolgend angegebenen Verkehrsinfrastrukturen ist, entsprechen alle Maueröffnungen der Lärmexpositionsklasse BR1.</w:t>
      </w:r>
    </w:p>
    <w:tbl>
      <w:tblPr>
        <w:tblStyle w:val="TableGrid"/>
        <w:tblW w:w="5000" w:type="pct"/>
        <w:tblLook w:val="04A0" w:firstRow="1" w:lastRow="0" w:firstColumn="1" w:lastColumn="0" w:noHBand="0" w:noVBand="1"/>
      </w:tblPr>
      <w:tblGrid>
        <w:gridCol w:w="3143"/>
        <w:gridCol w:w="337"/>
        <w:gridCol w:w="5582"/>
      </w:tblGrid>
      <w:tr w:rsidR="00A93FE3" w:rsidRPr="00E601CA" w14:paraId="623FD258" w14:textId="77777777" w:rsidTr="00511F7F">
        <w:tc>
          <w:tcPr>
            <w:tcW w:w="1734" w:type="pct"/>
            <w:hideMark/>
          </w:tcPr>
          <w:p w14:paraId="29096FE1" w14:textId="77777777" w:rsidR="00A93FE3" w:rsidRPr="00E601CA" w:rsidRDefault="00A93FE3" w:rsidP="00F74657">
            <w:pPr>
              <w:keepNext/>
              <w:jc w:val="left"/>
              <w:rPr>
                <w:rFonts w:eastAsia="Times New Roman" w:cs="Times New Roman"/>
                <w:lang w:eastAsia="fr-FR" w:bidi="ar-SA"/>
              </w:rPr>
            </w:pPr>
          </w:p>
        </w:tc>
        <w:tc>
          <w:tcPr>
            <w:tcW w:w="3266" w:type="pct"/>
            <w:gridSpan w:val="2"/>
            <w:shd w:val="clear" w:color="auto" w:fill="A6A6A6" w:themeFill="background1" w:themeFillShade="A6"/>
            <w:hideMark/>
          </w:tcPr>
          <w:p w14:paraId="6A15D2AB" w14:textId="77777777" w:rsidR="00A93FE3" w:rsidRPr="00E601CA" w:rsidRDefault="00A93FE3" w:rsidP="00F74657">
            <w:pPr>
              <w:keepNext/>
              <w:spacing w:before="100" w:beforeAutospacing="1" w:after="100" w:afterAutospacing="1"/>
              <w:jc w:val="center"/>
              <w:rPr>
                <w:rFonts w:eastAsia="Times New Roman" w:cs="Times New Roman"/>
              </w:rPr>
            </w:pPr>
            <w:r>
              <w:t>LAGE DES GEBÄUDES FÜR DIE EINSTUFUNG DIESER MAUERÖFFNUNGEN IN BR1</w:t>
            </w:r>
          </w:p>
        </w:tc>
      </w:tr>
      <w:tr w:rsidR="00A93FE3" w:rsidRPr="00E601CA" w14:paraId="009CCB63" w14:textId="77777777" w:rsidTr="00511F7F">
        <w:tc>
          <w:tcPr>
            <w:tcW w:w="1734" w:type="pct"/>
            <w:vMerge w:val="restart"/>
            <w:shd w:val="clear" w:color="auto" w:fill="F2F2F2" w:themeFill="background1" w:themeFillShade="F2"/>
            <w:vAlign w:val="center"/>
            <w:hideMark/>
          </w:tcPr>
          <w:p w14:paraId="45756D35" w14:textId="77777777" w:rsidR="00A93FE3" w:rsidRPr="00E601CA" w:rsidRDefault="00A93FE3" w:rsidP="003D7B82">
            <w:pPr>
              <w:spacing w:before="100" w:beforeAutospacing="1" w:after="100" w:afterAutospacing="1"/>
              <w:jc w:val="left"/>
              <w:rPr>
                <w:rFonts w:eastAsia="Times New Roman" w:cs="Times New Roman"/>
              </w:rPr>
            </w:pPr>
            <w:r>
              <w:t>Kategorie der Landverkehrsinfrastruktur</w:t>
            </w:r>
          </w:p>
        </w:tc>
        <w:tc>
          <w:tcPr>
            <w:tcW w:w="186" w:type="pct"/>
            <w:hideMark/>
          </w:tcPr>
          <w:p w14:paraId="44EB7208" w14:textId="77777777" w:rsidR="00A93FE3" w:rsidRPr="00E601CA" w:rsidRDefault="00A93FE3" w:rsidP="003D7B82">
            <w:pPr>
              <w:jc w:val="center"/>
              <w:rPr>
                <w:rFonts w:eastAsia="Times New Roman" w:cs="Times New Roman"/>
              </w:rPr>
            </w:pPr>
            <w:r>
              <w:t>1</w:t>
            </w:r>
          </w:p>
        </w:tc>
        <w:tc>
          <w:tcPr>
            <w:tcW w:w="3080" w:type="pct"/>
            <w:hideMark/>
          </w:tcPr>
          <w:p w14:paraId="17826657" w14:textId="77777777" w:rsidR="00A93FE3" w:rsidRPr="00E601CA" w:rsidRDefault="00A93FE3" w:rsidP="003D7B82">
            <w:pPr>
              <w:jc w:val="center"/>
              <w:rPr>
                <w:rFonts w:eastAsia="Times New Roman" w:cs="Times New Roman"/>
              </w:rPr>
            </w:pPr>
            <w:r>
              <w:t>Entfernung größer als 700 m</w:t>
            </w:r>
          </w:p>
        </w:tc>
      </w:tr>
      <w:tr w:rsidR="00A93FE3" w:rsidRPr="00E601CA" w14:paraId="3768276E" w14:textId="77777777" w:rsidTr="00511F7F">
        <w:tc>
          <w:tcPr>
            <w:tcW w:w="1734" w:type="pct"/>
            <w:vMerge/>
            <w:shd w:val="clear" w:color="auto" w:fill="F2F2F2" w:themeFill="background1" w:themeFillShade="F2"/>
            <w:hideMark/>
          </w:tcPr>
          <w:p w14:paraId="1A3335C9" w14:textId="77777777" w:rsidR="00A93FE3" w:rsidRPr="00E601CA" w:rsidRDefault="00A93FE3" w:rsidP="003D7B82">
            <w:pPr>
              <w:jc w:val="left"/>
              <w:rPr>
                <w:rFonts w:eastAsia="Times New Roman" w:cs="Times New Roman"/>
                <w:lang w:eastAsia="fr-FR" w:bidi="ar-SA"/>
              </w:rPr>
            </w:pPr>
          </w:p>
        </w:tc>
        <w:tc>
          <w:tcPr>
            <w:tcW w:w="186" w:type="pct"/>
            <w:hideMark/>
          </w:tcPr>
          <w:p w14:paraId="39A328ED" w14:textId="77777777" w:rsidR="00A93FE3" w:rsidRPr="00E601CA" w:rsidRDefault="00A93FE3" w:rsidP="003D7B82">
            <w:pPr>
              <w:jc w:val="center"/>
              <w:rPr>
                <w:rFonts w:eastAsia="Times New Roman" w:cs="Times New Roman"/>
              </w:rPr>
            </w:pPr>
            <w:r>
              <w:t>2</w:t>
            </w:r>
          </w:p>
        </w:tc>
        <w:tc>
          <w:tcPr>
            <w:tcW w:w="3080" w:type="pct"/>
            <w:hideMark/>
          </w:tcPr>
          <w:p w14:paraId="4365E753" w14:textId="77777777" w:rsidR="00A93FE3" w:rsidRPr="00E601CA" w:rsidRDefault="00A93FE3" w:rsidP="003D7B82">
            <w:pPr>
              <w:jc w:val="center"/>
              <w:rPr>
                <w:rFonts w:eastAsia="Times New Roman" w:cs="Times New Roman"/>
              </w:rPr>
            </w:pPr>
            <w:r>
              <w:t>Entfernung größer als 500 m</w:t>
            </w:r>
          </w:p>
        </w:tc>
      </w:tr>
      <w:tr w:rsidR="00A93FE3" w:rsidRPr="00E601CA" w14:paraId="08C17E48" w14:textId="77777777" w:rsidTr="00511F7F">
        <w:tc>
          <w:tcPr>
            <w:tcW w:w="1734" w:type="pct"/>
            <w:vMerge/>
            <w:shd w:val="clear" w:color="auto" w:fill="F2F2F2" w:themeFill="background1" w:themeFillShade="F2"/>
            <w:hideMark/>
          </w:tcPr>
          <w:p w14:paraId="31BD7D5B" w14:textId="77777777" w:rsidR="00A93FE3" w:rsidRPr="00E601CA" w:rsidRDefault="00A93FE3" w:rsidP="003D7B82">
            <w:pPr>
              <w:jc w:val="left"/>
              <w:rPr>
                <w:rFonts w:eastAsia="Times New Roman" w:cs="Times New Roman"/>
                <w:lang w:eastAsia="fr-FR" w:bidi="ar-SA"/>
              </w:rPr>
            </w:pPr>
          </w:p>
        </w:tc>
        <w:tc>
          <w:tcPr>
            <w:tcW w:w="186" w:type="pct"/>
            <w:hideMark/>
          </w:tcPr>
          <w:p w14:paraId="4D7ED018" w14:textId="77777777" w:rsidR="00A93FE3" w:rsidRPr="00E601CA" w:rsidRDefault="00A93FE3" w:rsidP="003D7B82">
            <w:pPr>
              <w:jc w:val="center"/>
              <w:rPr>
                <w:rFonts w:eastAsia="Times New Roman" w:cs="Times New Roman"/>
              </w:rPr>
            </w:pPr>
            <w:r>
              <w:t>3</w:t>
            </w:r>
          </w:p>
        </w:tc>
        <w:tc>
          <w:tcPr>
            <w:tcW w:w="3080" w:type="pct"/>
            <w:hideMark/>
          </w:tcPr>
          <w:p w14:paraId="1501FFDD" w14:textId="77777777" w:rsidR="00A93FE3" w:rsidRPr="00E601CA" w:rsidRDefault="00A93FE3" w:rsidP="003D7B82">
            <w:pPr>
              <w:jc w:val="center"/>
              <w:rPr>
                <w:rFonts w:eastAsia="Times New Roman" w:cs="Times New Roman"/>
              </w:rPr>
            </w:pPr>
            <w:r>
              <w:t>Entfernung größer als 250 m</w:t>
            </w:r>
          </w:p>
        </w:tc>
      </w:tr>
      <w:tr w:rsidR="00A93FE3" w:rsidRPr="00E601CA" w14:paraId="27EA05C4" w14:textId="77777777" w:rsidTr="00511F7F">
        <w:tc>
          <w:tcPr>
            <w:tcW w:w="1734" w:type="pct"/>
            <w:vMerge/>
            <w:shd w:val="clear" w:color="auto" w:fill="F2F2F2" w:themeFill="background1" w:themeFillShade="F2"/>
            <w:hideMark/>
          </w:tcPr>
          <w:p w14:paraId="02163E17" w14:textId="77777777" w:rsidR="00A93FE3" w:rsidRPr="00E601CA" w:rsidRDefault="00A93FE3" w:rsidP="003D7B82">
            <w:pPr>
              <w:jc w:val="left"/>
              <w:rPr>
                <w:rFonts w:eastAsia="Times New Roman" w:cs="Times New Roman"/>
                <w:lang w:eastAsia="fr-FR" w:bidi="ar-SA"/>
              </w:rPr>
            </w:pPr>
          </w:p>
        </w:tc>
        <w:tc>
          <w:tcPr>
            <w:tcW w:w="186" w:type="pct"/>
            <w:hideMark/>
          </w:tcPr>
          <w:p w14:paraId="2A58B918" w14:textId="77777777" w:rsidR="00A93FE3" w:rsidRPr="00E601CA" w:rsidRDefault="00A93FE3" w:rsidP="003D7B82">
            <w:pPr>
              <w:jc w:val="center"/>
              <w:rPr>
                <w:rFonts w:eastAsia="Times New Roman" w:cs="Times New Roman"/>
              </w:rPr>
            </w:pPr>
            <w:r>
              <w:t>4</w:t>
            </w:r>
          </w:p>
        </w:tc>
        <w:tc>
          <w:tcPr>
            <w:tcW w:w="3080" w:type="pct"/>
            <w:hideMark/>
          </w:tcPr>
          <w:p w14:paraId="28C1A52A" w14:textId="77777777" w:rsidR="00A93FE3" w:rsidRPr="00E601CA" w:rsidRDefault="00A93FE3" w:rsidP="003D7B82">
            <w:pPr>
              <w:jc w:val="center"/>
              <w:rPr>
                <w:rFonts w:eastAsia="Times New Roman" w:cs="Times New Roman"/>
              </w:rPr>
            </w:pPr>
            <w:r>
              <w:t>Entfernung größer als 100 m</w:t>
            </w:r>
          </w:p>
        </w:tc>
      </w:tr>
      <w:tr w:rsidR="00A93FE3" w:rsidRPr="00E601CA" w14:paraId="67FD01AA" w14:textId="77777777" w:rsidTr="00511F7F">
        <w:tc>
          <w:tcPr>
            <w:tcW w:w="1734" w:type="pct"/>
            <w:vMerge/>
            <w:shd w:val="clear" w:color="auto" w:fill="F2F2F2" w:themeFill="background1" w:themeFillShade="F2"/>
            <w:hideMark/>
          </w:tcPr>
          <w:p w14:paraId="57EBEAF2" w14:textId="77777777" w:rsidR="00A93FE3" w:rsidRPr="00E601CA" w:rsidRDefault="00A93FE3" w:rsidP="003D7B82">
            <w:pPr>
              <w:jc w:val="left"/>
              <w:rPr>
                <w:rFonts w:eastAsia="Times New Roman" w:cs="Times New Roman"/>
                <w:lang w:eastAsia="fr-FR" w:bidi="ar-SA"/>
              </w:rPr>
            </w:pPr>
          </w:p>
        </w:tc>
        <w:tc>
          <w:tcPr>
            <w:tcW w:w="186" w:type="pct"/>
            <w:hideMark/>
          </w:tcPr>
          <w:p w14:paraId="10A12F57" w14:textId="77777777" w:rsidR="00A93FE3" w:rsidRPr="00E601CA" w:rsidRDefault="00A93FE3" w:rsidP="003D7B82">
            <w:pPr>
              <w:jc w:val="center"/>
              <w:rPr>
                <w:rFonts w:eastAsia="Times New Roman" w:cs="Times New Roman"/>
              </w:rPr>
            </w:pPr>
            <w:r>
              <w:t>5</w:t>
            </w:r>
          </w:p>
        </w:tc>
        <w:tc>
          <w:tcPr>
            <w:tcW w:w="3080" w:type="pct"/>
            <w:hideMark/>
          </w:tcPr>
          <w:p w14:paraId="12A1E5E3" w14:textId="77777777" w:rsidR="00A93FE3" w:rsidRPr="00E601CA" w:rsidRDefault="00A93FE3" w:rsidP="003D7B82">
            <w:pPr>
              <w:jc w:val="center"/>
              <w:rPr>
                <w:rFonts w:eastAsia="Times New Roman" w:cs="Times New Roman"/>
              </w:rPr>
            </w:pPr>
            <w:r>
              <w:t>Entfernung größer als 30 m</w:t>
            </w:r>
          </w:p>
        </w:tc>
      </w:tr>
      <w:tr w:rsidR="00A93FE3" w:rsidRPr="00E601CA" w14:paraId="017FF218" w14:textId="77777777" w:rsidTr="00511F7F">
        <w:tc>
          <w:tcPr>
            <w:tcW w:w="1734" w:type="pct"/>
            <w:shd w:val="clear" w:color="auto" w:fill="F2F2F2" w:themeFill="background1" w:themeFillShade="F2"/>
            <w:hideMark/>
          </w:tcPr>
          <w:p w14:paraId="7035CC8B" w14:textId="77777777" w:rsidR="00A93FE3" w:rsidRPr="00E601CA" w:rsidRDefault="00A93FE3" w:rsidP="003D7B82">
            <w:pPr>
              <w:jc w:val="center"/>
              <w:rPr>
                <w:rFonts w:eastAsia="Times New Roman" w:cs="Times New Roman"/>
              </w:rPr>
            </w:pPr>
            <w:r>
              <w:t>Flugplatz</w:t>
            </w:r>
          </w:p>
        </w:tc>
        <w:tc>
          <w:tcPr>
            <w:tcW w:w="186" w:type="pct"/>
            <w:hideMark/>
          </w:tcPr>
          <w:p w14:paraId="5AF4DF04" w14:textId="77777777" w:rsidR="00A93FE3" w:rsidRPr="00E601CA" w:rsidRDefault="00A93FE3" w:rsidP="003D7B82">
            <w:pPr>
              <w:jc w:val="center"/>
              <w:rPr>
                <w:rFonts w:eastAsia="Times New Roman" w:cs="Times New Roman"/>
                <w:lang w:eastAsia="fr-FR" w:bidi="ar-SA"/>
              </w:rPr>
            </w:pPr>
          </w:p>
        </w:tc>
        <w:tc>
          <w:tcPr>
            <w:tcW w:w="3080" w:type="pct"/>
            <w:hideMark/>
          </w:tcPr>
          <w:p w14:paraId="7F1C734B" w14:textId="77777777" w:rsidR="00A93FE3" w:rsidRPr="00E601CA" w:rsidRDefault="00A93FE3" w:rsidP="003D7B82">
            <w:pPr>
              <w:jc w:val="center"/>
              <w:rPr>
                <w:rFonts w:eastAsia="Times New Roman" w:cs="Times New Roman"/>
              </w:rPr>
            </w:pPr>
            <w:r>
              <w:t>Außerhalb der Zone des Lärmexpositionsplans</w:t>
            </w:r>
          </w:p>
        </w:tc>
      </w:tr>
    </w:tbl>
    <w:p w14:paraId="24774149" w14:textId="77777777" w:rsidR="00A93FE3" w:rsidRPr="00E601CA" w:rsidRDefault="00A93FE3" w:rsidP="00A93FE3"/>
    <w:p w14:paraId="0E105AB3" w14:textId="77777777" w:rsidR="00A93FE3" w:rsidRPr="00E601CA" w:rsidRDefault="00A93FE3" w:rsidP="00A93FE3">
      <w:pPr>
        <w:pStyle w:val="Heading6"/>
        <w:numPr>
          <w:ilvl w:val="0"/>
          <w:numId w:val="16"/>
        </w:numPr>
        <w:ind w:left="754" w:hanging="357"/>
      </w:pPr>
      <w:r>
        <w:lastRenderedPageBreak/>
        <w:t>Konfiguration 2:</w:t>
      </w:r>
    </w:p>
    <w:p w14:paraId="24744774" w14:textId="77777777" w:rsidR="00A93FE3" w:rsidRPr="00E601CA" w:rsidRDefault="00A93FE3" w:rsidP="00A93FE3">
      <w:r>
        <w:t>In sonstigen Fällen wird die Lärmexpositionsklasse der Maueröffnung anhand der nachfolgenden Tabellen festgelegt, und zwar einerseits basierend auf den Zonen, die in dem Lärmexpositionsplan des Flugplatzes für den Flugverkehrslärm definiert wurden, und andererseits basierend auf der Kategorie der Infrastruktur, der Entfernung von der Infrastruktur zur Fassade und dem Winkel der Sichtlinie von der Maueröffnung zur Infrastruktur (bei Landverkehrsinfrastrukturen).</w:t>
      </w:r>
    </w:p>
    <w:p w14:paraId="1BE5F4BD" w14:textId="77777777" w:rsidR="00A93FE3" w:rsidRPr="00E601CA" w:rsidRDefault="00A93FE3" w:rsidP="00A93FE3">
      <w:r>
        <w:t>Im Fall von mehreren Infrastrukturen wird die ungünstigste Lärmexpositionsklasse gewählt.</w:t>
      </w:r>
    </w:p>
    <w:p w14:paraId="5FEAAC58" w14:textId="77777777" w:rsidR="00A93FE3" w:rsidRPr="00E601CA" w:rsidRDefault="00A93FE3" w:rsidP="00A93FE3">
      <w:pPr>
        <w:pStyle w:val="Caption"/>
        <w:keepNext/>
        <w:rPr>
          <w:sz w:val="20"/>
        </w:rPr>
      </w:pPr>
      <w:r>
        <w:rPr>
          <w:sz w:val="20"/>
        </w:rPr>
        <w:t>Bei Lärmexposition durch Flugplätze:</w:t>
      </w:r>
    </w:p>
    <w:tbl>
      <w:tblPr>
        <w:tblStyle w:val="TableGrid"/>
        <w:tblW w:w="5000" w:type="pct"/>
        <w:tblLook w:val="04A0" w:firstRow="1" w:lastRow="0" w:firstColumn="1" w:lastColumn="0" w:noHBand="0" w:noVBand="1"/>
      </w:tblPr>
      <w:tblGrid>
        <w:gridCol w:w="1461"/>
        <w:gridCol w:w="1450"/>
        <w:gridCol w:w="1430"/>
        <w:gridCol w:w="1430"/>
        <w:gridCol w:w="1450"/>
        <w:gridCol w:w="1841"/>
      </w:tblGrid>
      <w:tr w:rsidR="00A93FE3" w:rsidRPr="00E601CA" w14:paraId="0AD0B455" w14:textId="77777777" w:rsidTr="00511F7F">
        <w:tc>
          <w:tcPr>
            <w:tcW w:w="806" w:type="pct"/>
            <w:hideMark/>
          </w:tcPr>
          <w:p w14:paraId="48E29E92" w14:textId="77777777" w:rsidR="00A93FE3" w:rsidRPr="00E601CA" w:rsidRDefault="00A93FE3" w:rsidP="00511F7F">
            <w:pPr>
              <w:keepNext/>
              <w:keepLines/>
              <w:jc w:val="left"/>
              <w:rPr>
                <w:rFonts w:eastAsia="Times New Roman" w:cs="Times New Roman"/>
                <w:lang w:eastAsia="fr-FR" w:bidi="ar-SA"/>
              </w:rPr>
            </w:pPr>
          </w:p>
        </w:tc>
        <w:tc>
          <w:tcPr>
            <w:tcW w:w="4194" w:type="pct"/>
            <w:gridSpan w:val="5"/>
            <w:shd w:val="clear" w:color="auto" w:fill="A6A6A6" w:themeFill="background1" w:themeFillShade="A6"/>
            <w:hideMark/>
          </w:tcPr>
          <w:p w14:paraId="38EA2D18" w14:textId="5F9A863A" w:rsidR="00A93FE3" w:rsidRPr="00E601CA" w:rsidRDefault="00A93FE3" w:rsidP="00511F7F">
            <w:pPr>
              <w:keepNext/>
              <w:keepLines/>
              <w:spacing w:before="100" w:beforeAutospacing="1" w:after="100" w:afterAutospacing="1"/>
              <w:jc w:val="center"/>
              <w:rPr>
                <w:rFonts w:eastAsia="Times New Roman" w:cs="Times New Roman"/>
              </w:rPr>
            </w:pPr>
            <w:r>
              <w:t>LAGE DES GEBÄUDES IN DEM LÄRMEXPOSITIONSPLAN des Flugplatzes</w:t>
            </w:r>
          </w:p>
        </w:tc>
      </w:tr>
      <w:tr w:rsidR="00A93FE3" w:rsidRPr="00E601CA" w14:paraId="75669AF9" w14:textId="77777777" w:rsidTr="00511F7F">
        <w:tc>
          <w:tcPr>
            <w:tcW w:w="806" w:type="pct"/>
            <w:hideMark/>
          </w:tcPr>
          <w:p w14:paraId="03A2E6B7" w14:textId="77777777" w:rsidR="00A93FE3" w:rsidRPr="00E601CA" w:rsidRDefault="00A93FE3" w:rsidP="003D7B82">
            <w:pPr>
              <w:jc w:val="center"/>
              <w:rPr>
                <w:rFonts w:eastAsia="Times New Roman" w:cs="Times New Roman"/>
                <w:lang w:eastAsia="fr-FR" w:bidi="ar-SA"/>
              </w:rPr>
            </w:pPr>
          </w:p>
        </w:tc>
        <w:tc>
          <w:tcPr>
            <w:tcW w:w="800" w:type="pct"/>
            <w:shd w:val="clear" w:color="auto" w:fill="A6A6A6" w:themeFill="background1" w:themeFillShade="A6"/>
            <w:hideMark/>
          </w:tcPr>
          <w:p w14:paraId="1B79B90C" w14:textId="77777777" w:rsidR="00A93FE3" w:rsidRPr="00E601CA" w:rsidRDefault="00A93FE3" w:rsidP="003D7B82">
            <w:pPr>
              <w:jc w:val="center"/>
              <w:rPr>
                <w:rFonts w:eastAsia="Times New Roman" w:cs="Times New Roman"/>
              </w:rPr>
            </w:pPr>
            <w:r>
              <w:t>Zone A</w:t>
            </w:r>
          </w:p>
        </w:tc>
        <w:tc>
          <w:tcPr>
            <w:tcW w:w="789" w:type="pct"/>
            <w:shd w:val="clear" w:color="auto" w:fill="A6A6A6" w:themeFill="background1" w:themeFillShade="A6"/>
            <w:hideMark/>
          </w:tcPr>
          <w:p w14:paraId="27BCCE8A" w14:textId="77777777" w:rsidR="00A93FE3" w:rsidRPr="00E601CA" w:rsidRDefault="00A93FE3" w:rsidP="003D7B82">
            <w:pPr>
              <w:jc w:val="center"/>
              <w:rPr>
                <w:rFonts w:eastAsia="Times New Roman" w:cs="Times New Roman"/>
              </w:rPr>
            </w:pPr>
            <w:r>
              <w:t>Zone B</w:t>
            </w:r>
          </w:p>
        </w:tc>
        <w:tc>
          <w:tcPr>
            <w:tcW w:w="789" w:type="pct"/>
            <w:shd w:val="clear" w:color="auto" w:fill="A6A6A6" w:themeFill="background1" w:themeFillShade="A6"/>
            <w:hideMark/>
          </w:tcPr>
          <w:p w14:paraId="114C3B0F" w14:textId="77777777" w:rsidR="00A93FE3" w:rsidRPr="00E601CA" w:rsidRDefault="00A93FE3" w:rsidP="003D7B82">
            <w:pPr>
              <w:jc w:val="center"/>
              <w:rPr>
                <w:rFonts w:eastAsia="Times New Roman" w:cs="Times New Roman"/>
              </w:rPr>
            </w:pPr>
            <w:r>
              <w:t>Zone C</w:t>
            </w:r>
          </w:p>
        </w:tc>
        <w:tc>
          <w:tcPr>
            <w:tcW w:w="800" w:type="pct"/>
            <w:shd w:val="clear" w:color="auto" w:fill="A6A6A6" w:themeFill="background1" w:themeFillShade="A6"/>
            <w:hideMark/>
          </w:tcPr>
          <w:p w14:paraId="34826765" w14:textId="77777777" w:rsidR="00A93FE3" w:rsidRPr="00E601CA" w:rsidRDefault="00A93FE3" w:rsidP="003D7B82">
            <w:pPr>
              <w:jc w:val="center"/>
              <w:rPr>
                <w:rFonts w:eastAsia="Times New Roman" w:cs="Times New Roman"/>
              </w:rPr>
            </w:pPr>
            <w:r>
              <w:t>Zone D</w:t>
            </w:r>
          </w:p>
        </w:tc>
        <w:tc>
          <w:tcPr>
            <w:tcW w:w="1016" w:type="pct"/>
            <w:shd w:val="clear" w:color="auto" w:fill="A6A6A6" w:themeFill="background1" w:themeFillShade="A6"/>
            <w:hideMark/>
          </w:tcPr>
          <w:p w14:paraId="09C56955" w14:textId="77777777" w:rsidR="00A93FE3" w:rsidRPr="00E601CA" w:rsidRDefault="00A93FE3" w:rsidP="003D7B82">
            <w:pPr>
              <w:jc w:val="center"/>
              <w:rPr>
                <w:rFonts w:eastAsia="Times New Roman" w:cs="Times New Roman"/>
              </w:rPr>
            </w:pPr>
            <w:r>
              <w:t>Außerhalb der Zone</w:t>
            </w:r>
          </w:p>
        </w:tc>
      </w:tr>
      <w:tr w:rsidR="00A93FE3" w:rsidRPr="00E601CA" w14:paraId="30932640" w14:textId="77777777" w:rsidTr="00511F7F">
        <w:tc>
          <w:tcPr>
            <w:tcW w:w="806" w:type="pct"/>
            <w:shd w:val="clear" w:color="auto" w:fill="F2F2F2" w:themeFill="background1" w:themeFillShade="F2"/>
            <w:hideMark/>
          </w:tcPr>
          <w:p w14:paraId="7C542C07" w14:textId="77777777" w:rsidR="00A93FE3" w:rsidRPr="00E601CA" w:rsidRDefault="00A93FE3" w:rsidP="003D7B82">
            <w:pPr>
              <w:jc w:val="center"/>
              <w:rPr>
                <w:rFonts w:eastAsia="Times New Roman" w:cs="Times New Roman"/>
              </w:rPr>
            </w:pPr>
            <w:r>
              <w:t>Alle Sichtlinien</w:t>
            </w:r>
          </w:p>
        </w:tc>
        <w:tc>
          <w:tcPr>
            <w:tcW w:w="800" w:type="pct"/>
            <w:hideMark/>
          </w:tcPr>
          <w:p w14:paraId="442A0633" w14:textId="77777777" w:rsidR="00A93FE3" w:rsidRPr="00E601CA" w:rsidRDefault="00A93FE3" w:rsidP="003D7B82">
            <w:pPr>
              <w:jc w:val="center"/>
              <w:rPr>
                <w:rFonts w:eastAsia="Times New Roman" w:cs="Times New Roman"/>
              </w:rPr>
            </w:pPr>
            <w:r>
              <w:t>BR3</w:t>
            </w:r>
          </w:p>
        </w:tc>
        <w:tc>
          <w:tcPr>
            <w:tcW w:w="789" w:type="pct"/>
            <w:hideMark/>
          </w:tcPr>
          <w:p w14:paraId="1B3C9D88" w14:textId="77777777" w:rsidR="00A93FE3" w:rsidRPr="00E601CA" w:rsidRDefault="00A93FE3" w:rsidP="003D7B82">
            <w:pPr>
              <w:jc w:val="center"/>
              <w:rPr>
                <w:rFonts w:eastAsia="Times New Roman" w:cs="Times New Roman"/>
              </w:rPr>
            </w:pPr>
            <w:r>
              <w:t>BR3</w:t>
            </w:r>
          </w:p>
        </w:tc>
        <w:tc>
          <w:tcPr>
            <w:tcW w:w="789" w:type="pct"/>
            <w:hideMark/>
          </w:tcPr>
          <w:p w14:paraId="7F743D6C" w14:textId="77777777" w:rsidR="00A93FE3" w:rsidRPr="00E601CA" w:rsidRDefault="00A93FE3" w:rsidP="003D7B82">
            <w:pPr>
              <w:jc w:val="center"/>
              <w:rPr>
                <w:rFonts w:eastAsia="Times New Roman" w:cs="Times New Roman"/>
              </w:rPr>
            </w:pPr>
            <w:r>
              <w:t>BR3</w:t>
            </w:r>
          </w:p>
        </w:tc>
        <w:tc>
          <w:tcPr>
            <w:tcW w:w="800" w:type="pct"/>
            <w:hideMark/>
          </w:tcPr>
          <w:p w14:paraId="29656254" w14:textId="77777777" w:rsidR="00A93FE3" w:rsidRPr="00E601CA" w:rsidRDefault="00A93FE3" w:rsidP="003D7B82">
            <w:pPr>
              <w:jc w:val="center"/>
              <w:rPr>
                <w:rFonts w:eastAsia="Times New Roman" w:cs="Times New Roman"/>
              </w:rPr>
            </w:pPr>
            <w:r>
              <w:t>BR2</w:t>
            </w:r>
          </w:p>
        </w:tc>
        <w:tc>
          <w:tcPr>
            <w:tcW w:w="1016" w:type="pct"/>
            <w:hideMark/>
          </w:tcPr>
          <w:p w14:paraId="317A015D" w14:textId="77777777" w:rsidR="00A93FE3" w:rsidRPr="00E601CA" w:rsidRDefault="00A93FE3" w:rsidP="003D7B82">
            <w:pPr>
              <w:jc w:val="center"/>
              <w:rPr>
                <w:rFonts w:eastAsia="Times New Roman" w:cs="Times New Roman"/>
              </w:rPr>
            </w:pPr>
            <w:r>
              <w:t>BR1</w:t>
            </w:r>
          </w:p>
        </w:tc>
      </w:tr>
    </w:tbl>
    <w:p w14:paraId="182F3A72" w14:textId="77777777" w:rsidR="00A93FE3" w:rsidRPr="00E601CA" w:rsidRDefault="00A93FE3" w:rsidP="00A93FE3"/>
    <w:p w14:paraId="66E1EF0B" w14:textId="77777777" w:rsidR="00A93FE3" w:rsidRPr="00E601CA" w:rsidRDefault="00A93FE3" w:rsidP="00F74657">
      <w:pPr>
        <w:pStyle w:val="Caption"/>
        <w:keepNext/>
        <w:rPr>
          <w:sz w:val="20"/>
        </w:rPr>
      </w:pPr>
      <w:r>
        <w:rPr>
          <w:sz w:val="20"/>
        </w:rPr>
        <w:t>Bei Lärmexposition durch Landverkehrsinfrastrukturen:</w:t>
      </w:r>
    </w:p>
    <w:tbl>
      <w:tblPr>
        <w:tblW w:w="5002" w:type="pct"/>
        <w:tblBorders>
          <w:top w:val="single" w:sz="6" w:space="0" w:color="auto"/>
          <w:left w:val="single" w:sz="6" w:space="0" w:color="auto"/>
          <w:bottom w:val="single" w:sz="6" w:space="0" w:color="auto"/>
          <w:right w:val="single" w:sz="6" w:space="0" w:color="auto"/>
        </w:tblBorders>
        <w:tblCellMar>
          <w:left w:w="31" w:type="dxa"/>
          <w:right w:w="31" w:type="dxa"/>
        </w:tblCellMar>
        <w:tblLook w:val="0000" w:firstRow="0" w:lastRow="0" w:firstColumn="0" w:lastColumn="0" w:noHBand="0" w:noVBand="0"/>
      </w:tblPr>
      <w:tblGrid>
        <w:gridCol w:w="2744"/>
        <w:gridCol w:w="873"/>
        <w:gridCol w:w="912"/>
        <w:gridCol w:w="1630"/>
        <w:gridCol w:w="1734"/>
        <w:gridCol w:w="1167"/>
      </w:tblGrid>
      <w:tr w:rsidR="00A93FE3" w:rsidRPr="00E601CA" w14:paraId="55C882A0" w14:textId="77777777" w:rsidTr="003D7B82">
        <w:trPr>
          <w:trHeight w:val="20"/>
        </w:trPr>
        <w:tc>
          <w:tcPr>
            <w:tcW w:w="1558" w:type="pct"/>
            <w:vMerge w:val="restart"/>
            <w:tcBorders>
              <w:top w:val="single" w:sz="6" w:space="0" w:color="auto"/>
              <w:left w:val="single" w:sz="6" w:space="0" w:color="auto"/>
              <w:bottom w:val="single" w:sz="6" w:space="0" w:color="auto"/>
              <w:right w:val="single" w:sz="6" w:space="0" w:color="auto"/>
              <w:tl2br w:val="single" w:sz="6" w:space="0" w:color="auto"/>
            </w:tcBorders>
            <w:shd w:val="clear" w:color="auto" w:fill="A6A6A6" w:themeFill="background1" w:themeFillShade="A6"/>
          </w:tcPr>
          <w:p w14:paraId="4AE167D2" w14:textId="789546A6" w:rsidR="008C42A7" w:rsidRPr="00E601CA" w:rsidRDefault="00A93FE3" w:rsidP="00F74657">
            <w:pPr>
              <w:keepNext/>
              <w:overflowPunct w:val="0"/>
              <w:autoSpaceDE w:val="0"/>
              <w:autoSpaceDN w:val="0"/>
              <w:adjustRightInd w:val="0"/>
              <w:spacing w:after="0"/>
              <w:jc w:val="right"/>
            </w:pPr>
            <w:r>
              <w:t>Sichtlinie von der Maueröffnung</w:t>
            </w:r>
            <w:r>
              <w:br/>
              <w:t>zur Infrastruktur</w:t>
            </w:r>
          </w:p>
          <w:p w14:paraId="2139120A" w14:textId="77777777" w:rsidR="00767E27" w:rsidRDefault="00767E27" w:rsidP="00F74657">
            <w:pPr>
              <w:keepNext/>
              <w:overflowPunct w:val="0"/>
              <w:autoSpaceDE w:val="0"/>
              <w:autoSpaceDN w:val="0"/>
              <w:adjustRightInd w:val="0"/>
              <w:spacing w:after="0"/>
              <w:jc w:val="left"/>
            </w:pPr>
          </w:p>
          <w:p w14:paraId="7FDD0279" w14:textId="43947F6F" w:rsidR="00A93FE3" w:rsidRPr="00E601CA" w:rsidRDefault="00A93FE3" w:rsidP="00767E27">
            <w:pPr>
              <w:keepNext/>
              <w:overflowPunct w:val="0"/>
              <w:autoSpaceDE w:val="0"/>
              <w:autoSpaceDN w:val="0"/>
              <w:adjustRightInd w:val="0"/>
              <w:spacing w:after="0"/>
              <w:ind w:right="201"/>
              <w:jc w:val="left"/>
            </w:pPr>
            <w:r>
              <w:t>Entfernung zur Infrastruktur</w:t>
            </w:r>
          </w:p>
        </w:tc>
        <w:tc>
          <w:tcPr>
            <w:tcW w:w="467" w:type="pct"/>
            <w:vMerge w:val="restart"/>
            <w:tcBorders>
              <w:top w:val="single" w:sz="6" w:space="0" w:color="auto"/>
              <w:left w:val="single" w:sz="6" w:space="0" w:color="auto"/>
              <w:right w:val="single" w:sz="6" w:space="0" w:color="auto"/>
            </w:tcBorders>
            <w:shd w:val="clear" w:color="auto" w:fill="A6A6A6" w:themeFill="background1" w:themeFillShade="A6"/>
          </w:tcPr>
          <w:p w14:paraId="5CB4E899" w14:textId="77777777" w:rsidR="00A93FE3" w:rsidRPr="00E601CA" w:rsidRDefault="00A93FE3" w:rsidP="00F74657">
            <w:pPr>
              <w:keepNext/>
              <w:overflowPunct w:val="0"/>
              <w:autoSpaceDE w:val="0"/>
              <w:autoSpaceDN w:val="0"/>
              <w:adjustRightInd w:val="0"/>
              <w:spacing w:after="0"/>
              <w:jc w:val="center"/>
            </w:pPr>
            <w:r>
              <w:t>Direkte Sichtlinie</w:t>
            </w:r>
          </w:p>
        </w:tc>
        <w:tc>
          <w:tcPr>
            <w:tcW w:w="547" w:type="pct"/>
            <w:vMerge w:val="restart"/>
            <w:tcBorders>
              <w:top w:val="single" w:sz="6" w:space="0" w:color="auto"/>
              <w:left w:val="single" w:sz="6" w:space="0" w:color="auto"/>
              <w:right w:val="single" w:sz="6" w:space="0" w:color="auto"/>
            </w:tcBorders>
            <w:shd w:val="clear" w:color="auto" w:fill="A6A6A6" w:themeFill="background1" w:themeFillShade="A6"/>
          </w:tcPr>
          <w:p w14:paraId="234C0D2D" w14:textId="77777777" w:rsidR="00A93FE3" w:rsidRPr="00E601CA" w:rsidRDefault="00A93FE3" w:rsidP="00F74657">
            <w:pPr>
              <w:keepNext/>
              <w:overflowPunct w:val="0"/>
              <w:autoSpaceDE w:val="0"/>
              <w:autoSpaceDN w:val="0"/>
              <w:adjustRightInd w:val="0"/>
              <w:spacing w:after="0"/>
              <w:jc w:val="center"/>
            </w:pPr>
            <w:r>
              <w:t>Partielle Sichtlinie</w:t>
            </w:r>
          </w:p>
        </w:tc>
        <w:tc>
          <w:tcPr>
            <w:tcW w:w="1943" w:type="pct"/>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7A237C9" w14:textId="77CB56B3" w:rsidR="00A93FE3" w:rsidRPr="00E601CA" w:rsidRDefault="00003F58" w:rsidP="00F74657">
            <w:pPr>
              <w:keepNext/>
              <w:overflowPunct w:val="0"/>
              <w:autoSpaceDE w:val="0"/>
              <w:autoSpaceDN w:val="0"/>
              <w:adjustRightInd w:val="0"/>
              <w:spacing w:after="0"/>
              <w:jc w:val="center"/>
            </w:pPr>
            <w:r>
              <w:t>Geschützte Sichtlinie durch Hindernisse</w:t>
            </w:r>
          </w:p>
        </w:tc>
        <w:tc>
          <w:tcPr>
            <w:tcW w:w="485" w:type="pct"/>
            <w:vMerge w:val="restart"/>
            <w:tcBorders>
              <w:top w:val="single" w:sz="6" w:space="0" w:color="auto"/>
              <w:left w:val="single" w:sz="6" w:space="0" w:color="auto"/>
              <w:right w:val="single" w:sz="6" w:space="0" w:color="auto"/>
            </w:tcBorders>
            <w:shd w:val="clear" w:color="auto" w:fill="A6A6A6" w:themeFill="background1" w:themeFillShade="A6"/>
          </w:tcPr>
          <w:p w14:paraId="6542FBF3" w14:textId="77777777" w:rsidR="00A93FE3" w:rsidRPr="00E601CA" w:rsidRDefault="00A93FE3" w:rsidP="00F74657">
            <w:pPr>
              <w:keepNext/>
              <w:overflowPunct w:val="0"/>
              <w:autoSpaceDE w:val="0"/>
              <w:autoSpaceDN w:val="0"/>
              <w:adjustRightInd w:val="0"/>
              <w:spacing w:after="0"/>
              <w:jc w:val="center"/>
            </w:pPr>
            <w:r>
              <w:t xml:space="preserve">Rückwärtige Sichtlinie </w:t>
            </w:r>
          </w:p>
        </w:tc>
      </w:tr>
      <w:tr w:rsidR="00A93FE3" w:rsidRPr="00E601CA" w14:paraId="4D9793D2" w14:textId="77777777" w:rsidTr="00767E27">
        <w:trPr>
          <w:trHeight w:val="1133"/>
        </w:trPr>
        <w:tc>
          <w:tcPr>
            <w:tcW w:w="1558" w:type="pct"/>
            <w:vMerge/>
            <w:tcBorders>
              <w:top w:val="nil"/>
              <w:left w:val="single" w:sz="6" w:space="0" w:color="auto"/>
              <w:bottom w:val="single" w:sz="6" w:space="0" w:color="auto"/>
              <w:right w:val="single" w:sz="6" w:space="0" w:color="auto"/>
              <w:tl2br w:val="single" w:sz="6" w:space="0" w:color="auto"/>
            </w:tcBorders>
            <w:shd w:val="clear" w:color="auto" w:fill="A6A6A6" w:themeFill="background1" w:themeFillShade="A6"/>
          </w:tcPr>
          <w:p w14:paraId="08481CCE" w14:textId="77777777" w:rsidR="00A93FE3" w:rsidRPr="00E601CA" w:rsidRDefault="00A93FE3" w:rsidP="00F74657">
            <w:pPr>
              <w:keepNext/>
              <w:overflowPunct w:val="0"/>
              <w:autoSpaceDE w:val="0"/>
              <w:autoSpaceDN w:val="0"/>
              <w:adjustRightInd w:val="0"/>
              <w:spacing w:after="0"/>
              <w:jc w:val="right"/>
            </w:pPr>
          </w:p>
        </w:tc>
        <w:tc>
          <w:tcPr>
            <w:tcW w:w="467" w:type="pct"/>
            <w:vMerge/>
            <w:tcBorders>
              <w:left w:val="single" w:sz="6" w:space="0" w:color="auto"/>
              <w:bottom w:val="single" w:sz="6" w:space="0" w:color="auto"/>
              <w:right w:val="single" w:sz="6" w:space="0" w:color="auto"/>
            </w:tcBorders>
            <w:shd w:val="clear" w:color="auto" w:fill="A6A6A6" w:themeFill="background1" w:themeFillShade="A6"/>
          </w:tcPr>
          <w:p w14:paraId="5185B4CC" w14:textId="77777777" w:rsidR="00A93FE3" w:rsidRPr="00E601CA" w:rsidRDefault="00A93FE3" w:rsidP="00F74657">
            <w:pPr>
              <w:keepNext/>
              <w:overflowPunct w:val="0"/>
              <w:autoSpaceDE w:val="0"/>
              <w:autoSpaceDN w:val="0"/>
              <w:adjustRightInd w:val="0"/>
              <w:spacing w:after="0"/>
              <w:jc w:val="center"/>
            </w:pPr>
          </w:p>
        </w:tc>
        <w:tc>
          <w:tcPr>
            <w:tcW w:w="547" w:type="pct"/>
            <w:vMerge/>
            <w:tcBorders>
              <w:left w:val="single" w:sz="6" w:space="0" w:color="auto"/>
              <w:bottom w:val="single" w:sz="6" w:space="0" w:color="auto"/>
              <w:right w:val="single" w:sz="6" w:space="0" w:color="auto"/>
            </w:tcBorders>
            <w:shd w:val="clear" w:color="auto" w:fill="A6A6A6" w:themeFill="background1" w:themeFillShade="A6"/>
          </w:tcPr>
          <w:p w14:paraId="1175C529" w14:textId="77777777" w:rsidR="00A93FE3" w:rsidRPr="00E601CA" w:rsidRDefault="00A93FE3" w:rsidP="00F74657">
            <w:pPr>
              <w:keepNext/>
              <w:overflowPunct w:val="0"/>
              <w:autoSpaceDE w:val="0"/>
              <w:autoSpaceDN w:val="0"/>
              <w:adjustRightInd w:val="0"/>
              <w:spacing w:after="0"/>
              <w:jc w:val="center"/>
            </w:pPr>
          </w:p>
        </w:tc>
        <w:tc>
          <w:tcPr>
            <w:tcW w:w="943" w:type="pct"/>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E198192" w14:textId="77777777" w:rsidR="00A93FE3" w:rsidRPr="00E601CA" w:rsidRDefault="00A93FE3" w:rsidP="00F74657">
            <w:pPr>
              <w:keepNext/>
              <w:overflowPunct w:val="0"/>
              <w:autoSpaceDE w:val="0"/>
              <w:autoSpaceDN w:val="0"/>
              <w:adjustRightInd w:val="0"/>
              <w:spacing w:after="0"/>
              <w:jc w:val="center"/>
            </w:pPr>
            <w:r>
              <w:t>wenig schützend </w:t>
            </w:r>
          </w:p>
        </w:tc>
        <w:tc>
          <w:tcPr>
            <w:tcW w:w="1000" w:type="pct"/>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38CA969" w14:textId="77777777" w:rsidR="00A93FE3" w:rsidRPr="00E601CA" w:rsidRDefault="00A93FE3" w:rsidP="00F74657">
            <w:pPr>
              <w:keepNext/>
              <w:overflowPunct w:val="0"/>
              <w:autoSpaceDE w:val="0"/>
              <w:autoSpaceDN w:val="0"/>
              <w:adjustRightInd w:val="0"/>
              <w:spacing w:after="0"/>
              <w:jc w:val="center"/>
            </w:pPr>
            <w:r>
              <w:t>stark schützend</w:t>
            </w:r>
          </w:p>
        </w:tc>
        <w:tc>
          <w:tcPr>
            <w:tcW w:w="485" w:type="pct"/>
            <w:vMerge/>
            <w:tcBorders>
              <w:left w:val="single" w:sz="6" w:space="0" w:color="auto"/>
              <w:bottom w:val="single" w:sz="6" w:space="0" w:color="auto"/>
              <w:right w:val="single" w:sz="6" w:space="0" w:color="auto"/>
            </w:tcBorders>
            <w:shd w:val="clear" w:color="auto" w:fill="A6A6A6" w:themeFill="background1" w:themeFillShade="A6"/>
          </w:tcPr>
          <w:p w14:paraId="264C063A" w14:textId="77777777" w:rsidR="00A93FE3" w:rsidRPr="00E601CA" w:rsidRDefault="00A93FE3" w:rsidP="00F74657">
            <w:pPr>
              <w:keepNext/>
              <w:overflowPunct w:val="0"/>
              <w:autoSpaceDE w:val="0"/>
              <w:autoSpaceDN w:val="0"/>
              <w:adjustRightInd w:val="0"/>
              <w:spacing w:after="0"/>
              <w:jc w:val="center"/>
            </w:pPr>
          </w:p>
        </w:tc>
      </w:tr>
      <w:tr w:rsidR="00A93FE3" w:rsidRPr="00E601CA" w14:paraId="0E2900F1" w14:textId="77777777" w:rsidTr="003D7B82">
        <w:trPr>
          <w:trHeight w:val="20"/>
        </w:trPr>
        <w:tc>
          <w:tcPr>
            <w:tcW w:w="5000" w:type="pct"/>
            <w:gridSpan w:val="6"/>
            <w:tcBorders>
              <w:left w:val="single" w:sz="6" w:space="0" w:color="auto"/>
              <w:bottom w:val="single" w:sz="6" w:space="0" w:color="auto"/>
              <w:right w:val="single" w:sz="6" w:space="0" w:color="auto"/>
            </w:tcBorders>
            <w:shd w:val="clear" w:color="auto" w:fill="A6A6A6" w:themeFill="background1" w:themeFillShade="A6"/>
          </w:tcPr>
          <w:p w14:paraId="4B0EB455" w14:textId="77777777" w:rsidR="00A93FE3" w:rsidRPr="00E601CA" w:rsidRDefault="00A93FE3" w:rsidP="00F74657">
            <w:pPr>
              <w:keepNext/>
              <w:overflowPunct w:val="0"/>
              <w:autoSpaceDE w:val="0"/>
              <w:autoSpaceDN w:val="0"/>
              <w:adjustRightInd w:val="0"/>
              <w:spacing w:after="0"/>
              <w:jc w:val="center"/>
            </w:pPr>
            <w:r>
              <w:t>Infrastruktur der Kategorie 1</w:t>
            </w:r>
          </w:p>
        </w:tc>
      </w:tr>
      <w:tr w:rsidR="00A93FE3" w:rsidRPr="00E601CA" w14:paraId="2F4D6AE6"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15CBC8" w14:textId="77777777" w:rsidR="00A93FE3" w:rsidRPr="00E601CA" w:rsidRDefault="00A93FE3" w:rsidP="00F74657">
            <w:pPr>
              <w:overflowPunct w:val="0"/>
              <w:autoSpaceDE w:val="0"/>
              <w:autoSpaceDN w:val="0"/>
              <w:adjustRightInd w:val="0"/>
              <w:spacing w:before="60" w:after="0"/>
              <w:jc w:val="center"/>
            </w:pPr>
            <w:r>
              <w:t>0-65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1D379445" w14:textId="77777777" w:rsidR="00A93FE3" w:rsidRPr="00E601CA" w:rsidRDefault="00A93FE3" w:rsidP="00F74657">
            <w:pPr>
              <w:overflowPunct w:val="0"/>
              <w:autoSpaceDE w:val="0"/>
              <w:autoSpaceDN w:val="0"/>
              <w:adjustRightInd w:val="0"/>
              <w:spacing w:before="60" w:after="0"/>
              <w:jc w:val="center"/>
            </w:pPr>
            <w: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783FE205" w14:textId="77777777" w:rsidR="00A93FE3" w:rsidRPr="00E601CA" w:rsidRDefault="00A93FE3" w:rsidP="00F74657">
            <w:pPr>
              <w:overflowPunct w:val="0"/>
              <w:autoSpaceDE w:val="0"/>
              <w:autoSpaceDN w:val="0"/>
              <w:adjustRightInd w:val="0"/>
              <w:spacing w:before="60" w:after="0"/>
              <w:jc w:val="center"/>
            </w:pPr>
            <w: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45CEDA8B" w14:textId="77777777" w:rsidR="00A93FE3" w:rsidRPr="00E601CA" w:rsidRDefault="00A93FE3" w:rsidP="00F74657">
            <w:pPr>
              <w:overflowPunct w:val="0"/>
              <w:autoSpaceDE w:val="0"/>
              <w:autoSpaceDN w:val="0"/>
              <w:adjustRightInd w:val="0"/>
              <w:spacing w:before="60" w:after="0"/>
              <w:jc w:val="center"/>
            </w:pPr>
            <w: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2BA2E2BC" w14:textId="77777777" w:rsidR="00A93FE3" w:rsidRPr="00E601CA" w:rsidRDefault="00A93FE3" w:rsidP="00F74657">
            <w:pPr>
              <w:overflowPunct w:val="0"/>
              <w:autoSpaceDE w:val="0"/>
              <w:autoSpaceDN w:val="0"/>
              <w:adjustRightInd w:val="0"/>
              <w:spacing w:before="60" w:after="0"/>
              <w:jc w:val="center"/>
            </w:pPr>
            <w:r>
              <w:t>BR3</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2E110C7" w14:textId="77777777" w:rsidR="00A93FE3" w:rsidRPr="00E601CA" w:rsidRDefault="00A93FE3" w:rsidP="00F74657">
            <w:pPr>
              <w:overflowPunct w:val="0"/>
              <w:autoSpaceDE w:val="0"/>
              <w:autoSpaceDN w:val="0"/>
              <w:adjustRightInd w:val="0"/>
              <w:spacing w:before="60" w:after="0"/>
              <w:jc w:val="center"/>
            </w:pPr>
            <w:r>
              <w:t>BR3</w:t>
            </w:r>
          </w:p>
        </w:tc>
      </w:tr>
      <w:tr w:rsidR="00A93FE3" w:rsidRPr="00E601CA" w14:paraId="37847DE2"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0AD3C5" w14:textId="77777777" w:rsidR="00A93FE3" w:rsidRPr="00E601CA" w:rsidRDefault="00A93FE3" w:rsidP="00F74657">
            <w:pPr>
              <w:overflowPunct w:val="0"/>
              <w:autoSpaceDE w:val="0"/>
              <w:autoSpaceDN w:val="0"/>
              <w:adjustRightInd w:val="0"/>
              <w:spacing w:before="60" w:after="0"/>
              <w:jc w:val="center"/>
            </w:pPr>
            <w:r>
              <w:t>65-125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626AFAB7" w14:textId="77777777" w:rsidR="00A93FE3" w:rsidRPr="00E601CA" w:rsidRDefault="00A93FE3" w:rsidP="00F74657">
            <w:pPr>
              <w:overflowPunct w:val="0"/>
              <w:autoSpaceDE w:val="0"/>
              <w:autoSpaceDN w:val="0"/>
              <w:adjustRightInd w:val="0"/>
              <w:spacing w:before="60" w:after="0"/>
              <w:jc w:val="center"/>
            </w:pPr>
            <w: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3D2129A1" w14:textId="77777777" w:rsidR="00A93FE3" w:rsidRPr="00E601CA" w:rsidRDefault="00A93FE3" w:rsidP="00F74657">
            <w:pPr>
              <w:overflowPunct w:val="0"/>
              <w:autoSpaceDE w:val="0"/>
              <w:autoSpaceDN w:val="0"/>
              <w:adjustRightInd w:val="0"/>
              <w:spacing w:before="60" w:after="0"/>
              <w:jc w:val="center"/>
            </w:pPr>
            <w: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3C46D596" w14:textId="77777777" w:rsidR="00A93FE3" w:rsidRPr="00E601CA" w:rsidRDefault="00A93FE3" w:rsidP="00F74657">
            <w:pPr>
              <w:overflowPunct w:val="0"/>
              <w:autoSpaceDE w:val="0"/>
              <w:autoSpaceDN w:val="0"/>
              <w:adjustRightInd w:val="0"/>
              <w:spacing w:before="60" w:after="0"/>
              <w:jc w:val="center"/>
            </w:pPr>
            <w: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047CBC01" w14:textId="77777777" w:rsidR="00A93FE3" w:rsidRPr="00E601CA" w:rsidRDefault="00A93FE3" w:rsidP="00F74657">
            <w:pPr>
              <w:overflowPunct w:val="0"/>
              <w:autoSpaceDE w:val="0"/>
              <w:autoSpaceDN w:val="0"/>
              <w:adjustRightInd w:val="0"/>
              <w:spacing w:before="60" w:after="0"/>
              <w:jc w:val="center"/>
            </w:pPr>
            <w:r>
              <w:t>BR3</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045240B" w14:textId="77777777" w:rsidR="00A93FE3" w:rsidRPr="00E601CA" w:rsidRDefault="00A93FE3" w:rsidP="00F74657">
            <w:pPr>
              <w:overflowPunct w:val="0"/>
              <w:autoSpaceDE w:val="0"/>
              <w:autoSpaceDN w:val="0"/>
              <w:adjustRightInd w:val="0"/>
              <w:spacing w:before="60" w:after="0"/>
              <w:jc w:val="center"/>
            </w:pPr>
            <w:r>
              <w:t>BR2</w:t>
            </w:r>
          </w:p>
        </w:tc>
      </w:tr>
      <w:tr w:rsidR="00A93FE3" w:rsidRPr="00E601CA" w14:paraId="197E6D7E"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DE104E" w14:textId="77777777" w:rsidR="00A93FE3" w:rsidRPr="00E601CA" w:rsidRDefault="00A93FE3" w:rsidP="00F74657">
            <w:pPr>
              <w:overflowPunct w:val="0"/>
              <w:autoSpaceDE w:val="0"/>
              <w:autoSpaceDN w:val="0"/>
              <w:adjustRightInd w:val="0"/>
              <w:spacing w:before="60" w:after="0"/>
              <w:jc w:val="center"/>
            </w:pPr>
            <w:r>
              <w:t>125-250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12246BF0" w14:textId="77777777" w:rsidR="00A93FE3" w:rsidRPr="00E601CA" w:rsidRDefault="00A93FE3" w:rsidP="00F74657">
            <w:pPr>
              <w:overflowPunct w:val="0"/>
              <w:autoSpaceDE w:val="0"/>
              <w:autoSpaceDN w:val="0"/>
              <w:adjustRightInd w:val="0"/>
              <w:spacing w:before="60" w:after="0"/>
              <w:jc w:val="center"/>
            </w:pPr>
            <w: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1A4D835F" w14:textId="77777777" w:rsidR="00A93FE3" w:rsidRPr="00E601CA" w:rsidRDefault="00A93FE3" w:rsidP="00F74657">
            <w:pPr>
              <w:overflowPunct w:val="0"/>
              <w:autoSpaceDE w:val="0"/>
              <w:autoSpaceDN w:val="0"/>
              <w:adjustRightInd w:val="0"/>
              <w:spacing w:before="60" w:after="0"/>
              <w:jc w:val="center"/>
            </w:pPr>
            <w: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2AB59B4B" w14:textId="77777777" w:rsidR="00A93FE3" w:rsidRPr="00E601CA" w:rsidRDefault="00A93FE3" w:rsidP="00F74657">
            <w:pPr>
              <w:overflowPunct w:val="0"/>
              <w:autoSpaceDE w:val="0"/>
              <w:autoSpaceDN w:val="0"/>
              <w:adjustRightInd w:val="0"/>
              <w:spacing w:before="60" w:after="0"/>
              <w:jc w:val="center"/>
            </w:pPr>
            <w: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1413668A" w14:textId="77777777" w:rsidR="00A93FE3" w:rsidRPr="00E601CA" w:rsidRDefault="00A93FE3" w:rsidP="00F74657">
            <w:pPr>
              <w:overflowPunct w:val="0"/>
              <w:autoSpaceDE w:val="0"/>
              <w:autoSpaceDN w:val="0"/>
              <w:adjustRightInd w:val="0"/>
              <w:spacing w:before="60" w:after="0"/>
              <w:jc w:val="center"/>
            </w:pPr>
            <w: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7516AE3" w14:textId="77777777" w:rsidR="00A93FE3" w:rsidRPr="00E601CA" w:rsidRDefault="00A93FE3" w:rsidP="00F74657">
            <w:pPr>
              <w:overflowPunct w:val="0"/>
              <w:autoSpaceDE w:val="0"/>
              <w:autoSpaceDN w:val="0"/>
              <w:adjustRightInd w:val="0"/>
              <w:spacing w:before="60" w:after="0"/>
              <w:jc w:val="center"/>
            </w:pPr>
            <w:r>
              <w:t>BR2</w:t>
            </w:r>
          </w:p>
        </w:tc>
      </w:tr>
      <w:tr w:rsidR="00A93FE3" w:rsidRPr="00E601CA" w14:paraId="30CD0846"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3B4B40" w14:textId="77777777" w:rsidR="00A93FE3" w:rsidRPr="00E601CA" w:rsidRDefault="00A93FE3" w:rsidP="00F74657">
            <w:pPr>
              <w:overflowPunct w:val="0"/>
              <w:autoSpaceDE w:val="0"/>
              <w:autoSpaceDN w:val="0"/>
              <w:adjustRightInd w:val="0"/>
              <w:spacing w:before="60" w:after="0"/>
              <w:jc w:val="center"/>
            </w:pPr>
            <w:r>
              <w:t>250-400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57C28CDF" w14:textId="77777777" w:rsidR="00A93FE3" w:rsidRPr="00E601CA" w:rsidRDefault="00A93FE3" w:rsidP="00F74657">
            <w:pPr>
              <w:overflowPunct w:val="0"/>
              <w:autoSpaceDE w:val="0"/>
              <w:autoSpaceDN w:val="0"/>
              <w:adjustRightInd w:val="0"/>
              <w:spacing w:before="60" w:after="0"/>
              <w:jc w:val="center"/>
            </w:pPr>
            <w: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5DA330CF" w14:textId="77777777" w:rsidR="00A93FE3" w:rsidRPr="00E601CA" w:rsidRDefault="00A93FE3" w:rsidP="00F74657">
            <w:pPr>
              <w:overflowPunct w:val="0"/>
              <w:autoSpaceDE w:val="0"/>
              <w:autoSpaceDN w:val="0"/>
              <w:adjustRightInd w:val="0"/>
              <w:spacing w:before="60" w:after="0"/>
              <w:jc w:val="center"/>
            </w:pPr>
            <w: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58946152" w14:textId="77777777" w:rsidR="00A93FE3" w:rsidRPr="00E601CA" w:rsidRDefault="00A93FE3" w:rsidP="00F74657">
            <w:pPr>
              <w:overflowPunct w:val="0"/>
              <w:autoSpaceDE w:val="0"/>
              <w:autoSpaceDN w:val="0"/>
              <w:adjustRightInd w:val="0"/>
              <w:spacing w:before="60" w:after="0"/>
              <w:jc w:val="center"/>
            </w:pPr>
            <w: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4F6664C0" w14:textId="77777777" w:rsidR="00A93FE3" w:rsidRPr="00E601CA" w:rsidRDefault="00A93FE3" w:rsidP="00F74657">
            <w:pPr>
              <w:overflowPunct w:val="0"/>
              <w:autoSpaceDE w:val="0"/>
              <w:autoSpaceDN w:val="0"/>
              <w:adjustRightInd w:val="0"/>
              <w:spacing w:before="60" w:after="0"/>
              <w:jc w:val="center"/>
            </w:pPr>
            <w: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633EB0D"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695F096F"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C321E6" w14:textId="77777777" w:rsidR="00A93FE3" w:rsidRPr="00E601CA" w:rsidRDefault="00A93FE3" w:rsidP="00F74657">
            <w:pPr>
              <w:overflowPunct w:val="0"/>
              <w:autoSpaceDE w:val="0"/>
              <w:autoSpaceDN w:val="0"/>
              <w:adjustRightInd w:val="0"/>
              <w:spacing w:before="60" w:after="0"/>
              <w:jc w:val="center"/>
            </w:pPr>
            <w:r>
              <w:t>400-550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0CF83E70" w14:textId="77777777" w:rsidR="00A93FE3" w:rsidRPr="00E601CA" w:rsidRDefault="00A93FE3" w:rsidP="00F74657">
            <w:pPr>
              <w:overflowPunct w:val="0"/>
              <w:autoSpaceDE w:val="0"/>
              <w:autoSpaceDN w:val="0"/>
              <w:adjustRightInd w:val="0"/>
              <w:spacing w:before="60" w:after="0"/>
              <w:jc w:val="center"/>
            </w:pPr>
            <w: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2A8005E9" w14:textId="77777777" w:rsidR="00A93FE3" w:rsidRPr="00E601CA" w:rsidRDefault="00A93FE3" w:rsidP="00F74657">
            <w:pPr>
              <w:overflowPunct w:val="0"/>
              <w:autoSpaceDE w:val="0"/>
              <w:autoSpaceDN w:val="0"/>
              <w:adjustRightInd w:val="0"/>
              <w:spacing w:before="60" w:after="0"/>
              <w:jc w:val="center"/>
            </w:pPr>
            <w: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0C6F9078" w14:textId="77777777" w:rsidR="00A93FE3" w:rsidRPr="00E601CA" w:rsidRDefault="00A93FE3" w:rsidP="00F74657">
            <w:pPr>
              <w:overflowPunct w:val="0"/>
              <w:autoSpaceDE w:val="0"/>
              <w:autoSpaceDN w:val="0"/>
              <w:adjustRightInd w:val="0"/>
              <w:spacing w:before="60" w:after="0"/>
              <w:jc w:val="center"/>
            </w:pPr>
            <w: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2F05F063" w14:textId="77777777" w:rsidR="00A93FE3" w:rsidRPr="00E601CA" w:rsidRDefault="00A93FE3" w:rsidP="00F74657">
            <w:pPr>
              <w:overflowPunct w:val="0"/>
              <w:autoSpaceDE w:val="0"/>
              <w:autoSpaceDN w:val="0"/>
              <w:adjustRightInd w:val="0"/>
              <w:spacing w:before="60" w:after="0"/>
              <w:jc w:val="center"/>
            </w:pPr>
            <w: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1E3C090"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0E692AEF"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F9DF35" w14:textId="77777777" w:rsidR="00A93FE3" w:rsidRPr="00E601CA" w:rsidRDefault="00A93FE3" w:rsidP="00F74657">
            <w:pPr>
              <w:overflowPunct w:val="0"/>
              <w:autoSpaceDE w:val="0"/>
              <w:autoSpaceDN w:val="0"/>
              <w:adjustRightInd w:val="0"/>
              <w:spacing w:before="60" w:after="0"/>
              <w:jc w:val="center"/>
            </w:pPr>
            <w:r>
              <w:t>550-700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75F4E611" w14:textId="77777777" w:rsidR="00A93FE3" w:rsidRPr="00E601CA" w:rsidRDefault="00A93FE3" w:rsidP="00F74657">
            <w:pPr>
              <w:overflowPunct w:val="0"/>
              <w:autoSpaceDE w:val="0"/>
              <w:autoSpaceDN w:val="0"/>
              <w:adjustRightInd w:val="0"/>
              <w:spacing w:before="60" w:after="0"/>
              <w:jc w:val="center"/>
            </w:pPr>
            <w: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4F2B1715" w14:textId="77777777" w:rsidR="00A93FE3" w:rsidRPr="00E601CA" w:rsidRDefault="00A93FE3" w:rsidP="00F74657">
            <w:pPr>
              <w:overflowPunct w:val="0"/>
              <w:autoSpaceDE w:val="0"/>
              <w:autoSpaceDN w:val="0"/>
              <w:adjustRightInd w:val="0"/>
              <w:spacing w:before="60" w:after="0"/>
              <w:jc w:val="center"/>
              <w:rPr>
                <w:caps/>
              </w:rPr>
            </w:pPr>
            <w:r>
              <w:rPr>
                <w:caps/>
              </w:rP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432152AD" w14:textId="77777777" w:rsidR="00A93FE3" w:rsidRPr="00E601CA" w:rsidRDefault="00A93FE3" w:rsidP="00F74657">
            <w:pPr>
              <w:overflowPunct w:val="0"/>
              <w:autoSpaceDE w:val="0"/>
              <w:autoSpaceDN w:val="0"/>
              <w:adjustRightInd w:val="0"/>
              <w:spacing w:before="60" w:after="0"/>
              <w:jc w:val="center"/>
              <w:rPr>
                <w:caps/>
              </w:rPr>
            </w:pPr>
            <w:r>
              <w:rPr>
                <w:caps/>
              </w:rP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706D8CB6" w14:textId="77777777" w:rsidR="00A93FE3" w:rsidRPr="00E601CA" w:rsidRDefault="00A93FE3" w:rsidP="00F74657">
            <w:pPr>
              <w:overflowPunct w:val="0"/>
              <w:autoSpaceDE w:val="0"/>
              <w:autoSpaceDN w:val="0"/>
              <w:adjustRightInd w:val="0"/>
              <w:spacing w:before="60" w:after="0"/>
              <w:jc w:val="center"/>
            </w:pPr>
            <w: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35BC2877"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63D863CD"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A0D429" w14:textId="77777777" w:rsidR="00A93FE3" w:rsidRPr="00E601CA" w:rsidRDefault="00A93FE3" w:rsidP="00F74657">
            <w:pPr>
              <w:overflowPunct w:val="0"/>
              <w:autoSpaceDE w:val="0"/>
              <w:autoSpaceDN w:val="0"/>
              <w:adjustRightInd w:val="0"/>
              <w:spacing w:before="60" w:after="0"/>
              <w:jc w:val="center"/>
            </w:pPr>
            <w:r>
              <w:t>&gt; 700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7BF811B7" w14:textId="77777777" w:rsidR="00A93FE3" w:rsidRPr="00E601CA" w:rsidRDefault="00A93FE3" w:rsidP="00F74657">
            <w:pPr>
              <w:overflowPunct w:val="0"/>
              <w:autoSpaceDE w:val="0"/>
              <w:autoSpaceDN w:val="0"/>
              <w:adjustRightInd w:val="0"/>
              <w:spacing w:before="60" w:after="0"/>
              <w:jc w:val="center"/>
            </w:pPr>
            <w:r>
              <w:t>BR1</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76CC9E2D" w14:textId="77777777" w:rsidR="00A93FE3" w:rsidRPr="00E601CA" w:rsidRDefault="00A93FE3" w:rsidP="00F74657">
            <w:pPr>
              <w:overflowPunct w:val="0"/>
              <w:autoSpaceDE w:val="0"/>
              <w:autoSpaceDN w:val="0"/>
              <w:adjustRightInd w:val="0"/>
              <w:spacing w:before="60" w:after="0"/>
              <w:jc w:val="center"/>
            </w:pPr>
            <w: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22DD1890" w14:textId="77777777" w:rsidR="00A93FE3" w:rsidRPr="00E601CA" w:rsidRDefault="00A93FE3" w:rsidP="00F74657">
            <w:pPr>
              <w:overflowPunct w:val="0"/>
              <w:autoSpaceDE w:val="0"/>
              <w:autoSpaceDN w:val="0"/>
              <w:adjustRightInd w:val="0"/>
              <w:spacing w:before="60" w:after="0"/>
              <w:jc w:val="center"/>
            </w:pPr>
            <w: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17041BAA" w14:textId="77777777" w:rsidR="00A93FE3" w:rsidRPr="00E601CA" w:rsidRDefault="00A93FE3" w:rsidP="00F74657">
            <w:pPr>
              <w:overflowPunct w:val="0"/>
              <w:autoSpaceDE w:val="0"/>
              <w:autoSpaceDN w:val="0"/>
              <w:adjustRightInd w:val="0"/>
              <w:spacing w:before="60" w:after="0"/>
              <w:jc w:val="center"/>
            </w:pPr>
            <w: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3A609F3"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767B5DE0" w14:textId="77777777" w:rsidTr="003D7B82">
        <w:trPr>
          <w:trHeight w:val="20"/>
        </w:trPr>
        <w:tc>
          <w:tcPr>
            <w:tcW w:w="5000" w:type="pct"/>
            <w:gridSpan w:val="6"/>
            <w:tcBorders>
              <w:left w:val="single" w:sz="6" w:space="0" w:color="auto"/>
              <w:bottom w:val="single" w:sz="6" w:space="0" w:color="auto"/>
              <w:right w:val="single" w:sz="6" w:space="0" w:color="auto"/>
            </w:tcBorders>
            <w:shd w:val="clear" w:color="auto" w:fill="A6A6A6" w:themeFill="background1" w:themeFillShade="A6"/>
          </w:tcPr>
          <w:p w14:paraId="7F7995F9" w14:textId="77777777" w:rsidR="00A93FE3" w:rsidRPr="00E601CA" w:rsidRDefault="00A93FE3" w:rsidP="00F74657">
            <w:pPr>
              <w:keepNext/>
              <w:overflowPunct w:val="0"/>
              <w:autoSpaceDE w:val="0"/>
              <w:autoSpaceDN w:val="0"/>
              <w:adjustRightInd w:val="0"/>
              <w:spacing w:after="0"/>
              <w:jc w:val="center"/>
            </w:pPr>
            <w:r>
              <w:t>Infrastruktur der Kategorie 2</w:t>
            </w:r>
          </w:p>
        </w:tc>
      </w:tr>
      <w:tr w:rsidR="00A93FE3" w:rsidRPr="00E601CA" w14:paraId="71954500"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CD5448" w14:textId="77777777" w:rsidR="00A93FE3" w:rsidRPr="00E601CA" w:rsidRDefault="00A93FE3" w:rsidP="00F74657">
            <w:pPr>
              <w:overflowPunct w:val="0"/>
              <w:autoSpaceDE w:val="0"/>
              <w:autoSpaceDN w:val="0"/>
              <w:adjustRightInd w:val="0"/>
              <w:spacing w:before="60" w:after="0"/>
              <w:jc w:val="center"/>
            </w:pPr>
            <w:r>
              <w:t>0-30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61273C60" w14:textId="77777777" w:rsidR="00A93FE3" w:rsidRPr="00E601CA" w:rsidRDefault="00A93FE3" w:rsidP="00F74657">
            <w:pPr>
              <w:overflowPunct w:val="0"/>
              <w:autoSpaceDE w:val="0"/>
              <w:autoSpaceDN w:val="0"/>
              <w:adjustRightInd w:val="0"/>
              <w:spacing w:before="60" w:after="0"/>
              <w:jc w:val="center"/>
            </w:pPr>
            <w: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39441035" w14:textId="77777777" w:rsidR="00A93FE3" w:rsidRPr="00E601CA" w:rsidRDefault="00A93FE3" w:rsidP="00F74657">
            <w:pPr>
              <w:overflowPunct w:val="0"/>
              <w:autoSpaceDE w:val="0"/>
              <w:autoSpaceDN w:val="0"/>
              <w:adjustRightInd w:val="0"/>
              <w:spacing w:before="60" w:after="0"/>
              <w:jc w:val="center"/>
            </w:pPr>
            <w: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032E9939" w14:textId="77777777" w:rsidR="00A93FE3" w:rsidRPr="00E601CA" w:rsidRDefault="00A93FE3" w:rsidP="00F74657">
            <w:pPr>
              <w:overflowPunct w:val="0"/>
              <w:autoSpaceDE w:val="0"/>
              <w:autoSpaceDN w:val="0"/>
              <w:adjustRightInd w:val="0"/>
              <w:spacing w:before="60" w:after="0"/>
              <w:jc w:val="center"/>
            </w:pPr>
            <w: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2DB8DCA0" w14:textId="77777777" w:rsidR="00A93FE3" w:rsidRPr="00E601CA" w:rsidRDefault="00A93FE3" w:rsidP="00F74657">
            <w:pPr>
              <w:overflowPunct w:val="0"/>
              <w:autoSpaceDE w:val="0"/>
              <w:autoSpaceDN w:val="0"/>
              <w:adjustRightInd w:val="0"/>
              <w:spacing w:before="60" w:after="0"/>
              <w:jc w:val="center"/>
            </w:pPr>
            <w:r>
              <w:t>BR3</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7F4B375" w14:textId="77777777" w:rsidR="00A93FE3" w:rsidRPr="00E601CA" w:rsidRDefault="00A93FE3" w:rsidP="00F74657">
            <w:pPr>
              <w:overflowPunct w:val="0"/>
              <w:autoSpaceDE w:val="0"/>
              <w:autoSpaceDN w:val="0"/>
              <w:adjustRightInd w:val="0"/>
              <w:spacing w:before="60" w:after="0"/>
              <w:jc w:val="center"/>
            </w:pPr>
            <w:r>
              <w:t>BR3</w:t>
            </w:r>
          </w:p>
        </w:tc>
      </w:tr>
      <w:tr w:rsidR="00A93FE3" w:rsidRPr="00E601CA" w14:paraId="0CB0EA97"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85055E" w14:textId="77777777" w:rsidR="00A93FE3" w:rsidRPr="00E601CA" w:rsidRDefault="00A93FE3" w:rsidP="00F74657">
            <w:pPr>
              <w:overflowPunct w:val="0"/>
              <w:autoSpaceDE w:val="0"/>
              <w:autoSpaceDN w:val="0"/>
              <w:adjustRightInd w:val="0"/>
              <w:spacing w:before="60" w:after="0"/>
              <w:jc w:val="center"/>
            </w:pPr>
            <w:r>
              <w:t>30-65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382B9E12" w14:textId="77777777" w:rsidR="00A93FE3" w:rsidRPr="00E601CA" w:rsidRDefault="00A93FE3" w:rsidP="00F74657">
            <w:pPr>
              <w:overflowPunct w:val="0"/>
              <w:autoSpaceDE w:val="0"/>
              <w:autoSpaceDN w:val="0"/>
              <w:adjustRightInd w:val="0"/>
              <w:spacing w:before="60" w:after="0"/>
              <w:jc w:val="center"/>
            </w:pPr>
            <w: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7C5BF7D8" w14:textId="77777777" w:rsidR="00A93FE3" w:rsidRPr="00E601CA" w:rsidRDefault="00A93FE3" w:rsidP="00F74657">
            <w:pPr>
              <w:overflowPunct w:val="0"/>
              <w:autoSpaceDE w:val="0"/>
              <w:autoSpaceDN w:val="0"/>
              <w:adjustRightInd w:val="0"/>
              <w:spacing w:before="60" w:after="0"/>
              <w:jc w:val="center"/>
            </w:pPr>
            <w: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6F401B77" w14:textId="77777777" w:rsidR="00A93FE3" w:rsidRPr="00E601CA" w:rsidRDefault="00A93FE3" w:rsidP="00F74657">
            <w:pPr>
              <w:overflowPunct w:val="0"/>
              <w:autoSpaceDE w:val="0"/>
              <w:autoSpaceDN w:val="0"/>
              <w:adjustRightInd w:val="0"/>
              <w:spacing w:before="60" w:after="0"/>
              <w:jc w:val="center"/>
            </w:pPr>
            <w: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096AAA22" w14:textId="77777777" w:rsidR="00A93FE3" w:rsidRPr="00E601CA" w:rsidRDefault="00A93FE3" w:rsidP="00F74657">
            <w:pPr>
              <w:overflowPunct w:val="0"/>
              <w:autoSpaceDE w:val="0"/>
              <w:autoSpaceDN w:val="0"/>
              <w:adjustRightInd w:val="0"/>
              <w:spacing w:before="60" w:after="0"/>
              <w:jc w:val="center"/>
            </w:pPr>
            <w:r>
              <w:t>BR3</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5C0D7E3E" w14:textId="77777777" w:rsidR="00A93FE3" w:rsidRPr="00E601CA" w:rsidRDefault="00A93FE3" w:rsidP="00F74657">
            <w:pPr>
              <w:overflowPunct w:val="0"/>
              <w:autoSpaceDE w:val="0"/>
              <w:autoSpaceDN w:val="0"/>
              <w:adjustRightInd w:val="0"/>
              <w:spacing w:before="60" w:after="0"/>
              <w:jc w:val="center"/>
            </w:pPr>
            <w:r>
              <w:t>BR2</w:t>
            </w:r>
          </w:p>
        </w:tc>
      </w:tr>
      <w:tr w:rsidR="00A93FE3" w:rsidRPr="00E601CA" w14:paraId="717800AC"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246311" w14:textId="77777777" w:rsidR="00A93FE3" w:rsidRPr="00E601CA" w:rsidRDefault="00A93FE3" w:rsidP="00F74657">
            <w:pPr>
              <w:overflowPunct w:val="0"/>
              <w:autoSpaceDE w:val="0"/>
              <w:autoSpaceDN w:val="0"/>
              <w:adjustRightInd w:val="0"/>
              <w:spacing w:before="60" w:after="0"/>
              <w:jc w:val="center"/>
            </w:pPr>
            <w:r>
              <w:t>65-125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60F97690" w14:textId="77777777" w:rsidR="00A93FE3" w:rsidRPr="00E601CA" w:rsidRDefault="00A93FE3" w:rsidP="00F74657">
            <w:pPr>
              <w:overflowPunct w:val="0"/>
              <w:autoSpaceDE w:val="0"/>
              <w:autoSpaceDN w:val="0"/>
              <w:adjustRightInd w:val="0"/>
              <w:spacing w:before="60" w:after="0"/>
              <w:jc w:val="center"/>
            </w:pPr>
            <w: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5D466806" w14:textId="77777777" w:rsidR="00A93FE3" w:rsidRPr="00E601CA" w:rsidRDefault="00A93FE3" w:rsidP="00F74657">
            <w:pPr>
              <w:overflowPunct w:val="0"/>
              <w:autoSpaceDE w:val="0"/>
              <w:autoSpaceDN w:val="0"/>
              <w:adjustRightInd w:val="0"/>
              <w:spacing w:before="60" w:after="0"/>
              <w:jc w:val="center"/>
            </w:pPr>
            <w: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711195BA" w14:textId="77777777" w:rsidR="00A93FE3" w:rsidRPr="00E601CA" w:rsidRDefault="00A93FE3" w:rsidP="00F74657">
            <w:pPr>
              <w:overflowPunct w:val="0"/>
              <w:autoSpaceDE w:val="0"/>
              <w:autoSpaceDN w:val="0"/>
              <w:adjustRightInd w:val="0"/>
              <w:spacing w:before="60" w:after="0"/>
              <w:jc w:val="center"/>
            </w:pPr>
            <w: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4AAA01D2" w14:textId="77777777" w:rsidR="00A93FE3" w:rsidRPr="00E601CA" w:rsidRDefault="00A93FE3" w:rsidP="00F74657">
            <w:pPr>
              <w:overflowPunct w:val="0"/>
              <w:autoSpaceDE w:val="0"/>
              <w:autoSpaceDN w:val="0"/>
              <w:adjustRightInd w:val="0"/>
              <w:spacing w:before="60" w:after="0"/>
              <w:jc w:val="center"/>
            </w:pPr>
            <w: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714BBDD" w14:textId="77777777" w:rsidR="00A93FE3" w:rsidRPr="00E601CA" w:rsidRDefault="00A93FE3" w:rsidP="00F74657">
            <w:pPr>
              <w:overflowPunct w:val="0"/>
              <w:autoSpaceDE w:val="0"/>
              <w:autoSpaceDN w:val="0"/>
              <w:adjustRightInd w:val="0"/>
              <w:spacing w:before="60" w:after="0"/>
              <w:jc w:val="center"/>
            </w:pPr>
            <w:r>
              <w:t>BR2</w:t>
            </w:r>
          </w:p>
        </w:tc>
      </w:tr>
      <w:tr w:rsidR="00A93FE3" w:rsidRPr="00E601CA" w14:paraId="1D609CB8"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BEBC33" w14:textId="77777777" w:rsidR="00A93FE3" w:rsidRPr="00E601CA" w:rsidRDefault="00A93FE3" w:rsidP="00F74657">
            <w:pPr>
              <w:overflowPunct w:val="0"/>
              <w:autoSpaceDE w:val="0"/>
              <w:autoSpaceDN w:val="0"/>
              <w:adjustRightInd w:val="0"/>
              <w:spacing w:before="60" w:after="0"/>
              <w:jc w:val="center"/>
            </w:pPr>
            <w:r>
              <w:t>125-250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6746B1CA" w14:textId="77777777" w:rsidR="00A93FE3" w:rsidRPr="00E601CA" w:rsidRDefault="00A93FE3" w:rsidP="00F74657">
            <w:pPr>
              <w:overflowPunct w:val="0"/>
              <w:autoSpaceDE w:val="0"/>
              <w:autoSpaceDN w:val="0"/>
              <w:adjustRightInd w:val="0"/>
              <w:spacing w:before="60" w:after="0"/>
              <w:jc w:val="center"/>
            </w:pPr>
            <w: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1E1F743E" w14:textId="77777777" w:rsidR="00A93FE3" w:rsidRPr="00E601CA" w:rsidRDefault="00A93FE3" w:rsidP="00F74657">
            <w:pPr>
              <w:overflowPunct w:val="0"/>
              <w:autoSpaceDE w:val="0"/>
              <w:autoSpaceDN w:val="0"/>
              <w:adjustRightInd w:val="0"/>
              <w:spacing w:before="60" w:after="0"/>
              <w:jc w:val="center"/>
            </w:pPr>
            <w: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37BB2A8B" w14:textId="77777777" w:rsidR="00A93FE3" w:rsidRPr="00E601CA" w:rsidRDefault="00A93FE3" w:rsidP="00F74657">
            <w:pPr>
              <w:overflowPunct w:val="0"/>
              <w:autoSpaceDE w:val="0"/>
              <w:autoSpaceDN w:val="0"/>
              <w:adjustRightInd w:val="0"/>
              <w:spacing w:before="60" w:after="0"/>
              <w:jc w:val="center"/>
            </w:pPr>
            <w: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225BDCEE" w14:textId="77777777" w:rsidR="00A93FE3" w:rsidRPr="00E601CA" w:rsidRDefault="00A93FE3" w:rsidP="00F74657">
            <w:pPr>
              <w:overflowPunct w:val="0"/>
              <w:autoSpaceDE w:val="0"/>
              <w:autoSpaceDN w:val="0"/>
              <w:adjustRightInd w:val="0"/>
              <w:spacing w:before="60" w:after="0"/>
              <w:jc w:val="center"/>
            </w:pPr>
            <w: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39376669"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7E87DF88"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68F8C4" w14:textId="77777777" w:rsidR="00A93FE3" w:rsidRPr="00E601CA" w:rsidRDefault="00A93FE3" w:rsidP="00F74657">
            <w:pPr>
              <w:overflowPunct w:val="0"/>
              <w:autoSpaceDE w:val="0"/>
              <w:autoSpaceDN w:val="0"/>
              <w:adjustRightInd w:val="0"/>
              <w:spacing w:before="60" w:after="0"/>
              <w:jc w:val="center"/>
            </w:pPr>
            <w:r>
              <w:t>250-370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3C1C3A57" w14:textId="77777777" w:rsidR="00A93FE3" w:rsidRPr="00E601CA" w:rsidRDefault="00A93FE3" w:rsidP="00F74657">
            <w:pPr>
              <w:overflowPunct w:val="0"/>
              <w:autoSpaceDE w:val="0"/>
              <w:autoSpaceDN w:val="0"/>
              <w:adjustRightInd w:val="0"/>
              <w:spacing w:before="60" w:after="0"/>
              <w:jc w:val="center"/>
            </w:pPr>
            <w: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21F6EBDB" w14:textId="77777777" w:rsidR="00A93FE3" w:rsidRPr="00E601CA" w:rsidRDefault="00A93FE3" w:rsidP="00F74657">
            <w:pPr>
              <w:overflowPunct w:val="0"/>
              <w:autoSpaceDE w:val="0"/>
              <w:autoSpaceDN w:val="0"/>
              <w:adjustRightInd w:val="0"/>
              <w:spacing w:before="60" w:after="0"/>
              <w:jc w:val="center"/>
            </w:pPr>
            <w: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18C2F8A4" w14:textId="77777777" w:rsidR="00A93FE3" w:rsidRPr="00E601CA" w:rsidRDefault="00A93FE3" w:rsidP="00F74657">
            <w:pPr>
              <w:overflowPunct w:val="0"/>
              <w:autoSpaceDE w:val="0"/>
              <w:autoSpaceDN w:val="0"/>
              <w:adjustRightInd w:val="0"/>
              <w:spacing w:before="60" w:after="0"/>
              <w:jc w:val="center"/>
            </w:pPr>
            <w: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0AC97B61" w14:textId="77777777" w:rsidR="00A93FE3" w:rsidRPr="00E601CA" w:rsidRDefault="00A93FE3" w:rsidP="00F74657">
            <w:pPr>
              <w:overflowPunct w:val="0"/>
              <w:autoSpaceDE w:val="0"/>
              <w:autoSpaceDN w:val="0"/>
              <w:adjustRightInd w:val="0"/>
              <w:spacing w:before="60" w:after="0"/>
              <w:jc w:val="center"/>
            </w:pPr>
            <w: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6E8EFCDF"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3D9B9DAF"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977398" w14:textId="77777777" w:rsidR="00A93FE3" w:rsidRPr="00E601CA" w:rsidRDefault="00A93FE3" w:rsidP="00F74657">
            <w:pPr>
              <w:overflowPunct w:val="0"/>
              <w:autoSpaceDE w:val="0"/>
              <w:autoSpaceDN w:val="0"/>
              <w:adjustRightInd w:val="0"/>
              <w:spacing w:before="60" w:after="0"/>
              <w:jc w:val="center"/>
            </w:pPr>
            <w:r>
              <w:t>370-500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763A6C8D" w14:textId="77777777" w:rsidR="00A93FE3" w:rsidRPr="00E601CA" w:rsidRDefault="00A93FE3" w:rsidP="00F74657">
            <w:pPr>
              <w:overflowPunct w:val="0"/>
              <w:autoSpaceDE w:val="0"/>
              <w:autoSpaceDN w:val="0"/>
              <w:adjustRightInd w:val="0"/>
              <w:spacing w:before="60" w:after="0"/>
              <w:jc w:val="center"/>
            </w:pPr>
            <w: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3A63515D" w14:textId="77777777" w:rsidR="00A93FE3" w:rsidRPr="00E601CA" w:rsidRDefault="00A93FE3" w:rsidP="00F74657">
            <w:pPr>
              <w:overflowPunct w:val="0"/>
              <w:autoSpaceDE w:val="0"/>
              <w:autoSpaceDN w:val="0"/>
              <w:adjustRightInd w:val="0"/>
              <w:spacing w:before="60" w:after="0"/>
              <w:jc w:val="center"/>
              <w:rPr>
                <w:caps/>
              </w:rPr>
            </w:pPr>
            <w:r>
              <w:rPr>
                <w:caps/>
              </w:rP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0F35253E" w14:textId="77777777" w:rsidR="00A93FE3" w:rsidRPr="00E601CA" w:rsidRDefault="00A93FE3" w:rsidP="00F74657">
            <w:pPr>
              <w:overflowPunct w:val="0"/>
              <w:autoSpaceDE w:val="0"/>
              <w:autoSpaceDN w:val="0"/>
              <w:adjustRightInd w:val="0"/>
              <w:spacing w:before="60" w:after="0"/>
              <w:jc w:val="center"/>
              <w:rPr>
                <w:caps/>
              </w:rPr>
            </w:pPr>
            <w:r>
              <w:rPr>
                <w:caps/>
              </w:rP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04E287CE" w14:textId="77777777" w:rsidR="00A93FE3" w:rsidRPr="00E601CA" w:rsidRDefault="00A93FE3" w:rsidP="00F74657">
            <w:pPr>
              <w:overflowPunct w:val="0"/>
              <w:autoSpaceDE w:val="0"/>
              <w:autoSpaceDN w:val="0"/>
              <w:adjustRightInd w:val="0"/>
              <w:spacing w:before="60" w:after="0"/>
              <w:jc w:val="center"/>
            </w:pPr>
            <w: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018099DE"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29E5E5B9"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5FD19B8" w14:textId="77777777" w:rsidR="00A93FE3" w:rsidRPr="00E601CA" w:rsidRDefault="00A93FE3" w:rsidP="00F74657">
            <w:pPr>
              <w:overflowPunct w:val="0"/>
              <w:autoSpaceDE w:val="0"/>
              <w:autoSpaceDN w:val="0"/>
              <w:adjustRightInd w:val="0"/>
              <w:spacing w:before="60" w:after="0"/>
              <w:jc w:val="center"/>
            </w:pPr>
            <w:r>
              <w:t>&gt; 500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29D0704D" w14:textId="77777777" w:rsidR="00A93FE3" w:rsidRPr="00E601CA" w:rsidRDefault="00A93FE3" w:rsidP="00F74657">
            <w:pPr>
              <w:overflowPunct w:val="0"/>
              <w:autoSpaceDE w:val="0"/>
              <w:autoSpaceDN w:val="0"/>
              <w:adjustRightInd w:val="0"/>
              <w:spacing w:before="60" w:after="0"/>
              <w:jc w:val="center"/>
            </w:pPr>
            <w:r>
              <w:t>BR1</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3C710640" w14:textId="77777777" w:rsidR="00A93FE3" w:rsidRPr="00E601CA" w:rsidRDefault="00A93FE3" w:rsidP="00F74657">
            <w:pPr>
              <w:overflowPunct w:val="0"/>
              <w:autoSpaceDE w:val="0"/>
              <w:autoSpaceDN w:val="0"/>
              <w:adjustRightInd w:val="0"/>
              <w:spacing w:before="60" w:after="0"/>
              <w:jc w:val="center"/>
            </w:pPr>
            <w: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57099BA4" w14:textId="77777777" w:rsidR="00A93FE3" w:rsidRPr="00E601CA" w:rsidRDefault="00A93FE3" w:rsidP="00F74657">
            <w:pPr>
              <w:overflowPunct w:val="0"/>
              <w:autoSpaceDE w:val="0"/>
              <w:autoSpaceDN w:val="0"/>
              <w:adjustRightInd w:val="0"/>
              <w:spacing w:before="60" w:after="0"/>
              <w:jc w:val="center"/>
            </w:pPr>
            <w: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26A4CCFA" w14:textId="77777777" w:rsidR="00A93FE3" w:rsidRPr="00E601CA" w:rsidRDefault="00A93FE3" w:rsidP="00F74657">
            <w:pPr>
              <w:overflowPunct w:val="0"/>
              <w:autoSpaceDE w:val="0"/>
              <w:autoSpaceDN w:val="0"/>
              <w:adjustRightInd w:val="0"/>
              <w:spacing w:before="60" w:after="0"/>
              <w:jc w:val="center"/>
            </w:pPr>
            <w: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B5869F7"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785B1B99" w14:textId="77777777" w:rsidTr="003D7B82">
        <w:trPr>
          <w:trHeight w:val="20"/>
        </w:trPr>
        <w:tc>
          <w:tcPr>
            <w:tcW w:w="5000" w:type="pct"/>
            <w:gridSpan w:val="6"/>
            <w:tcBorders>
              <w:left w:val="single" w:sz="6" w:space="0" w:color="auto"/>
              <w:bottom w:val="single" w:sz="6" w:space="0" w:color="auto"/>
              <w:right w:val="single" w:sz="6" w:space="0" w:color="auto"/>
            </w:tcBorders>
            <w:shd w:val="clear" w:color="auto" w:fill="A6A6A6" w:themeFill="background1" w:themeFillShade="A6"/>
          </w:tcPr>
          <w:p w14:paraId="73AABE80" w14:textId="77777777" w:rsidR="00A93FE3" w:rsidRPr="00E601CA" w:rsidRDefault="00A93FE3" w:rsidP="00F74657">
            <w:pPr>
              <w:keepNext/>
              <w:overflowPunct w:val="0"/>
              <w:autoSpaceDE w:val="0"/>
              <w:autoSpaceDN w:val="0"/>
              <w:adjustRightInd w:val="0"/>
              <w:spacing w:after="0"/>
              <w:jc w:val="center"/>
            </w:pPr>
            <w:r>
              <w:t>Infrastruktur der Kategorie 3</w:t>
            </w:r>
          </w:p>
        </w:tc>
      </w:tr>
      <w:tr w:rsidR="00A93FE3" w:rsidRPr="00E601CA" w14:paraId="1D4B41FD"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3EBA63" w14:textId="77777777" w:rsidR="00A93FE3" w:rsidRPr="00E601CA" w:rsidRDefault="00A93FE3" w:rsidP="00F74657">
            <w:pPr>
              <w:overflowPunct w:val="0"/>
              <w:autoSpaceDE w:val="0"/>
              <w:autoSpaceDN w:val="0"/>
              <w:adjustRightInd w:val="0"/>
              <w:spacing w:before="60" w:after="0"/>
              <w:jc w:val="center"/>
            </w:pPr>
            <w:r>
              <w:t>0-25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338140E8" w14:textId="77777777" w:rsidR="00A93FE3" w:rsidRPr="00E601CA" w:rsidRDefault="00A93FE3" w:rsidP="00F74657">
            <w:pPr>
              <w:overflowPunct w:val="0"/>
              <w:autoSpaceDE w:val="0"/>
              <w:autoSpaceDN w:val="0"/>
              <w:adjustRightInd w:val="0"/>
              <w:spacing w:before="60" w:after="0"/>
              <w:jc w:val="center"/>
            </w:pPr>
            <w: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00A3CF10" w14:textId="77777777" w:rsidR="00A93FE3" w:rsidRPr="00E601CA" w:rsidRDefault="00A93FE3" w:rsidP="00F74657">
            <w:pPr>
              <w:overflowPunct w:val="0"/>
              <w:autoSpaceDE w:val="0"/>
              <w:autoSpaceDN w:val="0"/>
              <w:adjustRightInd w:val="0"/>
              <w:spacing w:before="60" w:after="0"/>
              <w:jc w:val="center"/>
            </w:pPr>
            <w: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274B56EE" w14:textId="77777777" w:rsidR="00A93FE3" w:rsidRPr="00E601CA" w:rsidRDefault="00A93FE3" w:rsidP="00F74657">
            <w:pPr>
              <w:overflowPunct w:val="0"/>
              <w:autoSpaceDE w:val="0"/>
              <w:autoSpaceDN w:val="0"/>
              <w:adjustRightInd w:val="0"/>
              <w:spacing w:before="60" w:after="0"/>
              <w:jc w:val="center"/>
            </w:pPr>
            <w: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1052B232" w14:textId="77777777" w:rsidR="00A93FE3" w:rsidRPr="00E601CA" w:rsidRDefault="00A93FE3" w:rsidP="00F74657">
            <w:pPr>
              <w:overflowPunct w:val="0"/>
              <w:autoSpaceDE w:val="0"/>
              <w:autoSpaceDN w:val="0"/>
              <w:adjustRightInd w:val="0"/>
              <w:spacing w:before="60" w:after="0"/>
              <w:jc w:val="center"/>
            </w:pPr>
            <w:r>
              <w:t>BR3</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F8ADCF3" w14:textId="77777777" w:rsidR="00A93FE3" w:rsidRPr="00E601CA" w:rsidRDefault="00A93FE3" w:rsidP="00F74657">
            <w:pPr>
              <w:overflowPunct w:val="0"/>
              <w:autoSpaceDE w:val="0"/>
              <w:autoSpaceDN w:val="0"/>
              <w:adjustRightInd w:val="0"/>
              <w:spacing w:before="60" w:after="0"/>
              <w:jc w:val="center"/>
            </w:pPr>
            <w:r>
              <w:t>BR2</w:t>
            </w:r>
          </w:p>
        </w:tc>
      </w:tr>
      <w:tr w:rsidR="00A93FE3" w:rsidRPr="00E601CA" w14:paraId="49257352"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2F51B0" w14:textId="77777777" w:rsidR="00A93FE3" w:rsidRPr="00E601CA" w:rsidRDefault="00A93FE3" w:rsidP="00F74657">
            <w:pPr>
              <w:overflowPunct w:val="0"/>
              <w:autoSpaceDE w:val="0"/>
              <w:autoSpaceDN w:val="0"/>
              <w:adjustRightInd w:val="0"/>
              <w:spacing w:before="60" w:after="0"/>
              <w:jc w:val="center"/>
            </w:pPr>
            <w:r>
              <w:t>25-50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115DB16B" w14:textId="77777777" w:rsidR="00A93FE3" w:rsidRPr="00E601CA" w:rsidRDefault="00A93FE3" w:rsidP="00F74657">
            <w:pPr>
              <w:overflowPunct w:val="0"/>
              <w:autoSpaceDE w:val="0"/>
              <w:autoSpaceDN w:val="0"/>
              <w:adjustRightInd w:val="0"/>
              <w:spacing w:before="60" w:after="0"/>
              <w:jc w:val="center"/>
            </w:pPr>
            <w: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526C1FAD" w14:textId="77777777" w:rsidR="00A93FE3" w:rsidRPr="00E601CA" w:rsidRDefault="00A93FE3" w:rsidP="00F74657">
            <w:pPr>
              <w:overflowPunct w:val="0"/>
              <w:autoSpaceDE w:val="0"/>
              <w:autoSpaceDN w:val="0"/>
              <w:adjustRightInd w:val="0"/>
              <w:spacing w:before="60" w:after="0"/>
              <w:jc w:val="center"/>
            </w:pPr>
            <w: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19080678" w14:textId="77777777" w:rsidR="00A93FE3" w:rsidRPr="00E601CA" w:rsidRDefault="00A93FE3" w:rsidP="00F74657">
            <w:pPr>
              <w:overflowPunct w:val="0"/>
              <w:autoSpaceDE w:val="0"/>
              <w:autoSpaceDN w:val="0"/>
              <w:adjustRightInd w:val="0"/>
              <w:spacing w:before="60" w:after="0"/>
              <w:jc w:val="center"/>
            </w:pPr>
            <w: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63ECDC2B" w14:textId="77777777" w:rsidR="00A93FE3" w:rsidRPr="00E601CA" w:rsidRDefault="00A93FE3" w:rsidP="00F74657">
            <w:pPr>
              <w:overflowPunct w:val="0"/>
              <w:autoSpaceDE w:val="0"/>
              <w:autoSpaceDN w:val="0"/>
              <w:adjustRightInd w:val="0"/>
              <w:spacing w:before="60" w:after="0"/>
              <w:jc w:val="center"/>
            </w:pPr>
            <w: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0C74EC4" w14:textId="77777777" w:rsidR="00A93FE3" w:rsidRPr="00E601CA" w:rsidRDefault="00A93FE3" w:rsidP="00F74657">
            <w:pPr>
              <w:overflowPunct w:val="0"/>
              <w:autoSpaceDE w:val="0"/>
              <w:autoSpaceDN w:val="0"/>
              <w:adjustRightInd w:val="0"/>
              <w:spacing w:before="60" w:after="0"/>
              <w:jc w:val="center"/>
            </w:pPr>
            <w:r>
              <w:t>BR2</w:t>
            </w:r>
          </w:p>
        </w:tc>
      </w:tr>
      <w:tr w:rsidR="00A93FE3" w:rsidRPr="00E601CA" w14:paraId="3D0160C3"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C5DA85" w14:textId="77777777" w:rsidR="00A93FE3" w:rsidRPr="00E601CA" w:rsidRDefault="00A93FE3" w:rsidP="00F74657">
            <w:pPr>
              <w:overflowPunct w:val="0"/>
              <w:autoSpaceDE w:val="0"/>
              <w:autoSpaceDN w:val="0"/>
              <w:adjustRightInd w:val="0"/>
              <w:spacing w:before="60" w:after="0"/>
              <w:jc w:val="center"/>
            </w:pPr>
            <w:r>
              <w:lastRenderedPageBreak/>
              <w:t>50-100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0D5CEFF8" w14:textId="77777777" w:rsidR="00A93FE3" w:rsidRPr="00E601CA" w:rsidRDefault="00A93FE3" w:rsidP="00F74657">
            <w:pPr>
              <w:overflowPunct w:val="0"/>
              <w:autoSpaceDE w:val="0"/>
              <w:autoSpaceDN w:val="0"/>
              <w:adjustRightInd w:val="0"/>
              <w:spacing w:before="60" w:after="0"/>
              <w:jc w:val="center"/>
            </w:pPr>
            <w: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416EB3CB" w14:textId="77777777" w:rsidR="00A93FE3" w:rsidRPr="00E601CA" w:rsidRDefault="00A93FE3" w:rsidP="00F74657">
            <w:pPr>
              <w:overflowPunct w:val="0"/>
              <w:autoSpaceDE w:val="0"/>
              <w:autoSpaceDN w:val="0"/>
              <w:adjustRightInd w:val="0"/>
              <w:spacing w:before="60" w:after="0"/>
              <w:jc w:val="center"/>
            </w:pPr>
            <w: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4EF43D26" w14:textId="77777777" w:rsidR="00A93FE3" w:rsidRPr="00E601CA" w:rsidRDefault="00A93FE3" w:rsidP="00F74657">
            <w:pPr>
              <w:overflowPunct w:val="0"/>
              <w:autoSpaceDE w:val="0"/>
              <w:autoSpaceDN w:val="0"/>
              <w:adjustRightInd w:val="0"/>
              <w:spacing w:before="60" w:after="0"/>
              <w:jc w:val="center"/>
            </w:pPr>
            <w: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0ADAC2CF" w14:textId="77777777" w:rsidR="00A93FE3" w:rsidRPr="00E601CA" w:rsidRDefault="00A93FE3" w:rsidP="00F74657">
            <w:pPr>
              <w:overflowPunct w:val="0"/>
              <w:autoSpaceDE w:val="0"/>
              <w:autoSpaceDN w:val="0"/>
              <w:adjustRightInd w:val="0"/>
              <w:spacing w:before="60" w:after="0"/>
              <w:jc w:val="center"/>
            </w:pPr>
            <w: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0570372D"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4B477718"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E9E124" w14:textId="77777777" w:rsidR="00A93FE3" w:rsidRPr="00E601CA" w:rsidRDefault="00A93FE3" w:rsidP="00F74657">
            <w:pPr>
              <w:overflowPunct w:val="0"/>
              <w:autoSpaceDE w:val="0"/>
              <w:autoSpaceDN w:val="0"/>
              <w:adjustRightInd w:val="0"/>
              <w:spacing w:before="60" w:after="0"/>
              <w:jc w:val="center"/>
            </w:pPr>
            <w:r>
              <w:t>100-160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3F6F2D25" w14:textId="77777777" w:rsidR="00A93FE3" w:rsidRPr="00E601CA" w:rsidRDefault="00A93FE3" w:rsidP="00F74657">
            <w:pPr>
              <w:overflowPunct w:val="0"/>
              <w:autoSpaceDE w:val="0"/>
              <w:autoSpaceDN w:val="0"/>
              <w:adjustRightInd w:val="0"/>
              <w:spacing w:before="60" w:after="0"/>
              <w:jc w:val="center"/>
            </w:pPr>
            <w: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2723C314" w14:textId="77777777" w:rsidR="00A93FE3" w:rsidRPr="00E601CA" w:rsidRDefault="00A93FE3" w:rsidP="00F74657">
            <w:pPr>
              <w:overflowPunct w:val="0"/>
              <w:autoSpaceDE w:val="0"/>
              <w:autoSpaceDN w:val="0"/>
              <w:adjustRightInd w:val="0"/>
              <w:spacing w:before="60" w:after="0"/>
              <w:jc w:val="center"/>
            </w:pPr>
            <w: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21FF998E" w14:textId="77777777" w:rsidR="00A93FE3" w:rsidRPr="00E601CA" w:rsidRDefault="00A93FE3" w:rsidP="00F74657">
            <w:pPr>
              <w:overflowPunct w:val="0"/>
              <w:autoSpaceDE w:val="0"/>
              <w:autoSpaceDN w:val="0"/>
              <w:adjustRightInd w:val="0"/>
              <w:spacing w:before="60" w:after="0"/>
              <w:jc w:val="center"/>
            </w:pPr>
            <w: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65B29468" w14:textId="77777777" w:rsidR="00A93FE3" w:rsidRPr="00E601CA" w:rsidRDefault="00A93FE3" w:rsidP="00F74657">
            <w:pPr>
              <w:overflowPunct w:val="0"/>
              <w:autoSpaceDE w:val="0"/>
              <w:autoSpaceDN w:val="0"/>
              <w:adjustRightInd w:val="0"/>
              <w:spacing w:before="60" w:after="0"/>
              <w:jc w:val="center"/>
            </w:pPr>
            <w: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0EF43FFD"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48548010"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B0B7AD" w14:textId="77777777" w:rsidR="00A93FE3" w:rsidRPr="00E601CA" w:rsidRDefault="00A93FE3" w:rsidP="00F74657">
            <w:pPr>
              <w:overflowPunct w:val="0"/>
              <w:autoSpaceDE w:val="0"/>
              <w:autoSpaceDN w:val="0"/>
              <w:adjustRightInd w:val="0"/>
              <w:spacing w:before="60" w:after="0"/>
              <w:jc w:val="center"/>
            </w:pPr>
            <w:r>
              <w:t>160-250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0983272A" w14:textId="77777777" w:rsidR="00A93FE3" w:rsidRPr="00E601CA" w:rsidRDefault="00A93FE3" w:rsidP="00F74657">
            <w:pPr>
              <w:overflowPunct w:val="0"/>
              <w:autoSpaceDE w:val="0"/>
              <w:autoSpaceDN w:val="0"/>
              <w:adjustRightInd w:val="0"/>
              <w:spacing w:before="60" w:after="0"/>
              <w:jc w:val="center"/>
            </w:pPr>
            <w: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07823C65" w14:textId="77777777" w:rsidR="00A93FE3" w:rsidRPr="00E601CA" w:rsidRDefault="00A93FE3" w:rsidP="00F74657">
            <w:pPr>
              <w:overflowPunct w:val="0"/>
              <w:autoSpaceDE w:val="0"/>
              <w:autoSpaceDN w:val="0"/>
              <w:adjustRightInd w:val="0"/>
              <w:spacing w:before="60" w:after="0"/>
              <w:jc w:val="center"/>
              <w:rPr>
                <w:caps/>
              </w:rPr>
            </w:pPr>
            <w:r>
              <w:rPr>
                <w:caps/>
              </w:rP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2A53A2C5" w14:textId="77777777" w:rsidR="00A93FE3" w:rsidRPr="00E601CA" w:rsidRDefault="00A93FE3" w:rsidP="00F74657">
            <w:pPr>
              <w:overflowPunct w:val="0"/>
              <w:autoSpaceDE w:val="0"/>
              <w:autoSpaceDN w:val="0"/>
              <w:adjustRightInd w:val="0"/>
              <w:spacing w:before="60" w:after="0"/>
              <w:jc w:val="center"/>
              <w:rPr>
                <w:caps/>
              </w:rPr>
            </w:pPr>
            <w:r>
              <w:rPr>
                <w:caps/>
              </w:rP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65981C42" w14:textId="77777777" w:rsidR="00A93FE3" w:rsidRPr="00E601CA" w:rsidRDefault="00A93FE3" w:rsidP="00F74657">
            <w:pPr>
              <w:overflowPunct w:val="0"/>
              <w:autoSpaceDE w:val="0"/>
              <w:autoSpaceDN w:val="0"/>
              <w:adjustRightInd w:val="0"/>
              <w:spacing w:before="60" w:after="0"/>
              <w:jc w:val="center"/>
            </w:pPr>
            <w: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780EEC3"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6946F621"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C1BBC1" w14:textId="77777777" w:rsidR="00A93FE3" w:rsidRPr="00E601CA" w:rsidRDefault="00A93FE3" w:rsidP="00F74657">
            <w:pPr>
              <w:overflowPunct w:val="0"/>
              <w:autoSpaceDE w:val="0"/>
              <w:autoSpaceDN w:val="0"/>
              <w:adjustRightInd w:val="0"/>
              <w:spacing w:before="60" w:after="0"/>
              <w:jc w:val="center"/>
            </w:pPr>
            <w:r>
              <w:t>&gt; 250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5F4CC210" w14:textId="77777777" w:rsidR="00A93FE3" w:rsidRPr="00E601CA" w:rsidRDefault="00A93FE3" w:rsidP="00F74657">
            <w:pPr>
              <w:overflowPunct w:val="0"/>
              <w:autoSpaceDE w:val="0"/>
              <w:autoSpaceDN w:val="0"/>
              <w:adjustRightInd w:val="0"/>
              <w:spacing w:before="60" w:after="0"/>
              <w:jc w:val="center"/>
            </w:pPr>
            <w:r>
              <w:t>BR1</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1EBDCFD5" w14:textId="77777777" w:rsidR="00A93FE3" w:rsidRPr="00E601CA" w:rsidRDefault="00A93FE3" w:rsidP="00F74657">
            <w:pPr>
              <w:overflowPunct w:val="0"/>
              <w:autoSpaceDE w:val="0"/>
              <w:autoSpaceDN w:val="0"/>
              <w:adjustRightInd w:val="0"/>
              <w:spacing w:before="60" w:after="0"/>
              <w:jc w:val="center"/>
            </w:pPr>
            <w: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72DAE70E" w14:textId="77777777" w:rsidR="00A93FE3" w:rsidRPr="00E601CA" w:rsidRDefault="00A93FE3" w:rsidP="00F74657">
            <w:pPr>
              <w:overflowPunct w:val="0"/>
              <w:autoSpaceDE w:val="0"/>
              <w:autoSpaceDN w:val="0"/>
              <w:adjustRightInd w:val="0"/>
              <w:spacing w:before="60" w:after="0"/>
              <w:jc w:val="center"/>
            </w:pPr>
            <w: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52DF0BA1" w14:textId="77777777" w:rsidR="00A93FE3" w:rsidRPr="00E601CA" w:rsidRDefault="00A93FE3" w:rsidP="00F74657">
            <w:pPr>
              <w:overflowPunct w:val="0"/>
              <w:autoSpaceDE w:val="0"/>
              <w:autoSpaceDN w:val="0"/>
              <w:adjustRightInd w:val="0"/>
              <w:spacing w:before="60" w:after="0"/>
              <w:jc w:val="center"/>
            </w:pPr>
            <w: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51CE0FF4"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2E3F577A" w14:textId="77777777" w:rsidTr="003D7B82">
        <w:trPr>
          <w:trHeight w:val="20"/>
        </w:trPr>
        <w:tc>
          <w:tcPr>
            <w:tcW w:w="5000" w:type="pct"/>
            <w:gridSpan w:val="6"/>
            <w:tcBorders>
              <w:left w:val="single" w:sz="6" w:space="0" w:color="auto"/>
              <w:bottom w:val="single" w:sz="6" w:space="0" w:color="auto"/>
              <w:right w:val="single" w:sz="6" w:space="0" w:color="auto"/>
            </w:tcBorders>
            <w:shd w:val="clear" w:color="auto" w:fill="A6A6A6" w:themeFill="background1" w:themeFillShade="A6"/>
          </w:tcPr>
          <w:p w14:paraId="625D3ECE" w14:textId="77777777" w:rsidR="00A93FE3" w:rsidRPr="00E601CA" w:rsidRDefault="00A93FE3" w:rsidP="00F74657">
            <w:pPr>
              <w:keepNext/>
              <w:overflowPunct w:val="0"/>
              <w:autoSpaceDE w:val="0"/>
              <w:autoSpaceDN w:val="0"/>
              <w:adjustRightInd w:val="0"/>
              <w:spacing w:after="0"/>
              <w:jc w:val="center"/>
            </w:pPr>
            <w:r>
              <w:t>Infrastruktur der Kategorie 4</w:t>
            </w:r>
          </w:p>
        </w:tc>
      </w:tr>
      <w:tr w:rsidR="00A93FE3" w:rsidRPr="00E601CA" w14:paraId="423C4A25"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0BB9B6" w14:textId="77777777" w:rsidR="00A93FE3" w:rsidRPr="00E601CA" w:rsidRDefault="00A93FE3" w:rsidP="00F74657">
            <w:pPr>
              <w:overflowPunct w:val="0"/>
              <w:autoSpaceDE w:val="0"/>
              <w:autoSpaceDN w:val="0"/>
              <w:adjustRightInd w:val="0"/>
              <w:spacing w:before="60" w:after="0"/>
              <w:jc w:val="center"/>
            </w:pPr>
            <w:r>
              <w:t>0-15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0FE06585" w14:textId="77777777" w:rsidR="00A93FE3" w:rsidRPr="00E601CA" w:rsidRDefault="00A93FE3" w:rsidP="00F74657">
            <w:pPr>
              <w:overflowPunct w:val="0"/>
              <w:autoSpaceDE w:val="0"/>
              <w:autoSpaceDN w:val="0"/>
              <w:adjustRightInd w:val="0"/>
              <w:spacing w:before="60" w:after="0"/>
              <w:jc w:val="center"/>
            </w:pPr>
            <w: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2EA35019" w14:textId="77777777" w:rsidR="00A93FE3" w:rsidRPr="00E601CA" w:rsidRDefault="00A93FE3" w:rsidP="00F74657">
            <w:pPr>
              <w:overflowPunct w:val="0"/>
              <w:autoSpaceDE w:val="0"/>
              <w:autoSpaceDN w:val="0"/>
              <w:adjustRightInd w:val="0"/>
              <w:spacing w:before="60" w:after="0"/>
              <w:jc w:val="center"/>
            </w:pPr>
            <w: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4A448C13" w14:textId="77777777" w:rsidR="00A93FE3" w:rsidRPr="00E601CA" w:rsidRDefault="00A93FE3" w:rsidP="00F74657">
            <w:pPr>
              <w:overflowPunct w:val="0"/>
              <w:autoSpaceDE w:val="0"/>
              <w:autoSpaceDN w:val="0"/>
              <w:adjustRightInd w:val="0"/>
              <w:spacing w:before="60" w:after="0"/>
              <w:jc w:val="center"/>
            </w:pPr>
            <w: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42BE8932" w14:textId="77777777" w:rsidR="00A93FE3" w:rsidRPr="00E601CA" w:rsidRDefault="00A93FE3" w:rsidP="00F74657">
            <w:pPr>
              <w:overflowPunct w:val="0"/>
              <w:autoSpaceDE w:val="0"/>
              <w:autoSpaceDN w:val="0"/>
              <w:adjustRightInd w:val="0"/>
              <w:spacing w:before="60" w:after="0"/>
              <w:jc w:val="center"/>
            </w:pPr>
            <w: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2A22A44" w14:textId="77777777" w:rsidR="00A93FE3" w:rsidRPr="00E601CA" w:rsidRDefault="00A93FE3" w:rsidP="00F74657">
            <w:pPr>
              <w:overflowPunct w:val="0"/>
              <w:autoSpaceDE w:val="0"/>
              <w:autoSpaceDN w:val="0"/>
              <w:adjustRightInd w:val="0"/>
              <w:spacing w:before="60" w:after="0"/>
              <w:jc w:val="center"/>
            </w:pPr>
            <w:r>
              <w:t>BR2</w:t>
            </w:r>
          </w:p>
        </w:tc>
      </w:tr>
      <w:tr w:rsidR="00A93FE3" w:rsidRPr="00E601CA" w14:paraId="7952319F"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F5464F" w14:textId="77777777" w:rsidR="00A93FE3" w:rsidRPr="00E601CA" w:rsidRDefault="00A93FE3" w:rsidP="00F74657">
            <w:pPr>
              <w:overflowPunct w:val="0"/>
              <w:autoSpaceDE w:val="0"/>
              <w:autoSpaceDN w:val="0"/>
              <w:adjustRightInd w:val="0"/>
              <w:spacing w:before="60" w:after="0"/>
              <w:jc w:val="center"/>
            </w:pPr>
            <w:r>
              <w:t>15-30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65970882" w14:textId="77777777" w:rsidR="00A93FE3" w:rsidRPr="00E601CA" w:rsidRDefault="00A93FE3" w:rsidP="00F74657">
            <w:pPr>
              <w:overflowPunct w:val="0"/>
              <w:autoSpaceDE w:val="0"/>
              <w:autoSpaceDN w:val="0"/>
              <w:adjustRightInd w:val="0"/>
              <w:spacing w:before="60" w:after="0"/>
              <w:jc w:val="center"/>
            </w:pPr>
            <w: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6E2E4BD3" w14:textId="77777777" w:rsidR="00A93FE3" w:rsidRPr="00E601CA" w:rsidRDefault="00A93FE3" w:rsidP="00F74657">
            <w:pPr>
              <w:overflowPunct w:val="0"/>
              <w:autoSpaceDE w:val="0"/>
              <w:autoSpaceDN w:val="0"/>
              <w:adjustRightInd w:val="0"/>
              <w:spacing w:before="60" w:after="0"/>
              <w:jc w:val="center"/>
            </w:pPr>
            <w: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011FCD60" w14:textId="77777777" w:rsidR="00A93FE3" w:rsidRPr="00E601CA" w:rsidRDefault="00A93FE3" w:rsidP="00F74657">
            <w:pPr>
              <w:overflowPunct w:val="0"/>
              <w:autoSpaceDE w:val="0"/>
              <w:autoSpaceDN w:val="0"/>
              <w:adjustRightInd w:val="0"/>
              <w:spacing w:before="60" w:after="0"/>
              <w:jc w:val="center"/>
            </w:pPr>
            <w: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3C1688C2" w14:textId="77777777" w:rsidR="00A93FE3" w:rsidRPr="00E601CA" w:rsidRDefault="00A93FE3" w:rsidP="00F74657">
            <w:pPr>
              <w:overflowPunct w:val="0"/>
              <w:autoSpaceDE w:val="0"/>
              <w:autoSpaceDN w:val="0"/>
              <w:adjustRightInd w:val="0"/>
              <w:spacing w:before="60" w:after="0"/>
              <w:jc w:val="center"/>
            </w:pPr>
            <w: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7894CC0"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601A7FD1"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14692BA" w14:textId="77777777" w:rsidR="00A93FE3" w:rsidRPr="00E601CA" w:rsidRDefault="00A93FE3" w:rsidP="00F74657">
            <w:pPr>
              <w:overflowPunct w:val="0"/>
              <w:autoSpaceDE w:val="0"/>
              <w:autoSpaceDN w:val="0"/>
              <w:adjustRightInd w:val="0"/>
              <w:spacing w:before="60" w:after="0"/>
              <w:jc w:val="center"/>
            </w:pPr>
            <w:r>
              <w:t>30-60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6B77CE0C" w14:textId="77777777" w:rsidR="00A93FE3" w:rsidRPr="00E601CA" w:rsidRDefault="00A93FE3" w:rsidP="00F74657">
            <w:pPr>
              <w:overflowPunct w:val="0"/>
              <w:autoSpaceDE w:val="0"/>
              <w:autoSpaceDN w:val="0"/>
              <w:adjustRightInd w:val="0"/>
              <w:spacing w:before="60" w:after="0"/>
              <w:jc w:val="center"/>
            </w:pPr>
            <w: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6E289273" w14:textId="77777777" w:rsidR="00A93FE3" w:rsidRPr="00E601CA" w:rsidRDefault="00A93FE3" w:rsidP="00F74657">
            <w:pPr>
              <w:overflowPunct w:val="0"/>
              <w:autoSpaceDE w:val="0"/>
              <w:autoSpaceDN w:val="0"/>
              <w:adjustRightInd w:val="0"/>
              <w:spacing w:before="60" w:after="0"/>
              <w:jc w:val="center"/>
            </w:pPr>
            <w: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25873BCB" w14:textId="77777777" w:rsidR="00A93FE3" w:rsidRPr="00E601CA" w:rsidRDefault="00A93FE3" w:rsidP="00F74657">
            <w:pPr>
              <w:overflowPunct w:val="0"/>
              <w:autoSpaceDE w:val="0"/>
              <w:autoSpaceDN w:val="0"/>
              <w:adjustRightInd w:val="0"/>
              <w:spacing w:before="60" w:after="0"/>
              <w:jc w:val="center"/>
            </w:pPr>
            <w: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500D9185" w14:textId="77777777" w:rsidR="00A93FE3" w:rsidRPr="00E601CA" w:rsidRDefault="00A93FE3" w:rsidP="00F74657">
            <w:pPr>
              <w:overflowPunct w:val="0"/>
              <w:autoSpaceDE w:val="0"/>
              <w:autoSpaceDN w:val="0"/>
              <w:adjustRightInd w:val="0"/>
              <w:spacing w:before="60" w:after="0"/>
              <w:jc w:val="center"/>
            </w:pPr>
            <w: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33946CB1"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79CC7AAA"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A653A2" w14:textId="77777777" w:rsidR="00A93FE3" w:rsidRPr="00E601CA" w:rsidRDefault="00A93FE3" w:rsidP="00F74657">
            <w:pPr>
              <w:overflowPunct w:val="0"/>
              <w:autoSpaceDE w:val="0"/>
              <w:autoSpaceDN w:val="0"/>
              <w:adjustRightInd w:val="0"/>
              <w:spacing w:before="60" w:after="0"/>
              <w:jc w:val="center"/>
            </w:pPr>
            <w:r>
              <w:t>60-100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4EE35E78" w14:textId="77777777" w:rsidR="00A93FE3" w:rsidRPr="00E601CA" w:rsidRDefault="00A93FE3" w:rsidP="00F74657">
            <w:pPr>
              <w:overflowPunct w:val="0"/>
              <w:autoSpaceDE w:val="0"/>
              <w:autoSpaceDN w:val="0"/>
              <w:adjustRightInd w:val="0"/>
              <w:spacing w:before="60" w:after="0"/>
              <w:jc w:val="center"/>
            </w:pPr>
            <w: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03ABFBBD" w14:textId="77777777" w:rsidR="00A93FE3" w:rsidRPr="00E601CA" w:rsidRDefault="00A93FE3" w:rsidP="00F74657">
            <w:pPr>
              <w:overflowPunct w:val="0"/>
              <w:autoSpaceDE w:val="0"/>
              <w:autoSpaceDN w:val="0"/>
              <w:adjustRightInd w:val="0"/>
              <w:spacing w:before="60" w:after="0"/>
              <w:jc w:val="center"/>
              <w:rPr>
                <w:caps/>
              </w:rPr>
            </w:pPr>
            <w:r>
              <w:rPr>
                <w:caps/>
              </w:rP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77E5227A" w14:textId="77777777" w:rsidR="00A93FE3" w:rsidRPr="00E601CA" w:rsidRDefault="00A93FE3" w:rsidP="00F74657">
            <w:pPr>
              <w:overflowPunct w:val="0"/>
              <w:autoSpaceDE w:val="0"/>
              <w:autoSpaceDN w:val="0"/>
              <w:adjustRightInd w:val="0"/>
              <w:spacing w:before="60" w:after="0"/>
              <w:jc w:val="center"/>
              <w:rPr>
                <w:caps/>
              </w:rPr>
            </w:pPr>
            <w:r>
              <w:rPr>
                <w:caps/>
              </w:rP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2C689197" w14:textId="77777777" w:rsidR="00A93FE3" w:rsidRPr="00E601CA" w:rsidRDefault="00A93FE3" w:rsidP="00F74657">
            <w:pPr>
              <w:overflowPunct w:val="0"/>
              <w:autoSpaceDE w:val="0"/>
              <w:autoSpaceDN w:val="0"/>
              <w:adjustRightInd w:val="0"/>
              <w:spacing w:before="60" w:after="0"/>
              <w:jc w:val="center"/>
            </w:pPr>
            <w: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2A61DA7"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5AF64F42"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8AB449" w14:textId="77777777" w:rsidR="00A93FE3" w:rsidRPr="00E601CA" w:rsidRDefault="00A93FE3" w:rsidP="00F74657">
            <w:pPr>
              <w:overflowPunct w:val="0"/>
              <w:autoSpaceDE w:val="0"/>
              <w:autoSpaceDN w:val="0"/>
              <w:adjustRightInd w:val="0"/>
              <w:spacing w:before="60" w:after="0"/>
              <w:jc w:val="center"/>
            </w:pPr>
            <w:r>
              <w:t>&gt; 100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483316FB" w14:textId="77777777" w:rsidR="00A93FE3" w:rsidRPr="00E601CA" w:rsidRDefault="00A93FE3" w:rsidP="00F74657">
            <w:pPr>
              <w:overflowPunct w:val="0"/>
              <w:autoSpaceDE w:val="0"/>
              <w:autoSpaceDN w:val="0"/>
              <w:adjustRightInd w:val="0"/>
              <w:spacing w:before="60" w:after="0"/>
              <w:jc w:val="center"/>
            </w:pPr>
            <w:r>
              <w:t>BR1</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6B057971" w14:textId="77777777" w:rsidR="00A93FE3" w:rsidRPr="00E601CA" w:rsidRDefault="00A93FE3" w:rsidP="00F74657">
            <w:pPr>
              <w:overflowPunct w:val="0"/>
              <w:autoSpaceDE w:val="0"/>
              <w:autoSpaceDN w:val="0"/>
              <w:adjustRightInd w:val="0"/>
              <w:spacing w:before="60" w:after="0"/>
              <w:jc w:val="center"/>
            </w:pPr>
            <w: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4C10D139" w14:textId="77777777" w:rsidR="00A93FE3" w:rsidRPr="00E601CA" w:rsidRDefault="00A93FE3" w:rsidP="00F74657">
            <w:pPr>
              <w:overflowPunct w:val="0"/>
              <w:autoSpaceDE w:val="0"/>
              <w:autoSpaceDN w:val="0"/>
              <w:adjustRightInd w:val="0"/>
              <w:spacing w:before="60" w:after="0"/>
              <w:jc w:val="center"/>
            </w:pPr>
            <w: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3C374436" w14:textId="77777777" w:rsidR="00A93FE3" w:rsidRPr="00E601CA" w:rsidRDefault="00A93FE3" w:rsidP="00F74657">
            <w:pPr>
              <w:overflowPunct w:val="0"/>
              <w:autoSpaceDE w:val="0"/>
              <w:autoSpaceDN w:val="0"/>
              <w:adjustRightInd w:val="0"/>
              <w:spacing w:before="60" w:after="0"/>
              <w:jc w:val="center"/>
            </w:pPr>
            <w: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F40908D"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06F77651" w14:textId="77777777" w:rsidTr="003D7B82">
        <w:trPr>
          <w:trHeight w:val="20"/>
        </w:trPr>
        <w:tc>
          <w:tcPr>
            <w:tcW w:w="5000" w:type="pct"/>
            <w:gridSpan w:val="6"/>
            <w:tcBorders>
              <w:left w:val="single" w:sz="6" w:space="0" w:color="auto"/>
              <w:bottom w:val="single" w:sz="6" w:space="0" w:color="auto"/>
              <w:right w:val="single" w:sz="6" w:space="0" w:color="auto"/>
            </w:tcBorders>
            <w:shd w:val="clear" w:color="auto" w:fill="A6A6A6" w:themeFill="background1" w:themeFillShade="A6"/>
          </w:tcPr>
          <w:p w14:paraId="364B6F3E" w14:textId="77777777" w:rsidR="00A93FE3" w:rsidRPr="00E601CA" w:rsidRDefault="00A93FE3" w:rsidP="00F74657">
            <w:pPr>
              <w:keepNext/>
              <w:overflowPunct w:val="0"/>
              <w:autoSpaceDE w:val="0"/>
              <w:autoSpaceDN w:val="0"/>
              <w:adjustRightInd w:val="0"/>
              <w:spacing w:after="0"/>
              <w:jc w:val="center"/>
            </w:pPr>
            <w:r>
              <w:rPr>
                <w:shd w:val="clear" w:color="auto" w:fill="A6A6A6" w:themeFill="background1" w:themeFillShade="A6"/>
              </w:rPr>
              <w:t>Infrastruktur der Kategorie 5</w:t>
            </w:r>
          </w:p>
        </w:tc>
      </w:tr>
      <w:tr w:rsidR="00A93FE3" w:rsidRPr="00E601CA" w14:paraId="42B7361D"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82BE44" w14:textId="77777777" w:rsidR="00A93FE3" w:rsidRPr="00E601CA" w:rsidRDefault="00A93FE3" w:rsidP="00F74657">
            <w:pPr>
              <w:overflowPunct w:val="0"/>
              <w:autoSpaceDE w:val="0"/>
              <w:autoSpaceDN w:val="0"/>
              <w:adjustRightInd w:val="0"/>
              <w:spacing w:before="60" w:after="0"/>
              <w:jc w:val="center"/>
            </w:pPr>
            <w:r>
              <w:t>0-10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58CA236C" w14:textId="77777777" w:rsidR="00A93FE3" w:rsidRPr="00E601CA" w:rsidRDefault="00A93FE3" w:rsidP="00F74657">
            <w:pPr>
              <w:overflowPunct w:val="0"/>
              <w:autoSpaceDE w:val="0"/>
              <w:autoSpaceDN w:val="0"/>
              <w:adjustRightInd w:val="0"/>
              <w:spacing w:before="60" w:after="0"/>
              <w:jc w:val="center"/>
            </w:pPr>
            <w: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5DBDD594" w14:textId="77777777" w:rsidR="00A93FE3" w:rsidRPr="00E601CA" w:rsidRDefault="00A93FE3" w:rsidP="00F74657">
            <w:pPr>
              <w:overflowPunct w:val="0"/>
              <w:autoSpaceDE w:val="0"/>
              <w:autoSpaceDN w:val="0"/>
              <w:adjustRightInd w:val="0"/>
              <w:spacing w:before="60" w:after="0"/>
              <w:jc w:val="center"/>
            </w:pPr>
            <w: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56B76575" w14:textId="77777777" w:rsidR="00A93FE3" w:rsidRPr="00E601CA" w:rsidRDefault="00A93FE3" w:rsidP="00F74657">
            <w:pPr>
              <w:overflowPunct w:val="0"/>
              <w:autoSpaceDE w:val="0"/>
              <w:autoSpaceDN w:val="0"/>
              <w:adjustRightInd w:val="0"/>
              <w:spacing w:before="60" w:after="0"/>
              <w:jc w:val="center"/>
            </w:pPr>
            <w: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54BC1969" w14:textId="77777777" w:rsidR="00A93FE3" w:rsidRPr="00E601CA" w:rsidRDefault="00A93FE3" w:rsidP="00F74657">
            <w:pPr>
              <w:overflowPunct w:val="0"/>
              <w:autoSpaceDE w:val="0"/>
              <w:autoSpaceDN w:val="0"/>
              <w:adjustRightInd w:val="0"/>
              <w:spacing w:before="60" w:after="0"/>
              <w:jc w:val="center"/>
            </w:pPr>
            <w: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F27BE2A"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00C3B928"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A3BCBF" w14:textId="77777777" w:rsidR="00A93FE3" w:rsidRPr="00E601CA" w:rsidRDefault="00A93FE3" w:rsidP="00F74657">
            <w:pPr>
              <w:overflowPunct w:val="0"/>
              <w:autoSpaceDE w:val="0"/>
              <w:autoSpaceDN w:val="0"/>
              <w:adjustRightInd w:val="0"/>
              <w:spacing w:before="60" w:after="0"/>
              <w:jc w:val="center"/>
            </w:pPr>
            <w:r>
              <w:t>10-20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698CA66E" w14:textId="77777777" w:rsidR="00A93FE3" w:rsidRPr="00E601CA" w:rsidRDefault="00A93FE3" w:rsidP="00F74657">
            <w:pPr>
              <w:overflowPunct w:val="0"/>
              <w:autoSpaceDE w:val="0"/>
              <w:autoSpaceDN w:val="0"/>
              <w:adjustRightInd w:val="0"/>
              <w:spacing w:before="60" w:after="0"/>
              <w:jc w:val="center"/>
            </w:pPr>
            <w: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53D9A8E5" w14:textId="77777777" w:rsidR="00A93FE3" w:rsidRPr="00E601CA" w:rsidRDefault="00A93FE3" w:rsidP="00F74657">
            <w:pPr>
              <w:overflowPunct w:val="0"/>
              <w:autoSpaceDE w:val="0"/>
              <w:autoSpaceDN w:val="0"/>
              <w:adjustRightInd w:val="0"/>
              <w:spacing w:before="60" w:after="0"/>
              <w:jc w:val="center"/>
            </w:pPr>
            <w: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60313859" w14:textId="77777777" w:rsidR="00A93FE3" w:rsidRPr="00E601CA" w:rsidRDefault="00A93FE3" w:rsidP="00F74657">
            <w:pPr>
              <w:overflowPunct w:val="0"/>
              <w:autoSpaceDE w:val="0"/>
              <w:autoSpaceDN w:val="0"/>
              <w:adjustRightInd w:val="0"/>
              <w:spacing w:before="60" w:after="0"/>
              <w:jc w:val="center"/>
            </w:pPr>
            <w: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5B4BA265" w14:textId="77777777" w:rsidR="00A93FE3" w:rsidRPr="00E601CA" w:rsidRDefault="00A93FE3" w:rsidP="00F74657">
            <w:pPr>
              <w:overflowPunct w:val="0"/>
              <w:autoSpaceDE w:val="0"/>
              <w:autoSpaceDN w:val="0"/>
              <w:adjustRightInd w:val="0"/>
              <w:spacing w:before="60" w:after="0"/>
              <w:jc w:val="center"/>
            </w:pPr>
            <w: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FA1E463"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3CA2A351"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A2EB80" w14:textId="77777777" w:rsidR="00A93FE3" w:rsidRPr="00E601CA" w:rsidRDefault="00A93FE3" w:rsidP="00F74657">
            <w:pPr>
              <w:overflowPunct w:val="0"/>
              <w:autoSpaceDE w:val="0"/>
              <w:autoSpaceDN w:val="0"/>
              <w:adjustRightInd w:val="0"/>
              <w:spacing w:before="60" w:after="0"/>
              <w:jc w:val="center"/>
            </w:pPr>
            <w:r>
              <w:t>20-30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583181A4" w14:textId="77777777" w:rsidR="00A93FE3" w:rsidRPr="00E601CA" w:rsidRDefault="00A93FE3" w:rsidP="00F74657">
            <w:pPr>
              <w:overflowPunct w:val="0"/>
              <w:autoSpaceDE w:val="0"/>
              <w:autoSpaceDN w:val="0"/>
              <w:adjustRightInd w:val="0"/>
              <w:spacing w:before="60" w:after="0"/>
              <w:jc w:val="center"/>
            </w:pPr>
            <w: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7E47446B" w14:textId="77777777" w:rsidR="00A93FE3" w:rsidRPr="00E601CA" w:rsidRDefault="00A93FE3" w:rsidP="00F74657">
            <w:pPr>
              <w:overflowPunct w:val="0"/>
              <w:autoSpaceDE w:val="0"/>
              <w:autoSpaceDN w:val="0"/>
              <w:adjustRightInd w:val="0"/>
              <w:spacing w:before="60" w:after="0"/>
              <w:jc w:val="center"/>
              <w:rPr>
                <w:caps/>
              </w:rPr>
            </w:pPr>
            <w:r>
              <w:rPr>
                <w:caps/>
              </w:rP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0F18C6E4" w14:textId="77777777" w:rsidR="00A93FE3" w:rsidRPr="00E601CA" w:rsidRDefault="00A93FE3" w:rsidP="00F74657">
            <w:pPr>
              <w:overflowPunct w:val="0"/>
              <w:autoSpaceDE w:val="0"/>
              <w:autoSpaceDN w:val="0"/>
              <w:adjustRightInd w:val="0"/>
              <w:spacing w:before="60" w:after="0"/>
              <w:jc w:val="center"/>
              <w:rPr>
                <w:caps/>
              </w:rPr>
            </w:pPr>
            <w:r>
              <w:rPr>
                <w:caps/>
              </w:rP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4492E2C8" w14:textId="77777777" w:rsidR="00A93FE3" w:rsidRPr="00E601CA" w:rsidRDefault="00A93FE3" w:rsidP="00F74657">
            <w:pPr>
              <w:overflowPunct w:val="0"/>
              <w:autoSpaceDE w:val="0"/>
              <w:autoSpaceDN w:val="0"/>
              <w:adjustRightInd w:val="0"/>
              <w:spacing w:before="60" w:after="0"/>
              <w:jc w:val="center"/>
            </w:pPr>
            <w: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5212F736" w14:textId="77777777" w:rsidR="00A93FE3" w:rsidRPr="00E601CA" w:rsidRDefault="00A93FE3" w:rsidP="00F74657">
            <w:pPr>
              <w:overflowPunct w:val="0"/>
              <w:autoSpaceDE w:val="0"/>
              <w:autoSpaceDN w:val="0"/>
              <w:adjustRightInd w:val="0"/>
              <w:spacing w:before="60" w:after="0"/>
              <w:jc w:val="center"/>
            </w:pPr>
            <w:r>
              <w:t>BR1</w:t>
            </w:r>
          </w:p>
        </w:tc>
      </w:tr>
      <w:tr w:rsidR="00A93FE3" w:rsidRPr="00E601CA" w14:paraId="3F20A5CA" w14:textId="77777777" w:rsidTr="003D7B82">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66025F4" w14:textId="77777777" w:rsidR="00A93FE3" w:rsidRPr="00E601CA" w:rsidRDefault="00A93FE3" w:rsidP="00F74657">
            <w:pPr>
              <w:overflowPunct w:val="0"/>
              <w:autoSpaceDE w:val="0"/>
              <w:autoSpaceDN w:val="0"/>
              <w:adjustRightInd w:val="0"/>
              <w:spacing w:before="60" w:after="0"/>
              <w:jc w:val="center"/>
            </w:pPr>
            <w:r>
              <w:t>&gt; 30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719CDF13" w14:textId="77777777" w:rsidR="00A93FE3" w:rsidRPr="00E601CA" w:rsidRDefault="00A93FE3" w:rsidP="00F74657">
            <w:pPr>
              <w:overflowPunct w:val="0"/>
              <w:autoSpaceDE w:val="0"/>
              <w:autoSpaceDN w:val="0"/>
              <w:adjustRightInd w:val="0"/>
              <w:spacing w:before="60" w:after="0"/>
              <w:jc w:val="center"/>
            </w:pPr>
            <w:r>
              <w:t>BR1</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2A26C926" w14:textId="77777777" w:rsidR="00A93FE3" w:rsidRPr="00E601CA" w:rsidRDefault="00A93FE3" w:rsidP="00F74657">
            <w:pPr>
              <w:overflowPunct w:val="0"/>
              <w:autoSpaceDE w:val="0"/>
              <w:autoSpaceDN w:val="0"/>
              <w:adjustRightInd w:val="0"/>
              <w:spacing w:before="60" w:after="0"/>
              <w:jc w:val="center"/>
            </w:pPr>
            <w: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2CFF8A5A" w14:textId="77777777" w:rsidR="00A93FE3" w:rsidRPr="00E601CA" w:rsidRDefault="00A93FE3" w:rsidP="00F74657">
            <w:pPr>
              <w:overflowPunct w:val="0"/>
              <w:autoSpaceDE w:val="0"/>
              <w:autoSpaceDN w:val="0"/>
              <w:adjustRightInd w:val="0"/>
              <w:spacing w:before="60" w:after="0"/>
              <w:jc w:val="center"/>
            </w:pPr>
            <w: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626B667A" w14:textId="77777777" w:rsidR="00A93FE3" w:rsidRPr="00E601CA" w:rsidRDefault="00A93FE3" w:rsidP="00F74657">
            <w:pPr>
              <w:overflowPunct w:val="0"/>
              <w:autoSpaceDE w:val="0"/>
              <w:autoSpaceDN w:val="0"/>
              <w:adjustRightInd w:val="0"/>
              <w:spacing w:before="60" w:after="0"/>
              <w:jc w:val="center"/>
            </w:pPr>
            <w: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D47309C" w14:textId="77777777" w:rsidR="00A93FE3" w:rsidRPr="00E601CA" w:rsidRDefault="00A93FE3" w:rsidP="00F74657">
            <w:pPr>
              <w:overflowPunct w:val="0"/>
              <w:autoSpaceDE w:val="0"/>
              <w:autoSpaceDN w:val="0"/>
              <w:adjustRightInd w:val="0"/>
              <w:spacing w:before="60" w:after="0"/>
              <w:jc w:val="center"/>
            </w:pPr>
            <w:r>
              <w:t>BR1</w:t>
            </w:r>
          </w:p>
        </w:tc>
      </w:tr>
    </w:tbl>
    <w:p w14:paraId="62851D68" w14:textId="77777777" w:rsidR="00A93FE3" w:rsidRPr="00E601CA" w:rsidRDefault="00A93FE3" w:rsidP="004E68E1">
      <w:pPr>
        <w:pStyle w:val="Heading6"/>
        <w:keepNext w:val="0"/>
        <w:keepLines w:val="0"/>
        <w:numPr>
          <w:ilvl w:val="0"/>
          <w:numId w:val="0"/>
        </w:numPr>
      </w:pPr>
    </w:p>
    <w:p w14:paraId="27C6159F" w14:textId="77777777" w:rsidR="00A93FE3" w:rsidRPr="00E601CA" w:rsidRDefault="00A93FE3" w:rsidP="00A93FE3">
      <w:r>
        <w:t>Falls keine ausführliche Bestimmung vorliegt, entspricht die BR-Klasse einer Maueröffnung in einer Fassade der höchsten Klasse für Maueröffnungen in dieser Fassade.</w:t>
      </w:r>
    </w:p>
    <w:p w14:paraId="75382B62" w14:textId="47967808" w:rsidR="00A93FE3" w:rsidRPr="00E601CA" w:rsidRDefault="008203F4" w:rsidP="00F74657">
      <w:pPr>
        <w:pStyle w:val="Heading5"/>
        <w:keepNext/>
        <w:numPr>
          <w:ilvl w:val="0"/>
          <w:numId w:val="0"/>
        </w:numPr>
        <w:ind w:left="360" w:hanging="3"/>
      </w:pPr>
      <w:r>
        <w:rPr>
          <w:b w:val="0"/>
        </w:rPr>
        <w:t>TEIL IV:</w:t>
      </w:r>
      <w:r>
        <w:rPr>
          <w:b w:val="0"/>
        </w:rPr>
        <w:tab/>
      </w:r>
      <w:r>
        <w:t>Festlegung der Lärmexpositionsklasse eines Gebäudeteils</w:t>
      </w:r>
    </w:p>
    <w:p w14:paraId="06E53867" w14:textId="441E84F9" w:rsidR="00A93FE3" w:rsidRPr="00E601CA" w:rsidRDefault="00A93FE3" w:rsidP="00A93FE3">
      <w:r>
        <w:t>Ein Gebäudeteil oder eine Zone gilt als der Lärmexpositionsklasse BR3 zugehörig, wenn alle Maueröffnungen der Räume, aus denen diese(r) besteht, dem Lärm der Klasse BR3 ausgesetzt sind.</w:t>
      </w:r>
    </w:p>
    <w:p w14:paraId="268F2B6D" w14:textId="61E02ABB" w:rsidR="00965E1A" w:rsidRPr="00E601CA" w:rsidRDefault="00A93FE3" w:rsidP="00965E1A">
      <w:r>
        <w:t>Ein Gebäudeteil oder eine Zone gilt als der Lärmexpositionsklasse BR2 zugehörig, wenn alle Maueröffnungen der Räume, aus denen diese(r) besteht, dem Lärm der Klassen BR2 oder BR3 ausgesetzt sind und wenn mindestens eine der Maueröffnungen der Räume, aus denen diese(r) besteht, dem Lärm der Klasse BR2 ausgesetzt ist.</w:t>
      </w:r>
      <w:bookmarkStart w:id="66" w:name="_Ref57990317"/>
    </w:p>
    <w:p w14:paraId="61F2DFC5" w14:textId="56BCDDA0" w:rsidR="000523B4" w:rsidRPr="00E601CA" w:rsidRDefault="00A93FE3" w:rsidP="00965E1A">
      <w:r>
        <w:t>In den sonstigen Fällen gilt ein Gebäudeteil als der Lärmexpositionsklasse BR1 zugehörig.</w:t>
      </w:r>
      <w:bookmarkEnd w:id="66"/>
    </w:p>
    <w:p w14:paraId="21FE47C1" w14:textId="77777777" w:rsidR="00965E1A" w:rsidRPr="00E601CA" w:rsidRDefault="00965E1A" w:rsidP="00965E1A"/>
    <w:p w14:paraId="2DF5E3CE" w14:textId="7DECCCB1" w:rsidR="00713976" w:rsidRPr="00E601CA" w:rsidRDefault="003815E1" w:rsidP="00F74657">
      <w:pPr>
        <w:pStyle w:val="Heading4"/>
        <w:keepNext/>
        <w:numPr>
          <w:ilvl w:val="0"/>
          <w:numId w:val="0"/>
        </w:numPr>
      </w:pPr>
      <w:bookmarkStart w:id="67" w:name="_Ref57988857"/>
      <w:bookmarkStart w:id="68" w:name="_Ref49445701"/>
      <w:r>
        <w:rPr>
          <w:b w:val="0"/>
        </w:rPr>
        <w:t xml:space="preserve">ANHANG IV. </w:t>
      </w:r>
      <w:r>
        <w:t>(ANFORDERUNGSWERTE UND ZUGEHÖRIGE MODULATIONSKOEFFIZIENTEN)</w:t>
      </w:r>
      <w:bookmarkEnd w:id="67"/>
      <w:r>
        <w:t xml:space="preserve"> </w:t>
      </w:r>
      <w:bookmarkEnd w:id="68"/>
    </w:p>
    <w:p w14:paraId="67A07CD3" w14:textId="518D36BC" w:rsidR="007B643E" w:rsidRPr="00E601CA" w:rsidRDefault="008203F4" w:rsidP="00F74657">
      <w:pPr>
        <w:pStyle w:val="Heading5"/>
        <w:keepNext/>
        <w:numPr>
          <w:ilvl w:val="0"/>
          <w:numId w:val="0"/>
        </w:numPr>
        <w:ind w:left="360" w:hanging="3"/>
      </w:pPr>
      <w:r>
        <w:rPr>
          <w:b w:val="0"/>
        </w:rPr>
        <w:t>TEIL I:</w:t>
      </w:r>
      <w:r>
        <w:rPr>
          <w:b w:val="0"/>
        </w:rPr>
        <w:tab/>
      </w:r>
      <w:r>
        <w:t>Allgemeine Betrachtungen</w:t>
      </w:r>
    </w:p>
    <w:p w14:paraId="54162DB7" w14:textId="568FC4E9" w:rsidR="00A02594" w:rsidRPr="00E601CA" w:rsidRDefault="00E8319A" w:rsidP="00E8319A">
      <w:pPr>
        <w:pStyle w:val="Heading6"/>
        <w:numPr>
          <w:ilvl w:val="0"/>
          <w:numId w:val="32"/>
        </w:numPr>
      </w:pPr>
      <w:r>
        <w:t>Durchschnittliche Fläche von Wohnungen</w:t>
      </w:r>
    </w:p>
    <w:p w14:paraId="4C30180E" w14:textId="3E837570" w:rsidR="00D26A4E" w:rsidRDefault="00A02594" w:rsidP="007B643E">
      <w:pPr>
        <w:rPr>
          <w:rFonts w:eastAsiaTheme="minorEastAsia"/>
          <w:iCs/>
        </w:rPr>
      </w:pPr>
      <w:r>
        <w:t xml:space="preserve">Die durchschnittliche Fläche der Wohnungen in dem Gebäude oder Gebäudeteil mit der Bezeichnung </w:t>
      </w:r>
      <w:r>
        <w:rPr>
          <w:rFonts w:ascii="Cambria Math" w:hAnsi="Cambria Math"/>
          <w:i/>
        </w:rPr>
        <w:t>Smoy</w:t>
      </w:r>
      <w:r>
        <w:rPr>
          <w:rFonts w:ascii="Cambria Math" w:hAnsi="Cambria Math"/>
          <w:i/>
          <w:vertAlign w:val="subscript"/>
        </w:rPr>
        <w:t>lgt</w:t>
      </w:r>
      <w:r>
        <w:t xml:space="preserve"> wird wie folgt berechnet: </w:t>
      </w:r>
      <w:r>
        <w:rPr>
          <w:noProof/>
          <w:lang w:val="en-US" w:eastAsia="en-US"/>
        </w:rPr>
        <mc:AlternateContent>
          <mc:Choice Requires="wps">
            <w:drawing>
              <wp:inline distT="0" distB="0" distL="0" distR="0" wp14:anchorId="023747FA" wp14:editId="78C853D6">
                <wp:extent cx="1060938" cy="345831"/>
                <wp:effectExtent l="0" t="0" r="635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938" cy="345831"/>
                        </a:xfrm>
                        <a:prstGeom prst="rect">
                          <a:avLst/>
                        </a:prstGeom>
                        <a:solidFill>
                          <a:srgbClr val="FFFFFF"/>
                        </a:solid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
                              <w:gridCol w:w="591"/>
                            </w:tblGrid>
                            <w:tr w:rsidR="00EE4B5B" w14:paraId="5B4E60E7" w14:textId="77777777" w:rsidTr="00D26A4E">
                              <w:tc>
                                <w:tcPr>
                                  <w:tcW w:w="0" w:type="auto"/>
                                  <w:vMerge w:val="restart"/>
                                  <w:vAlign w:val="center"/>
                                </w:tcPr>
                                <w:p w14:paraId="26322CFC" w14:textId="77777777" w:rsidR="00EE4B5B" w:rsidRDefault="00EE4B5B">
                                  <w:r>
                                    <w:rPr>
                                      <w:rFonts w:ascii="Cambria Math" w:hAnsi="Cambria Math"/>
                                      <w:i/>
                                    </w:rPr>
                                    <w:t>Smoy</w:t>
                                  </w:r>
                                  <w:r>
                                    <w:rPr>
                                      <w:rFonts w:ascii="Cambria Math" w:hAnsi="Cambria Math"/>
                                      <w:i/>
                                      <w:vertAlign w:val="subscript"/>
                                    </w:rPr>
                                    <w:t>lgt</w:t>
                                  </w:r>
                                </w:p>
                              </w:tc>
                              <w:tc>
                                <w:tcPr>
                                  <w:tcW w:w="0" w:type="auto"/>
                                  <w:vAlign w:val="center"/>
                                </w:tcPr>
                                <w:p w14:paraId="6DF496E9" w14:textId="77777777" w:rsidR="00EE4B5B" w:rsidRPr="00D26A4E" w:rsidRDefault="00EE4B5B">
                                  <w:pPr>
                                    <w:rPr>
                                      <w:rFonts w:ascii="Cambria Math" w:hAnsi="Cambria Math" w:hint="eastAsia"/>
                                      <w:i/>
                                    </w:rPr>
                                  </w:pPr>
                                  <w:r>
                                    <w:rPr>
                                      <w:rFonts w:ascii="Cambria Math" w:hAnsi="Cambria Math"/>
                                      <w:i/>
                                    </w:rPr>
                                    <w:t>Sref</w:t>
                                  </w:r>
                                </w:p>
                              </w:tc>
                            </w:tr>
                            <w:tr w:rsidR="00EE4B5B" w14:paraId="0827043D" w14:textId="77777777" w:rsidTr="00D26A4E">
                              <w:tc>
                                <w:tcPr>
                                  <w:tcW w:w="0" w:type="auto"/>
                                  <w:vMerge/>
                                  <w:vAlign w:val="center"/>
                                </w:tcPr>
                                <w:p w14:paraId="68E86C49" w14:textId="77777777" w:rsidR="00EE4B5B" w:rsidRDefault="00EE4B5B">
                                  <w:pPr>
                                    <w:rPr>
                                      <w:lang w:val="en-US"/>
                                    </w:rPr>
                                  </w:pPr>
                                </w:p>
                              </w:tc>
                              <w:tc>
                                <w:tcPr>
                                  <w:tcW w:w="0" w:type="auto"/>
                                  <w:vAlign w:val="center"/>
                                </w:tcPr>
                                <w:p w14:paraId="378F1BB7" w14:textId="77777777" w:rsidR="00EE4B5B" w:rsidRPr="00D26A4E" w:rsidRDefault="00EE4B5B">
                                  <w:pPr>
                                    <w:rPr>
                                      <w:rFonts w:ascii="Cambria Math" w:hAnsi="Cambria Math" w:hint="eastAsia"/>
                                      <w:i/>
                                    </w:rPr>
                                  </w:pPr>
                                  <w:r>
                                    <w:rPr>
                                      <w:rFonts w:ascii="Cambria Math" w:hAnsi="Cambria Math"/>
                                      <w:i/>
                                    </w:rPr>
                                    <w:t>N</w:t>
                                  </w:r>
                                  <w:r>
                                    <w:rPr>
                                      <w:rFonts w:ascii="Cambria Math" w:hAnsi="Cambria Math"/>
                                      <w:i/>
                                      <w:vertAlign w:val="subscript"/>
                                    </w:rPr>
                                    <w:t>L</w:t>
                                  </w:r>
                                </w:p>
                              </w:tc>
                            </w:tr>
                          </w:tbl>
                          <w:p w14:paraId="5BDA59F2" w14:textId="77777777" w:rsidR="00EE4B5B" w:rsidRPr="00D26A4E" w:rsidRDefault="00EE4B5B" w:rsidP="00D26A4E">
                            <w:pPr>
                              <w:rPr>
                                <w:lang w:val="en-US"/>
                              </w:rPr>
                            </w:pPr>
                          </w:p>
                        </w:txbxContent>
                      </wps:txbx>
                      <wps:bodyPr rot="0" vert="horz" wrap="square" lIns="0" tIns="0" rIns="0" bIns="0" anchor="t" anchorCtr="0">
                        <a:noAutofit/>
                      </wps:bodyPr>
                    </wps:wsp>
                  </a:graphicData>
                </a:graphic>
              </wp:inline>
            </w:drawing>
          </mc:Choice>
          <mc:Fallback>
            <w:pict>
              <v:shapetype w14:anchorId="023747FA" id="_x0000_t202" coordsize="21600,21600" o:spt="202" path="m,l,21600r21600,l21600,xe">
                <v:stroke joinstyle="miter"/>
                <v:path gradientshapeok="t" o:connecttype="rect"/>
              </v:shapetype>
              <v:shape id="Text Box 2" o:spid="_x0000_s1026" type="#_x0000_t202" style="width:83.5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"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
                        <w:gridCol w:w="591"/>
                      </w:tblGrid>
                      <w:tr w:rsidR="00EE4B5B" w14:paraId="5B4E60E7" w14:textId="77777777" w:rsidTr="00D26A4E">
                        <w:tc>
                          <w:tcPr>
                            <w:tcW w:w="0" w:type="auto"/>
                            <w:vMerge w:val="restart"/>
                            <w:vAlign w:val="center"/>
                          </w:tcPr>
                          <w:p w14:paraId="26322CFC" w14:textId="77777777" w:rsidR="00EE4B5B" w:rsidRDefault="00EE4B5B">
                            <w:r>
                              <w:rPr>
                                <w:rFonts w:ascii="Cambria Math" w:hAnsi="Cambria Math"/>
                                <w:i/>
                              </w:rPr>
                              <w:t>Smoy</w:t>
                            </w:r>
                            <w:r>
                              <w:rPr>
                                <w:rFonts w:ascii="Cambria Math" w:hAnsi="Cambria Math"/>
                                <w:i/>
                                <w:vertAlign w:val="subscript"/>
                              </w:rPr>
                              <w:t>lgt</w:t>
                            </w:r>
                          </w:p>
                        </w:tc>
                        <w:tc>
                          <w:tcPr>
                            <w:tcW w:w="0" w:type="auto"/>
                            <w:vAlign w:val="center"/>
                          </w:tcPr>
                          <w:p w14:paraId="6DF496E9" w14:textId="77777777" w:rsidR="00EE4B5B" w:rsidRPr="00D26A4E" w:rsidRDefault="00EE4B5B">
                            <w:pPr>
                              <w:rPr>
                                <w:rFonts w:ascii="Cambria Math" w:hAnsi="Cambria Math" w:hint="eastAsia"/>
                                <w:i/>
                              </w:rPr>
                            </w:pPr>
                            <w:r>
                              <w:rPr>
                                <w:rFonts w:ascii="Cambria Math" w:hAnsi="Cambria Math"/>
                                <w:i/>
                              </w:rPr>
                              <w:t>Sref</w:t>
                            </w:r>
                          </w:p>
                        </w:tc>
                      </w:tr>
                      <w:tr w:rsidR="00EE4B5B" w14:paraId="0827043D" w14:textId="77777777" w:rsidTr="00D26A4E">
                        <w:tc>
                          <w:tcPr>
                            <w:tcW w:w="0" w:type="auto"/>
                            <w:vMerge/>
                            <w:vAlign w:val="center"/>
                          </w:tcPr>
                          <w:p w14:paraId="68E86C49" w14:textId="77777777" w:rsidR="00EE4B5B" w:rsidRDefault="00EE4B5B">
                            <w:pPr>
                              <w:rPr>
                                <w:lang w:val="en-US"/>
                              </w:rPr>
                            </w:pPr>
                          </w:p>
                        </w:tc>
                        <w:tc>
                          <w:tcPr>
                            <w:tcW w:w="0" w:type="auto"/>
                            <w:vAlign w:val="center"/>
                          </w:tcPr>
                          <w:p w14:paraId="378F1BB7" w14:textId="77777777" w:rsidR="00EE4B5B" w:rsidRPr="00D26A4E" w:rsidRDefault="00EE4B5B">
                            <w:pPr>
                              <w:rPr>
                                <w:rFonts w:ascii="Cambria Math" w:hAnsi="Cambria Math" w:hint="eastAsia"/>
                                <w:i/>
                              </w:rPr>
                            </w:pPr>
                            <w:r>
                              <w:rPr>
                                <w:rFonts w:ascii="Cambria Math" w:hAnsi="Cambria Math"/>
                                <w:i/>
                              </w:rPr>
                              <w:t>N</w:t>
                            </w:r>
                            <w:r>
                              <w:rPr>
                                <w:rFonts w:ascii="Cambria Math" w:hAnsi="Cambria Math"/>
                                <w:i/>
                                <w:vertAlign w:val="subscript"/>
                              </w:rPr>
                              <w:t>L</w:t>
                            </w:r>
                          </w:p>
                        </w:tc>
                      </w:tr>
                    </w:tbl>
                    <w:p w14:paraId="5BDA59F2" w14:textId="77777777" w:rsidR="00EE4B5B" w:rsidRPr="00D26A4E" w:rsidRDefault="00EE4B5B" w:rsidP="00D26A4E">
                      <w:pPr>
                        <w:rPr>
                          <w:lang w:val="en-US"/>
                        </w:rPr>
                      </w:pPr>
                    </w:p>
                  </w:txbxContent>
                </v:textbox>
                <w10:anchorlock/>
              </v:shape>
            </w:pict>
          </mc:Fallback>
        </mc:AlternateContent>
      </w:r>
      <w:r>
        <w:t>, wobei N</w:t>
      </w:r>
      <w:r>
        <w:rPr>
          <w:vertAlign w:val="subscript"/>
        </w:rPr>
        <w:t>L</w:t>
      </w:r>
      <w:r>
        <w:t xml:space="preserve"> die Anzahl der Wohnungen in dem Gebäude oder Gebäudeteil angibt.</w:t>
      </w:r>
    </w:p>
    <w:p w14:paraId="6C7BD578" w14:textId="1774269C" w:rsidR="00E8319A" w:rsidRPr="00E601CA" w:rsidRDefault="00E8319A" w:rsidP="00E8319A">
      <w:pPr>
        <w:pStyle w:val="Heading6"/>
      </w:pPr>
      <w:r>
        <w:lastRenderedPageBreak/>
        <w:t>Kategorie der Außenbelastung</w:t>
      </w:r>
    </w:p>
    <w:p w14:paraId="7E5FDB8B" w14:textId="21E8FA91" w:rsidR="00E8319A" w:rsidRPr="00E601CA" w:rsidRDefault="00E8319A" w:rsidP="00E8319A">
      <w:r>
        <w:t xml:space="preserve">Die Kategorie der Außenbelastung eines thermisch homogenen Gebäudeteils und einer Zone wird durch die Kategorie der Außenbelastung der Räume, aus denen diese(r) besteht, festgelegt. </w:t>
      </w:r>
    </w:p>
    <w:p w14:paraId="3866E6E8" w14:textId="08AFA81C" w:rsidR="00E8319A" w:rsidRPr="00E601CA" w:rsidRDefault="00E8319A" w:rsidP="00E8319A">
      <w:r>
        <w:t>Ein thermisch homogener Gebäudeteil oder eine Zone entspricht der Kategorie 2, wenn alle darin enthaltenen Räume, abgesehen von gelegentlich genutzten Räumen, der Kategorie 2 entsprechen. In den sonstigen Fällen gehören sie der Kategorie 1 an.</w:t>
      </w:r>
    </w:p>
    <w:p w14:paraId="5EB51DE2" w14:textId="79995ABF" w:rsidR="00E8319A" w:rsidRPr="00E601CA" w:rsidRDefault="00E8319A" w:rsidP="00E8319A">
      <w:r>
        <w:t xml:space="preserve">Ein Raum entspricht der Kategorie 2, wenn er mit einer Klimaanlage ausstattet ist und sofern eine der folgenden Bedingungen erfüllt ist: </w:t>
      </w:r>
    </w:p>
    <w:p w14:paraId="65484B81" w14:textId="4B1D78E2" w:rsidR="00E8319A" w:rsidRPr="00E601CA" w:rsidRDefault="00E8319A" w:rsidP="00E8319A">
      <w:r>
        <w:t xml:space="preserve">– Der Raum befindet sich in einem Wohngebiet, seine Maueröffnungen sind Lärm der Kategorie BR2 oder BR3 ausgesetzt und das Gebäude wurde in der klimatischen Zone H2d oder H3 in einer Höhe von weniger als 400 m gebaut. </w:t>
      </w:r>
    </w:p>
    <w:p w14:paraId="21857CFD" w14:textId="748A77A1" w:rsidR="00E8319A" w:rsidRPr="00E601CA" w:rsidRDefault="00E8319A" w:rsidP="00E8319A">
      <w:pPr>
        <w:spacing w:after="0" w:line="240" w:lineRule="auto"/>
        <w:jc w:val="left"/>
        <w:rPr>
          <w:rFonts w:ascii="Times New Roman" w:hAnsi="Times New Roman" w:cs="Times New Roman"/>
          <w:sz w:val="24"/>
          <w:szCs w:val="24"/>
        </w:rPr>
      </w:pPr>
      <w:r>
        <w:t>In den sonstigen Fällen gehört der Raum der Kategorie 1 an</w:t>
      </w:r>
      <w:r>
        <w:rPr>
          <w:rFonts w:ascii="Times New Roman" w:hAnsi="Times New Roman"/>
          <w:sz w:val="24"/>
        </w:rPr>
        <w:t>.</w:t>
      </w:r>
    </w:p>
    <w:p w14:paraId="189C3CF8" w14:textId="3D79D9C1" w:rsidR="007B643E" w:rsidRPr="00E601CA" w:rsidRDefault="008203F4" w:rsidP="00F74657">
      <w:pPr>
        <w:pStyle w:val="Heading5"/>
        <w:keepNext/>
        <w:numPr>
          <w:ilvl w:val="0"/>
          <w:numId w:val="0"/>
        </w:numPr>
        <w:ind w:left="360" w:hanging="3"/>
      </w:pPr>
      <w:r>
        <w:rPr>
          <w:b w:val="0"/>
        </w:rPr>
        <w:t>TEIL II:</w:t>
      </w:r>
      <w:r>
        <w:rPr>
          <w:b w:val="0"/>
        </w:rPr>
        <w:tab/>
      </w:r>
      <w:r>
        <w:t>Werte der Koeffizienten (Bbio_max) gemäß Artikel 12</w:t>
      </w:r>
    </w:p>
    <w:p w14:paraId="1C6D19A8" w14:textId="41701527" w:rsidR="007B643E" w:rsidRPr="00E601CA" w:rsidRDefault="007B643E" w:rsidP="00E8319A">
      <w:pPr>
        <w:pStyle w:val="Heading6"/>
        <w:numPr>
          <w:ilvl w:val="0"/>
          <w:numId w:val="19"/>
        </w:numPr>
        <w:ind w:left="754" w:hanging="357"/>
      </w:pPr>
      <w:r>
        <w:t>Werte von Bbio_maxmoyen</w:t>
      </w:r>
    </w:p>
    <w:p w14:paraId="03E843F3" w14:textId="2E6AEE66" w:rsidR="007B643E" w:rsidRPr="00E601CA" w:rsidRDefault="007B643E" w:rsidP="00445109">
      <w:pPr>
        <w:keepNext/>
      </w:pPr>
      <w:r>
        <w:t>Der Koeffizient Bbio_maxmoyen nimmt je nach Nutzung des Gebäudeteils folgende Werte an:</w:t>
      </w:r>
    </w:p>
    <w:tbl>
      <w:tblPr>
        <w:tblStyle w:val="TableGrid"/>
        <w:tblW w:w="0" w:type="auto"/>
        <w:tblInd w:w="1271" w:type="dxa"/>
        <w:tblLook w:val="04A0" w:firstRow="1" w:lastRow="0" w:firstColumn="1" w:lastColumn="0" w:noHBand="0" w:noVBand="1"/>
      </w:tblPr>
      <w:tblGrid>
        <w:gridCol w:w="3260"/>
        <w:gridCol w:w="2694"/>
      </w:tblGrid>
      <w:tr w:rsidR="007B643E" w:rsidRPr="00E601CA" w14:paraId="53BE2849" w14:textId="77777777" w:rsidTr="006C7734">
        <w:tc>
          <w:tcPr>
            <w:tcW w:w="3260" w:type="dxa"/>
            <w:shd w:val="clear" w:color="auto" w:fill="A6A6A6" w:themeFill="background1" w:themeFillShade="A6"/>
            <w:vAlign w:val="center"/>
          </w:tcPr>
          <w:p w14:paraId="0ACA81EB" w14:textId="41B99B81" w:rsidR="007B643E" w:rsidRPr="00E601CA" w:rsidRDefault="007B643E" w:rsidP="00445109">
            <w:pPr>
              <w:keepNext/>
              <w:jc w:val="center"/>
            </w:pPr>
            <w:r>
              <w:t>Nutzung des Gebäudeteils</w:t>
            </w:r>
          </w:p>
        </w:tc>
        <w:tc>
          <w:tcPr>
            <w:tcW w:w="2694" w:type="dxa"/>
            <w:shd w:val="clear" w:color="auto" w:fill="A6A6A6" w:themeFill="background1" w:themeFillShade="A6"/>
            <w:vAlign w:val="center"/>
          </w:tcPr>
          <w:p w14:paraId="15E6D676" w14:textId="4111AC76" w:rsidR="007B643E" w:rsidRPr="00E601CA" w:rsidRDefault="007B643E" w:rsidP="00445109">
            <w:pPr>
              <w:keepNext/>
              <w:jc w:val="center"/>
            </w:pPr>
            <w:r>
              <w:t>Wert von Bbio_maxmoyen</w:t>
            </w:r>
          </w:p>
        </w:tc>
      </w:tr>
      <w:tr w:rsidR="007B643E" w:rsidRPr="00E601CA" w14:paraId="2849D2D0" w14:textId="77777777" w:rsidTr="006C7734">
        <w:tc>
          <w:tcPr>
            <w:tcW w:w="3260" w:type="dxa"/>
            <w:shd w:val="clear" w:color="auto" w:fill="F2F2F2" w:themeFill="background1" w:themeFillShade="F2"/>
            <w:vAlign w:val="center"/>
          </w:tcPr>
          <w:p w14:paraId="411C53EF" w14:textId="117D5E6E" w:rsidR="007B643E" w:rsidRPr="00E601CA" w:rsidRDefault="007B643E" w:rsidP="003D7B82">
            <w:pPr>
              <w:jc w:val="left"/>
            </w:pPr>
            <w:r>
              <w:t>Einfamilienhäuser oder Reihenhäuser</w:t>
            </w:r>
          </w:p>
        </w:tc>
        <w:tc>
          <w:tcPr>
            <w:tcW w:w="2694" w:type="dxa"/>
            <w:vAlign w:val="center"/>
          </w:tcPr>
          <w:p w14:paraId="76CCC260" w14:textId="25F424BD" w:rsidR="007B643E" w:rsidRPr="00E601CA" w:rsidRDefault="006C7734" w:rsidP="003D7B82">
            <w:pPr>
              <w:jc w:val="center"/>
            </w:pPr>
            <w:r>
              <w:t>63 Punkte</w:t>
            </w:r>
          </w:p>
        </w:tc>
      </w:tr>
      <w:tr w:rsidR="007B643E" w:rsidRPr="00E601CA" w14:paraId="148814FF" w14:textId="77777777" w:rsidTr="006C7734">
        <w:tc>
          <w:tcPr>
            <w:tcW w:w="3260" w:type="dxa"/>
            <w:shd w:val="clear" w:color="auto" w:fill="F2F2F2" w:themeFill="background1" w:themeFillShade="F2"/>
            <w:vAlign w:val="center"/>
          </w:tcPr>
          <w:p w14:paraId="33294BCE" w14:textId="6020E8E1" w:rsidR="007B643E" w:rsidRPr="00E601CA" w:rsidRDefault="007B643E" w:rsidP="003D7B82">
            <w:pPr>
              <w:jc w:val="left"/>
            </w:pPr>
            <w:r>
              <w:t>Mehrfamilienhäuser</w:t>
            </w:r>
          </w:p>
        </w:tc>
        <w:tc>
          <w:tcPr>
            <w:tcW w:w="2694" w:type="dxa"/>
            <w:vAlign w:val="center"/>
          </w:tcPr>
          <w:p w14:paraId="524DFA4C" w14:textId="668866AB" w:rsidR="007B643E" w:rsidRPr="00E601CA" w:rsidRDefault="007B643E" w:rsidP="003D7B82">
            <w:pPr>
              <w:jc w:val="center"/>
            </w:pPr>
            <w:r>
              <w:t>65 Punkte</w:t>
            </w:r>
          </w:p>
        </w:tc>
      </w:tr>
      <w:tr w:rsidR="007B643E" w:rsidRPr="00E601CA" w14:paraId="1CBF8FDA" w14:textId="77777777" w:rsidTr="006C7734">
        <w:tc>
          <w:tcPr>
            <w:tcW w:w="3260" w:type="dxa"/>
            <w:shd w:val="clear" w:color="auto" w:fill="F2F2F2" w:themeFill="background1" w:themeFillShade="F2"/>
            <w:vAlign w:val="center"/>
          </w:tcPr>
          <w:p w14:paraId="439A36E1" w14:textId="1AE562BA" w:rsidR="007B643E" w:rsidRPr="00E601CA" w:rsidRDefault="007B643E" w:rsidP="003D7B82">
            <w:pPr>
              <w:jc w:val="left"/>
            </w:pPr>
            <w:r>
              <w:t>Bürogebäude</w:t>
            </w:r>
          </w:p>
        </w:tc>
        <w:tc>
          <w:tcPr>
            <w:tcW w:w="2694" w:type="dxa"/>
            <w:vAlign w:val="center"/>
          </w:tcPr>
          <w:p w14:paraId="0E383114" w14:textId="77777777" w:rsidR="007B643E" w:rsidRPr="00E601CA" w:rsidRDefault="007B643E" w:rsidP="003D7B82">
            <w:pPr>
              <w:jc w:val="center"/>
            </w:pPr>
          </w:p>
        </w:tc>
      </w:tr>
      <w:tr w:rsidR="007B643E" w:rsidRPr="00E601CA" w14:paraId="786885E7" w14:textId="77777777" w:rsidTr="006C7734">
        <w:tc>
          <w:tcPr>
            <w:tcW w:w="3260" w:type="dxa"/>
            <w:shd w:val="clear" w:color="auto" w:fill="F2F2F2" w:themeFill="background1" w:themeFillShade="F2"/>
            <w:vAlign w:val="center"/>
          </w:tcPr>
          <w:p w14:paraId="7BFE71E3" w14:textId="7F1F2A9D" w:rsidR="007B643E" w:rsidRPr="00E601CA" w:rsidRDefault="007B643E" w:rsidP="003D7B82">
            <w:pPr>
              <w:jc w:val="left"/>
            </w:pPr>
            <w:r>
              <w:t>Unterrichtsgebäude</w:t>
            </w:r>
          </w:p>
        </w:tc>
        <w:tc>
          <w:tcPr>
            <w:tcW w:w="2694" w:type="dxa"/>
            <w:vAlign w:val="center"/>
          </w:tcPr>
          <w:p w14:paraId="6B640D8B" w14:textId="77777777" w:rsidR="007B643E" w:rsidRPr="00E601CA" w:rsidRDefault="007B643E" w:rsidP="003D7B82">
            <w:pPr>
              <w:jc w:val="center"/>
            </w:pPr>
          </w:p>
        </w:tc>
      </w:tr>
    </w:tbl>
    <w:p w14:paraId="57488E41" w14:textId="6213858D" w:rsidR="007B643E" w:rsidRPr="00E601CA" w:rsidRDefault="007B643E" w:rsidP="00F74657"/>
    <w:p w14:paraId="21F7525C" w14:textId="1705C23C" w:rsidR="007B643E" w:rsidRPr="00E601CA" w:rsidRDefault="007B643E" w:rsidP="00A02594">
      <w:pPr>
        <w:pStyle w:val="Heading6"/>
      </w:pPr>
      <w:r>
        <w:t>Werte der Modulationskoeffizienten der Anforderung Bbio_max</w:t>
      </w:r>
    </w:p>
    <w:p w14:paraId="52F943D9" w14:textId="119C5AC2" w:rsidR="007B643E" w:rsidRPr="00E601CA" w:rsidRDefault="007B643E" w:rsidP="00A02594">
      <w:pPr>
        <w:pStyle w:val="Heading7"/>
      </w:pPr>
      <w:r>
        <w:t>Einfamilienhäuser oder Reihenhäuser</w:t>
      </w:r>
    </w:p>
    <w:p w14:paraId="1DD49BFC" w14:textId="3E36F4BF" w:rsidR="007B643E" w:rsidRPr="00E601CA" w:rsidRDefault="007B643E" w:rsidP="00445109">
      <w:pPr>
        <w:keepNext/>
      </w:pPr>
      <w:r>
        <w:t xml:space="preserve">Der Koeffizient </w:t>
      </w:r>
      <w:r>
        <w:rPr>
          <w:b/>
        </w:rPr>
        <w:t>Mbgéo</w:t>
      </w:r>
      <w:r>
        <w:t xml:space="preserve"> zur Modulierung von Bbio_max je nach der geografischen Lage (klimatische Zone und Höhe) des Gebäudes nimmt folgende Werte an:</w:t>
      </w:r>
    </w:p>
    <w:tbl>
      <w:tblPr>
        <w:tblStyle w:val="TableGrid"/>
        <w:tblW w:w="10220" w:type="dxa"/>
        <w:tblLook w:val="0600" w:firstRow="0" w:lastRow="0" w:firstColumn="0" w:lastColumn="0" w:noHBand="1" w:noVBand="1"/>
      </w:tblPr>
      <w:tblGrid>
        <w:gridCol w:w="2714"/>
        <w:gridCol w:w="939"/>
        <w:gridCol w:w="939"/>
        <w:gridCol w:w="938"/>
        <w:gridCol w:w="938"/>
        <w:gridCol w:w="938"/>
        <w:gridCol w:w="938"/>
        <w:gridCol w:w="938"/>
        <w:gridCol w:w="938"/>
      </w:tblGrid>
      <w:tr w:rsidR="007B643E" w:rsidRPr="00E601CA" w14:paraId="4AB3E063" w14:textId="77777777" w:rsidTr="003D7B82">
        <w:tc>
          <w:tcPr>
            <w:tcW w:w="2714" w:type="dxa"/>
            <w:tcBorders>
              <w:tl2br w:val="single" w:sz="4" w:space="0" w:color="auto"/>
            </w:tcBorders>
            <w:shd w:val="clear" w:color="auto" w:fill="A6A6A6" w:themeFill="background1" w:themeFillShade="A6"/>
            <w:hideMark/>
          </w:tcPr>
          <w:p w14:paraId="736C6F14" w14:textId="77777777" w:rsidR="007B643E" w:rsidRPr="00E601CA" w:rsidRDefault="007B643E" w:rsidP="00445109">
            <w:pPr>
              <w:keepNext/>
              <w:jc w:val="right"/>
            </w:pPr>
            <w:r>
              <w:t xml:space="preserve">Klimatische Zone </w:t>
            </w:r>
          </w:p>
          <w:p w14:paraId="2CDE3B01" w14:textId="63B094EE" w:rsidR="007B643E" w:rsidRPr="00E601CA" w:rsidRDefault="007B643E" w:rsidP="00445109">
            <w:pPr>
              <w:keepNext/>
            </w:pPr>
            <w:r>
              <w:t>Höhe</w:t>
            </w:r>
          </w:p>
        </w:tc>
        <w:tc>
          <w:tcPr>
            <w:tcW w:w="939" w:type="dxa"/>
            <w:shd w:val="clear" w:color="auto" w:fill="A6A6A6" w:themeFill="background1" w:themeFillShade="A6"/>
            <w:vAlign w:val="center"/>
            <w:hideMark/>
          </w:tcPr>
          <w:p w14:paraId="648A61B7" w14:textId="77777777" w:rsidR="007B643E" w:rsidRPr="00E601CA" w:rsidRDefault="007B643E" w:rsidP="00445109">
            <w:pPr>
              <w:keepNext/>
              <w:jc w:val="center"/>
            </w:pPr>
            <w:r>
              <w:t>H1a</w:t>
            </w:r>
          </w:p>
        </w:tc>
        <w:tc>
          <w:tcPr>
            <w:tcW w:w="939" w:type="dxa"/>
            <w:shd w:val="clear" w:color="auto" w:fill="A6A6A6" w:themeFill="background1" w:themeFillShade="A6"/>
            <w:vAlign w:val="center"/>
            <w:hideMark/>
          </w:tcPr>
          <w:p w14:paraId="2BD386D8" w14:textId="77777777" w:rsidR="007B643E" w:rsidRPr="00E601CA" w:rsidRDefault="007B643E" w:rsidP="00445109">
            <w:pPr>
              <w:keepNext/>
              <w:jc w:val="center"/>
            </w:pPr>
            <w:r>
              <w:t>H1b</w:t>
            </w:r>
          </w:p>
        </w:tc>
        <w:tc>
          <w:tcPr>
            <w:tcW w:w="938" w:type="dxa"/>
            <w:shd w:val="clear" w:color="auto" w:fill="A6A6A6" w:themeFill="background1" w:themeFillShade="A6"/>
            <w:vAlign w:val="center"/>
            <w:hideMark/>
          </w:tcPr>
          <w:p w14:paraId="6CE8CC61" w14:textId="77777777" w:rsidR="007B643E" w:rsidRPr="00E601CA" w:rsidRDefault="007B643E" w:rsidP="00445109">
            <w:pPr>
              <w:keepNext/>
              <w:jc w:val="center"/>
            </w:pPr>
            <w:r>
              <w:t>H1c</w:t>
            </w:r>
          </w:p>
        </w:tc>
        <w:tc>
          <w:tcPr>
            <w:tcW w:w="938" w:type="dxa"/>
            <w:shd w:val="clear" w:color="auto" w:fill="A6A6A6" w:themeFill="background1" w:themeFillShade="A6"/>
            <w:vAlign w:val="center"/>
            <w:hideMark/>
          </w:tcPr>
          <w:p w14:paraId="39F5A31E" w14:textId="77777777" w:rsidR="007B643E" w:rsidRPr="00E601CA" w:rsidRDefault="007B643E" w:rsidP="00445109">
            <w:pPr>
              <w:keepNext/>
              <w:jc w:val="center"/>
            </w:pPr>
            <w:r>
              <w:t>H2a</w:t>
            </w:r>
          </w:p>
        </w:tc>
        <w:tc>
          <w:tcPr>
            <w:tcW w:w="938" w:type="dxa"/>
            <w:shd w:val="clear" w:color="auto" w:fill="A6A6A6" w:themeFill="background1" w:themeFillShade="A6"/>
            <w:vAlign w:val="center"/>
            <w:hideMark/>
          </w:tcPr>
          <w:p w14:paraId="1F7F95BC" w14:textId="77777777" w:rsidR="007B643E" w:rsidRPr="00E601CA" w:rsidRDefault="007B643E" w:rsidP="00445109">
            <w:pPr>
              <w:keepNext/>
              <w:jc w:val="center"/>
            </w:pPr>
            <w:r>
              <w:t>H2b</w:t>
            </w:r>
          </w:p>
        </w:tc>
        <w:tc>
          <w:tcPr>
            <w:tcW w:w="938" w:type="dxa"/>
            <w:shd w:val="clear" w:color="auto" w:fill="A6A6A6" w:themeFill="background1" w:themeFillShade="A6"/>
            <w:vAlign w:val="center"/>
            <w:hideMark/>
          </w:tcPr>
          <w:p w14:paraId="7CA00CFC" w14:textId="77777777" w:rsidR="007B643E" w:rsidRPr="00E601CA" w:rsidRDefault="007B643E" w:rsidP="00445109">
            <w:pPr>
              <w:keepNext/>
              <w:jc w:val="center"/>
            </w:pPr>
            <w:r>
              <w:t>H2c</w:t>
            </w:r>
          </w:p>
        </w:tc>
        <w:tc>
          <w:tcPr>
            <w:tcW w:w="938" w:type="dxa"/>
            <w:shd w:val="clear" w:color="auto" w:fill="A6A6A6" w:themeFill="background1" w:themeFillShade="A6"/>
            <w:vAlign w:val="center"/>
            <w:hideMark/>
          </w:tcPr>
          <w:p w14:paraId="231F0886" w14:textId="77777777" w:rsidR="007B643E" w:rsidRPr="00E601CA" w:rsidRDefault="007B643E" w:rsidP="00445109">
            <w:pPr>
              <w:keepNext/>
              <w:jc w:val="center"/>
            </w:pPr>
            <w:r>
              <w:t>H2d</w:t>
            </w:r>
          </w:p>
        </w:tc>
        <w:tc>
          <w:tcPr>
            <w:tcW w:w="938" w:type="dxa"/>
            <w:shd w:val="clear" w:color="auto" w:fill="A6A6A6" w:themeFill="background1" w:themeFillShade="A6"/>
            <w:vAlign w:val="center"/>
            <w:hideMark/>
          </w:tcPr>
          <w:p w14:paraId="7896C296" w14:textId="36ACEFCA" w:rsidR="007B643E" w:rsidRPr="00E601CA" w:rsidRDefault="00097506" w:rsidP="00445109">
            <w:pPr>
              <w:keepNext/>
              <w:jc w:val="center"/>
            </w:pPr>
            <w:r>
              <w:t>H3</w:t>
            </w:r>
          </w:p>
        </w:tc>
      </w:tr>
      <w:tr w:rsidR="007B643E" w:rsidRPr="00E601CA" w14:paraId="00F844D8" w14:textId="77777777" w:rsidTr="003D7B82">
        <w:tc>
          <w:tcPr>
            <w:tcW w:w="2714" w:type="dxa"/>
            <w:shd w:val="clear" w:color="auto" w:fill="F2F2F2" w:themeFill="background1" w:themeFillShade="F2"/>
            <w:vAlign w:val="center"/>
            <w:hideMark/>
          </w:tcPr>
          <w:p w14:paraId="71B42561" w14:textId="17B8C645" w:rsidR="007B643E" w:rsidRPr="00E601CA" w:rsidRDefault="007B643E" w:rsidP="003D7B82">
            <w:pPr>
              <w:jc w:val="center"/>
            </w:pPr>
            <w:r>
              <w:t>&lt; 400 m</w:t>
            </w:r>
          </w:p>
        </w:tc>
        <w:tc>
          <w:tcPr>
            <w:tcW w:w="939" w:type="dxa"/>
            <w:vAlign w:val="center"/>
            <w:hideMark/>
          </w:tcPr>
          <w:p w14:paraId="270AFE44" w14:textId="04A7188D" w:rsidR="007B643E" w:rsidRPr="00E601CA" w:rsidRDefault="00E30E9F" w:rsidP="003D7B82">
            <w:pPr>
              <w:jc w:val="center"/>
              <w:textAlignment w:val="bottom"/>
            </w:pPr>
            <w:r>
              <w:t>0,15</w:t>
            </w:r>
          </w:p>
        </w:tc>
        <w:tc>
          <w:tcPr>
            <w:tcW w:w="939" w:type="dxa"/>
            <w:vAlign w:val="center"/>
            <w:hideMark/>
          </w:tcPr>
          <w:p w14:paraId="6BC92C46" w14:textId="19659970" w:rsidR="007B643E" w:rsidRPr="00E601CA" w:rsidRDefault="00E30E9F" w:rsidP="003D7B82">
            <w:pPr>
              <w:jc w:val="center"/>
              <w:textAlignment w:val="bottom"/>
            </w:pPr>
            <w:r>
              <w:t>0,2</w:t>
            </w:r>
          </w:p>
        </w:tc>
        <w:tc>
          <w:tcPr>
            <w:tcW w:w="938" w:type="dxa"/>
            <w:vAlign w:val="center"/>
            <w:hideMark/>
          </w:tcPr>
          <w:p w14:paraId="1FB474C4" w14:textId="69BC2AB6" w:rsidR="007B643E" w:rsidRPr="00E601CA" w:rsidRDefault="00E30E9F" w:rsidP="003D7B82">
            <w:pPr>
              <w:jc w:val="center"/>
              <w:textAlignment w:val="bottom"/>
            </w:pPr>
            <w:r>
              <w:t>0,15</w:t>
            </w:r>
          </w:p>
        </w:tc>
        <w:tc>
          <w:tcPr>
            <w:tcW w:w="938" w:type="dxa"/>
            <w:vAlign w:val="center"/>
            <w:hideMark/>
          </w:tcPr>
          <w:p w14:paraId="68F03614" w14:textId="72BF7DD4" w:rsidR="007B643E" w:rsidRPr="00E601CA" w:rsidRDefault="00E30E9F" w:rsidP="003D7B82">
            <w:pPr>
              <w:jc w:val="center"/>
              <w:textAlignment w:val="bottom"/>
            </w:pPr>
            <w:r>
              <w:t>-0,05</w:t>
            </w:r>
          </w:p>
        </w:tc>
        <w:tc>
          <w:tcPr>
            <w:tcW w:w="938" w:type="dxa"/>
            <w:vAlign w:val="center"/>
            <w:hideMark/>
          </w:tcPr>
          <w:p w14:paraId="625783EA" w14:textId="374B1591" w:rsidR="007B643E" w:rsidRPr="00E601CA" w:rsidRDefault="00E30E9F" w:rsidP="003D7B82">
            <w:pPr>
              <w:jc w:val="center"/>
              <w:textAlignment w:val="bottom"/>
            </w:pPr>
            <w:r>
              <w:t>0</w:t>
            </w:r>
          </w:p>
        </w:tc>
        <w:tc>
          <w:tcPr>
            <w:tcW w:w="938" w:type="dxa"/>
            <w:vAlign w:val="center"/>
            <w:hideMark/>
          </w:tcPr>
          <w:p w14:paraId="526CA25D" w14:textId="568736B6" w:rsidR="007B643E" w:rsidRPr="00E601CA" w:rsidRDefault="00E30E9F" w:rsidP="003D7B82">
            <w:pPr>
              <w:jc w:val="center"/>
              <w:textAlignment w:val="bottom"/>
            </w:pPr>
            <w:r>
              <w:t>-0,15</w:t>
            </w:r>
          </w:p>
        </w:tc>
        <w:tc>
          <w:tcPr>
            <w:tcW w:w="938" w:type="dxa"/>
            <w:vAlign w:val="center"/>
            <w:hideMark/>
          </w:tcPr>
          <w:p w14:paraId="2C9DBB61" w14:textId="1C4AD88F" w:rsidR="007B643E" w:rsidRPr="00E601CA" w:rsidRDefault="00E30E9F" w:rsidP="003D7B82">
            <w:pPr>
              <w:jc w:val="center"/>
              <w:textAlignment w:val="bottom"/>
            </w:pPr>
            <w:r>
              <w:t>0,05</w:t>
            </w:r>
          </w:p>
        </w:tc>
        <w:tc>
          <w:tcPr>
            <w:tcW w:w="938" w:type="dxa"/>
            <w:vAlign w:val="center"/>
            <w:hideMark/>
          </w:tcPr>
          <w:p w14:paraId="3A2A39CD" w14:textId="7E62A3C3" w:rsidR="007B643E" w:rsidRPr="00E601CA" w:rsidRDefault="00E30E9F" w:rsidP="003D7B82">
            <w:pPr>
              <w:jc w:val="center"/>
              <w:textAlignment w:val="bottom"/>
            </w:pPr>
            <w:r>
              <w:t>-0,1</w:t>
            </w:r>
          </w:p>
        </w:tc>
      </w:tr>
      <w:tr w:rsidR="007B643E" w:rsidRPr="00E601CA" w14:paraId="13683DFF" w14:textId="77777777" w:rsidTr="003D7B82">
        <w:tc>
          <w:tcPr>
            <w:tcW w:w="2714" w:type="dxa"/>
            <w:shd w:val="clear" w:color="auto" w:fill="F2F2F2" w:themeFill="background1" w:themeFillShade="F2"/>
            <w:vAlign w:val="center"/>
            <w:hideMark/>
          </w:tcPr>
          <w:p w14:paraId="4F75BE00" w14:textId="269AF28D" w:rsidR="007B643E" w:rsidRPr="00E601CA" w:rsidRDefault="007B643E" w:rsidP="003D7B82">
            <w:pPr>
              <w:jc w:val="center"/>
            </w:pPr>
            <w:r>
              <w:t>400 m-800 m</w:t>
            </w:r>
          </w:p>
        </w:tc>
        <w:tc>
          <w:tcPr>
            <w:tcW w:w="939" w:type="dxa"/>
            <w:vAlign w:val="center"/>
            <w:hideMark/>
          </w:tcPr>
          <w:p w14:paraId="7306F44B" w14:textId="29316A6D" w:rsidR="007B643E" w:rsidRPr="00E601CA" w:rsidRDefault="00E30E9F" w:rsidP="003D7B82">
            <w:pPr>
              <w:jc w:val="center"/>
              <w:textAlignment w:val="bottom"/>
            </w:pPr>
            <w:r>
              <w:t>0,4</w:t>
            </w:r>
          </w:p>
        </w:tc>
        <w:tc>
          <w:tcPr>
            <w:tcW w:w="939" w:type="dxa"/>
            <w:vAlign w:val="center"/>
            <w:hideMark/>
          </w:tcPr>
          <w:p w14:paraId="6CD6D4EF" w14:textId="67CC915E" w:rsidR="007B643E" w:rsidRPr="00E601CA" w:rsidRDefault="00E30E9F" w:rsidP="003D7B82">
            <w:pPr>
              <w:jc w:val="center"/>
              <w:textAlignment w:val="bottom"/>
            </w:pPr>
            <w:r>
              <w:t>0,5</w:t>
            </w:r>
          </w:p>
        </w:tc>
        <w:tc>
          <w:tcPr>
            <w:tcW w:w="938" w:type="dxa"/>
            <w:vAlign w:val="center"/>
            <w:hideMark/>
          </w:tcPr>
          <w:p w14:paraId="08B3C00D" w14:textId="2DF19EB6" w:rsidR="007B643E" w:rsidRPr="00E601CA" w:rsidRDefault="00E30E9F" w:rsidP="003D7B82">
            <w:pPr>
              <w:jc w:val="center"/>
              <w:textAlignment w:val="bottom"/>
            </w:pPr>
            <w:r>
              <w:t>0,45</w:t>
            </w:r>
          </w:p>
        </w:tc>
        <w:tc>
          <w:tcPr>
            <w:tcW w:w="938" w:type="dxa"/>
            <w:vAlign w:val="center"/>
            <w:hideMark/>
          </w:tcPr>
          <w:p w14:paraId="72DB6380" w14:textId="2962849C" w:rsidR="007B643E" w:rsidRPr="00E601CA" w:rsidRDefault="00E30E9F" w:rsidP="003D7B82">
            <w:pPr>
              <w:jc w:val="center"/>
              <w:textAlignment w:val="bottom"/>
            </w:pPr>
            <w:r>
              <w:t>0,15</w:t>
            </w:r>
          </w:p>
        </w:tc>
        <w:tc>
          <w:tcPr>
            <w:tcW w:w="938" w:type="dxa"/>
            <w:vAlign w:val="center"/>
            <w:hideMark/>
          </w:tcPr>
          <w:p w14:paraId="658508DA" w14:textId="43861C01" w:rsidR="007B643E" w:rsidRPr="00E601CA" w:rsidRDefault="00E30E9F" w:rsidP="003D7B82">
            <w:pPr>
              <w:jc w:val="center"/>
              <w:textAlignment w:val="bottom"/>
            </w:pPr>
            <w:r>
              <w:t>0,3</w:t>
            </w:r>
          </w:p>
        </w:tc>
        <w:tc>
          <w:tcPr>
            <w:tcW w:w="938" w:type="dxa"/>
            <w:vAlign w:val="center"/>
            <w:hideMark/>
          </w:tcPr>
          <w:p w14:paraId="3BB18E01" w14:textId="0AED2935" w:rsidR="007B643E" w:rsidRPr="00E601CA" w:rsidRDefault="00E30E9F" w:rsidP="003D7B82">
            <w:pPr>
              <w:jc w:val="center"/>
              <w:textAlignment w:val="bottom"/>
            </w:pPr>
            <w:r>
              <w:t>0,05</w:t>
            </w:r>
          </w:p>
        </w:tc>
        <w:tc>
          <w:tcPr>
            <w:tcW w:w="938" w:type="dxa"/>
            <w:vAlign w:val="center"/>
            <w:hideMark/>
          </w:tcPr>
          <w:p w14:paraId="25A18B0A" w14:textId="47529DBC" w:rsidR="007B643E" w:rsidRPr="00E601CA" w:rsidRDefault="00E30E9F" w:rsidP="003D7B82">
            <w:pPr>
              <w:jc w:val="center"/>
              <w:textAlignment w:val="bottom"/>
            </w:pPr>
            <w:r>
              <w:t>0,1</w:t>
            </w:r>
          </w:p>
        </w:tc>
        <w:tc>
          <w:tcPr>
            <w:tcW w:w="938" w:type="dxa"/>
            <w:vAlign w:val="center"/>
            <w:hideMark/>
          </w:tcPr>
          <w:p w14:paraId="415FCDD5" w14:textId="701CAA63" w:rsidR="007B643E" w:rsidRPr="00E601CA" w:rsidRDefault="00E30E9F" w:rsidP="003D7B82">
            <w:pPr>
              <w:jc w:val="center"/>
              <w:textAlignment w:val="bottom"/>
            </w:pPr>
            <w:r>
              <w:t>-0,05</w:t>
            </w:r>
          </w:p>
        </w:tc>
      </w:tr>
      <w:tr w:rsidR="007B643E" w:rsidRPr="00E601CA" w14:paraId="4FBAC428" w14:textId="77777777" w:rsidTr="003D7B82">
        <w:tc>
          <w:tcPr>
            <w:tcW w:w="2714" w:type="dxa"/>
            <w:shd w:val="clear" w:color="auto" w:fill="F2F2F2" w:themeFill="background1" w:themeFillShade="F2"/>
            <w:vAlign w:val="center"/>
            <w:hideMark/>
          </w:tcPr>
          <w:p w14:paraId="211F1C68" w14:textId="2157C884" w:rsidR="007B643E" w:rsidRPr="00E601CA" w:rsidRDefault="007B643E" w:rsidP="003D7B82">
            <w:pPr>
              <w:jc w:val="center"/>
            </w:pPr>
            <w:r>
              <w:t>&gt; 800 m</w:t>
            </w:r>
          </w:p>
        </w:tc>
        <w:tc>
          <w:tcPr>
            <w:tcW w:w="939" w:type="dxa"/>
            <w:vAlign w:val="center"/>
            <w:hideMark/>
          </w:tcPr>
          <w:p w14:paraId="4191812C" w14:textId="16C19CE4" w:rsidR="007B643E" w:rsidRPr="00E601CA" w:rsidRDefault="00E30E9F" w:rsidP="003D7B82">
            <w:pPr>
              <w:jc w:val="center"/>
              <w:textAlignment w:val="bottom"/>
            </w:pPr>
            <w:r>
              <w:t>0,75</w:t>
            </w:r>
          </w:p>
        </w:tc>
        <w:tc>
          <w:tcPr>
            <w:tcW w:w="939" w:type="dxa"/>
            <w:vAlign w:val="center"/>
            <w:hideMark/>
          </w:tcPr>
          <w:p w14:paraId="06154217" w14:textId="1CAC934C" w:rsidR="007B643E" w:rsidRPr="00E601CA" w:rsidRDefault="00E30E9F" w:rsidP="003D7B82">
            <w:pPr>
              <w:jc w:val="center"/>
              <w:textAlignment w:val="bottom"/>
            </w:pPr>
            <w:r>
              <w:t>0,85</w:t>
            </w:r>
          </w:p>
        </w:tc>
        <w:tc>
          <w:tcPr>
            <w:tcW w:w="938" w:type="dxa"/>
            <w:vAlign w:val="center"/>
            <w:hideMark/>
          </w:tcPr>
          <w:p w14:paraId="78951C4E" w14:textId="239B947E" w:rsidR="007B643E" w:rsidRPr="00E601CA" w:rsidRDefault="00E30E9F" w:rsidP="003D7B82">
            <w:pPr>
              <w:jc w:val="center"/>
              <w:textAlignment w:val="bottom"/>
            </w:pPr>
            <w:r>
              <w:t>0,75</w:t>
            </w:r>
          </w:p>
        </w:tc>
        <w:tc>
          <w:tcPr>
            <w:tcW w:w="938" w:type="dxa"/>
            <w:vAlign w:val="center"/>
            <w:hideMark/>
          </w:tcPr>
          <w:p w14:paraId="0B6BE622" w14:textId="229C5CFF" w:rsidR="007B643E" w:rsidRPr="00E601CA" w:rsidRDefault="00E30E9F" w:rsidP="003D7B82">
            <w:pPr>
              <w:jc w:val="center"/>
              <w:textAlignment w:val="bottom"/>
            </w:pPr>
            <w:r>
              <w:t>0,55</w:t>
            </w:r>
          </w:p>
        </w:tc>
        <w:tc>
          <w:tcPr>
            <w:tcW w:w="938" w:type="dxa"/>
            <w:vAlign w:val="center"/>
            <w:hideMark/>
          </w:tcPr>
          <w:p w14:paraId="45685B53" w14:textId="63A87774" w:rsidR="007B643E" w:rsidRPr="00E601CA" w:rsidRDefault="00E30E9F" w:rsidP="003D7B82">
            <w:pPr>
              <w:jc w:val="center"/>
              <w:textAlignment w:val="bottom"/>
            </w:pPr>
            <w:r>
              <w:t>0,65</w:t>
            </w:r>
          </w:p>
        </w:tc>
        <w:tc>
          <w:tcPr>
            <w:tcW w:w="938" w:type="dxa"/>
            <w:vAlign w:val="center"/>
            <w:hideMark/>
          </w:tcPr>
          <w:p w14:paraId="4F84691A" w14:textId="50FB8EA8" w:rsidR="007B643E" w:rsidRPr="00E601CA" w:rsidRDefault="00E30E9F" w:rsidP="003D7B82">
            <w:pPr>
              <w:jc w:val="center"/>
              <w:textAlignment w:val="bottom"/>
            </w:pPr>
            <w:r>
              <w:t>0,35</w:t>
            </w:r>
          </w:p>
        </w:tc>
        <w:tc>
          <w:tcPr>
            <w:tcW w:w="938" w:type="dxa"/>
            <w:vAlign w:val="center"/>
            <w:hideMark/>
          </w:tcPr>
          <w:p w14:paraId="25C0DE24" w14:textId="5D9CA3FD" w:rsidR="007B643E" w:rsidRPr="00E601CA" w:rsidRDefault="00E30E9F" w:rsidP="003D7B82">
            <w:pPr>
              <w:jc w:val="center"/>
              <w:textAlignment w:val="bottom"/>
            </w:pPr>
            <w:r>
              <w:t>0,25</w:t>
            </w:r>
          </w:p>
        </w:tc>
        <w:tc>
          <w:tcPr>
            <w:tcW w:w="938" w:type="dxa"/>
            <w:vAlign w:val="center"/>
            <w:hideMark/>
          </w:tcPr>
          <w:p w14:paraId="7316E0CB" w14:textId="5D4BFC65" w:rsidR="007B643E" w:rsidRPr="00E601CA" w:rsidRDefault="00E30E9F" w:rsidP="003D7B82">
            <w:pPr>
              <w:jc w:val="center"/>
              <w:textAlignment w:val="bottom"/>
            </w:pPr>
            <w:r>
              <w:t>0,1</w:t>
            </w:r>
          </w:p>
        </w:tc>
      </w:tr>
    </w:tbl>
    <w:p w14:paraId="60B95D7E" w14:textId="117D7372" w:rsidR="007B643E" w:rsidRPr="00E601CA" w:rsidRDefault="007B643E" w:rsidP="007B643E"/>
    <w:p w14:paraId="39862B49" w14:textId="35419A98" w:rsidR="002523E6" w:rsidRPr="00E601CA" w:rsidRDefault="002523E6" w:rsidP="002523E6">
      <w:pPr>
        <w:keepNext/>
      </w:pPr>
      <w:r>
        <w:t xml:space="preserve">Der Koeffizient </w:t>
      </w:r>
      <w:r>
        <w:rPr>
          <w:b/>
        </w:rPr>
        <w:t>Mbcombles</w:t>
      </w:r>
      <w:r>
        <w:t xml:space="preserve"> zur Modulierung von Bbio_max je nach Vorhandensein von ausgebauten Dachgeschossen in dem Gebäude oder Gebäudeteil wird nach folgender Formel berechnet:</w:t>
      </w:r>
    </w:p>
    <w:p w14:paraId="6B377126" w14:textId="7DE94737" w:rsidR="002523E6" w:rsidRPr="00E601CA" w:rsidRDefault="002523E6" w:rsidP="002523E6">
      <w:pPr>
        <w:keepNext/>
        <w:jc w:val="center"/>
        <w:rPr>
          <w:rFonts w:eastAsiaTheme="minorEastAsia"/>
        </w:rPr>
      </w:pPr>
      <m:oMathPara>
        <m:oMath>
          <m:r>
            <w:rPr>
              <w:rFonts w:ascii="Cambria Math" w:hAnsi="Cambria Math"/>
            </w:rPr>
            <m:t>Mbcombles=</m:t>
          </m:r>
          <m:f>
            <m:fPr>
              <m:ctrlPr>
                <w:rPr>
                  <w:rFonts w:ascii="Cambria Math" w:hAnsi="Cambria Math"/>
                  <w:i/>
                </w:rPr>
              </m:ctrlPr>
            </m:fPr>
            <m:num>
              <m:r>
                <w:rPr>
                  <w:rFonts w:ascii="Cambria Math" w:hAnsi="Cambria Math"/>
                </w:rPr>
                <m:t>(0,4×Scombles)</m:t>
              </m:r>
            </m:num>
            <m:den>
              <m:r>
                <w:rPr>
                  <w:rFonts w:ascii="Cambria Math" w:hAnsi="Cambria Math"/>
                </w:rPr>
                <m:t>Sref</m:t>
              </m:r>
            </m:den>
          </m:f>
        </m:oMath>
      </m:oMathPara>
    </w:p>
    <w:p w14:paraId="48FCB2A5" w14:textId="59205FF5" w:rsidR="002523E6" w:rsidRPr="00E601CA" w:rsidRDefault="002523E6" w:rsidP="00F74657">
      <w:pPr>
        <w:rPr>
          <w:rFonts w:eastAsiaTheme="minorEastAsia"/>
        </w:rPr>
      </w:pPr>
      <w:r>
        <w:t>Wobei Scombles die Bodenfläche von ausgebauten Dachgeschossen mit einer Deckenhöhe von weniger als 1,8 m angibt.</w:t>
      </w:r>
    </w:p>
    <w:p w14:paraId="587B6B45" w14:textId="7FE75F1B" w:rsidR="00A02594" w:rsidRPr="00E601CA" w:rsidRDefault="007B643E" w:rsidP="00445109">
      <w:pPr>
        <w:keepNext/>
      </w:pPr>
      <w:r>
        <w:lastRenderedPageBreak/>
        <w:t xml:space="preserve">Der Koeffizient </w:t>
      </w:r>
      <w:r>
        <w:rPr>
          <w:b/>
        </w:rPr>
        <w:t>Mbsurf</w:t>
      </w:r>
      <w:r>
        <w:t xml:space="preserve"> zur Modulierung von Bbio_max entsprechend der durchschnittlichen Fläche der Wohnungen in dem Gebäude oder Gebäudeteil </w:t>
      </w:r>
      <w:r>
        <w:rPr>
          <w:rFonts w:ascii="Cambria Math" w:hAnsi="Cambria Math"/>
          <w:i/>
        </w:rPr>
        <w:t>Smoy</w:t>
      </w:r>
      <w:r>
        <w:rPr>
          <w:rFonts w:ascii="Cambria Math" w:hAnsi="Cambria Math"/>
          <w:i/>
          <w:vertAlign w:val="subscript"/>
        </w:rPr>
        <w:t>lgt-</w:t>
      </w:r>
      <w:r>
        <w:t>nimmt folgende Werte an:</w:t>
      </w:r>
    </w:p>
    <w:tbl>
      <w:tblPr>
        <w:tblStyle w:val="TableGrid"/>
        <w:tblW w:w="3441" w:type="pct"/>
        <w:jc w:val="center"/>
        <w:tblLook w:val="04A0" w:firstRow="1" w:lastRow="0" w:firstColumn="1" w:lastColumn="0" w:noHBand="0" w:noVBand="1"/>
      </w:tblPr>
      <w:tblGrid>
        <w:gridCol w:w="3410"/>
        <w:gridCol w:w="2826"/>
      </w:tblGrid>
      <w:tr w:rsidR="006C7734" w:rsidRPr="00E601CA" w14:paraId="4350E691" w14:textId="4E6B622F" w:rsidTr="006C7734">
        <w:trPr>
          <w:jc w:val="center"/>
        </w:trPr>
        <w:tc>
          <w:tcPr>
            <w:tcW w:w="2734" w:type="pct"/>
            <w:shd w:val="clear" w:color="auto" w:fill="A6A6A6" w:themeFill="background1" w:themeFillShade="A6"/>
            <w:vAlign w:val="center"/>
          </w:tcPr>
          <w:p w14:paraId="54D23573" w14:textId="7CC21DCA" w:rsidR="006C7734" w:rsidRPr="00E601CA" w:rsidRDefault="006C7734" w:rsidP="00445109">
            <w:pPr>
              <w:keepNext/>
              <w:jc w:val="center"/>
            </w:pPr>
            <w:r>
              <w:t>Durchschnittliche Fläche der Wohnungen des Gebäudes</w:t>
            </w:r>
          </w:p>
        </w:tc>
        <w:tc>
          <w:tcPr>
            <w:tcW w:w="2266" w:type="pct"/>
            <w:shd w:val="clear" w:color="auto" w:fill="A6A6A6" w:themeFill="background1" w:themeFillShade="A6"/>
            <w:vAlign w:val="center"/>
          </w:tcPr>
          <w:p w14:paraId="1F5963A8" w14:textId="6CF06736" w:rsidR="006C7734" w:rsidRPr="00E601CA" w:rsidRDefault="006C7734" w:rsidP="00445109">
            <w:pPr>
              <w:keepNext/>
              <w:jc w:val="center"/>
            </w:pPr>
            <w:r>
              <w:t>Mbsurf</w:t>
            </w:r>
          </w:p>
        </w:tc>
      </w:tr>
      <w:tr w:rsidR="006C7734" w:rsidRPr="00E601CA" w14:paraId="1E2FF9E6" w14:textId="5E0B1BBF" w:rsidTr="006C7734">
        <w:trPr>
          <w:jc w:val="center"/>
        </w:trPr>
        <w:tc>
          <w:tcPr>
            <w:tcW w:w="2734" w:type="pct"/>
            <w:shd w:val="clear" w:color="auto" w:fill="F2F2F2" w:themeFill="background1" w:themeFillShade="F2"/>
            <w:vAlign w:val="center"/>
          </w:tcPr>
          <w:p w14:paraId="11AA2DE8" w14:textId="5AEF9B7C" w:rsidR="006C7734" w:rsidRPr="00E601CA" w:rsidRDefault="00EE4B5B" w:rsidP="00C73940">
            <w:pPr>
              <w:jc w:val="center"/>
            </w:pPr>
            <w:r>
              <w:rPr>
                <w:rFonts w:ascii="Cambria Math" w:hAnsi="Cambria Math"/>
                <w:i/>
              </w:rPr>
              <w:t>Smoy</w:t>
            </w:r>
            <w:r>
              <w:rPr>
                <w:rFonts w:ascii="Cambria Math" w:hAnsi="Cambria Math"/>
                <w:i/>
                <w:vertAlign w:val="subscript"/>
              </w:rPr>
              <w:t>lgt</w:t>
            </w:r>
            <w:r>
              <w:rPr>
                <w:rFonts w:ascii="Cambria Math" w:hAnsi="Cambria Math"/>
                <w:i/>
              </w:rPr>
              <w:t xml:space="preserve"> ≤ 100 m²</w:t>
            </w:r>
          </w:p>
        </w:tc>
        <w:tc>
          <w:tcPr>
            <w:tcW w:w="2266" w:type="pct"/>
            <w:vAlign w:val="center"/>
          </w:tcPr>
          <w:p w14:paraId="70C00D87" w14:textId="77777777" w:rsidR="00C73940" w:rsidRDefault="00C73940" w:rsidP="00C73940">
            <w:pPr>
              <w:jc w:val="center"/>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tblGrid>
            <w:tr w:rsidR="00C73940" w14:paraId="2E68EB5F" w14:textId="77777777" w:rsidTr="00C73940">
              <w:trPr>
                <w:jc w:val="center"/>
              </w:trPr>
              <w:tc>
                <w:tcPr>
                  <w:tcW w:w="2238" w:type="dxa"/>
                  <w:tcBorders>
                    <w:bottom w:val="single" w:sz="4" w:space="0" w:color="auto"/>
                  </w:tcBorders>
                </w:tcPr>
                <w:p w14:paraId="5878D3F9" w14:textId="7F353E1A" w:rsidR="00C73940" w:rsidRPr="00C73940" w:rsidRDefault="00C73940" w:rsidP="00C73940">
                  <w:pPr>
                    <w:jc w:val="center"/>
                    <w:rPr>
                      <w:rFonts w:ascii="Cambria Math" w:hAnsi="Cambria Math" w:hint="eastAsia"/>
                      <w:i/>
                    </w:rPr>
                  </w:pPr>
                  <w:r>
                    <w:rPr>
                      <w:rFonts w:ascii="Cambria Math" w:hAnsi="Cambria Math"/>
                    </w:rPr>
                    <w:t>31,5 - 0,35 *</w:t>
                  </w:r>
                  <w:r>
                    <w:rPr>
                      <w:rFonts w:ascii="Cambria Math" w:hAnsi="Cambria Math"/>
                      <w:i/>
                    </w:rPr>
                    <w:t xml:space="preserve"> Smoy</w:t>
                  </w:r>
                  <w:r>
                    <w:rPr>
                      <w:rFonts w:ascii="Cambria Math" w:hAnsi="Cambria Math"/>
                      <w:i/>
                      <w:vertAlign w:val="subscript"/>
                    </w:rPr>
                    <w:t>lgt</w:t>
                  </w:r>
                </w:p>
              </w:tc>
            </w:tr>
            <w:tr w:rsidR="00C73940" w14:paraId="3411EF7F" w14:textId="77777777" w:rsidTr="00C73940">
              <w:trPr>
                <w:jc w:val="center"/>
              </w:trPr>
              <w:tc>
                <w:tcPr>
                  <w:tcW w:w="2238" w:type="dxa"/>
                  <w:tcBorders>
                    <w:top w:val="single" w:sz="4" w:space="0" w:color="auto"/>
                  </w:tcBorders>
                </w:tcPr>
                <w:p w14:paraId="0A1A7548" w14:textId="7EB68617" w:rsidR="00C73940" w:rsidRPr="00C73940" w:rsidRDefault="00C73940" w:rsidP="00C73940">
                  <w:pPr>
                    <w:jc w:val="center"/>
                    <w:rPr>
                      <w:rFonts w:ascii="Cambria Math" w:hAnsi="Cambria Math" w:hint="eastAsia"/>
                      <w:i/>
                    </w:rPr>
                  </w:pPr>
                  <w:r>
                    <w:rPr>
                      <w:rFonts w:ascii="Cambria Math" w:hAnsi="Cambria Math"/>
                      <w:i/>
                    </w:rPr>
                    <w:t>Bbio_maxmoyen</w:t>
                  </w:r>
                </w:p>
              </w:tc>
            </w:tr>
          </w:tbl>
          <w:p w14:paraId="66A199FA" w14:textId="77777777" w:rsidR="00C73940" w:rsidRPr="00C73940" w:rsidRDefault="00C73940" w:rsidP="00C73940">
            <w:pPr>
              <w:jc w:val="center"/>
              <w:rPr>
                <w:iCs/>
              </w:rPr>
            </w:pPr>
          </w:p>
          <w:p w14:paraId="48AFDFF8" w14:textId="02EED2DC" w:rsidR="006C7734" w:rsidRPr="00E601CA" w:rsidRDefault="006C7734" w:rsidP="00C73940">
            <w:pPr>
              <w:jc w:val="center"/>
            </w:pPr>
          </w:p>
        </w:tc>
      </w:tr>
      <w:tr w:rsidR="006C7734" w:rsidRPr="00E601CA" w14:paraId="1FA692FD" w14:textId="512DDA72" w:rsidTr="006C7734">
        <w:trPr>
          <w:jc w:val="center"/>
        </w:trPr>
        <w:tc>
          <w:tcPr>
            <w:tcW w:w="2734" w:type="pct"/>
            <w:shd w:val="clear" w:color="auto" w:fill="F2F2F2" w:themeFill="background1" w:themeFillShade="F2"/>
            <w:vAlign w:val="center"/>
          </w:tcPr>
          <w:p w14:paraId="3192A700" w14:textId="1038823E" w:rsidR="006C7734" w:rsidRPr="00E601CA" w:rsidRDefault="0084468C" w:rsidP="00C73940">
            <w:pPr>
              <w:jc w:val="center"/>
            </w:pPr>
            <w:r>
              <w:rPr>
                <w:rFonts w:ascii="Cambria Math" w:hAnsi="Cambria Math"/>
                <w:i/>
              </w:rPr>
              <w:t>100 m² &lt; Smoy</w:t>
            </w:r>
            <w:r>
              <w:rPr>
                <w:rFonts w:ascii="Cambria Math" w:hAnsi="Cambria Math"/>
                <w:i/>
                <w:vertAlign w:val="subscript"/>
              </w:rPr>
              <w:t>lgt</w:t>
            </w:r>
            <w:r>
              <w:rPr>
                <w:rFonts w:ascii="Cambria Math" w:hAnsi="Cambria Math"/>
                <w:i/>
              </w:rPr>
              <w:t xml:space="preserve"> ≤ 150 m²</w:t>
            </w:r>
          </w:p>
        </w:tc>
        <w:tc>
          <w:tcPr>
            <w:tcW w:w="2266" w:type="pct"/>
            <w:vAlign w:val="center"/>
          </w:tcPr>
          <w:p w14:paraId="75552ADD" w14:textId="77777777" w:rsidR="00C73940" w:rsidRDefault="00C73940" w:rsidP="00C73940">
            <w:pPr>
              <w:jc w:val="center"/>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tblGrid>
            <w:tr w:rsidR="00C73940" w14:paraId="24F2FE19" w14:textId="77777777" w:rsidTr="00A83508">
              <w:trPr>
                <w:jc w:val="center"/>
              </w:trPr>
              <w:tc>
                <w:tcPr>
                  <w:tcW w:w="2238" w:type="dxa"/>
                  <w:tcBorders>
                    <w:bottom w:val="single" w:sz="4" w:space="0" w:color="auto"/>
                  </w:tcBorders>
                </w:tcPr>
                <w:p w14:paraId="5F5A4417" w14:textId="4437B5BC" w:rsidR="00C73940" w:rsidRPr="00C73940" w:rsidRDefault="00C73940" w:rsidP="00C73940">
                  <w:pPr>
                    <w:jc w:val="center"/>
                    <w:rPr>
                      <w:rFonts w:ascii="Cambria Math" w:hAnsi="Cambria Math" w:hint="eastAsia"/>
                      <w:i/>
                    </w:rPr>
                  </w:pPr>
                  <w:r>
                    <w:rPr>
                      <w:rFonts w:ascii="Cambria Math" w:hAnsi="Cambria Math"/>
                    </w:rPr>
                    <w:t>11,5 - 0,15 *</w:t>
                  </w:r>
                  <w:r>
                    <w:rPr>
                      <w:rFonts w:ascii="Cambria Math" w:hAnsi="Cambria Math"/>
                      <w:i/>
                    </w:rPr>
                    <w:t xml:space="preserve"> Smoy</w:t>
                  </w:r>
                  <w:r>
                    <w:rPr>
                      <w:rFonts w:ascii="Cambria Math" w:hAnsi="Cambria Math"/>
                      <w:i/>
                      <w:vertAlign w:val="subscript"/>
                    </w:rPr>
                    <w:t>lgt</w:t>
                  </w:r>
                </w:p>
              </w:tc>
            </w:tr>
            <w:tr w:rsidR="00C73940" w14:paraId="4F5F0931" w14:textId="77777777" w:rsidTr="00A83508">
              <w:trPr>
                <w:jc w:val="center"/>
              </w:trPr>
              <w:tc>
                <w:tcPr>
                  <w:tcW w:w="2238" w:type="dxa"/>
                  <w:tcBorders>
                    <w:top w:val="single" w:sz="4" w:space="0" w:color="auto"/>
                  </w:tcBorders>
                </w:tcPr>
                <w:p w14:paraId="190AD376" w14:textId="77777777" w:rsidR="00C73940" w:rsidRPr="00C73940" w:rsidRDefault="00C73940" w:rsidP="00C73940">
                  <w:pPr>
                    <w:jc w:val="center"/>
                    <w:rPr>
                      <w:rFonts w:ascii="Cambria Math" w:hAnsi="Cambria Math" w:hint="eastAsia"/>
                      <w:i/>
                    </w:rPr>
                  </w:pPr>
                  <w:r>
                    <w:rPr>
                      <w:rFonts w:ascii="Cambria Math" w:hAnsi="Cambria Math"/>
                      <w:i/>
                    </w:rPr>
                    <w:t>Bbio_maxmoyen</w:t>
                  </w:r>
                </w:p>
              </w:tc>
            </w:tr>
          </w:tbl>
          <w:p w14:paraId="0BF086E7" w14:textId="77777777" w:rsidR="00C73940" w:rsidRPr="00C73940" w:rsidRDefault="00C73940" w:rsidP="00C73940">
            <w:pPr>
              <w:jc w:val="center"/>
              <w:rPr>
                <w:iCs/>
              </w:rPr>
            </w:pPr>
          </w:p>
          <w:p w14:paraId="621D788D" w14:textId="2843D167" w:rsidR="006C7734" w:rsidRPr="00E601CA" w:rsidRDefault="006C7734" w:rsidP="00C73940">
            <w:pPr>
              <w:jc w:val="center"/>
            </w:pPr>
          </w:p>
        </w:tc>
      </w:tr>
      <w:tr w:rsidR="006C7734" w:rsidRPr="00E601CA" w14:paraId="0A364AB7" w14:textId="25FD6E49" w:rsidTr="006C7734">
        <w:trPr>
          <w:jc w:val="center"/>
        </w:trPr>
        <w:tc>
          <w:tcPr>
            <w:tcW w:w="2734" w:type="pct"/>
            <w:shd w:val="clear" w:color="auto" w:fill="F2F2F2" w:themeFill="background1" w:themeFillShade="F2"/>
            <w:vAlign w:val="center"/>
          </w:tcPr>
          <w:p w14:paraId="5461BE9D" w14:textId="76A0F68F" w:rsidR="006C7734" w:rsidRPr="00E601CA" w:rsidRDefault="0084468C" w:rsidP="00C73940">
            <w:pPr>
              <w:jc w:val="center"/>
            </w:pPr>
            <w:r>
              <w:rPr>
                <w:rFonts w:ascii="Cambria Math" w:hAnsi="Cambria Math"/>
                <w:i/>
              </w:rPr>
              <w:t>Smoy</w:t>
            </w:r>
            <w:r>
              <w:rPr>
                <w:rFonts w:ascii="Cambria Math" w:hAnsi="Cambria Math"/>
                <w:i/>
                <w:vertAlign w:val="subscript"/>
              </w:rPr>
              <w:t>lgt</w:t>
            </w:r>
            <w:r>
              <w:rPr>
                <w:rFonts w:ascii="Cambria Math" w:hAnsi="Cambria Math"/>
                <w:i/>
              </w:rPr>
              <w:t xml:space="preserve"> &gt; 150 m²</w:t>
            </w:r>
          </w:p>
        </w:tc>
        <w:tc>
          <w:tcPr>
            <w:tcW w:w="2266" w:type="pct"/>
            <w:vAlign w:val="center"/>
          </w:tcPr>
          <w:p w14:paraId="69D6DABD" w14:textId="77777777" w:rsidR="00C73940" w:rsidRDefault="00C73940" w:rsidP="00C73940">
            <w:pPr>
              <w:jc w:val="center"/>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tblGrid>
            <w:tr w:rsidR="00C73940" w14:paraId="79D4C5E5" w14:textId="77777777" w:rsidTr="00A83508">
              <w:trPr>
                <w:jc w:val="center"/>
              </w:trPr>
              <w:tc>
                <w:tcPr>
                  <w:tcW w:w="2238" w:type="dxa"/>
                  <w:tcBorders>
                    <w:bottom w:val="single" w:sz="4" w:space="0" w:color="auto"/>
                  </w:tcBorders>
                </w:tcPr>
                <w:p w14:paraId="729283BC" w14:textId="23752171" w:rsidR="00C73940" w:rsidRPr="00C73940" w:rsidRDefault="00C73940" w:rsidP="00C73940">
                  <w:pPr>
                    <w:jc w:val="center"/>
                    <w:rPr>
                      <w:rFonts w:ascii="Cambria Math" w:hAnsi="Cambria Math" w:hint="eastAsia"/>
                      <w:i/>
                    </w:rPr>
                  </w:pPr>
                  <w:r>
                    <w:rPr>
                      <w:rFonts w:ascii="Cambria Math" w:hAnsi="Cambria Math"/>
                    </w:rPr>
                    <w:t>-11</w:t>
                  </w:r>
                </w:p>
              </w:tc>
            </w:tr>
            <w:tr w:rsidR="00C73940" w14:paraId="3787A8D2" w14:textId="77777777" w:rsidTr="00A83508">
              <w:trPr>
                <w:jc w:val="center"/>
              </w:trPr>
              <w:tc>
                <w:tcPr>
                  <w:tcW w:w="2238" w:type="dxa"/>
                  <w:tcBorders>
                    <w:top w:val="single" w:sz="4" w:space="0" w:color="auto"/>
                  </w:tcBorders>
                </w:tcPr>
                <w:p w14:paraId="72B8D31B" w14:textId="77777777" w:rsidR="00C73940" w:rsidRPr="00C73940" w:rsidRDefault="00C73940" w:rsidP="00C73940">
                  <w:pPr>
                    <w:jc w:val="center"/>
                    <w:rPr>
                      <w:rFonts w:ascii="Cambria Math" w:hAnsi="Cambria Math" w:hint="eastAsia"/>
                      <w:i/>
                    </w:rPr>
                  </w:pPr>
                  <w:r>
                    <w:rPr>
                      <w:rFonts w:ascii="Cambria Math" w:hAnsi="Cambria Math"/>
                      <w:i/>
                    </w:rPr>
                    <w:t>Bbio_maxmoyen</w:t>
                  </w:r>
                </w:p>
              </w:tc>
            </w:tr>
          </w:tbl>
          <w:p w14:paraId="6A645D6C" w14:textId="77777777" w:rsidR="00C73940" w:rsidRPr="00C73940" w:rsidRDefault="00C73940" w:rsidP="00C73940">
            <w:pPr>
              <w:jc w:val="center"/>
              <w:rPr>
                <w:iCs/>
              </w:rPr>
            </w:pPr>
          </w:p>
          <w:p w14:paraId="44DA6A8C" w14:textId="5F90AC6A" w:rsidR="006C7734" w:rsidRPr="00E601CA" w:rsidRDefault="006C7734" w:rsidP="00C73940">
            <w:pPr>
              <w:jc w:val="center"/>
            </w:pPr>
          </w:p>
        </w:tc>
      </w:tr>
    </w:tbl>
    <w:p w14:paraId="0050FC55" w14:textId="18E30E62" w:rsidR="006C7734" w:rsidRPr="00E601CA" w:rsidRDefault="006C7734" w:rsidP="007B643E"/>
    <w:p w14:paraId="59AB92ED" w14:textId="217D2E42" w:rsidR="006C7734" w:rsidRPr="00E601CA" w:rsidRDefault="006C7734" w:rsidP="00F74657">
      <w:pPr>
        <w:keepNext/>
      </w:pPr>
      <w:r>
        <w:t xml:space="preserve">Der Koeffizient </w:t>
      </w:r>
      <w:r>
        <w:rPr>
          <w:b/>
        </w:rPr>
        <w:t>Mb</w:t>
      </w:r>
      <w:r>
        <w:rPr>
          <w:b/>
          <w:bCs/>
        </w:rPr>
        <w:t>bruit</w:t>
      </w:r>
      <w:r>
        <w:t xml:space="preserve"> zur Modulierung von Bbio_max je nach der Lärmexposition des Gebäudes oder Gebäudeteils nimmt folgende Werte an:</w:t>
      </w:r>
    </w:p>
    <w:tbl>
      <w:tblPr>
        <w:tblStyle w:val="TableGrid"/>
        <w:tblW w:w="10220" w:type="dxa"/>
        <w:tblLook w:val="0600" w:firstRow="0" w:lastRow="0" w:firstColumn="0" w:lastColumn="0" w:noHBand="1" w:noVBand="1"/>
      </w:tblPr>
      <w:tblGrid>
        <w:gridCol w:w="2714"/>
        <w:gridCol w:w="939"/>
        <w:gridCol w:w="939"/>
        <w:gridCol w:w="938"/>
        <w:gridCol w:w="938"/>
        <w:gridCol w:w="938"/>
        <w:gridCol w:w="938"/>
        <w:gridCol w:w="938"/>
        <w:gridCol w:w="938"/>
      </w:tblGrid>
      <w:tr w:rsidR="00C75F0F" w:rsidRPr="00E601CA" w14:paraId="5B9FB435" w14:textId="77777777" w:rsidTr="003D7B82">
        <w:tc>
          <w:tcPr>
            <w:tcW w:w="2714" w:type="dxa"/>
            <w:tcBorders>
              <w:top w:val="single" w:sz="4" w:space="0" w:color="auto"/>
              <w:left w:val="single" w:sz="4" w:space="0" w:color="auto"/>
              <w:bottom w:val="single" w:sz="4" w:space="0" w:color="auto"/>
              <w:right w:val="single" w:sz="4" w:space="0" w:color="auto"/>
              <w:tl2br w:val="single" w:sz="4" w:space="0" w:color="auto"/>
            </w:tcBorders>
            <w:shd w:val="clear" w:color="auto" w:fill="A6A6A6" w:themeFill="background1" w:themeFillShade="A6"/>
            <w:hideMark/>
          </w:tcPr>
          <w:p w14:paraId="289FB8BD" w14:textId="77777777" w:rsidR="00C75F0F" w:rsidRPr="00E601CA" w:rsidRDefault="00C75F0F">
            <w:pPr>
              <w:keepNext/>
              <w:jc w:val="right"/>
            </w:pPr>
            <w:r>
              <w:t xml:space="preserve">Klimatische Zone </w:t>
            </w:r>
          </w:p>
          <w:p w14:paraId="127F05ED" w14:textId="77777777" w:rsidR="00C75F0F" w:rsidRPr="00E601CA" w:rsidRDefault="00C75F0F">
            <w:pPr>
              <w:keepNext/>
            </w:pPr>
            <w:r>
              <w:t>Lärmzone</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E1311B7" w14:textId="77777777" w:rsidR="00C75F0F" w:rsidRPr="00E601CA" w:rsidRDefault="00C75F0F">
            <w:pPr>
              <w:keepNext/>
              <w:jc w:val="center"/>
            </w:pPr>
            <w:r>
              <w:t>H1a</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C9B714C" w14:textId="77777777" w:rsidR="00C75F0F" w:rsidRPr="00E601CA" w:rsidRDefault="00C75F0F">
            <w:pPr>
              <w:keepNext/>
              <w:jc w:val="center"/>
            </w:pPr>
            <w:r>
              <w:t>H1b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25645F3" w14:textId="77777777" w:rsidR="00C75F0F" w:rsidRPr="00E601CA" w:rsidRDefault="00C75F0F">
            <w:pPr>
              <w:keepNext/>
              <w:jc w:val="center"/>
            </w:pPr>
            <w:r>
              <w:t>H1c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2C67736" w14:textId="77777777" w:rsidR="00C75F0F" w:rsidRPr="00E601CA" w:rsidRDefault="00C75F0F">
            <w:pPr>
              <w:keepNext/>
              <w:jc w:val="center"/>
            </w:pPr>
            <w:r>
              <w:t>H2a</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2D816BA" w14:textId="77777777" w:rsidR="00C75F0F" w:rsidRPr="00E601CA" w:rsidRDefault="00C75F0F">
            <w:pPr>
              <w:keepNext/>
              <w:jc w:val="center"/>
            </w:pPr>
            <w:r>
              <w:t>H2b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6ECBBAF" w14:textId="77777777" w:rsidR="00C75F0F" w:rsidRPr="00E601CA" w:rsidRDefault="00C75F0F">
            <w:pPr>
              <w:keepNext/>
              <w:jc w:val="center"/>
            </w:pPr>
            <w:r>
              <w:t>H2c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2E8E171" w14:textId="77777777" w:rsidR="00C75F0F" w:rsidRPr="00E601CA" w:rsidRDefault="00C75F0F">
            <w:pPr>
              <w:keepNext/>
              <w:jc w:val="center"/>
            </w:pPr>
            <w:r>
              <w:t>H2d</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B1DA716" w14:textId="3BD8AF46" w:rsidR="00C75F0F" w:rsidRPr="00E601CA" w:rsidRDefault="00097506">
            <w:pPr>
              <w:keepNext/>
              <w:jc w:val="center"/>
            </w:pPr>
            <w:r>
              <w:t>H3</w:t>
            </w:r>
          </w:p>
        </w:tc>
      </w:tr>
      <w:tr w:rsidR="00C75F0F" w:rsidRPr="00E601CA" w14:paraId="674350DA" w14:textId="77777777" w:rsidTr="003D7B82">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D13E75" w14:textId="77777777" w:rsidR="00C75F0F" w:rsidRPr="00E601CA" w:rsidRDefault="00C75F0F" w:rsidP="003D7B82">
            <w:pPr>
              <w:jc w:val="center"/>
            </w:pPr>
            <w:r>
              <w:t>Br1</w:t>
            </w:r>
          </w:p>
        </w:tc>
        <w:tc>
          <w:tcPr>
            <w:tcW w:w="939" w:type="dxa"/>
            <w:tcBorders>
              <w:top w:val="single" w:sz="4" w:space="0" w:color="auto"/>
              <w:left w:val="single" w:sz="4" w:space="0" w:color="auto"/>
              <w:bottom w:val="single" w:sz="4" w:space="0" w:color="auto"/>
              <w:right w:val="single" w:sz="4" w:space="0" w:color="auto"/>
            </w:tcBorders>
            <w:vAlign w:val="center"/>
            <w:hideMark/>
          </w:tcPr>
          <w:p w14:paraId="2E55C2E1" w14:textId="795E05CF" w:rsidR="00C75F0F" w:rsidRPr="00E601CA" w:rsidRDefault="00E30E9F" w:rsidP="003D7B82">
            <w:pPr>
              <w:jc w:val="center"/>
              <w:textAlignment w:val="bottom"/>
            </w:pPr>
            <w: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2B220A4E" w14:textId="2711C7B8"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3F220A3" w14:textId="70279883"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ADADFF0" w14:textId="3A12BC0C"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9CDC20C" w14:textId="7BC4E5E8"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59A0141" w14:textId="4BB4F569"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02EEB9C" w14:textId="783787FF"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311A712" w14:textId="05692D16" w:rsidR="00C75F0F" w:rsidRPr="00E601CA" w:rsidRDefault="00E30E9F" w:rsidP="003D7B82">
            <w:pPr>
              <w:jc w:val="center"/>
              <w:textAlignment w:val="bottom"/>
            </w:pPr>
            <w:r>
              <w:t>0</w:t>
            </w:r>
          </w:p>
        </w:tc>
      </w:tr>
      <w:tr w:rsidR="00C75F0F" w:rsidRPr="00E601CA" w14:paraId="1C9764FD" w14:textId="77777777" w:rsidTr="003D7B82">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81A9F1" w14:textId="77777777" w:rsidR="00C75F0F" w:rsidRPr="00E601CA" w:rsidRDefault="00C75F0F" w:rsidP="003D7B82">
            <w:pPr>
              <w:jc w:val="center"/>
            </w:pPr>
            <w:r>
              <w:t>Br2, Br3</w:t>
            </w:r>
          </w:p>
        </w:tc>
        <w:tc>
          <w:tcPr>
            <w:tcW w:w="939" w:type="dxa"/>
            <w:tcBorders>
              <w:top w:val="single" w:sz="4" w:space="0" w:color="auto"/>
              <w:left w:val="single" w:sz="4" w:space="0" w:color="auto"/>
              <w:bottom w:val="single" w:sz="4" w:space="0" w:color="auto"/>
              <w:right w:val="single" w:sz="4" w:space="0" w:color="auto"/>
            </w:tcBorders>
            <w:vAlign w:val="center"/>
            <w:hideMark/>
          </w:tcPr>
          <w:p w14:paraId="356147DC" w14:textId="2EF36AC0" w:rsidR="00C75F0F" w:rsidRPr="00E601CA" w:rsidRDefault="00E30E9F" w:rsidP="003D7B82">
            <w:pPr>
              <w:jc w:val="center"/>
              <w:textAlignment w:val="bottom"/>
            </w:pPr>
            <w: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700E9D6F" w14:textId="4B5325B6"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BBA9558" w14:textId="4FDA886A"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0005212" w14:textId="0DB0276C"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759552D" w14:textId="39E516B4"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259AFA" w14:textId="24A4C146"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2B75DC8" w14:textId="5F9751A6" w:rsidR="00C75F0F" w:rsidRPr="00E601CA" w:rsidRDefault="00E30E9F" w:rsidP="003D7B82">
            <w:pPr>
              <w:jc w:val="center"/>
              <w:textAlignment w:val="bottom"/>
            </w:pPr>
            <w:r>
              <w:t>0,1</w:t>
            </w:r>
          </w:p>
        </w:tc>
        <w:tc>
          <w:tcPr>
            <w:tcW w:w="938" w:type="dxa"/>
            <w:tcBorders>
              <w:top w:val="single" w:sz="4" w:space="0" w:color="auto"/>
              <w:left w:val="single" w:sz="4" w:space="0" w:color="auto"/>
              <w:bottom w:val="single" w:sz="4" w:space="0" w:color="auto"/>
              <w:right w:val="single" w:sz="4" w:space="0" w:color="auto"/>
            </w:tcBorders>
            <w:vAlign w:val="center"/>
            <w:hideMark/>
          </w:tcPr>
          <w:p w14:paraId="2F95B040" w14:textId="4B24487D" w:rsidR="00C75F0F" w:rsidRPr="00E601CA" w:rsidRDefault="00E30E9F" w:rsidP="003D7B82">
            <w:pPr>
              <w:jc w:val="center"/>
              <w:textAlignment w:val="bottom"/>
            </w:pPr>
            <w:r>
              <w:t>0,1</w:t>
            </w:r>
          </w:p>
        </w:tc>
      </w:tr>
    </w:tbl>
    <w:p w14:paraId="5A645B3D" w14:textId="77777777" w:rsidR="00EE4D02" w:rsidRPr="00E601CA" w:rsidRDefault="00EE4D02" w:rsidP="007B643E"/>
    <w:p w14:paraId="630FA085" w14:textId="115C6517" w:rsidR="006C7734" w:rsidRPr="00E601CA" w:rsidRDefault="006C7734" w:rsidP="00A02594">
      <w:pPr>
        <w:pStyle w:val="Heading7"/>
      </w:pPr>
      <w:r>
        <w:t>Mehrfamilienhäuser:</w:t>
      </w:r>
    </w:p>
    <w:p w14:paraId="277941B9" w14:textId="77777777" w:rsidR="006C7734" w:rsidRPr="00E601CA" w:rsidRDefault="006C7734" w:rsidP="00445109">
      <w:pPr>
        <w:keepNext/>
      </w:pPr>
      <w:r>
        <w:t xml:space="preserve">Der Koeffizient </w:t>
      </w:r>
      <w:r>
        <w:rPr>
          <w:b/>
        </w:rPr>
        <w:t>Mbgéo</w:t>
      </w:r>
      <w:r>
        <w:t xml:space="preserve"> zur Modulierung von Bbio_max je nach der geografischen Lage (klimatische Zone und Höhe) des Gebäudes nimmt folgende Werte an:</w:t>
      </w:r>
    </w:p>
    <w:tbl>
      <w:tblPr>
        <w:tblStyle w:val="TableGrid"/>
        <w:tblW w:w="10220" w:type="dxa"/>
        <w:tblLook w:val="0600" w:firstRow="0" w:lastRow="0" w:firstColumn="0" w:lastColumn="0" w:noHBand="1" w:noVBand="1"/>
      </w:tblPr>
      <w:tblGrid>
        <w:gridCol w:w="2714"/>
        <w:gridCol w:w="939"/>
        <w:gridCol w:w="939"/>
        <w:gridCol w:w="938"/>
        <w:gridCol w:w="938"/>
        <w:gridCol w:w="938"/>
        <w:gridCol w:w="938"/>
        <w:gridCol w:w="938"/>
        <w:gridCol w:w="938"/>
      </w:tblGrid>
      <w:tr w:rsidR="006C7734" w:rsidRPr="00E601CA" w14:paraId="02EC6EB4" w14:textId="77777777" w:rsidTr="003D7B82">
        <w:tc>
          <w:tcPr>
            <w:tcW w:w="2714" w:type="dxa"/>
            <w:tcBorders>
              <w:tl2br w:val="single" w:sz="4" w:space="0" w:color="auto"/>
            </w:tcBorders>
            <w:shd w:val="clear" w:color="auto" w:fill="A6A6A6" w:themeFill="background1" w:themeFillShade="A6"/>
            <w:hideMark/>
          </w:tcPr>
          <w:p w14:paraId="71DB2A20" w14:textId="77777777" w:rsidR="006C7734" w:rsidRPr="00E601CA" w:rsidRDefault="006C7734" w:rsidP="00445109">
            <w:pPr>
              <w:keepNext/>
              <w:jc w:val="right"/>
            </w:pPr>
            <w:r>
              <w:t xml:space="preserve">Klimatische Zone </w:t>
            </w:r>
          </w:p>
          <w:p w14:paraId="7FEBF83F" w14:textId="77777777" w:rsidR="006C7734" w:rsidRPr="00E601CA" w:rsidRDefault="006C7734" w:rsidP="00445109">
            <w:pPr>
              <w:keepNext/>
            </w:pPr>
            <w:r>
              <w:t>Höhe</w:t>
            </w:r>
          </w:p>
        </w:tc>
        <w:tc>
          <w:tcPr>
            <w:tcW w:w="939" w:type="dxa"/>
            <w:shd w:val="clear" w:color="auto" w:fill="A6A6A6" w:themeFill="background1" w:themeFillShade="A6"/>
            <w:hideMark/>
          </w:tcPr>
          <w:p w14:paraId="1A9F7503" w14:textId="77777777" w:rsidR="006C7734" w:rsidRPr="00E601CA" w:rsidRDefault="006C7734" w:rsidP="00445109">
            <w:pPr>
              <w:keepNext/>
            </w:pPr>
            <w:r>
              <w:t>H1a</w:t>
            </w:r>
          </w:p>
        </w:tc>
        <w:tc>
          <w:tcPr>
            <w:tcW w:w="939" w:type="dxa"/>
            <w:shd w:val="clear" w:color="auto" w:fill="A6A6A6" w:themeFill="background1" w:themeFillShade="A6"/>
            <w:hideMark/>
          </w:tcPr>
          <w:p w14:paraId="7258ABC2" w14:textId="77777777" w:rsidR="006C7734" w:rsidRPr="00E601CA" w:rsidRDefault="006C7734" w:rsidP="00445109">
            <w:pPr>
              <w:keepNext/>
            </w:pPr>
            <w:r>
              <w:t>H1b</w:t>
            </w:r>
          </w:p>
        </w:tc>
        <w:tc>
          <w:tcPr>
            <w:tcW w:w="938" w:type="dxa"/>
            <w:shd w:val="clear" w:color="auto" w:fill="A6A6A6" w:themeFill="background1" w:themeFillShade="A6"/>
            <w:hideMark/>
          </w:tcPr>
          <w:p w14:paraId="4EC2301B" w14:textId="77777777" w:rsidR="006C7734" w:rsidRPr="00E601CA" w:rsidRDefault="006C7734" w:rsidP="00445109">
            <w:pPr>
              <w:keepNext/>
            </w:pPr>
            <w:r>
              <w:t>H1c</w:t>
            </w:r>
          </w:p>
        </w:tc>
        <w:tc>
          <w:tcPr>
            <w:tcW w:w="938" w:type="dxa"/>
            <w:shd w:val="clear" w:color="auto" w:fill="A6A6A6" w:themeFill="background1" w:themeFillShade="A6"/>
            <w:hideMark/>
          </w:tcPr>
          <w:p w14:paraId="0ABC54C1" w14:textId="77777777" w:rsidR="006C7734" w:rsidRPr="00E601CA" w:rsidRDefault="006C7734" w:rsidP="00445109">
            <w:pPr>
              <w:keepNext/>
            </w:pPr>
            <w:r>
              <w:t>H2a</w:t>
            </w:r>
          </w:p>
        </w:tc>
        <w:tc>
          <w:tcPr>
            <w:tcW w:w="938" w:type="dxa"/>
            <w:shd w:val="clear" w:color="auto" w:fill="A6A6A6" w:themeFill="background1" w:themeFillShade="A6"/>
            <w:hideMark/>
          </w:tcPr>
          <w:p w14:paraId="760C1487" w14:textId="77777777" w:rsidR="006C7734" w:rsidRPr="00E601CA" w:rsidRDefault="006C7734" w:rsidP="00445109">
            <w:pPr>
              <w:keepNext/>
            </w:pPr>
            <w:r>
              <w:t>H2b</w:t>
            </w:r>
          </w:p>
        </w:tc>
        <w:tc>
          <w:tcPr>
            <w:tcW w:w="938" w:type="dxa"/>
            <w:shd w:val="clear" w:color="auto" w:fill="A6A6A6" w:themeFill="background1" w:themeFillShade="A6"/>
            <w:hideMark/>
          </w:tcPr>
          <w:p w14:paraId="487C6386" w14:textId="77777777" w:rsidR="006C7734" w:rsidRPr="00E601CA" w:rsidRDefault="006C7734" w:rsidP="00445109">
            <w:pPr>
              <w:keepNext/>
            </w:pPr>
            <w:r>
              <w:t>H2c</w:t>
            </w:r>
          </w:p>
        </w:tc>
        <w:tc>
          <w:tcPr>
            <w:tcW w:w="938" w:type="dxa"/>
            <w:shd w:val="clear" w:color="auto" w:fill="A6A6A6" w:themeFill="background1" w:themeFillShade="A6"/>
            <w:hideMark/>
          </w:tcPr>
          <w:p w14:paraId="6702D57B" w14:textId="77777777" w:rsidR="006C7734" w:rsidRPr="00E601CA" w:rsidRDefault="006C7734" w:rsidP="00445109">
            <w:pPr>
              <w:keepNext/>
            </w:pPr>
            <w:r>
              <w:t>H2d</w:t>
            </w:r>
          </w:p>
        </w:tc>
        <w:tc>
          <w:tcPr>
            <w:tcW w:w="938" w:type="dxa"/>
            <w:shd w:val="clear" w:color="auto" w:fill="A6A6A6" w:themeFill="background1" w:themeFillShade="A6"/>
            <w:hideMark/>
          </w:tcPr>
          <w:p w14:paraId="72C4CCA9" w14:textId="42CE470A" w:rsidR="006C7734" w:rsidRPr="00E601CA" w:rsidRDefault="00097506" w:rsidP="00445109">
            <w:pPr>
              <w:keepNext/>
            </w:pPr>
            <w:r>
              <w:t>H3</w:t>
            </w:r>
          </w:p>
        </w:tc>
      </w:tr>
      <w:tr w:rsidR="006C7734" w:rsidRPr="00E601CA" w14:paraId="5A71CE0E" w14:textId="77777777" w:rsidTr="003D7B82">
        <w:tc>
          <w:tcPr>
            <w:tcW w:w="2714" w:type="dxa"/>
            <w:shd w:val="clear" w:color="auto" w:fill="F2F2F2" w:themeFill="background1" w:themeFillShade="F2"/>
            <w:hideMark/>
          </w:tcPr>
          <w:p w14:paraId="435F93E1" w14:textId="77777777" w:rsidR="006C7734" w:rsidRPr="00E601CA" w:rsidRDefault="006C7734" w:rsidP="003D7B82">
            <w:pPr>
              <w:jc w:val="center"/>
            </w:pPr>
            <w:r>
              <w:t>&lt; 400 m</w:t>
            </w:r>
          </w:p>
        </w:tc>
        <w:tc>
          <w:tcPr>
            <w:tcW w:w="939" w:type="dxa"/>
            <w:vAlign w:val="center"/>
          </w:tcPr>
          <w:p w14:paraId="44B90A30" w14:textId="49FDAE90" w:rsidR="006C7734" w:rsidRPr="00E601CA" w:rsidRDefault="00E30E9F" w:rsidP="003D7B82">
            <w:pPr>
              <w:jc w:val="center"/>
              <w:textAlignment w:val="bottom"/>
            </w:pPr>
            <w:r>
              <w:t>0,15</w:t>
            </w:r>
          </w:p>
        </w:tc>
        <w:tc>
          <w:tcPr>
            <w:tcW w:w="939" w:type="dxa"/>
            <w:vAlign w:val="center"/>
          </w:tcPr>
          <w:p w14:paraId="09C8B00D" w14:textId="241EAB46" w:rsidR="006C7734" w:rsidRPr="00E601CA" w:rsidRDefault="00E30E9F" w:rsidP="003D7B82">
            <w:pPr>
              <w:jc w:val="center"/>
              <w:textAlignment w:val="bottom"/>
            </w:pPr>
            <w:r>
              <w:t>0,20</w:t>
            </w:r>
          </w:p>
        </w:tc>
        <w:tc>
          <w:tcPr>
            <w:tcW w:w="938" w:type="dxa"/>
            <w:vAlign w:val="center"/>
          </w:tcPr>
          <w:p w14:paraId="7316A9AD" w14:textId="479D518E" w:rsidR="006C7734" w:rsidRPr="00E601CA" w:rsidRDefault="00E30E9F" w:rsidP="003D7B82">
            <w:pPr>
              <w:jc w:val="center"/>
              <w:textAlignment w:val="bottom"/>
            </w:pPr>
            <w:r>
              <w:t>0,10</w:t>
            </w:r>
          </w:p>
        </w:tc>
        <w:tc>
          <w:tcPr>
            <w:tcW w:w="938" w:type="dxa"/>
            <w:vAlign w:val="center"/>
          </w:tcPr>
          <w:p w14:paraId="47785293" w14:textId="794E861B" w:rsidR="006C7734" w:rsidRPr="00E601CA" w:rsidRDefault="00E30E9F" w:rsidP="003D7B82">
            <w:pPr>
              <w:jc w:val="center"/>
              <w:textAlignment w:val="bottom"/>
            </w:pPr>
            <w:r>
              <w:t>-0,05</w:t>
            </w:r>
          </w:p>
        </w:tc>
        <w:tc>
          <w:tcPr>
            <w:tcW w:w="938" w:type="dxa"/>
            <w:vAlign w:val="center"/>
          </w:tcPr>
          <w:p w14:paraId="6E04ADA3" w14:textId="2773EFAB" w:rsidR="006C7734" w:rsidRPr="00E601CA" w:rsidRDefault="006C7734" w:rsidP="003D7B82">
            <w:pPr>
              <w:jc w:val="center"/>
              <w:textAlignment w:val="bottom"/>
            </w:pPr>
            <w:r>
              <w:t>0</w:t>
            </w:r>
          </w:p>
        </w:tc>
        <w:tc>
          <w:tcPr>
            <w:tcW w:w="938" w:type="dxa"/>
            <w:vAlign w:val="center"/>
          </w:tcPr>
          <w:p w14:paraId="4486370F" w14:textId="25BE4518" w:rsidR="006C7734" w:rsidRPr="00E601CA" w:rsidRDefault="00E30E9F" w:rsidP="003D7B82">
            <w:pPr>
              <w:jc w:val="center"/>
              <w:textAlignment w:val="bottom"/>
            </w:pPr>
            <w:r>
              <w:t>-0,15</w:t>
            </w:r>
          </w:p>
        </w:tc>
        <w:tc>
          <w:tcPr>
            <w:tcW w:w="938" w:type="dxa"/>
            <w:vAlign w:val="center"/>
          </w:tcPr>
          <w:p w14:paraId="6BFB0334" w14:textId="0F6D789F" w:rsidR="006C7734" w:rsidRPr="00E601CA" w:rsidRDefault="00E30E9F" w:rsidP="003D7B82">
            <w:pPr>
              <w:jc w:val="center"/>
              <w:textAlignment w:val="bottom"/>
            </w:pPr>
            <w:r>
              <w:t>-0,05</w:t>
            </w:r>
          </w:p>
        </w:tc>
        <w:tc>
          <w:tcPr>
            <w:tcW w:w="938" w:type="dxa"/>
            <w:vAlign w:val="center"/>
          </w:tcPr>
          <w:p w14:paraId="17B6CA0B" w14:textId="75B92980" w:rsidR="006C7734" w:rsidRPr="00E601CA" w:rsidRDefault="00E30E9F" w:rsidP="003D7B82">
            <w:pPr>
              <w:jc w:val="center"/>
              <w:textAlignment w:val="bottom"/>
            </w:pPr>
            <w:r>
              <w:t>-0,15</w:t>
            </w:r>
          </w:p>
        </w:tc>
      </w:tr>
      <w:tr w:rsidR="006C7734" w:rsidRPr="00E601CA" w14:paraId="32D343FD" w14:textId="77777777" w:rsidTr="003D7B82">
        <w:tc>
          <w:tcPr>
            <w:tcW w:w="2714" w:type="dxa"/>
            <w:shd w:val="clear" w:color="auto" w:fill="F2F2F2" w:themeFill="background1" w:themeFillShade="F2"/>
            <w:hideMark/>
          </w:tcPr>
          <w:p w14:paraId="5AFAC28E" w14:textId="77777777" w:rsidR="006C7734" w:rsidRPr="00E601CA" w:rsidRDefault="006C7734" w:rsidP="003D7B82">
            <w:pPr>
              <w:jc w:val="center"/>
            </w:pPr>
            <w:r>
              <w:t>400 m-800 m</w:t>
            </w:r>
          </w:p>
        </w:tc>
        <w:tc>
          <w:tcPr>
            <w:tcW w:w="939" w:type="dxa"/>
            <w:vAlign w:val="center"/>
          </w:tcPr>
          <w:p w14:paraId="6106A8C3" w14:textId="5B7A071D" w:rsidR="006C7734" w:rsidRPr="00E601CA" w:rsidRDefault="00E30E9F" w:rsidP="003D7B82">
            <w:pPr>
              <w:jc w:val="center"/>
              <w:textAlignment w:val="bottom"/>
            </w:pPr>
            <w:r>
              <w:t>0,4</w:t>
            </w:r>
          </w:p>
        </w:tc>
        <w:tc>
          <w:tcPr>
            <w:tcW w:w="939" w:type="dxa"/>
            <w:vAlign w:val="center"/>
          </w:tcPr>
          <w:p w14:paraId="57851F40" w14:textId="736FC7DC" w:rsidR="006C7734" w:rsidRPr="00E601CA" w:rsidRDefault="00E30E9F" w:rsidP="003D7B82">
            <w:pPr>
              <w:jc w:val="center"/>
              <w:textAlignment w:val="bottom"/>
            </w:pPr>
            <w:r>
              <w:t>0,5</w:t>
            </w:r>
          </w:p>
        </w:tc>
        <w:tc>
          <w:tcPr>
            <w:tcW w:w="938" w:type="dxa"/>
            <w:vAlign w:val="center"/>
          </w:tcPr>
          <w:p w14:paraId="290CAEFF" w14:textId="22534B72" w:rsidR="006C7734" w:rsidRPr="00E601CA" w:rsidRDefault="00E30E9F" w:rsidP="003D7B82">
            <w:pPr>
              <w:jc w:val="center"/>
              <w:textAlignment w:val="bottom"/>
            </w:pPr>
            <w:r>
              <w:t>0,45</w:t>
            </w:r>
          </w:p>
        </w:tc>
        <w:tc>
          <w:tcPr>
            <w:tcW w:w="938" w:type="dxa"/>
            <w:vAlign w:val="center"/>
          </w:tcPr>
          <w:p w14:paraId="66A230D2" w14:textId="70820617" w:rsidR="006C7734" w:rsidRPr="00E601CA" w:rsidRDefault="00E30E9F" w:rsidP="003D7B82">
            <w:pPr>
              <w:jc w:val="center"/>
              <w:textAlignment w:val="bottom"/>
            </w:pPr>
            <w:r>
              <w:t>0,2</w:t>
            </w:r>
          </w:p>
        </w:tc>
        <w:tc>
          <w:tcPr>
            <w:tcW w:w="938" w:type="dxa"/>
            <w:vAlign w:val="center"/>
          </w:tcPr>
          <w:p w14:paraId="7737CD5D" w14:textId="47308A9B" w:rsidR="006C7734" w:rsidRPr="00E601CA" w:rsidRDefault="00E30E9F" w:rsidP="003D7B82">
            <w:pPr>
              <w:jc w:val="center"/>
              <w:textAlignment w:val="bottom"/>
            </w:pPr>
            <w:r>
              <w:t>0,3</w:t>
            </w:r>
          </w:p>
        </w:tc>
        <w:tc>
          <w:tcPr>
            <w:tcW w:w="938" w:type="dxa"/>
            <w:vAlign w:val="center"/>
          </w:tcPr>
          <w:p w14:paraId="32CE6A43" w14:textId="2C4225AA" w:rsidR="006C7734" w:rsidRPr="00E601CA" w:rsidRDefault="00E30E9F" w:rsidP="003D7B82">
            <w:pPr>
              <w:jc w:val="center"/>
              <w:textAlignment w:val="bottom"/>
            </w:pPr>
            <w:r>
              <w:t>0,1</w:t>
            </w:r>
          </w:p>
        </w:tc>
        <w:tc>
          <w:tcPr>
            <w:tcW w:w="938" w:type="dxa"/>
            <w:vAlign w:val="center"/>
          </w:tcPr>
          <w:p w14:paraId="33CF6162" w14:textId="00ABBDEF" w:rsidR="006C7734" w:rsidRPr="00E601CA" w:rsidRDefault="00E30E9F" w:rsidP="003D7B82">
            <w:pPr>
              <w:jc w:val="center"/>
              <w:textAlignment w:val="bottom"/>
            </w:pPr>
            <w:r>
              <w:t>0,2</w:t>
            </w:r>
          </w:p>
        </w:tc>
        <w:tc>
          <w:tcPr>
            <w:tcW w:w="938" w:type="dxa"/>
            <w:vAlign w:val="center"/>
          </w:tcPr>
          <w:p w14:paraId="35D7CCA9" w14:textId="57A21EC3" w:rsidR="006C7734" w:rsidRPr="00E601CA" w:rsidRDefault="00E30E9F" w:rsidP="003D7B82">
            <w:pPr>
              <w:jc w:val="center"/>
              <w:textAlignment w:val="bottom"/>
            </w:pPr>
            <w:r>
              <w:t>-0,05</w:t>
            </w:r>
          </w:p>
        </w:tc>
      </w:tr>
      <w:tr w:rsidR="006C7734" w:rsidRPr="00E601CA" w14:paraId="367B5EAE" w14:textId="77777777" w:rsidTr="003D7B82">
        <w:tc>
          <w:tcPr>
            <w:tcW w:w="2714" w:type="dxa"/>
            <w:shd w:val="clear" w:color="auto" w:fill="F2F2F2" w:themeFill="background1" w:themeFillShade="F2"/>
            <w:hideMark/>
          </w:tcPr>
          <w:p w14:paraId="6DE41D85" w14:textId="77777777" w:rsidR="006C7734" w:rsidRPr="00E601CA" w:rsidRDefault="006C7734" w:rsidP="003D7B82">
            <w:pPr>
              <w:jc w:val="center"/>
            </w:pPr>
            <w:r>
              <w:t>&gt; 800 m</w:t>
            </w:r>
          </w:p>
        </w:tc>
        <w:tc>
          <w:tcPr>
            <w:tcW w:w="939" w:type="dxa"/>
            <w:vAlign w:val="center"/>
          </w:tcPr>
          <w:p w14:paraId="634D64A3" w14:textId="01830DBD" w:rsidR="006C7734" w:rsidRPr="00E601CA" w:rsidRDefault="00E30E9F" w:rsidP="003D7B82">
            <w:pPr>
              <w:jc w:val="center"/>
              <w:textAlignment w:val="bottom"/>
            </w:pPr>
            <w:r>
              <w:t>0,8</w:t>
            </w:r>
          </w:p>
        </w:tc>
        <w:tc>
          <w:tcPr>
            <w:tcW w:w="939" w:type="dxa"/>
            <w:vAlign w:val="center"/>
          </w:tcPr>
          <w:p w14:paraId="2B1A9BA8" w14:textId="1BB2C402" w:rsidR="006C7734" w:rsidRPr="00E601CA" w:rsidRDefault="00E30E9F" w:rsidP="003D7B82">
            <w:pPr>
              <w:jc w:val="center"/>
              <w:textAlignment w:val="bottom"/>
            </w:pPr>
            <w:r>
              <w:t>0,85</w:t>
            </w:r>
          </w:p>
        </w:tc>
        <w:tc>
          <w:tcPr>
            <w:tcW w:w="938" w:type="dxa"/>
            <w:vAlign w:val="center"/>
          </w:tcPr>
          <w:p w14:paraId="36D238B9" w14:textId="34164AFC" w:rsidR="006C7734" w:rsidRPr="00E601CA" w:rsidRDefault="00E30E9F" w:rsidP="003D7B82">
            <w:pPr>
              <w:jc w:val="center"/>
              <w:textAlignment w:val="bottom"/>
            </w:pPr>
            <w:r>
              <w:t>0,75</w:t>
            </w:r>
          </w:p>
        </w:tc>
        <w:tc>
          <w:tcPr>
            <w:tcW w:w="938" w:type="dxa"/>
            <w:vAlign w:val="center"/>
          </w:tcPr>
          <w:p w14:paraId="39D6EFFE" w14:textId="564764BF" w:rsidR="006C7734" w:rsidRPr="00E601CA" w:rsidRDefault="00E30E9F" w:rsidP="003D7B82">
            <w:pPr>
              <w:jc w:val="center"/>
              <w:textAlignment w:val="bottom"/>
            </w:pPr>
            <w:r>
              <w:t>0,6</w:t>
            </w:r>
          </w:p>
        </w:tc>
        <w:tc>
          <w:tcPr>
            <w:tcW w:w="938" w:type="dxa"/>
            <w:vAlign w:val="center"/>
          </w:tcPr>
          <w:p w14:paraId="05C1B480" w14:textId="0BF0E89E" w:rsidR="006C7734" w:rsidRPr="00E601CA" w:rsidRDefault="00E30E9F" w:rsidP="003D7B82">
            <w:pPr>
              <w:jc w:val="center"/>
              <w:textAlignment w:val="bottom"/>
            </w:pPr>
            <w:r>
              <w:t>0,65</w:t>
            </w:r>
          </w:p>
        </w:tc>
        <w:tc>
          <w:tcPr>
            <w:tcW w:w="938" w:type="dxa"/>
            <w:vAlign w:val="center"/>
          </w:tcPr>
          <w:p w14:paraId="73364214" w14:textId="34189C83" w:rsidR="006C7734" w:rsidRPr="00E601CA" w:rsidRDefault="00E30E9F" w:rsidP="003D7B82">
            <w:pPr>
              <w:jc w:val="center"/>
              <w:textAlignment w:val="bottom"/>
            </w:pPr>
            <w:r>
              <w:t>0,4</w:t>
            </w:r>
          </w:p>
        </w:tc>
        <w:tc>
          <w:tcPr>
            <w:tcW w:w="938" w:type="dxa"/>
            <w:vAlign w:val="center"/>
          </w:tcPr>
          <w:p w14:paraId="0391E039" w14:textId="2F392063" w:rsidR="006C7734" w:rsidRPr="00E601CA" w:rsidRDefault="00E30E9F" w:rsidP="003D7B82">
            <w:pPr>
              <w:jc w:val="center"/>
              <w:textAlignment w:val="bottom"/>
            </w:pPr>
            <w:r>
              <w:t>0,4</w:t>
            </w:r>
          </w:p>
        </w:tc>
        <w:tc>
          <w:tcPr>
            <w:tcW w:w="938" w:type="dxa"/>
            <w:vAlign w:val="center"/>
          </w:tcPr>
          <w:p w14:paraId="0E538E00" w14:textId="3D9C44CA" w:rsidR="006C7734" w:rsidRPr="00E601CA" w:rsidRDefault="00E30E9F" w:rsidP="003D7B82">
            <w:pPr>
              <w:jc w:val="center"/>
              <w:textAlignment w:val="bottom"/>
            </w:pPr>
            <w:r>
              <w:t>0,15</w:t>
            </w:r>
          </w:p>
        </w:tc>
      </w:tr>
    </w:tbl>
    <w:p w14:paraId="35EC1A65" w14:textId="77777777" w:rsidR="006C7734" w:rsidRPr="00E601CA" w:rsidRDefault="006C7734" w:rsidP="006C7734"/>
    <w:p w14:paraId="276D2AF6" w14:textId="0277DD47" w:rsidR="002523E6" w:rsidRDefault="002523E6" w:rsidP="00F74657">
      <w:pPr>
        <w:keepNext/>
      </w:pPr>
      <w:r>
        <w:t xml:space="preserve">Der Koeffizient </w:t>
      </w:r>
      <w:r>
        <w:rPr>
          <w:b/>
        </w:rPr>
        <w:t>Mbcombles</w:t>
      </w:r>
      <w:r>
        <w:t xml:space="preserve"> zur Modulierung von Bbio_max je nach Vorhandensein von ausgebauten Dachgeschossen in dem Gebäude oder Gebäudeteil wird nach folgender Formel berechnet: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890"/>
      </w:tblGrid>
      <w:tr w:rsidR="006E49FE" w14:paraId="4B32424B" w14:textId="77777777" w:rsidTr="006E49FE">
        <w:trPr>
          <w:jc w:val="center"/>
        </w:trPr>
        <w:tc>
          <w:tcPr>
            <w:tcW w:w="1530" w:type="dxa"/>
            <w:vMerge w:val="restart"/>
            <w:vAlign w:val="center"/>
          </w:tcPr>
          <w:p w14:paraId="34A3F80E" w14:textId="264DA265" w:rsidR="006E49FE" w:rsidRPr="00A234E1" w:rsidRDefault="006E49FE" w:rsidP="00A83508">
            <w:pPr>
              <w:jc w:val="center"/>
              <w:rPr>
                <w:rFonts w:ascii="Cambria Math" w:hAnsi="Cambria Math" w:hint="eastAsia"/>
                <w:i/>
              </w:rPr>
            </w:pPr>
            <w:r>
              <w:rPr>
                <w:rFonts w:ascii="Cambria Math" w:hAnsi="Cambria Math"/>
                <w:i/>
              </w:rPr>
              <w:t>Mbcombles =</w:t>
            </w:r>
          </w:p>
        </w:tc>
        <w:tc>
          <w:tcPr>
            <w:tcW w:w="1890" w:type="dxa"/>
            <w:tcBorders>
              <w:bottom w:val="single" w:sz="4" w:space="0" w:color="auto"/>
            </w:tcBorders>
            <w:vAlign w:val="center"/>
          </w:tcPr>
          <w:p w14:paraId="3C455748" w14:textId="346EFB3A" w:rsidR="006E49FE" w:rsidRPr="00A234E1" w:rsidRDefault="006E49FE" w:rsidP="00A83508">
            <w:pPr>
              <w:jc w:val="center"/>
              <w:rPr>
                <w:rFonts w:ascii="Cambria Math" w:hAnsi="Cambria Math" w:hint="eastAsia"/>
                <w:i/>
              </w:rPr>
            </w:pPr>
            <w:r>
              <w:rPr>
                <w:rFonts w:ascii="Cambria Math" w:hAnsi="Cambria Math"/>
                <w:i/>
              </w:rPr>
              <w:t>(0,4 × Scombles)</w:t>
            </w:r>
          </w:p>
        </w:tc>
      </w:tr>
      <w:tr w:rsidR="006E49FE" w14:paraId="68257947" w14:textId="77777777" w:rsidTr="006E49FE">
        <w:trPr>
          <w:jc w:val="center"/>
        </w:trPr>
        <w:tc>
          <w:tcPr>
            <w:tcW w:w="1530" w:type="dxa"/>
            <w:vMerge/>
            <w:vAlign w:val="center"/>
          </w:tcPr>
          <w:p w14:paraId="0E5DC5F1" w14:textId="77777777" w:rsidR="006E49FE" w:rsidRPr="00A234E1" w:rsidRDefault="006E49FE" w:rsidP="00A83508">
            <w:pPr>
              <w:jc w:val="center"/>
              <w:rPr>
                <w:rFonts w:ascii="Cambria Math" w:hAnsi="Cambria Math" w:hint="eastAsia"/>
                <w:i/>
              </w:rPr>
            </w:pPr>
          </w:p>
        </w:tc>
        <w:tc>
          <w:tcPr>
            <w:tcW w:w="1890" w:type="dxa"/>
            <w:tcBorders>
              <w:top w:val="single" w:sz="4" w:space="0" w:color="auto"/>
            </w:tcBorders>
            <w:vAlign w:val="center"/>
          </w:tcPr>
          <w:p w14:paraId="6226089E" w14:textId="2C3A3C61" w:rsidR="006E49FE" w:rsidRPr="00A234E1" w:rsidRDefault="006E49FE" w:rsidP="00A83508">
            <w:pPr>
              <w:jc w:val="center"/>
              <w:rPr>
                <w:rFonts w:ascii="Cambria Math" w:hAnsi="Cambria Math" w:hint="eastAsia"/>
                <w:i/>
              </w:rPr>
            </w:pPr>
            <w:r>
              <w:rPr>
                <w:rFonts w:ascii="Cambria Math" w:hAnsi="Cambria Math"/>
                <w:i/>
              </w:rPr>
              <w:t>Sref</w:t>
            </w:r>
          </w:p>
        </w:tc>
      </w:tr>
    </w:tbl>
    <w:p w14:paraId="4B70AA62" w14:textId="77777777" w:rsidR="006E49FE" w:rsidRPr="00E601CA" w:rsidRDefault="006E49FE" w:rsidP="006E49FE"/>
    <w:p w14:paraId="7CCFF9F4" w14:textId="13ACC13A" w:rsidR="002523E6" w:rsidRPr="00E601CA" w:rsidRDefault="002523E6" w:rsidP="002523E6">
      <w:pPr>
        <w:rPr>
          <w:rFonts w:eastAsiaTheme="minorEastAsia"/>
        </w:rPr>
      </w:pPr>
      <w:r>
        <w:t>Wobei Scombles die Bodenfläche von ausgebauten Dachgeschossen mit einer Deckenhöhe von weniger als 1,8 m angibt.</w:t>
      </w:r>
    </w:p>
    <w:p w14:paraId="33E9E162" w14:textId="1670CAB7" w:rsidR="00A02594" w:rsidRPr="00E601CA" w:rsidRDefault="006C7734" w:rsidP="00A02594">
      <w:pPr>
        <w:keepNext/>
      </w:pPr>
      <w:r>
        <w:lastRenderedPageBreak/>
        <w:t xml:space="preserve">Der Koeffizient </w:t>
      </w:r>
      <w:r>
        <w:rPr>
          <w:b/>
        </w:rPr>
        <w:t>Mbsurf</w:t>
      </w:r>
      <w:r>
        <w:t xml:space="preserve"> zur Modulierung von Bbio_max entsprechend der durchschnittlichen Fläche der Wohnungen in dem Gebäude oder Gebäudeteil </w:t>
      </w:r>
      <w:r>
        <w:rPr>
          <w:rFonts w:ascii="Cambria Math" w:hAnsi="Cambria Math"/>
          <w:i/>
        </w:rPr>
        <w:t>Smoy</w:t>
      </w:r>
      <w:r>
        <w:rPr>
          <w:rFonts w:ascii="Cambria Math" w:hAnsi="Cambria Math"/>
          <w:i/>
          <w:vertAlign w:val="subscript"/>
        </w:rPr>
        <w:t>lgt-</w:t>
      </w:r>
      <w:r>
        <w:t>nimmt folgende Werte an:</w:t>
      </w:r>
    </w:p>
    <w:tbl>
      <w:tblPr>
        <w:tblStyle w:val="TableGrid"/>
        <w:tblW w:w="3441" w:type="pct"/>
        <w:jc w:val="center"/>
        <w:tblLook w:val="04A0" w:firstRow="1" w:lastRow="0" w:firstColumn="1" w:lastColumn="0" w:noHBand="0" w:noVBand="1"/>
      </w:tblPr>
      <w:tblGrid>
        <w:gridCol w:w="3410"/>
        <w:gridCol w:w="2826"/>
      </w:tblGrid>
      <w:tr w:rsidR="006C7734" w:rsidRPr="00E601CA" w14:paraId="4B6C8979" w14:textId="77777777" w:rsidTr="00FC0B23">
        <w:trPr>
          <w:jc w:val="center"/>
        </w:trPr>
        <w:tc>
          <w:tcPr>
            <w:tcW w:w="2734" w:type="pct"/>
            <w:shd w:val="clear" w:color="auto" w:fill="A6A6A6" w:themeFill="background1" w:themeFillShade="A6"/>
          </w:tcPr>
          <w:p w14:paraId="24E7A45E" w14:textId="77777777" w:rsidR="006C7734" w:rsidRPr="00E601CA" w:rsidRDefault="006C7734" w:rsidP="00445109">
            <w:pPr>
              <w:keepNext/>
              <w:jc w:val="center"/>
            </w:pPr>
            <w:r>
              <w:t>Durchschnittliche Fläche der Wohnungen des Gebäudes</w:t>
            </w:r>
          </w:p>
        </w:tc>
        <w:tc>
          <w:tcPr>
            <w:tcW w:w="2266" w:type="pct"/>
            <w:shd w:val="clear" w:color="auto" w:fill="A6A6A6" w:themeFill="background1" w:themeFillShade="A6"/>
          </w:tcPr>
          <w:p w14:paraId="659976B9" w14:textId="77777777" w:rsidR="006C7734" w:rsidRPr="00E601CA" w:rsidRDefault="006C7734" w:rsidP="00445109">
            <w:pPr>
              <w:keepNext/>
              <w:jc w:val="center"/>
            </w:pPr>
            <w:r>
              <w:t>Mbsurf</w:t>
            </w:r>
          </w:p>
        </w:tc>
      </w:tr>
      <w:tr w:rsidR="006C7734" w:rsidRPr="00E601CA" w14:paraId="77AEF2EF" w14:textId="77777777" w:rsidTr="00FC0B23">
        <w:trPr>
          <w:jc w:val="center"/>
        </w:trPr>
        <w:tc>
          <w:tcPr>
            <w:tcW w:w="2734" w:type="pct"/>
            <w:shd w:val="clear" w:color="auto" w:fill="F2F2F2" w:themeFill="background1" w:themeFillShade="F2"/>
          </w:tcPr>
          <w:p w14:paraId="1DE2C0E0" w14:textId="74943465" w:rsidR="006C7734" w:rsidRPr="00E601CA" w:rsidRDefault="004205DE" w:rsidP="004205DE">
            <w:pPr>
              <w:jc w:val="center"/>
            </w:pPr>
            <w:r>
              <w:rPr>
                <w:rFonts w:ascii="Cambria Math" w:hAnsi="Cambria Math"/>
                <w:i/>
              </w:rPr>
              <w:t>Smoy</w:t>
            </w:r>
            <w:r>
              <w:rPr>
                <w:rFonts w:ascii="Cambria Math" w:hAnsi="Cambria Math"/>
                <w:i/>
                <w:vertAlign w:val="subscript"/>
              </w:rPr>
              <w:t>lgt</w:t>
            </w:r>
            <w:r>
              <w:rPr>
                <w:rFonts w:ascii="Cambria Math" w:hAnsi="Cambria Math"/>
                <w:i/>
              </w:rPr>
              <w:t xml:space="preserve"> ≤ 40 m²</w:t>
            </w:r>
          </w:p>
        </w:tc>
        <w:tc>
          <w:tcPr>
            <w:tcW w:w="2266" w:type="pct"/>
          </w:tcPr>
          <w:p w14:paraId="316886F9" w14:textId="77777777" w:rsidR="00C73940" w:rsidRDefault="00C73940" w:rsidP="004205DE">
            <w:pPr>
              <w:jc w:val="center"/>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tblGrid>
            <w:tr w:rsidR="00C73940" w14:paraId="1AFC2E50" w14:textId="77777777" w:rsidTr="00A83508">
              <w:trPr>
                <w:jc w:val="center"/>
              </w:trPr>
              <w:tc>
                <w:tcPr>
                  <w:tcW w:w="2238" w:type="dxa"/>
                  <w:tcBorders>
                    <w:bottom w:val="single" w:sz="4" w:space="0" w:color="auto"/>
                  </w:tcBorders>
                </w:tcPr>
                <w:p w14:paraId="74C74057" w14:textId="3405294C" w:rsidR="00C73940" w:rsidRPr="00C73940" w:rsidRDefault="00C73940" w:rsidP="004205DE">
                  <w:pPr>
                    <w:jc w:val="center"/>
                    <w:rPr>
                      <w:rFonts w:ascii="Cambria Math" w:hAnsi="Cambria Math" w:hint="eastAsia"/>
                      <w:i/>
                    </w:rPr>
                  </w:pPr>
                  <w:r>
                    <w:rPr>
                      <w:rFonts w:ascii="Cambria Math" w:hAnsi="Cambria Math"/>
                    </w:rPr>
                    <w:t>-14+ 0,3 *</w:t>
                  </w:r>
                  <w:r>
                    <w:rPr>
                      <w:rFonts w:ascii="Cambria Math" w:hAnsi="Cambria Math"/>
                      <w:i/>
                    </w:rPr>
                    <w:t xml:space="preserve"> Smoy</w:t>
                  </w:r>
                  <w:r>
                    <w:rPr>
                      <w:rFonts w:ascii="Cambria Math" w:hAnsi="Cambria Math"/>
                      <w:i/>
                      <w:vertAlign w:val="subscript"/>
                    </w:rPr>
                    <w:t>lgt</w:t>
                  </w:r>
                </w:p>
              </w:tc>
            </w:tr>
            <w:tr w:rsidR="00C73940" w14:paraId="4DE78587" w14:textId="77777777" w:rsidTr="00A83508">
              <w:trPr>
                <w:jc w:val="center"/>
              </w:trPr>
              <w:tc>
                <w:tcPr>
                  <w:tcW w:w="2238" w:type="dxa"/>
                  <w:tcBorders>
                    <w:top w:val="single" w:sz="4" w:space="0" w:color="auto"/>
                  </w:tcBorders>
                </w:tcPr>
                <w:p w14:paraId="57896B55" w14:textId="77777777" w:rsidR="00C73940" w:rsidRPr="00C73940" w:rsidRDefault="00C73940" w:rsidP="004205DE">
                  <w:pPr>
                    <w:jc w:val="center"/>
                    <w:rPr>
                      <w:rFonts w:ascii="Cambria Math" w:hAnsi="Cambria Math" w:hint="eastAsia"/>
                      <w:i/>
                    </w:rPr>
                  </w:pPr>
                  <w:r>
                    <w:rPr>
                      <w:rFonts w:ascii="Cambria Math" w:hAnsi="Cambria Math"/>
                      <w:i/>
                    </w:rPr>
                    <w:t>Bbio_maxmoyen</w:t>
                  </w:r>
                </w:p>
              </w:tc>
            </w:tr>
          </w:tbl>
          <w:p w14:paraId="45FA6A3A" w14:textId="77777777" w:rsidR="00C73940" w:rsidRPr="00C73940" w:rsidRDefault="00C73940" w:rsidP="004205DE">
            <w:pPr>
              <w:jc w:val="center"/>
              <w:rPr>
                <w:iCs/>
              </w:rPr>
            </w:pPr>
          </w:p>
          <w:p w14:paraId="1F0E03A7" w14:textId="450E230C" w:rsidR="006C7734" w:rsidRPr="00E601CA" w:rsidRDefault="006C7734" w:rsidP="004205DE">
            <w:pPr>
              <w:jc w:val="center"/>
            </w:pPr>
          </w:p>
        </w:tc>
      </w:tr>
      <w:tr w:rsidR="006C7734" w:rsidRPr="00E601CA" w14:paraId="2CEF64A5" w14:textId="77777777" w:rsidTr="00FC0B23">
        <w:trPr>
          <w:jc w:val="center"/>
        </w:trPr>
        <w:tc>
          <w:tcPr>
            <w:tcW w:w="2734" w:type="pct"/>
            <w:shd w:val="clear" w:color="auto" w:fill="F2F2F2" w:themeFill="background1" w:themeFillShade="F2"/>
          </w:tcPr>
          <w:p w14:paraId="0DAAAFCA" w14:textId="3367C524" w:rsidR="006C7734" w:rsidRPr="00E601CA" w:rsidRDefault="004205DE" w:rsidP="004205DE">
            <w:pPr>
              <w:jc w:val="center"/>
            </w:pPr>
            <w:r>
              <w:rPr>
                <w:rFonts w:ascii="Cambria Math" w:hAnsi="Cambria Math"/>
                <w:i/>
              </w:rPr>
              <w:t>40 m² &lt; Smoy</w:t>
            </w:r>
            <w:r>
              <w:rPr>
                <w:rFonts w:ascii="Cambria Math" w:hAnsi="Cambria Math"/>
                <w:i/>
                <w:vertAlign w:val="subscript"/>
              </w:rPr>
              <w:t>lgt</w:t>
            </w:r>
            <w:r>
              <w:rPr>
                <w:rFonts w:ascii="Cambria Math" w:hAnsi="Cambria Math"/>
                <w:i/>
              </w:rPr>
              <w:t xml:space="preserve"> ≤ 80 m²</w:t>
            </w:r>
          </w:p>
        </w:tc>
        <w:tc>
          <w:tcPr>
            <w:tcW w:w="2266" w:type="pct"/>
          </w:tcPr>
          <w:p w14:paraId="59C30590" w14:textId="77777777" w:rsidR="00C73940" w:rsidRDefault="00C73940" w:rsidP="004205DE">
            <w:pPr>
              <w:jc w:val="center"/>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tblGrid>
            <w:tr w:rsidR="00C73940" w14:paraId="44ACB656" w14:textId="77777777" w:rsidTr="00A83508">
              <w:trPr>
                <w:jc w:val="center"/>
              </w:trPr>
              <w:tc>
                <w:tcPr>
                  <w:tcW w:w="2238" w:type="dxa"/>
                  <w:tcBorders>
                    <w:bottom w:val="single" w:sz="4" w:space="0" w:color="auto"/>
                  </w:tcBorders>
                </w:tcPr>
                <w:p w14:paraId="29B94C31" w14:textId="38D3E4FA" w:rsidR="00C73940" w:rsidRPr="00C73940" w:rsidRDefault="00C73940" w:rsidP="004205DE">
                  <w:pPr>
                    <w:jc w:val="center"/>
                    <w:rPr>
                      <w:rFonts w:ascii="Cambria Math" w:hAnsi="Cambria Math" w:hint="eastAsia"/>
                      <w:i/>
                    </w:rPr>
                  </w:pPr>
                  <w:r>
                    <w:rPr>
                      <w:rFonts w:ascii="Cambria Math" w:hAnsi="Cambria Math"/>
                    </w:rPr>
                    <w:t>-6+ 0,1 *</w:t>
                  </w:r>
                  <w:r>
                    <w:rPr>
                      <w:rFonts w:ascii="Cambria Math" w:hAnsi="Cambria Math"/>
                      <w:i/>
                    </w:rPr>
                    <w:t xml:space="preserve"> Smoy</w:t>
                  </w:r>
                  <w:r>
                    <w:rPr>
                      <w:rFonts w:ascii="Cambria Math" w:hAnsi="Cambria Math"/>
                      <w:i/>
                      <w:vertAlign w:val="subscript"/>
                    </w:rPr>
                    <w:t>lgt</w:t>
                  </w:r>
                </w:p>
              </w:tc>
            </w:tr>
            <w:tr w:rsidR="00C73940" w14:paraId="7F2572A4" w14:textId="77777777" w:rsidTr="00A83508">
              <w:trPr>
                <w:jc w:val="center"/>
              </w:trPr>
              <w:tc>
                <w:tcPr>
                  <w:tcW w:w="2238" w:type="dxa"/>
                  <w:tcBorders>
                    <w:top w:val="single" w:sz="4" w:space="0" w:color="auto"/>
                  </w:tcBorders>
                </w:tcPr>
                <w:p w14:paraId="30DBE679" w14:textId="77777777" w:rsidR="00C73940" w:rsidRPr="00C73940" w:rsidRDefault="00C73940" w:rsidP="004205DE">
                  <w:pPr>
                    <w:jc w:val="center"/>
                    <w:rPr>
                      <w:rFonts w:ascii="Cambria Math" w:hAnsi="Cambria Math" w:hint="eastAsia"/>
                      <w:i/>
                    </w:rPr>
                  </w:pPr>
                  <w:r>
                    <w:rPr>
                      <w:rFonts w:ascii="Cambria Math" w:hAnsi="Cambria Math"/>
                      <w:i/>
                    </w:rPr>
                    <w:t>Bbio_maxmoyen</w:t>
                  </w:r>
                </w:p>
              </w:tc>
            </w:tr>
          </w:tbl>
          <w:p w14:paraId="5AABF0BE" w14:textId="77777777" w:rsidR="00C73940" w:rsidRPr="00C73940" w:rsidRDefault="00C73940" w:rsidP="004205DE">
            <w:pPr>
              <w:jc w:val="center"/>
              <w:rPr>
                <w:iCs/>
              </w:rPr>
            </w:pPr>
          </w:p>
          <w:p w14:paraId="6826A0B0" w14:textId="340424CF" w:rsidR="006C7734" w:rsidRPr="00E601CA" w:rsidRDefault="006C7734" w:rsidP="004205DE">
            <w:pPr>
              <w:jc w:val="center"/>
            </w:pPr>
          </w:p>
        </w:tc>
      </w:tr>
      <w:tr w:rsidR="006C7734" w:rsidRPr="00E601CA" w14:paraId="663BE209" w14:textId="77777777" w:rsidTr="00FC0B23">
        <w:trPr>
          <w:jc w:val="center"/>
        </w:trPr>
        <w:tc>
          <w:tcPr>
            <w:tcW w:w="2734" w:type="pct"/>
            <w:shd w:val="clear" w:color="auto" w:fill="F2F2F2" w:themeFill="background1" w:themeFillShade="F2"/>
          </w:tcPr>
          <w:p w14:paraId="76F4C636" w14:textId="0B2068C6" w:rsidR="006C7734" w:rsidRPr="00E601CA" w:rsidRDefault="004205DE" w:rsidP="004205DE">
            <w:pPr>
              <w:jc w:val="center"/>
            </w:pPr>
            <w:r>
              <w:rPr>
                <w:rFonts w:ascii="Cambria Math" w:hAnsi="Cambria Math"/>
                <w:i/>
              </w:rPr>
              <w:t>80 m² &lt; Smoy</w:t>
            </w:r>
            <w:r>
              <w:rPr>
                <w:rFonts w:ascii="Cambria Math" w:hAnsi="Cambria Math"/>
                <w:i/>
                <w:vertAlign w:val="subscript"/>
              </w:rPr>
              <w:t>lgt</w:t>
            </w:r>
            <w:r>
              <w:rPr>
                <w:rFonts w:ascii="Cambria Math" w:hAnsi="Cambria Math"/>
                <w:i/>
              </w:rPr>
              <w:t xml:space="preserve"> ≤ 120 m²</w:t>
            </w:r>
          </w:p>
        </w:tc>
        <w:tc>
          <w:tcPr>
            <w:tcW w:w="2266" w:type="pct"/>
          </w:tcPr>
          <w:p w14:paraId="6136B030" w14:textId="77777777" w:rsidR="00C73940" w:rsidRDefault="00C73940" w:rsidP="004205DE">
            <w:pPr>
              <w:jc w:val="center"/>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tblGrid>
            <w:tr w:rsidR="00C73940" w14:paraId="72E99609" w14:textId="77777777" w:rsidTr="00A83508">
              <w:trPr>
                <w:jc w:val="center"/>
              </w:trPr>
              <w:tc>
                <w:tcPr>
                  <w:tcW w:w="2238" w:type="dxa"/>
                  <w:tcBorders>
                    <w:bottom w:val="single" w:sz="4" w:space="0" w:color="auto"/>
                  </w:tcBorders>
                </w:tcPr>
                <w:p w14:paraId="0A12162E" w14:textId="1FA3CCF7" w:rsidR="00C73940" w:rsidRPr="00C73940" w:rsidRDefault="00C73940" w:rsidP="004205DE">
                  <w:pPr>
                    <w:jc w:val="center"/>
                    <w:rPr>
                      <w:rFonts w:ascii="Cambria Math" w:hAnsi="Cambria Math" w:hint="eastAsia"/>
                      <w:i/>
                    </w:rPr>
                  </w:pPr>
                  <w:r>
                    <w:rPr>
                      <w:rFonts w:ascii="Cambria Math" w:hAnsi="Cambria Math"/>
                    </w:rPr>
                    <w:t>2+ 0,05 *</w:t>
                  </w:r>
                  <w:r>
                    <w:rPr>
                      <w:rFonts w:ascii="Cambria Math" w:hAnsi="Cambria Math"/>
                      <w:i/>
                    </w:rPr>
                    <w:t xml:space="preserve"> Smoy</w:t>
                  </w:r>
                  <w:r>
                    <w:rPr>
                      <w:rFonts w:ascii="Cambria Math" w:hAnsi="Cambria Math"/>
                      <w:i/>
                      <w:vertAlign w:val="subscript"/>
                    </w:rPr>
                    <w:t>lgt</w:t>
                  </w:r>
                </w:p>
              </w:tc>
            </w:tr>
            <w:tr w:rsidR="00C73940" w14:paraId="246014C8" w14:textId="77777777" w:rsidTr="00A83508">
              <w:trPr>
                <w:jc w:val="center"/>
              </w:trPr>
              <w:tc>
                <w:tcPr>
                  <w:tcW w:w="2238" w:type="dxa"/>
                  <w:tcBorders>
                    <w:top w:val="single" w:sz="4" w:space="0" w:color="auto"/>
                  </w:tcBorders>
                </w:tcPr>
                <w:p w14:paraId="062DC15F" w14:textId="77777777" w:rsidR="00C73940" w:rsidRPr="00C73940" w:rsidRDefault="00C73940" w:rsidP="004205DE">
                  <w:pPr>
                    <w:jc w:val="center"/>
                    <w:rPr>
                      <w:rFonts w:ascii="Cambria Math" w:hAnsi="Cambria Math" w:hint="eastAsia"/>
                      <w:i/>
                    </w:rPr>
                  </w:pPr>
                  <w:r>
                    <w:rPr>
                      <w:rFonts w:ascii="Cambria Math" w:hAnsi="Cambria Math"/>
                      <w:i/>
                    </w:rPr>
                    <w:t>Bbio_maxmoyen</w:t>
                  </w:r>
                </w:p>
              </w:tc>
            </w:tr>
          </w:tbl>
          <w:p w14:paraId="150A0A23" w14:textId="77777777" w:rsidR="00C73940" w:rsidRPr="00C73940" w:rsidRDefault="00C73940" w:rsidP="004205DE">
            <w:pPr>
              <w:jc w:val="center"/>
              <w:rPr>
                <w:iCs/>
              </w:rPr>
            </w:pPr>
          </w:p>
          <w:p w14:paraId="2764EF45" w14:textId="69FADAEC" w:rsidR="006C7734" w:rsidRPr="00E601CA" w:rsidRDefault="006C7734" w:rsidP="004205DE">
            <w:pPr>
              <w:jc w:val="center"/>
            </w:pPr>
          </w:p>
        </w:tc>
      </w:tr>
      <w:tr w:rsidR="006C7734" w:rsidRPr="00E601CA" w14:paraId="62B1B860" w14:textId="77777777" w:rsidTr="00FC0B23">
        <w:trPr>
          <w:jc w:val="center"/>
        </w:trPr>
        <w:tc>
          <w:tcPr>
            <w:tcW w:w="2734" w:type="pct"/>
            <w:shd w:val="clear" w:color="auto" w:fill="F2F2F2" w:themeFill="background1" w:themeFillShade="F2"/>
          </w:tcPr>
          <w:p w14:paraId="39D463F4" w14:textId="50D0E33C" w:rsidR="006C7734" w:rsidRPr="00E601CA" w:rsidRDefault="004205DE" w:rsidP="004205DE">
            <w:pPr>
              <w:jc w:val="center"/>
              <w:rPr>
                <w:rFonts w:ascii="Calibri" w:eastAsia="Calibri" w:hAnsi="Calibri" w:cs="Times New Roman"/>
              </w:rPr>
            </w:pPr>
            <w:r>
              <w:rPr>
                <w:rFonts w:ascii="Cambria Math" w:hAnsi="Cambria Math"/>
                <w:i/>
              </w:rPr>
              <w:t>Smoy</w:t>
            </w:r>
            <w:r>
              <w:rPr>
                <w:rFonts w:ascii="Cambria Math" w:hAnsi="Cambria Math"/>
                <w:i/>
                <w:vertAlign w:val="subscript"/>
              </w:rPr>
              <w:t>lgt</w:t>
            </w:r>
            <w:r>
              <w:rPr>
                <w:rFonts w:ascii="Cambria Math" w:hAnsi="Cambria Math"/>
                <w:i/>
              </w:rPr>
              <w:t xml:space="preserve"> &gt; 120 m²</w:t>
            </w:r>
          </w:p>
        </w:tc>
        <w:tc>
          <w:tcPr>
            <w:tcW w:w="2266" w:type="pct"/>
          </w:tcPr>
          <w:p w14:paraId="173470B1" w14:textId="77777777" w:rsidR="00C73940" w:rsidRDefault="00C73940" w:rsidP="004205DE">
            <w:pPr>
              <w:jc w:val="center"/>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tblGrid>
            <w:tr w:rsidR="00C73940" w14:paraId="4CA7A757" w14:textId="77777777" w:rsidTr="00A83508">
              <w:trPr>
                <w:jc w:val="center"/>
              </w:trPr>
              <w:tc>
                <w:tcPr>
                  <w:tcW w:w="2238" w:type="dxa"/>
                  <w:tcBorders>
                    <w:bottom w:val="single" w:sz="4" w:space="0" w:color="auto"/>
                  </w:tcBorders>
                </w:tcPr>
                <w:p w14:paraId="51D3FD42" w14:textId="60ECB4D6" w:rsidR="00C73940" w:rsidRPr="00C73940" w:rsidRDefault="00C73940" w:rsidP="004205DE">
                  <w:pPr>
                    <w:jc w:val="center"/>
                    <w:rPr>
                      <w:rFonts w:ascii="Cambria Math" w:hAnsi="Cambria Math" w:hint="eastAsia"/>
                      <w:i/>
                    </w:rPr>
                  </w:pPr>
                  <w:r>
                    <w:rPr>
                      <w:rFonts w:ascii="Cambria Math" w:hAnsi="Cambria Math"/>
                    </w:rPr>
                    <w:t>4</w:t>
                  </w:r>
                </w:p>
              </w:tc>
            </w:tr>
            <w:tr w:rsidR="00C73940" w14:paraId="5A7AB934" w14:textId="77777777" w:rsidTr="00A83508">
              <w:trPr>
                <w:jc w:val="center"/>
              </w:trPr>
              <w:tc>
                <w:tcPr>
                  <w:tcW w:w="2238" w:type="dxa"/>
                  <w:tcBorders>
                    <w:top w:val="single" w:sz="4" w:space="0" w:color="auto"/>
                  </w:tcBorders>
                </w:tcPr>
                <w:p w14:paraId="56CB90B1" w14:textId="77777777" w:rsidR="00C73940" w:rsidRPr="00C73940" w:rsidRDefault="00C73940" w:rsidP="004205DE">
                  <w:pPr>
                    <w:jc w:val="center"/>
                    <w:rPr>
                      <w:rFonts w:ascii="Cambria Math" w:hAnsi="Cambria Math" w:hint="eastAsia"/>
                      <w:i/>
                    </w:rPr>
                  </w:pPr>
                  <w:r>
                    <w:rPr>
                      <w:rFonts w:ascii="Cambria Math" w:hAnsi="Cambria Math"/>
                      <w:i/>
                    </w:rPr>
                    <w:t>Bbio_maxmoyen</w:t>
                  </w:r>
                </w:p>
              </w:tc>
            </w:tr>
          </w:tbl>
          <w:p w14:paraId="311FF71A" w14:textId="77777777" w:rsidR="00C73940" w:rsidRPr="00C73940" w:rsidRDefault="00C73940" w:rsidP="004205DE">
            <w:pPr>
              <w:jc w:val="center"/>
              <w:rPr>
                <w:iCs/>
              </w:rPr>
            </w:pPr>
          </w:p>
          <w:p w14:paraId="240B5B13" w14:textId="73E263BC" w:rsidR="006C7734" w:rsidRPr="00E601CA" w:rsidRDefault="006C7734" w:rsidP="004205DE">
            <w:pPr>
              <w:jc w:val="center"/>
            </w:pPr>
          </w:p>
        </w:tc>
      </w:tr>
    </w:tbl>
    <w:p w14:paraId="225B6769" w14:textId="77777777" w:rsidR="006C7734" w:rsidRPr="00E601CA" w:rsidRDefault="006C7734" w:rsidP="006C7734"/>
    <w:p w14:paraId="279AEF74" w14:textId="77777777" w:rsidR="006C7734" w:rsidRPr="00E601CA" w:rsidRDefault="006C7734" w:rsidP="00F74657">
      <w:pPr>
        <w:keepNext/>
      </w:pPr>
      <w:r>
        <w:t xml:space="preserve">Der Koeffizient </w:t>
      </w:r>
      <w:r>
        <w:rPr>
          <w:b/>
        </w:rPr>
        <w:t>Mb</w:t>
      </w:r>
      <w:r>
        <w:rPr>
          <w:b/>
          <w:bCs/>
        </w:rPr>
        <w:t>bruit</w:t>
      </w:r>
      <w:r>
        <w:t xml:space="preserve"> zur Modulierung von Bbio_max je nach der Lärmexposition des Gebäudes oder Gebäudeteils nimmt folgende Werte an:</w:t>
      </w:r>
    </w:p>
    <w:tbl>
      <w:tblPr>
        <w:tblStyle w:val="Grilledutableau1"/>
        <w:tblW w:w="10220" w:type="dxa"/>
        <w:tblInd w:w="0" w:type="dxa"/>
        <w:tblLook w:val="0600" w:firstRow="0" w:lastRow="0" w:firstColumn="0" w:lastColumn="0" w:noHBand="1" w:noVBand="1"/>
      </w:tblPr>
      <w:tblGrid>
        <w:gridCol w:w="2714"/>
        <w:gridCol w:w="939"/>
        <w:gridCol w:w="939"/>
        <w:gridCol w:w="938"/>
        <w:gridCol w:w="938"/>
        <w:gridCol w:w="938"/>
        <w:gridCol w:w="938"/>
        <w:gridCol w:w="938"/>
        <w:gridCol w:w="938"/>
      </w:tblGrid>
      <w:tr w:rsidR="00C75F0F" w:rsidRPr="00E601CA" w14:paraId="2964A93F" w14:textId="77777777" w:rsidTr="003D7B82">
        <w:tc>
          <w:tcPr>
            <w:tcW w:w="2714" w:type="dxa"/>
            <w:tcBorders>
              <w:top w:val="single" w:sz="4" w:space="0" w:color="auto"/>
              <w:left w:val="single" w:sz="4" w:space="0" w:color="auto"/>
              <w:bottom w:val="single" w:sz="4" w:space="0" w:color="auto"/>
              <w:right w:val="single" w:sz="4" w:space="0" w:color="auto"/>
              <w:tl2br w:val="single" w:sz="4" w:space="0" w:color="auto"/>
            </w:tcBorders>
            <w:shd w:val="clear" w:color="auto" w:fill="A6A6A6" w:themeFill="background1" w:themeFillShade="A6"/>
            <w:hideMark/>
          </w:tcPr>
          <w:p w14:paraId="6E8F6D9F" w14:textId="77777777" w:rsidR="00C75F0F" w:rsidRPr="00E601CA" w:rsidRDefault="00C75F0F" w:rsidP="00C75F0F">
            <w:pPr>
              <w:keepNext/>
              <w:jc w:val="right"/>
            </w:pPr>
            <w:r>
              <w:t xml:space="preserve">Klimatische Zone </w:t>
            </w:r>
          </w:p>
          <w:p w14:paraId="0F6D5BE2" w14:textId="77777777" w:rsidR="00C75F0F" w:rsidRPr="00E601CA" w:rsidRDefault="00C75F0F" w:rsidP="00C75F0F">
            <w:pPr>
              <w:keepNext/>
            </w:pPr>
            <w:r>
              <w:t>Lärmzone</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16AAEF6" w14:textId="77777777" w:rsidR="00C75F0F" w:rsidRPr="00E601CA" w:rsidRDefault="00C75F0F" w:rsidP="00C75F0F">
            <w:pPr>
              <w:keepNext/>
              <w:jc w:val="center"/>
            </w:pPr>
            <w:r>
              <w:t>H1a</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4C7069C" w14:textId="77777777" w:rsidR="00C75F0F" w:rsidRPr="00E601CA" w:rsidRDefault="00C75F0F" w:rsidP="00C75F0F">
            <w:pPr>
              <w:keepNext/>
              <w:jc w:val="center"/>
            </w:pPr>
            <w:r>
              <w:t>H1b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255503D" w14:textId="77777777" w:rsidR="00C75F0F" w:rsidRPr="00E601CA" w:rsidRDefault="00C75F0F" w:rsidP="00C75F0F">
            <w:pPr>
              <w:keepNext/>
              <w:jc w:val="center"/>
            </w:pPr>
            <w:r>
              <w:t>H1c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DF3E52A" w14:textId="77777777" w:rsidR="00C75F0F" w:rsidRPr="00E601CA" w:rsidRDefault="00C75F0F" w:rsidP="00C75F0F">
            <w:pPr>
              <w:keepNext/>
              <w:jc w:val="center"/>
            </w:pPr>
            <w:r>
              <w:t>H2a</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0AB4E28" w14:textId="77777777" w:rsidR="00C75F0F" w:rsidRPr="00E601CA" w:rsidRDefault="00C75F0F" w:rsidP="00C75F0F">
            <w:pPr>
              <w:keepNext/>
              <w:jc w:val="center"/>
            </w:pPr>
            <w:r>
              <w:t>H2b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6E23377" w14:textId="77777777" w:rsidR="00C75F0F" w:rsidRPr="00E601CA" w:rsidRDefault="00C75F0F" w:rsidP="00C75F0F">
            <w:pPr>
              <w:keepNext/>
              <w:jc w:val="center"/>
            </w:pPr>
            <w:r>
              <w:t>H2c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EDD3B64" w14:textId="77777777" w:rsidR="00C75F0F" w:rsidRPr="00E601CA" w:rsidRDefault="00C75F0F" w:rsidP="00C75F0F">
            <w:pPr>
              <w:keepNext/>
              <w:jc w:val="center"/>
            </w:pPr>
            <w:r>
              <w:t>H2d</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83C3908" w14:textId="5F9F76A9" w:rsidR="00C75F0F" w:rsidRPr="00E601CA" w:rsidRDefault="00AA57C7" w:rsidP="00C75F0F">
            <w:pPr>
              <w:keepNext/>
              <w:jc w:val="center"/>
            </w:pPr>
            <w:r>
              <w:t>H3</w:t>
            </w:r>
          </w:p>
        </w:tc>
      </w:tr>
      <w:tr w:rsidR="00C75F0F" w:rsidRPr="00E601CA" w14:paraId="01541569" w14:textId="77777777" w:rsidTr="003D7B82">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BD985A" w14:textId="77777777" w:rsidR="00C75F0F" w:rsidRPr="00E601CA" w:rsidRDefault="00C75F0F" w:rsidP="003D7B82">
            <w:pPr>
              <w:jc w:val="center"/>
            </w:pPr>
            <w:r>
              <w:t>Br1</w:t>
            </w:r>
          </w:p>
        </w:tc>
        <w:tc>
          <w:tcPr>
            <w:tcW w:w="939" w:type="dxa"/>
            <w:tcBorders>
              <w:top w:val="single" w:sz="4" w:space="0" w:color="auto"/>
              <w:left w:val="single" w:sz="4" w:space="0" w:color="auto"/>
              <w:bottom w:val="single" w:sz="4" w:space="0" w:color="auto"/>
              <w:right w:val="single" w:sz="4" w:space="0" w:color="auto"/>
            </w:tcBorders>
            <w:vAlign w:val="center"/>
            <w:hideMark/>
          </w:tcPr>
          <w:p w14:paraId="258A6C98" w14:textId="328BACD1" w:rsidR="00C75F0F" w:rsidRPr="00E601CA" w:rsidRDefault="00E30E9F" w:rsidP="003D7B82">
            <w:pPr>
              <w:jc w:val="center"/>
              <w:textAlignment w:val="bottom"/>
            </w:pPr>
            <w: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4A74CA07" w14:textId="3371ACA3"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D773AF7" w14:textId="2AF8B378"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21E206C" w14:textId="2209DCA9"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8CEB177" w14:textId="6F62FF9B"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C7B0116" w14:textId="43F4D0B3"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5E5A78C" w14:textId="21F73261"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65977C2" w14:textId="2354746E" w:rsidR="00C75F0F" w:rsidRPr="00E601CA" w:rsidRDefault="00E30E9F" w:rsidP="003D7B82">
            <w:pPr>
              <w:jc w:val="center"/>
              <w:textAlignment w:val="bottom"/>
            </w:pPr>
            <w:r>
              <w:t>0</w:t>
            </w:r>
          </w:p>
        </w:tc>
      </w:tr>
      <w:tr w:rsidR="00C75F0F" w:rsidRPr="00E601CA" w14:paraId="6A268584" w14:textId="77777777" w:rsidTr="003D7B82">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C61F02" w14:textId="77777777" w:rsidR="00C75F0F" w:rsidRPr="00E601CA" w:rsidRDefault="00C75F0F" w:rsidP="003D7B82">
            <w:pPr>
              <w:jc w:val="center"/>
            </w:pPr>
            <w:r>
              <w:t>Br2, Br3</w:t>
            </w:r>
          </w:p>
        </w:tc>
        <w:tc>
          <w:tcPr>
            <w:tcW w:w="939" w:type="dxa"/>
            <w:tcBorders>
              <w:top w:val="single" w:sz="4" w:space="0" w:color="auto"/>
              <w:left w:val="single" w:sz="4" w:space="0" w:color="auto"/>
              <w:bottom w:val="single" w:sz="4" w:space="0" w:color="auto"/>
              <w:right w:val="single" w:sz="4" w:space="0" w:color="auto"/>
            </w:tcBorders>
            <w:vAlign w:val="center"/>
            <w:hideMark/>
          </w:tcPr>
          <w:p w14:paraId="78A05C9A" w14:textId="7A03547C" w:rsidR="00C75F0F" w:rsidRPr="00E601CA" w:rsidRDefault="00E30E9F" w:rsidP="003D7B82">
            <w:pPr>
              <w:jc w:val="center"/>
              <w:textAlignment w:val="bottom"/>
            </w:pPr>
            <w: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3B0D7339" w14:textId="6CCCFF8C"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E0A29E7" w14:textId="0F748A49" w:rsidR="00C75F0F" w:rsidRPr="00E601CA" w:rsidRDefault="00E30E9F" w:rsidP="003D7B82">
            <w:pPr>
              <w:jc w:val="center"/>
              <w:textAlignment w:val="bottom"/>
            </w:pPr>
            <w:r>
              <w:t>0,1</w:t>
            </w:r>
          </w:p>
        </w:tc>
        <w:tc>
          <w:tcPr>
            <w:tcW w:w="938" w:type="dxa"/>
            <w:tcBorders>
              <w:top w:val="single" w:sz="4" w:space="0" w:color="auto"/>
              <w:left w:val="single" w:sz="4" w:space="0" w:color="auto"/>
              <w:bottom w:val="single" w:sz="4" w:space="0" w:color="auto"/>
              <w:right w:val="single" w:sz="4" w:space="0" w:color="auto"/>
            </w:tcBorders>
            <w:vAlign w:val="center"/>
            <w:hideMark/>
          </w:tcPr>
          <w:p w14:paraId="36F62E61" w14:textId="04E9BFB5"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D5E0034" w14:textId="166C242D" w:rsidR="00C75F0F" w:rsidRPr="00E601CA" w:rsidRDefault="00E30E9F" w:rsidP="003D7B82">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A3A90E0" w14:textId="4DB48646" w:rsidR="00C75F0F" w:rsidRPr="00E601CA" w:rsidRDefault="00E30E9F" w:rsidP="003D7B82">
            <w:pPr>
              <w:jc w:val="center"/>
              <w:textAlignment w:val="bottom"/>
            </w:pPr>
            <w:r>
              <w:t>0,1</w:t>
            </w:r>
          </w:p>
        </w:tc>
        <w:tc>
          <w:tcPr>
            <w:tcW w:w="938" w:type="dxa"/>
            <w:tcBorders>
              <w:top w:val="single" w:sz="4" w:space="0" w:color="auto"/>
              <w:left w:val="single" w:sz="4" w:space="0" w:color="auto"/>
              <w:bottom w:val="single" w:sz="4" w:space="0" w:color="auto"/>
              <w:right w:val="single" w:sz="4" w:space="0" w:color="auto"/>
            </w:tcBorders>
            <w:vAlign w:val="center"/>
            <w:hideMark/>
          </w:tcPr>
          <w:p w14:paraId="73D4ADE0" w14:textId="2190008D" w:rsidR="00C75F0F" w:rsidRPr="00E601CA" w:rsidRDefault="00E30E9F" w:rsidP="003D7B82">
            <w:pPr>
              <w:jc w:val="center"/>
              <w:textAlignment w:val="bottom"/>
            </w:pPr>
            <w:r>
              <w:t>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411F55AC" w14:textId="2C71E1E3" w:rsidR="00C75F0F" w:rsidRPr="00E601CA" w:rsidRDefault="00E30E9F" w:rsidP="003D7B82">
            <w:pPr>
              <w:jc w:val="center"/>
              <w:textAlignment w:val="bottom"/>
            </w:pPr>
            <w:r>
              <w:t>0,2</w:t>
            </w:r>
          </w:p>
        </w:tc>
      </w:tr>
    </w:tbl>
    <w:p w14:paraId="22ACCE51" w14:textId="4F1A41B0" w:rsidR="00224648" w:rsidRPr="00E601CA" w:rsidRDefault="008203F4" w:rsidP="00F74657">
      <w:pPr>
        <w:pStyle w:val="Heading5"/>
        <w:keepNext/>
        <w:numPr>
          <w:ilvl w:val="0"/>
          <w:numId w:val="0"/>
        </w:numPr>
        <w:ind w:left="360" w:hanging="3"/>
      </w:pPr>
      <w:r>
        <w:rPr>
          <w:b w:val="0"/>
        </w:rPr>
        <w:t>TEIL III:</w:t>
      </w:r>
      <w:r>
        <w:rPr>
          <w:b w:val="0"/>
        </w:rPr>
        <w:tab/>
      </w:r>
      <w:r>
        <w:t>Werte der Koeffizienten (Cep_max, Cep,nr_max und Ic</w:t>
      </w:r>
      <w:r>
        <w:rPr>
          <w:vertAlign w:val="subscript"/>
        </w:rPr>
        <w:t>Energie</w:t>
      </w:r>
      <w:r>
        <w:t>_max) gemäß Artikel 13</w:t>
      </w:r>
    </w:p>
    <w:p w14:paraId="11AEB7C2" w14:textId="47D00401" w:rsidR="00224648" w:rsidRPr="00E601CA" w:rsidRDefault="00224648" w:rsidP="00E8319A">
      <w:pPr>
        <w:pStyle w:val="Heading6"/>
        <w:numPr>
          <w:ilvl w:val="0"/>
          <w:numId w:val="24"/>
        </w:numPr>
      </w:pPr>
      <w:r>
        <w:t>Werte von Cep,nr_maxmoyen, Cep_maxmoyen und Ic</w:t>
      </w:r>
      <w:r>
        <w:rPr>
          <w:vertAlign w:val="subscript"/>
        </w:rPr>
        <w:t>Energie</w:t>
      </w:r>
      <w:r>
        <w:t>_maxmoyen </w:t>
      </w:r>
    </w:p>
    <w:p w14:paraId="70E4B54F" w14:textId="35048439" w:rsidR="00445109" w:rsidRPr="00E601CA" w:rsidRDefault="00445109" w:rsidP="00445109">
      <w:pPr>
        <w:keepNext/>
      </w:pPr>
      <w:r>
        <w:t>Die Koeffizienten Cep,nr_maxmoyen, Cep_maxmoyen und Ic</w:t>
      </w:r>
      <w:r>
        <w:rPr>
          <w:vertAlign w:val="subscript"/>
        </w:rPr>
        <w:t>Energie</w:t>
      </w:r>
      <w:r>
        <w:t>_maxmoyen nehmen je nach Nutzung des Gebäudeteils folgende Werte an:</w:t>
      </w:r>
    </w:p>
    <w:tbl>
      <w:tblPr>
        <w:tblStyle w:val="TableGrid"/>
        <w:tblW w:w="5000" w:type="pct"/>
        <w:tblLook w:val="04A0" w:firstRow="1" w:lastRow="0" w:firstColumn="1" w:lastColumn="0" w:noHBand="0" w:noVBand="1"/>
      </w:tblPr>
      <w:tblGrid>
        <w:gridCol w:w="3231"/>
        <w:gridCol w:w="1943"/>
        <w:gridCol w:w="1943"/>
        <w:gridCol w:w="1945"/>
      </w:tblGrid>
      <w:tr w:rsidR="00445109" w:rsidRPr="00E601CA" w14:paraId="7729F403" w14:textId="06A494DB" w:rsidTr="00445109">
        <w:tc>
          <w:tcPr>
            <w:tcW w:w="1783" w:type="pct"/>
            <w:shd w:val="clear" w:color="auto" w:fill="A6A6A6" w:themeFill="background1" w:themeFillShade="A6"/>
            <w:vAlign w:val="center"/>
          </w:tcPr>
          <w:p w14:paraId="110C8A45" w14:textId="77777777" w:rsidR="00445109" w:rsidRPr="00E601CA" w:rsidRDefault="00445109" w:rsidP="00FC0B23">
            <w:pPr>
              <w:keepNext/>
              <w:jc w:val="center"/>
            </w:pPr>
            <w:r>
              <w:t>Nutzung des Gebäudeteils</w:t>
            </w:r>
          </w:p>
        </w:tc>
        <w:tc>
          <w:tcPr>
            <w:tcW w:w="1072" w:type="pct"/>
            <w:shd w:val="clear" w:color="auto" w:fill="A6A6A6" w:themeFill="background1" w:themeFillShade="A6"/>
            <w:vAlign w:val="center"/>
          </w:tcPr>
          <w:p w14:paraId="29212234" w14:textId="39EFB82E" w:rsidR="00445109" w:rsidRPr="00E601CA" w:rsidRDefault="00445109" w:rsidP="00445109">
            <w:pPr>
              <w:keepNext/>
              <w:jc w:val="center"/>
            </w:pPr>
            <w:r>
              <w:t xml:space="preserve">Wert von Cep,nr_maxmoyen </w:t>
            </w:r>
          </w:p>
        </w:tc>
        <w:tc>
          <w:tcPr>
            <w:tcW w:w="1072" w:type="pct"/>
            <w:shd w:val="clear" w:color="auto" w:fill="A6A6A6" w:themeFill="background1" w:themeFillShade="A6"/>
          </w:tcPr>
          <w:p w14:paraId="390220B0" w14:textId="29850615" w:rsidR="00445109" w:rsidRPr="00E601CA" w:rsidRDefault="00445109" w:rsidP="00445109">
            <w:pPr>
              <w:keepNext/>
              <w:jc w:val="center"/>
            </w:pPr>
            <w:r>
              <w:t>Wert von Cep_maxmoyen</w:t>
            </w:r>
          </w:p>
        </w:tc>
        <w:tc>
          <w:tcPr>
            <w:tcW w:w="1073" w:type="pct"/>
            <w:shd w:val="clear" w:color="auto" w:fill="A6A6A6" w:themeFill="background1" w:themeFillShade="A6"/>
          </w:tcPr>
          <w:p w14:paraId="72EF5073" w14:textId="357BD64F" w:rsidR="00445109" w:rsidRPr="00E601CA" w:rsidRDefault="00445109" w:rsidP="00445109">
            <w:pPr>
              <w:keepNext/>
              <w:jc w:val="center"/>
            </w:pPr>
            <w:r>
              <w:t>Wert von Ic</w:t>
            </w:r>
            <w:r>
              <w:rPr>
                <w:vertAlign w:val="subscript"/>
              </w:rPr>
              <w:t>Energie</w:t>
            </w:r>
            <w:r>
              <w:t>_maxmoyen </w:t>
            </w:r>
          </w:p>
        </w:tc>
      </w:tr>
      <w:tr w:rsidR="00445109" w:rsidRPr="00E601CA" w14:paraId="59846020" w14:textId="61EE4323" w:rsidTr="00445109">
        <w:tc>
          <w:tcPr>
            <w:tcW w:w="1783" w:type="pct"/>
            <w:shd w:val="clear" w:color="auto" w:fill="F2F2F2" w:themeFill="background1" w:themeFillShade="F2"/>
            <w:vAlign w:val="center"/>
          </w:tcPr>
          <w:p w14:paraId="1F83101A" w14:textId="77777777" w:rsidR="00445109" w:rsidRPr="00E601CA" w:rsidRDefault="00445109" w:rsidP="003D7B82">
            <w:pPr>
              <w:jc w:val="left"/>
            </w:pPr>
            <w:r>
              <w:t>Einfamilienhäuser oder Reihenhäuser</w:t>
            </w:r>
          </w:p>
        </w:tc>
        <w:tc>
          <w:tcPr>
            <w:tcW w:w="1072" w:type="pct"/>
            <w:vAlign w:val="center"/>
          </w:tcPr>
          <w:p w14:paraId="020D766A" w14:textId="5464D6C8" w:rsidR="00445109" w:rsidRPr="00E601CA" w:rsidRDefault="00445109" w:rsidP="003D7B82">
            <w:pPr>
              <w:jc w:val="center"/>
            </w:pPr>
            <w:r>
              <w:t>55 kWh PE/(m²a)</w:t>
            </w:r>
          </w:p>
        </w:tc>
        <w:tc>
          <w:tcPr>
            <w:tcW w:w="1072" w:type="pct"/>
          </w:tcPr>
          <w:p w14:paraId="7DEF4730" w14:textId="14727617" w:rsidR="00445109" w:rsidRPr="00E601CA" w:rsidRDefault="00B64F22" w:rsidP="003D7B82">
            <w:pPr>
              <w:jc w:val="center"/>
            </w:pPr>
            <w:r>
              <w:t>75 kWh PE/(m²a)</w:t>
            </w:r>
          </w:p>
        </w:tc>
        <w:tc>
          <w:tcPr>
            <w:tcW w:w="1073" w:type="pct"/>
          </w:tcPr>
          <w:p w14:paraId="0C927D32" w14:textId="569F7E2B" w:rsidR="00445109" w:rsidRPr="00E601CA" w:rsidRDefault="00445109" w:rsidP="003D7B82">
            <w:pPr>
              <w:jc w:val="center"/>
            </w:pPr>
            <w:r>
              <w:t>160 kg CO</w:t>
            </w:r>
            <w:r>
              <w:rPr>
                <w:vertAlign w:val="subscript"/>
              </w:rPr>
              <w:t>2</w:t>
            </w:r>
            <w:r>
              <w:t>/m²</w:t>
            </w:r>
          </w:p>
        </w:tc>
      </w:tr>
      <w:tr w:rsidR="00445109" w:rsidRPr="00E601CA" w14:paraId="1287D217" w14:textId="6AD994B8" w:rsidTr="00445109">
        <w:tc>
          <w:tcPr>
            <w:tcW w:w="1783" w:type="pct"/>
            <w:shd w:val="clear" w:color="auto" w:fill="F2F2F2" w:themeFill="background1" w:themeFillShade="F2"/>
            <w:vAlign w:val="center"/>
          </w:tcPr>
          <w:p w14:paraId="46689E7E" w14:textId="77777777" w:rsidR="00445109" w:rsidRPr="00E601CA" w:rsidRDefault="00445109" w:rsidP="003D7B82">
            <w:pPr>
              <w:jc w:val="left"/>
            </w:pPr>
            <w:r>
              <w:t>Mehrfamilienhäuser</w:t>
            </w:r>
          </w:p>
        </w:tc>
        <w:tc>
          <w:tcPr>
            <w:tcW w:w="1072" w:type="pct"/>
            <w:vAlign w:val="center"/>
          </w:tcPr>
          <w:p w14:paraId="369523B6" w14:textId="0CEDE411" w:rsidR="00445109" w:rsidRPr="00E601CA" w:rsidRDefault="00445109" w:rsidP="003D7B82">
            <w:pPr>
              <w:jc w:val="center"/>
            </w:pPr>
            <w:r>
              <w:t>70 kWh PE/(m²a)</w:t>
            </w:r>
          </w:p>
        </w:tc>
        <w:tc>
          <w:tcPr>
            <w:tcW w:w="1072" w:type="pct"/>
          </w:tcPr>
          <w:p w14:paraId="70EB7E41" w14:textId="06291EA9" w:rsidR="00445109" w:rsidRPr="00E601CA" w:rsidRDefault="00B64F22" w:rsidP="003D7B82">
            <w:pPr>
              <w:jc w:val="center"/>
            </w:pPr>
            <w:r>
              <w:t>85 kWh PE/(m²a)</w:t>
            </w:r>
          </w:p>
        </w:tc>
        <w:tc>
          <w:tcPr>
            <w:tcW w:w="1073" w:type="pct"/>
          </w:tcPr>
          <w:p w14:paraId="382B4178" w14:textId="2E23DC98" w:rsidR="00445109" w:rsidRPr="00E601CA" w:rsidRDefault="00445109" w:rsidP="003D7B82">
            <w:pPr>
              <w:jc w:val="center"/>
            </w:pPr>
            <w:r>
              <w:t>560 kg CO</w:t>
            </w:r>
            <w:r>
              <w:rPr>
                <w:vertAlign w:val="subscript"/>
              </w:rPr>
              <w:t>2</w:t>
            </w:r>
            <w:r>
              <w:t>/m²</w:t>
            </w:r>
          </w:p>
        </w:tc>
      </w:tr>
      <w:tr w:rsidR="00445109" w:rsidRPr="00E601CA" w14:paraId="24527935" w14:textId="6E7B5E59" w:rsidTr="00445109">
        <w:tc>
          <w:tcPr>
            <w:tcW w:w="1783" w:type="pct"/>
            <w:shd w:val="clear" w:color="auto" w:fill="F2F2F2" w:themeFill="background1" w:themeFillShade="F2"/>
            <w:vAlign w:val="center"/>
          </w:tcPr>
          <w:p w14:paraId="7F936F14" w14:textId="77777777" w:rsidR="00445109" w:rsidRPr="00E601CA" w:rsidRDefault="00445109" w:rsidP="003D7B82">
            <w:pPr>
              <w:jc w:val="left"/>
            </w:pPr>
            <w:r>
              <w:t>Bürogebäude</w:t>
            </w:r>
          </w:p>
        </w:tc>
        <w:tc>
          <w:tcPr>
            <w:tcW w:w="1072" w:type="pct"/>
            <w:vAlign w:val="center"/>
          </w:tcPr>
          <w:p w14:paraId="56195158" w14:textId="77777777" w:rsidR="00445109" w:rsidRPr="00E601CA" w:rsidRDefault="00445109" w:rsidP="003D7B82">
            <w:pPr>
              <w:jc w:val="center"/>
            </w:pPr>
          </w:p>
        </w:tc>
        <w:tc>
          <w:tcPr>
            <w:tcW w:w="1072" w:type="pct"/>
          </w:tcPr>
          <w:p w14:paraId="58E76091" w14:textId="77777777" w:rsidR="00445109" w:rsidRPr="00E601CA" w:rsidRDefault="00445109" w:rsidP="003D7B82">
            <w:pPr>
              <w:jc w:val="center"/>
            </w:pPr>
          </w:p>
        </w:tc>
        <w:tc>
          <w:tcPr>
            <w:tcW w:w="1073" w:type="pct"/>
          </w:tcPr>
          <w:p w14:paraId="0DDF80A9" w14:textId="77777777" w:rsidR="00445109" w:rsidRPr="00E601CA" w:rsidRDefault="00445109" w:rsidP="003D7B82">
            <w:pPr>
              <w:jc w:val="center"/>
            </w:pPr>
          </w:p>
        </w:tc>
      </w:tr>
      <w:tr w:rsidR="00445109" w:rsidRPr="00E601CA" w14:paraId="02C24C23" w14:textId="52577E7A" w:rsidTr="00445109">
        <w:tc>
          <w:tcPr>
            <w:tcW w:w="1783" w:type="pct"/>
            <w:shd w:val="clear" w:color="auto" w:fill="F2F2F2" w:themeFill="background1" w:themeFillShade="F2"/>
            <w:vAlign w:val="center"/>
          </w:tcPr>
          <w:p w14:paraId="0B00B0BC" w14:textId="77777777" w:rsidR="00445109" w:rsidRPr="00E601CA" w:rsidRDefault="00445109" w:rsidP="003D7B82">
            <w:pPr>
              <w:jc w:val="left"/>
            </w:pPr>
            <w:r>
              <w:t>Unterrichtsgebäude</w:t>
            </w:r>
          </w:p>
        </w:tc>
        <w:tc>
          <w:tcPr>
            <w:tcW w:w="1072" w:type="pct"/>
            <w:vAlign w:val="center"/>
          </w:tcPr>
          <w:p w14:paraId="3488E4E7" w14:textId="77777777" w:rsidR="00445109" w:rsidRPr="00E601CA" w:rsidRDefault="00445109" w:rsidP="003D7B82">
            <w:pPr>
              <w:jc w:val="center"/>
            </w:pPr>
          </w:p>
        </w:tc>
        <w:tc>
          <w:tcPr>
            <w:tcW w:w="1072" w:type="pct"/>
          </w:tcPr>
          <w:p w14:paraId="5943D156" w14:textId="77777777" w:rsidR="00445109" w:rsidRPr="00E601CA" w:rsidRDefault="00445109" w:rsidP="003D7B82">
            <w:pPr>
              <w:jc w:val="center"/>
            </w:pPr>
          </w:p>
        </w:tc>
        <w:tc>
          <w:tcPr>
            <w:tcW w:w="1073" w:type="pct"/>
          </w:tcPr>
          <w:p w14:paraId="019BF92C" w14:textId="77777777" w:rsidR="00445109" w:rsidRPr="00E601CA" w:rsidRDefault="00445109" w:rsidP="003D7B82">
            <w:pPr>
              <w:jc w:val="center"/>
            </w:pPr>
          </w:p>
        </w:tc>
      </w:tr>
    </w:tbl>
    <w:p w14:paraId="76985302" w14:textId="57352EDC" w:rsidR="00445109" w:rsidRPr="00E601CA" w:rsidRDefault="00445109" w:rsidP="00445109"/>
    <w:p w14:paraId="2E539D57" w14:textId="2F3FE4F9" w:rsidR="00445109" w:rsidRPr="00E601CA" w:rsidRDefault="00445109" w:rsidP="00445109">
      <w:r>
        <w:t>Ab dem 1. Januar 2024 beträgt der Wert von Ic</w:t>
      </w:r>
      <w:r>
        <w:rPr>
          <w:vertAlign w:val="subscript"/>
        </w:rPr>
        <w:t>Energie</w:t>
      </w:r>
      <w:r>
        <w:t>_maxmoyen für Mehrfamilienhäuser 240 kg CO</w:t>
      </w:r>
      <w:r>
        <w:rPr>
          <w:vertAlign w:val="subscript"/>
        </w:rPr>
        <w:t>2</w:t>
      </w:r>
      <w:r>
        <w:t>/m².</w:t>
      </w:r>
    </w:p>
    <w:p w14:paraId="5F79B986" w14:textId="67FDBF8B" w:rsidR="006C7734" w:rsidRPr="00E601CA" w:rsidRDefault="006C7734" w:rsidP="00A02594">
      <w:pPr>
        <w:pStyle w:val="Heading6"/>
      </w:pPr>
      <w:r>
        <w:lastRenderedPageBreak/>
        <w:t>Werte der Modulationskoeffizienten der Anforderungen Cep,nr_max, Cep_max und Ic</w:t>
      </w:r>
      <w:r>
        <w:rPr>
          <w:vertAlign w:val="subscript"/>
        </w:rPr>
        <w:t>Energie</w:t>
      </w:r>
      <w:r>
        <w:t>_max:</w:t>
      </w:r>
    </w:p>
    <w:p w14:paraId="57CCB261" w14:textId="77777777" w:rsidR="00F81657" w:rsidRPr="00E601CA" w:rsidRDefault="00F81657" w:rsidP="00A02594">
      <w:pPr>
        <w:pStyle w:val="Heading7"/>
      </w:pPr>
      <w:r>
        <w:t>Einfamilienhäuser oder Reihenhäuser</w:t>
      </w:r>
    </w:p>
    <w:p w14:paraId="62E4146B" w14:textId="565B7FA8" w:rsidR="00F81657" w:rsidRPr="00E601CA" w:rsidRDefault="00F81657" w:rsidP="00F81657">
      <w:pPr>
        <w:keepNext/>
      </w:pPr>
      <w:r>
        <w:t xml:space="preserve">Der Koeffizient </w:t>
      </w:r>
      <w:r>
        <w:rPr>
          <w:b/>
        </w:rPr>
        <w:t>Mcgéo</w:t>
      </w:r>
      <w:r>
        <w:t xml:space="preserve"> zur Modulierung von Cep,nr_max, Cep_max und Ic</w:t>
      </w:r>
      <w:r>
        <w:rPr>
          <w:vertAlign w:val="subscript"/>
        </w:rPr>
        <w:t>Energie</w:t>
      </w:r>
      <w:r>
        <w:t>_max je nach der geografischen Lage (klimatische Zone und Höhe) des Gebäudes nimmt folgende Werte an:</w:t>
      </w:r>
    </w:p>
    <w:tbl>
      <w:tblPr>
        <w:tblStyle w:val="TableGrid"/>
        <w:tblW w:w="10220" w:type="dxa"/>
        <w:tblLook w:val="0600" w:firstRow="0" w:lastRow="0" w:firstColumn="0" w:lastColumn="0" w:noHBand="1" w:noVBand="1"/>
      </w:tblPr>
      <w:tblGrid>
        <w:gridCol w:w="2714"/>
        <w:gridCol w:w="939"/>
        <w:gridCol w:w="939"/>
        <w:gridCol w:w="938"/>
        <w:gridCol w:w="938"/>
        <w:gridCol w:w="938"/>
        <w:gridCol w:w="938"/>
        <w:gridCol w:w="938"/>
        <w:gridCol w:w="938"/>
      </w:tblGrid>
      <w:tr w:rsidR="00F81657" w:rsidRPr="00E601CA" w14:paraId="19EA34D1" w14:textId="77777777" w:rsidTr="003D7B82">
        <w:tc>
          <w:tcPr>
            <w:tcW w:w="2714" w:type="dxa"/>
            <w:tcBorders>
              <w:tl2br w:val="single" w:sz="4" w:space="0" w:color="auto"/>
            </w:tcBorders>
            <w:shd w:val="clear" w:color="auto" w:fill="A6A6A6" w:themeFill="background1" w:themeFillShade="A6"/>
            <w:hideMark/>
          </w:tcPr>
          <w:p w14:paraId="62F03D43" w14:textId="77777777" w:rsidR="00F81657" w:rsidRPr="00E601CA" w:rsidRDefault="00F81657" w:rsidP="00FC0B23">
            <w:pPr>
              <w:keepNext/>
              <w:jc w:val="right"/>
            </w:pPr>
            <w:r>
              <w:t xml:space="preserve">Klimatische Zone </w:t>
            </w:r>
          </w:p>
          <w:p w14:paraId="356B1EDD" w14:textId="77777777" w:rsidR="00F81657" w:rsidRPr="00E601CA" w:rsidRDefault="00F81657" w:rsidP="00FC0B23">
            <w:pPr>
              <w:keepNext/>
            </w:pPr>
            <w:r>
              <w:t>Höhe</w:t>
            </w:r>
          </w:p>
        </w:tc>
        <w:tc>
          <w:tcPr>
            <w:tcW w:w="939" w:type="dxa"/>
            <w:tcBorders>
              <w:bottom w:val="single" w:sz="4" w:space="0" w:color="auto"/>
            </w:tcBorders>
            <w:shd w:val="clear" w:color="auto" w:fill="A6A6A6" w:themeFill="background1" w:themeFillShade="A6"/>
            <w:vAlign w:val="center"/>
            <w:hideMark/>
          </w:tcPr>
          <w:p w14:paraId="698BD0DC" w14:textId="77777777" w:rsidR="00F81657" w:rsidRPr="00E601CA" w:rsidRDefault="00F81657" w:rsidP="00FC0B23">
            <w:pPr>
              <w:keepNext/>
              <w:jc w:val="center"/>
            </w:pPr>
            <w:r>
              <w:t>H1a</w:t>
            </w:r>
          </w:p>
        </w:tc>
        <w:tc>
          <w:tcPr>
            <w:tcW w:w="939" w:type="dxa"/>
            <w:tcBorders>
              <w:bottom w:val="single" w:sz="4" w:space="0" w:color="auto"/>
            </w:tcBorders>
            <w:shd w:val="clear" w:color="auto" w:fill="A6A6A6" w:themeFill="background1" w:themeFillShade="A6"/>
            <w:vAlign w:val="center"/>
            <w:hideMark/>
          </w:tcPr>
          <w:p w14:paraId="33D87A30" w14:textId="77777777" w:rsidR="00F81657" w:rsidRPr="00E601CA" w:rsidRDefault="00F81657" w:rsidP="00FC0B23">
            <w:pPr>
              <w:keepNext/>
              <w:jc w:val="center"/>
            </w:pPr>
            <w:r>
              <w:t>H1b</w:t>
            </w:r>
          </w:p>
        </w:tc>
        <w:tc>
          <w:tcPr>
            <w:tcW w:w="938" w:type="dxa"/>
            <w:tcBorders>
              <w:bottom w:val="single" w:sz="4" w:space="0" w:color="auto"/>
            </w:tcBorders>
            <w:shd w:val="clear" w:color="auto" w:fill="A6A6A6" w:themeFill="background1" w:themeFillShade="A6"/>
            <w:vAlign w:val="center"/>
            <w:hideMark/>
          </w:tcPr>
          <w:p w14:paraId="12D45D5B" w14:textId="77777777" w:rsidR="00F81657" w:rsidRPr="00E601CA" w:rsidRDefault="00F81657" w:rsidP="00FC0B23">
            <w:pPr>
              <w:keepNext/>
              <w:jc w:val="center"/>
            </w:pPr>
            <w:r>
              <w:t>H1c</w:t>
            </w:r>
          </w:p>
        </w:tc>
        <w:tc>
          <w:tcPr>
            <w:tcW w:w="938" w:type="dxa"/>
            <w:tcBorders>
              <w:bottom w:val="single" w:sz="4" w:space="0" w:color="auto"/>
            </w:tcBorders>
            <w:shd w:val="clear" w:color="auto" w:fill="A6A6A6" w:themeFill="background1" w:themeFillShade="A6"/>
            <w:vAlign w:val="center"/>
            <w:hideMark/>
          </w:tcPr>
          <w:p w14:paraId="780E1E55" w14:textId="77777777" w:rsidR="00F81657" w:rsidRPr="00E601CA" w:rsidRDefault="00F81657" w:rsidP="00FC0B23">
            <w:pPr>
              <w:keepNext/>
              <w:jc w:val="center"/>
            </w:pPr>
            <w:r>
              <w:t>H2a</w:t>
            </w:r>
          </w:p>
        </w:tc>
        <w:tc>
          <w:tcPr>
            <w:tcW w:w="938" w:type="dxa"/>
            <w:tcBorders>
              <w:bottom w:val="single" w:sz="4" w:space="0" w:color="auto"/>
            </w:tcBorders>
            <w:shd w:val="clear" w:color="auto" w:fill="A6A6A6" w:themeFill="background1" w:themeFillShade="A6"/>
            <w:vAlign w:val="center"/>
            <w:hideMark/>
          </w:tcPr>
          <w:p w14:paraId="50AE9E83" w14:textId="77777777" w:rsidR="00F81657" w:rsidRPr="00E601CA" w:rsidRDefault="00F81657" w:rsidP="00FC0B23">
            <w:pPr>
              <w:keepNext/>
              <w:jc w:val="center"/>
            </w:pPr>
            <w:r>
              <w:t>H2b</w:t>
            </w:r>
          </w:p>
        </w:tc>
        <w:tc>
          <w:tcPr>
            <w:tcW w:w="938" w:type="dxa"/>
            <w:tcBorders>
              <w:bottom w:val="single" w:sz="4" w:space="0" w:color="auto"/>
            </w:tcBorders>
            <w:shd w:val="clear" w:color="auto" w:fill="A6A6A6" w:themeFill="background1" w:themeFillShade="A6"/>
            <w:vAlign w:val="center"/>
            <w:hideMark/>
          </w:tcPr>
          <w:p w14:paraId="5603D657" w14:textId="77777777" w:rsidR="00F81657" w:rsidRPr="00E601CA" w:rsidRDefault="00F81657" w:rsidP="00FC0B23">
            <w:pPr>
              <w:keepNext/>
              <w:jc w:val="center"/>
            </w:pPr>
            <w:r>
              <w:t>H2c</w:t>
            </w:r>
          </w:p>
        </w:tc>
        <w:tc>
          <w:tcPr>
            <w:tcW w:w="938" w:type="dxa"/>
            <w:tcBorders>
              <w:bottom w:val="single" w:sz="4" w:space="0" w:color="auto"/>
            </w:tcBorders>
            <w:shd w:val="clear" w:color="auto" w:fill="A6A6A6" w:themeFill="background1" w:themeFillShade="A6"/>
            <w:vAlign w:val="center"/>
            <w:hideMark/>
          </w:tcPr>
          <w:p w14:paraId="6C429DC5" w14:textId="77777777" w:rsidR="00F81657" w:rsidRPr="00E601CA" w:rsidRDefault="00F81657" w:rsidP="00FC0B23">
            <w:pPr>
              <w:keepNext/>
              <w:jc w:val="center"/>
            </w:pPr>
            <w:r>
              <w:t>H2d</w:t>
            </w:r>
          </w:p>
        </w:tc>
        <w:tc>
          <w:tcPr>
            <w:tcW w:w="938" w:type="dxa"/>
            <w:tcBorders>
              <w:bottom w:val="single" w:sz="4" w:space="0" w:color="auto"/>
            </w:tcBorders>
            <w:shd w:val="clear" w:color="auto" w:fill="A6A6A6" w:themeFill="background1" w:themeFillShade="A6"/>
            <w:vAlign w:val="center"/>
            <w:hideMark/>
          </w:tcPr>
          <w:p w14:paraId="52AB8A6C" w14:textId="7CEA5B42" w:rsidR="00F81657" w:rsidRPr="00E601CA" w:rsidRDefault="00097506" w:rsidP="00FC0B23">
            <w:pPr>
              <w:keepNext/>
              <w:jc w:val="center"/>
            </w:pPr>
            <w:r>
              <w:t>H3</w:t>
            </w:r>
          </w:p>
        </w:tc>
      </w:tr>
      <w:tr w:rsidR="00E30E9F" w:rsidRPr="00E601CA" w14:paraId="317CE528" w14:textId="77777777" w:rsidTr="003D7B82">
        <w:tc>
          <w:tcPr>
            <w:tcW w:w="2714" w:type="dxa"/>
            <w:shd w:val="clear" w:color="auto" w:fill="F2F2F2" w:themeFill="background1" w:themeFillShade="F2"/>
            <w:vAlign w:val="center"/>
            <w:hideMark/>
          </w:tcPr>
          <w:p w14:paraId="48F8F8C3" w14:textId="77777777" w:rsidR="00E30E9F" w:rsidRPr="00E601CA" w:rsidRDefault="00E30E9F" w:rsidP="003D7B82">
            <w:pPr>
              <w:jc w:val="center"/>
            </w:pPr>
            <w:r>
              <w:t>&lt; 400 m</w:t>
            </w:r>
          </w:p>
        </w:tc>
        <w:tc>
          <w:tcPr>
            <w:tcW w:w="939" w:type="dxa"/>
            <w:tcBorders>
              <w:top w:val="single" w:sz="4" w:space="0" w:color="auto"/>
              <w:left w:val="nil"/>
              <w:bottom w:val="single" w:sz="4" w:space="0" w:color="auto"/>
              <w:right w:val="single" w:sz="4" w:space="0" w:color="auto"/>
            </w:tcBorders>
            <w:shd w:val="clear" w:color="auto" w:fill="auto"/>
            <w:vAlign w:val="center"/>
          </w:tcPr>
          <w:p w14:paraId="126C2B95" w14:textId="27F391F1" w:rsidR="00E30E9F" w:rsidRPr="00E601CA" w:rsidRDefault="00E30E9F" w:rsidP="003D7B82">
            <w:pPr>
              <w:jc w:val="center"/>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5AD0A554" w14:textId="4632812C" w:rsidR="00E30E9F" w:rsidRPr="00E601CA" w:rsidRDefault="00E30E9F" w:rsidP="003D7B82">
            <w:pPr>
              <w:jc w:val="center"/>
            </w:pPr>
            <w:r>
              <w:t>0,15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11637C2F" w14:textId="1A925EC9" w:rsidR="00E30E9F" w:rsidRPr="00E601CA" w:rsidRDefault="00E30E9F" w:rsidP="003D7B82">
            <w:pPr>
              <w:jc w:val="center"/>
            </w:pPr>
            <w:r>
              <w:t>0,1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309FC36F" w14:textId="7C4B0AC6" w:rsidR="00E30E9F" w:rsidRPr="00E601CA" w:rsidRDefault="00E30E9F" w:rsidP="003D7B82">
            <w:pPr>
              <w:jc w:val="center"/>
            </w:pPr>
            <w:r>
              <w:t>-0,05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C19412D" w14:textId="65E95240" w:rsidR="00E30E9F" w:rsidRPr="00E601CA" w:rsidRDefault="00E30E9F" w:rsidP="003D7B82">
            <w:pPr>
              <w:jc w:val="center"/>
            </w:pPr>
            <w:r>
              <w:t>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6FE662F7" w14:textId="4305590F" w:rsidR="00E30E9F" w:rsidRPr="00E601CA" w:rsidRDefault="00E30E9F" w:rsidP="003D7B82">
            <w:pPr>
              <w:jc w:val="center"/>
            </w:pPr>
            <w:r>
              <w:t>-0,1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46F953D" w14:textId="3F367F4C" w:rsidR="00E30E9F" w:rsidRPr="00E601CA" w:rsidRDefault="00E30E9F" w:rsidP="003D7B82">
            <w:pPr>
              <w:jc w:val="center"/>
            </w:pPr>
            <w:r>
              <w:t>-0,2</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7BD3A92" w14:textId="28BE6133" w:rsidR="00E30E9F" w:rsidRPr="00E601CA" w:rsidRDefault="00E30E9F" w:rsidP="003D7B82">
            <w:pPr>
              <w:jc w:val="center"/>
            </w:pPr>
            <w:r>
              <w:t>-0,25</w:t>
            </w:r>
          </w:p>
        </w:tc>
      </w:tr>
      <w:tr w:rsidR="00E30E9F" w:rsidRPr="00E601CA" w14:paraId="5CBD58A9" w14:textId="77777777" w:rsidTr="003D7B82">
        <w:tc>
          <w:tcPr>
            <w:tcW w:w="2714" w:type="dxa"/>
            <w:shd w:val="clear" w:color="auto" w:fill="F2F2F2" w:themeFill="background1" w:themeFillShade="F2"/>
            <w:vAlign w:val="center"/>
            <w:hideMark/>
          </w:tcPr>
          <w:p w14:paraId="1F6FFB96" w14:textId="77777777" w:rsidR="00E30E9F" w:rsidRPr="00E601CA" w:rsidRDefault="00E30E9F" w:rsidP="003D7B82">
            <w:pPr>
              <w:jc w:val="center"/>
            </w:pPr>
            <w:r>
              <w:t>400 m-800 m</w:t>
            </w:r>
          </w:p>
        </w:tc>
        <w:tc>
          <w:tcPr>
            <w:tcW w:w="939" w:type="dxa"/>
            <w:tcBorders>
              <w:top w:val="single" w:sz="4" w:space="0" w:color="auto"/>
              <w:left w:val="nil"/>
              <w:bottom w:val="single" w:sz="4" w:space="0" w:color="auto"/>
              <w:right w:val="single" w:sz="4" w:space="0" w:color="auto"/>
            </w:tcBorders>
            <w:shd w:val="clear" w:color="auto" w:fill="auto"/>
            <w:vAlign w:val="center"/>
          </w:tcPr>
          <w:p w14:paraId="26136AFB" w14:textId="2AA3AC28" w:rsidR="00E30E9F" w:rsidRPr="00E601CA" w:rsidRDefault="00E30E9F" w:rsidP="003D7B82">
            <w:pPr>
              <w:jc w:val="center"/>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51FBEF95" w14:textId="64105112" w:rsidR="00E30E9F" w:rsidRPr="00E601CA" w:rsidRDefault="00E30E9F" w:rsidP="003D7B82">
            <w:pPr>
              <w:jc w:val="center"/>
            </w:pPr>
            <w:r>
              <w:t>0,5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922FD25" w14:textId="610317DF" w:rsidR="00E30E9F" w:rsidRPr="00E601CA" w:rsidRDefault="00E30E9F" w:rsidP="003D7B82">
            <w:pPr>
              <w:jc w:val="center"/>
            </w:pPr>
            <w:r>
              <w:t>0,4</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5E56625C" w14:textId="4EB7BB46" w:rsidR="00E30E9F" w:rsidRPr="00E601CA" w:rsidRDefault="00E30E9F" w:rsidP="003D7B82">
            <w:pPr>
              <w:jc w:val="center"/>
            </w:pPr>
            <w:r>
              <w:t>0,15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33084F2B" w14:textId="79985088" w:rsidR="00E30E9F" w:rsidRPr="00E601CA" w:rsidRDefault="00E30E9F" w:rsidP="003D7B82">
            <w:pPr>
              <w:jc w:val="center"/>
            </w:pPr>
            <w:r>
              <w:t>0,3</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60D2061A" w14:textId="63566505" w:rsidR="00E30E9F" w:rsidRPr="00E601CA" w:rsidRDefault="00E30E9F" w:rsidP="003D7B82">
            <w:pPr>
              <w:jc w:val="center"/>
            </w:pPr>
            <w:r>
              <w:t>0,05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440F958" w14:textId="046E5526" w:rsidR="00E30E9F" w:rsidRPr="00E601CA" w:rsidRDefault="00E30E9F" w:rsidP="003D7B82">
            <w:pPr>
              <w:jc w:val="center"/>
            </w:pPr>
            <w:r>
              <w:t>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BAAA65E" w14:textId="17C54E9A" w:rsidR="00E30E9F" w:rsidRPr="00E601CA" w:rsidRDefault="00E30E9F" w:rsidP="003D7B82">
            <w:pPr>
              <w:jc w:val="center"/>
            </w:pPr>
            <w:r>
              <w:t>-0,1</w:t>
            </w:r>
          </w:p>
        </w:tc>
      </w:tr>
      <w:tr w:rsidR="00E30E9F" w:rsidRPr="00E601CA" w14:paraId="58947144" w14:textId="77777777" w:rsidTr="003D7B82">
        <w:tc>
          <w:tcPr>
            <w:tcW w:w="2714" w:type="dxa"/>
            <w:shd w:val="clear" w:color="auto" w:fill="F2F2F2" w:themeFill="background1" w:themeFillShade="F2"/>
            <w:vAlign w:val="center"/>
            <w:hideMark/>
          </w:tcPr>
          <w:p w14:paraId="66FF369D" w14:textId="77777777" w:rsidR="00E30E9F" w:rsidRPr="00E601CA" w:rsidRDefault="00E30E9F" w:rsidP="003D7B82">
            <w:pPr>
              <w:jc w:val="center"/>
            </w:pPr>
            <w:r>
              <w:t>&gt; 800 m</w:t>
            </w:r>
          </w:p>
        </w:tc>
        <w:tc>
          <w:tcPr>
            <w:tcW w:w="939" w:type="dxa"/>
            <w:tcBorders>
              <w:top w:val="single" w:sz="4" w:space="0" w:color="auto"/>
              <w:left w:val="nil"/>
              <w:bottom w:val="single" w:sz="4" w:space="0" w:color="auto"/>
              <w:right w:val="single" w:sz="4" w:space="0" w:color="auto"/>
            </w:tcBorders>
            <w:shd w:val="clear" w:color="auto" w:fill="auto"/>
            <w:vAlign w:val="center"/>
          </w:tcPr>
          <w:p w14:paraId="67DF2277" w14:textId="07651B7A" w:rsidR="00E30E9F" w:rsidRPr="00E601CA" w:rsidRDefault="00E30E9F" w:rsidP="003D7B82">
            <w:pPr>
              <w:jc w:val="center"/>
            </w:pPr>
            <w:r>
              <w:t>0,75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763A0B9D" w14:textId="4CDBCD45" w:rsidR="00E30E9F" w:rsidRPr="00E601CA" w:rsidRDefault="00E30E9F" w:rsidP="003D7B82">
            <w:pPr>
              <w:jc w:val="center"/>
            </w:pPr>
            <w:r>
              <w:t>0,85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2BDC84D1" w14:textId="275EA184" w:rsidR="00E30E9F" w:rsidRPr="00E601CA" w:rsidRDefault="00E30E9F" w:rsidP="003D7B82">
            <w:pPr>
              <w:jc w:val="center"/>
            </w:pPr>
            <w:r>
              <w:t>0,75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5E0064A" w14:textId="7467096F" w:rsidR="00E30E9F" w:rsidRPr="00E601CA" w:rsidRDefault="00E30E9F" w:rsidP="003D7B82">
            <w:pPr>
              <w:jc w:val="center"/>
            </w:pPr>
            <w:r>
              <w:t>0,55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3E5E1FD9" w14:textId="2FE1E847" w:rsidR="00E30E9F" w:rsidRPr="00E601CA" w:rsidRDefault="00E30E9F" w:rsidP="003D7B82">
            <w:pPr>
              <w:jc w:val="center"/>
            </w:pPr>
            <w:r>
              <w:t>0,6</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3BF88EF1" w14:textId="0898B680" w:rsidR="00E30E9F" w:rsidRPr="00E601CA" w:rsidRDefault="00E30E9F" w:rsidP="003D7B82">
            <w:pPr>
              <w:jc w:val="center"/>
            </w:pPr>
            <w:r>
              <w:t>0,35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990757D" w14:textId="659E03A5" w:rsidR="00E30E9F" w:rsidRPr="00E601CA" w:rsidRDefault="00E30E9F" w:rsidP="003D7B82">
            <w:pPr>
              <w:jc w:val="center"/>
            </w:pPr>
            <w:r>
              <w:t>0,25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5F81041" w14:textId="79FEC527" w:rsidR="00E30E9F" w:rsidRPr="00E601CA" w:rsidRDefault="00E30E9F" w:rsidP="003D7B82">
            <w:pPr>
              <w:jc w:val="center"/>
            </w:pPr>
            <w:r>
              <w:t>0,15</w:t>
            </w:r>
          </w:p>
        </w:tc>
      </w:tr>
    </w:tbl>
    <w:p w14:paraId="51CA2DDF" w14:textId="77777777" w:rsidR="00F81657" w:rsidRPr="00E601CA" w:rsidRDefault="00F81657" w:rsidP="003D7B82">
      <w:pPr>
        <w:spacing w:after="0" w:line="240" w:lineRule="auto"/>
        <w:jc w:val="left"/>
      </w:pPr>
    </w:p>
    <w:p w14:paraId="6F1DE3A2" w14:textId="4BC87AAB" w:rsidR="002523E6" w:rsidRPr="00E601CA" w:rsidRDefault="002523E6" w:rsidP="002523E6">
      <w:pPr>
        <w:keepNext/>
      </w:pPr>
      <w:r>
        <w:t xml:space="preserve">Der Koeffizient </w:t>
      </w:r>
      <w:r>
        <w:rPr>
          <w:b/>
        </w:rPr>
        <w:t>Mccombles</w:t>
      </w:r>
      <w:r>
        <w:t xml:space="preserve"> zur Modulierung von Cep,nr_max, Cep_max und Ic</w:t>
      </w:r>
      <w:r>
        <w:rPr>
          <w:vertAlign w:val="subscript"/>
        </w:rPr>
        <w:t>Energie</w:t>
      </w:r>
      <w:r>
        <w:t>_max je nach Vorhandensein von ausgebauten Dachgeschossen in dem Gebäude oder Gebäudeteil wird nach folgender Formel berechnet: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890"/>
      </w:tblGrid>
      <w:tr w:rsidR="00A234E1" w14:paraId="51D47D39" w14:textId="77777777" w:rsidTr="00A83508">
        <w:trPr>
          <w:jc w:val="center"/>
        </w:trPr>
        <w:tc>
          <w:tcPr>
            <w:tcW w:w="1530" w:type="dxa"/>
            <w:vMerge w:val="restart"/>
            <w:vAlign w:val="center"/>
          </w:tcPr>
          <w:p w14:paraId="102FF931" w14:textId="662714D8" w:rsidR="00A234E1" w:rsidRPr="00A234E1" w:rsidRDefault="00A234E1" w:rsidP="00A83508">
            <w:pPr>
              <w:jc w:val="center"/>
              <w:rPr>
                <w:rFonts w:ascii="Cambria Math" w:hAnsi="Cambria Math" w:hint="eastAsia"/>
                <w:i/>
              </w:rPr>
            </w:pPr>
            <w:r>
              <w:rPr>
                <w:rFonts w:ascii="Cambria Math" w:hAnsi="Cambria Math"/>
                <w:i/>
              </w:rPr>
              <w:t>Mccombles =</w:t>
            </w:r>
          </w:p>
        </w:tc>
        <w:tc>
          <w:tcPr>
            <w:tcW w:w="1890" w:type="dxa"/>
            <w:tcBorders>
              <w:bottom w:val="single" w:sz="4" w:space="0" w:color="auto"/>
            </w:tcBorders>
            <w:vAlign w:val="center"/>
          </w:tcPr>
          <w:p w14:paraId="1B777BC9" w14:textId="77777777" w:rsidR="00A234E1" w:rsidRPr="00A234E1" w:rsidRDefault="00A234E1" w:rsidP="00A83508">
            <w:pPr>
              <w:jc w:val="center"/>
              <w:rPr>
                <w:rFonts w:ascii="Cambria Math" w:hAnsi="Cambria Math" w:hint="eastAsia"/>
                <w:i/>
              </w:rPr>
            </w:pPr>
            <w:r>
              <w:rPr>
                <w:rFonts w:ascii="Cambria Math" w:hAnsi="Cambria Math"/>
                <w:i/>
              </w:rPr>
              <w:t>(0,4 × Scombles)</w:t>
            </w:r>
          </w:p>
        </w:tc>
      </w:tr>
      <w:tr w:rsidR="00A234E1" w14:paraId="682E1F85" w14:textId="77777777" w:rsidTr="00A83508">
        <w:trPr>
          <w:jc w:val="center"/>
        </w:trPr>
        <w:tc>
          <w:tcPr>
            <w:tcW w:w="1530" w:type="dxa"/>
            <w:vMerge/>
            <w:vAlign w:val="center"/>
          </w:tcPr>
          <w:p w14:paraId="5FD4DE2E" w14:textId="77777777" w:rsidR="00A234E1" w:rsidRPr="00A234E1" w:rsidRDefault="00A234E1" w:rsidP="00A83508">
            <w:pPr>
              <w:jc w:val="center"/>
              <w:rPr>
                <w:rFonts w:ascii="Cambria Math" w:hAnsi="Cambria Math" w:hint="eastAsia"/>
                <w:i/>
              </w:rPr>
            </w:pPr>
          </w:p>
        </w:tc>
        <w:tc>
          <w:tcPr>
            <w:tcW w:w="1890" w:type="dxa"/>
            <w:tcBorders>
              <w:top w:val="single" w:sz="4" w:space="0" w:color="auto"/>
            </w:tcBorders>
            <w:vAlign w:val="center"/>
          </w:tcPr>
          <w:p w14:paraId="045C68D3" w14:textId="77777777" w:rsidR="00A234E1" w:rsidRPr="00A234E1" w:rsidRDefault="00A234E1" w:rsidP="00A83508">
            <w:pPr>
              <w:jc w:val="center"/>
              <w:rPr>
                <w:rFonts w:ascii="Cambria Math" w:hAnsi="Cambria Math" w:hint="eastAsia"/>
                <w:i/>
              </w:rPr>
            </w:pPr>
            <w:r>
              <w:rPr>
                <w:rFonts w:ascii="Cambria Math" w:hAnsi="Cambria Math"/>
                <w:i/>
              </w:rPr>
              <w:t>Sref</w:t>
            </w:r>
          </w:p>
        </w:tc>
      </w:tr>
    </w:tbl>
    <w:p w14:paraId="4C7C2C59" w14:textId="77777777" w:rsidR="00A234E1" w:rsidRPr="00E601CA" w:rsidRDefault="00A234E1" w:rsidP="00A234E1"/>
    <w:p w14:paraId="2B321C6B" w14:textId="77777777" w:rsidR="002523E6" w:rsidRPr="00E601CA" w:rsidRDefault="002523E6" w:rsidP="00F74657">
      <w:pPr>
        <w:rPr>
          <w:rFonts w:eastAsiaTheme="minorEastAsia"/>
        </w:rPr>
      </w:pPr>
      <w:r>
        <w:t>Wobei Scombles die Bodenfläche von ausgebauten Dachgeschossen mit einer Deckenhöhe von weniger als 1,8 m angibt.</w:t>
      </w:r>
    </w:p>
    <w:p w14:paraId="544E9AA1" w14:textId="0B95414A" w:rsidR="00F81657" w:rsidRPr="00E601CA" w:rsidRDefault="00F81657" w:rsidP="00F81657">
      <w:pPr>
        <w:keepNext/>
      </w:pPr>
      <w:r>
        <w:t xml:space="preserve">De Koeffizient </w:t>
      </w:r>
      <w:r>
        <w:rPr>
          <w:b/>
        </w:rPr>
        <w:t>Mcsurf</w:t>
      </w:r>
      <w:r>
        <w:t xml:space="preserve"> zur Modulierung von Cep,nr_max, Cep_max und Ic</w:t>
      </w:r>
      <w:r>
        <w:rPr>
          <w:vertAlign w:val="subscript"/>
        </w:rPr>
        <w:t>Energie</w:t>
      </w:r>
      <w:r>
        <w:t>_max entsprechend der durchschnittlichen Fläche der Wohnungen in dem Gebäude oder Gebäudeteil nimmt folgende Werte an:</w:t>
      </w:r>
    </w:p>
    <w:tbl>
      <w:tblPr>
        <w:tblStyle w:val="TableGrid"/>
        <w:tblW w:w="3441" w:type="pct"/>
        <w:jc w:val="center"/>
        <w:tblLook w:val="04A0" w:firstRow="1" w:lastRow="0" w:firstColumn="1" w:lastColumn="0" w:noHBand="0" w:noVBand="1"/>
      </w:tblPr>
      <w:tblGrid>
        <w:gridCol w:w="3410"/>
        <w:gridCol w:w="2826"/>
      </w:tblGrid>
      <w:tr w:rsidR="00F81657" w:rsidRPr="00E601CA" w14:paraId="2BE52824" w14:textId="77777777" w:rsidTr="00FC0B23">
        <w:trPr>
          <w:jc w:val="center"/>
        </w:trPr>
        <w:tc>
          <w:tcPr>
            <w:tcW w:w="2734" w:type="pct"/>
            <w:shd w:val="clear" w:color="auto" w:fill="A6A6A6" w:themeFill="background1" w:themeFillShade="A6"/>
            <w:vAlign w:val="center"/>
          </w:tcPr>
          <w:p w14:paraId="668EEB6D" w14:textId="77777777" w:rsidR="00F81657" w:rsidRPr="00E601CA" w:rsidRDefault="00F81657" w:rsidP="00FC0B23">
            <w:pPr>
              <w:keepNext/>
              <w:jc w:val="center"/>
            </w:pPr>
            <w:r>
              <w:t>Durchschnittliche Fläche der Wohnungen des Gebäudes</w:t>
            </w:r>
          </w:p>
        </w:tc>
        <w:tc>
          <w:tcPr>
            <w:tcW w:w="2266" w:type="pct"/>
            <w:shd w:val="clear" w:color="auto" w:fill="A6A6A6" w:themeFill="background1" w:themeFillShade="A6"/>
            <w:vAlign w:val="center"/>
          </w:tcPr>
          <w:p w14:paraId="13EAA5BE" w14:textId="26A929A6" w:rsidR="00F81657" w:rsidRPr="00E601CA" w:rsidRDefault="00E214C2" w:rsidP="00E214C2">
            <w:pPr>
              <w:keepNext/>
              <w:jc w:val="center"/>
            </w:pPr>
            <w:r>
              <w:t>Mcsurf</w:t>
            </w:r>
          </w:p>
        </w:tc>
      </w:tr>
      <w:tr w:rsidR="00F81657" w:rsidRPr="00E601CA" w14:paraId="55874BE4" w14:textId="77777777" w:rsidTr="00F81657">
        <w:trPr>
          <w:jc w:val="center"/>
        </w:trPr>
        <w:tc>
          <w:tcPr>
            <w:tcW w:w="2734" w:type="pct"/>
            <w:shd w:val="clear" w:color="auto" w:fill="F2F2F2" w:themeFill="background1" w:themeFillShade="F2"/>
            <w:vAlign w:val="center"/>
          </w:tcPr>
          <w:p w14:paraId="1141B6D0" w14:textId="7DE0DEA2" w:rsidR="00F81657" w:rsidRPr="00E601CA" w:rsidRDefault="00886CDC" w:rsidP="00D76CEA">
            <w:pPr>
              <w:jc w:val="center"/>
            </w:pPr>
            <w:r>
              <w:rPr>
                <w:rFonts w:ascii="Cambria Math" w:hAnsi="Cambria Math"/>
                <w:i/>
              </w:rPr>
              <w:t>Smoy</w:t>
            </w:r>
            <w:r>
              <w:rPr>
                <w:rFonts w:ascii="Cambria Math" w:hAnsi="Cambria Math"/>
                <w:i/>
                <w:vertAlign w:val="subscript"/>
              </w:rPr>
              <w:t>lgt</w:t>
            </w:r>
            <w:r>
              <w:rPr>
                <w:rFonts w:ascii="Cambria Math" w:hAnsi="Cambria Math"/>
                <w:i/>
              </w:rPr>
              <w:t xml:space="preserve"> ≤ 100 m²</w:t>
            </w:r>
          </w:p>
        </w:tc>
        <w:tc>
          <w:tcPr>
            <w:tcW w:w="2266" w:type="pct"/>
            <w:vAlign w:val="center"/>
          </w:tcPr>
          <w:p w14:paraId="21C9946F" w14:textId="77777777" w:rsidR="00B043C5" w:rsidRDefault="00B043C5" w:rsidP="00D76CEA">
            <w:pPr>
              <w:jc w:val="center"/>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tblGrid>
            <w:tr w:rsidR="00B043C5" w14:paraId="173C6527" w14:textId="77777777" w:rsidTr="00A83508">
              <w:trPr>
                <w:jc w:val="center"/>
              </w:trPr>
              <w:tc>
                <w:tcPr>
                  <w:tcW w:w="2238" w:type="dxa"/>
                  <w:tcBorders>
                    <w:bottom w:val="single" w:sz="4" w:space="0" w:color="auto"/>
                  </w:tcBorders>
                </w:tcPr>
                <w:p w14:paraId="4D5028DC" w14:textId="3291779D" w:rsidR="00B043C5" w:rsidRPr="00C73940" w:rsidRDefault="00B043C5" w:rsidP="00D76CEA">
                  <w:pPr>
                    <w:jc w:val="center"/>
                    <w:rPr>
                      <w:rFonts w:ascii="Cambria Math" w:hAnsi="Cambria Math" w:hint="eastAsia"/>
                      <w:i/>
                    </w:rPr>
                  </w:pPr>
                  <w:r>
                    <w:rPr>
                      <w:rFonts w:ascii="Cambria Math" w:hAnsi="Cambria Math"/>
                    </w:rPr>
                    <w:t>49,5 - 0,55 *</w:t>
                  </w:r>
                  <w:r>
                    <w:rPr>
                      <w:rFonts w:ascii="Cambria Math" w:hAnsi="Cambria Math"/>
                      <w:i/>
                    </w:rPr>
                    <w:t xml:space="preserve"> Smoy</w:t>
                  </w:r>
                  <w:r>
                    <w:rPr>
                      <w:rFonts w:ascii="Cambria Math" w:hAnsi="Cambria Math"/>
                      <w:i/>
                      <w:vertAlign w:val="subscript"/>
                    </w:rPr>
                    <w:t>lgt</w:t>
                  </w:r>
                </w:p>
              </w:tc>
            </w:tr>
            <w:tr w:rsidR="00B043C5" w14:paraId="63C7DD5C" w14:textId="77777777" w:rsidTr="00A83508">
              <w:trPr>
                <w:jc w:val="center"/>
              </w:trPr>
              <w:tc>
                <w:tcPr>
                  <w:tcW w:w="2238" w:type="dxa"/>
                  <w:tcBorders>
                    <w:top w:val="single" w:sz="4" w:space="0" w:color="auto"/>
                  </w:tcBorders>
                </w:tcPr>
                <w:p w14:paraId="03014BDC" w14:textId="42FFFEF2" w:rsidR="00B043C5" w:rsidRPr="00C73940" w:rsidRDefault="00D76CEA" w:rsidP="00D76CEA">
                  <w:pPr>
                    <w:jc w:val="center"/>
                    <w:rPr>
                      <w:rFonts w:ascii="Cambria Math" w:hAnsi="Cambria Math" w:hint="eastAsia"/>
                      <w:i/>
                    </w:rPr>
                  </w:pPr>
                  <w:r>
                    <w:rPr>
                      <w:rFonts w:ascii="Cambria Math" w:hAnsi="Cambria Math"/>
                      <w:i/>
                    </w:rPr>
                    <w:t>Cep,nr_maxmoyen</w:t>
                  </w:r>
                </w:p>
              </w:tc>
            </w:tr>
          </w:tbl>
          <w:p w14:paraId="0583F33C" w14:textId="77777777" w:rsidR="00B043C5" w:rsidRPr="00C73940" w:rsidRDefault="00B043C5" w:rsidP="00D76CEA">
            <w:pPr>
              <w:jc w:val="center"/>
              <w:rPr>
                <w:iCs/>
              </w:rPr>
            </w:pPr>
          </w:p>
          <w:p w14:paraId="210EF2DA" w14:textId="71E464A6" w:rsidR="00F81657" w:rsidRPr="00E601CA" w:rsidRDefault="00F81657" w:rsidP="00D76CEA">
            <w:pPr>
              <w:jc w:val="center"/>
            </w:pPr>
          </w:p>
        </w:tc>
      </w:tr>
      <w:tr w:rsidR="00F81657" w:rsidRPr="00E601CA" w14:paraId="362D7FAE" w14:textId="77777777" w:rsidTr="00F81657">
        <w:trPr>
          <w:jc w:val="center"/>
        </w:trPr>
        <w:tc>
          <w:tcPr>
            <w:tcW w:w="2734" w:type="pct"/>
            <w:shd w:val="clear" w:color="auto" w:fill="F2F2F2" w:themeFill="background1" w:themeFillShade="F2"/>
            <w:vAlign w:val="center"/>
          </w:tcPr>
          <w:p w14:paraId="42775A98" w14:textId="00229B10" w:rsidR="00F81657" w:rsidRPr="00E601CA" w:rsidRDefault="00D36C39" w:rsidP="00D76CEA">
            <w:pPr>
              <w:jc w:val="center"/>
            </w:pPr>
            <w:r>
              <w:rPr>
                <w:rFonts w:ascii="Cambria Math" w:hAnsi="Cambria Math"/>
                <w:i/>
              </w:rPr>
              <w:t>100 m² &lt; Smoy</w:t>
            </w:r>
            <w:r>
              <w:rPr>
                <w:rFonts w:ascii="Cambria Math" w:hAnsi="Cambria Math"/>
                <w:i/>
                <w:vertAlign w:val="subscript"/>
              </w:rPr>
              <w:t>lgt</w:t>
            </w:r>
            <w:r>
              <w:rPr>
                <w:rFonts w:ascii="Cambria Math" w:hAnsi="Cambria Math"/>
                <w:i/>
              </w:rPr>
              <w:t xml:space="preserve"> ≤ 150 m²</w:t>
            </w:r>
          </w:p>
        </w:tc>
        <w:tc>
          <w:tcPr>
            <w:tcW w:w="2266" w:type="pct"/>
            <w:vAlign w:val="center"/>
          </w:tcPr>
          <w:p w14:paraId="38E421AF" w14:textId="77777777" w:rsidR="00D76CEA" w:rsidRDefault="00D76CEA" w:rsidP="00D76CEA">
            <w:pPr>
              <w:jc w:val="center"/>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tblGrid>
            <w:tr w:rsidR="00D76CEA" w14:paraId="7CE8F52D" w14:textId="77777777" w:rsidTr="00A83508">
              <w:trPr>
                <w:jc w:val="center"/>
              </w:trPr>
              <w:tc>
                <w:tcPr>
                  <w:tcW w:w="2238" w:type="dxa"/>
                  <w:tcBorders>
                    <w:bottom w:val="single" w:sz="4" w:space="0" w:color="auto"/>
                  </w:tcBorders>
                </w:tcPr>
                <w:p w14:paraId="22ED191B" w14:textId="565C8F9B" w:rsidR="00D76CEA" w:rsidRPr="00C73940" w:rsidRDefault="00D76CEA" w:rsidP="00D76CEA">
                  <w:pPr>
                    <w:jc w:val="center"/>
                    <w:rPr>
                      <w:rFonts w:ascii="Cambria Math" w:hAnsi="Cambria Math" w:hint="eastAsia"/>
                      <w:i/>
                    </w:rPr>
                  </w:pPr>
                  <w:r>
                    <w:rPr>
                      <w:rFonts w:ascii="Cambria Math" w:hAnsi="Cambria Math"/>
                    </w:rPr>
                    <w:t>14,5 - 0,2 *</w:t>
                  </w:r>
                  <w:r>
                    <w:rPr>
                      <w:rFonts w:ascii="Cambria Math" w:hAnsi="Cambria Math"/>
                      <w:i/>
                    </w:rPr>
                    <w:t xml:space="preserve"> Smoy</w:t>
                  </w:r>
                  <w:r>
                    <w:rPr>
                      <w:rFonts w:ascii="Cambria Math" w:hAnsi="Cambria Math"/>
                      <w:i/>
                      <w:vertAlign w:val="subscript"/>
                    </w:rPr>
                    <w:t>lgt</w:t>
                  </w:r>
                </w:p>
              </w:tc>
            </w:tr>
            <w:tr w:rsidR="00D76CEA" w14:paraId="3793B544" w14:textId="77777777" w:rsidTr="00A83508">
              <w:trPr>
                <w:jc w:val="center"/>
              </w:trPr>
              <w:tc>
                <w:tcPr>
                  <w:tcW w:w="2238" w:type="dxa"/>
                  <w:tcBorders>
                    <w:top w:val="single" w:sz="4" w:space="0" w:color="auto"/>
                  </w:tcBorders>
                </w:tcPr>
                <w:p w14:paraId="1012AD6C" w14:textId="77777777" w:rsidR="00D76CEA" w:rsidRPr="00C73940" w:rsidRDefault="00D76CEA" w:rsidP="00D76CEA">
                  <w:pPr>
                    <w:jc w:val="center"/>
                    <w:rPr>
                      <w:rFonts w:ascii="Cambria Math" w:hAnsi="Cambria Math" w:hint="eastAsia"/>
                      <w:i/>
                    </w:rPr>
                  </w:pPr>
                  <w:r>
                    <w:rPr>
                      <w:rFonts w:ascii="Cambria Math" w:hAnsi="Cambria Math"/>
                      <w:i/>
                    </w:rPr>
                    <w:t>Cep,nr_maxmoyen</w:t>
                  </w:r>
                </w:p>
              </w:tc>
            </w:tr>
          </w:tbl>
          <w:p w14:paraId="389DD1E9" w14:textId="77777777" w:rsidR="00D76CEA" w:rsidRPr="00C73940" w:rsidRDefault="00D76CEA" w:rsidP="00D76CEA">
            <w:pPr>
              <w:jc w:val="center"/>
              <w:rPr>
                <w:iCs/>
              </w:rPr>
            </w:pPr>
          </w:p>
          <w:p w14:paraId="77DB6137" w14:textId="37FE0FD7" w:rsidR="00F81657" w:rsidRPr="00E601CA" w:rsidRDefault="00F81657" w:rsidP="00D76CEA">
            <w:pPr>
              <w:jc w:val="center"/>
            </w:pPr>
          </w:p>
        </w:tc>
      </w:tr>
      <w:tr w:rsidR="00F81657" w:rsidRPr="00E601CA" w14:paraId="5D339193" w14:textId="77777777" w:rsidTr="00F81657">
        <w:trPr>
          <w:jc w:val="center"/>
        </w:trPr>
        <w:tc>
          <w:tcPr>
            <w:tcW w:w="2734" w:type="pct"/>
            <w:shd w:val="clear" w:color="auto" w:fill="F2F2F2" w:themeFill="background1" w:themeFillShade="F2"/>
            <w:vAlign w:val="center"/>
          </w:tcPr>
          <w:p w14:paraId="0A880411" w14:textId="634C6C06" w:rsidR="00F81657" w:rsidRPr="00E601CA" w:rsidRDefault="00886CDC" w:rsidP="00D76CEA">
            <w:pPr>
              <w:jc w:val="center"/>
            </w:pPr>
            <w:r>
              <w:rPr>
                <w:rFonts w:ascii="Cambria Math" w:hAnsi="Cambria Math"/>
                <w:i/>
              </w:rPr>
              <w:t>Smoy</w:t>
            </w:r>
            <w:r>
              <w:rPr>
                <w:rFonts w:ascii="Cambria Math" w:hAnsi="Cambria Math"/>
                <w:i/>
                <w:vertAlign w:val="subscript"/>
              </w:rPr>
              <w:t>lgt</w:t>
            </w:r>
            <w:r>
              <w:rPr>
                <w:rFonts w:ascii="Cambria Math" w:hAnsi="Cambria Math"/>
                <w:i/>
              </w:rPr>
              <w:t xml:space="preserve"> &gt; 150 m²</w:t>
            </w:r>
          </w:p>
        </w:tc>
        <w:tc>
          <w:tcPr>
            <w:tcW w:w="2266" w:type="pct"/>
            <w:vAlign w:val="center"/>
          </w:tcPr>
          <w:p w14:paraId="531C1CBF" w14:textId="77777777" w:rsidR="00D76CEA" w:rsidRDefault="00D76CEA" w:rsidP="00D76CEA">
            <w:pPr>
              <w:jc w:val="center"/>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tblGrid>
            <w:tr w:rsidR="00D76CEA" w14:paraId="07E5C7B8" w14:textId="77777777" w:rsidTr="00A83508">
              <w:trPr>
                <w:jc w:val="center"/>
              </w:trPr>
              <w:tc>
                <w:tcPr>
                  <w:tcW w:w="2238" w:type="dxa"/>
                  <w:tcBorders>
                    <w:bottom w:val="single" w:sz="4" w:space="0" w:color="auto"/>
                  </w:tcBorders>
                </w:tcPr>
                <w:p w14:paraId="7887AC31" w14:textId="5FE3F06B" w:rsidR="00D76CEA" w:rsidRPr="00C73940" w:rsidRDefault="00D76CEA" w:rsidP="00D76CEA">
                  <w:pPr>
                    <w:jc w:val="center"/>
                    <w:rPr>
                      <w:rFonts w:ascii="Cambria Math" w:hAnsi="Cambria Math" w:hint="eastAsia"/>
                      <w:i/>
                    </w:rPr>
                  </w:pPr>
                  <w:r>
                    <w:rPr>
                      <w:rFonts w:ascii="Cambria Math" w:hAnsi="Cambria Math"/>
                    </w:rPr>
                    <w:t>-15,5</w:t>
                  </w:r>
                </w:p>
              </w:tc>
            </w:tr>
            <w:tr w:rsidR="00D76CEA" w14:paraId="4372C876" w14:textId="77777777" w:rsidTr="00A83508">
              <w:trPr>
                <w:jc w:val="center"/>
              </w:trPr>
              <w:tc>
                <w:tcPr>
                  <w:tcW w:w="2238" w:type="dxa"/>
                  <w:tcBorders>
                    <w:top w:val="single" w:sz="4" w:space="0" w:color="auto"/>
                  </w:tcBorders>
                </w:tcPr>
                <w:p w14:paraId="152B9153" w14:textId="77777777" w:rsidR="00D76CEA" w:rsidRPr="00C73940" w:rsidRDefault="00D76CEA" w:rsidP="00D76CEA">
                  <w:pPr>
                    <w:jc w:val="center"/>
                    <w:rPr>
                      <w:rFonts w:ascii="Cambria Math" w:hAnsi="Cambria Math" w:hint="eastAsia"/>
                      <w:i/>
                    </w:rPr>
                  </w:pPr>
                  <w:r>
                    <w:rPr>
                      <w:rFonts w:ascii="Cambria Math" w:hAnsi="Cambria Math"/>
                      <w:i/>
                    </w:rPr>
                    <w:t>Cep,nr_maxmoyen</w:t>
                  </w:r>
                </w:p>
              </w:tc>
            </w:tr>
          </w:tbl>
          <w:p w14:paraId="25813042" w14:textId="77777777" w:rsidR="00D76CEA" w:rsidRPr="00C73940" w:rsidRDefault="00D76CEA" w:rsidP="00D76CEA">
            <w:pPr>
              <w:jc w:val="center"/>
              <w:rPr>
                <w:iCs/>
              </w:rPr>
            </w:pPr>
          </w:p>
          <w:p w14:paraId="1F10A917" w14:textId="468B2D16" w:rsidR="00F81657" w:rsidRPr="00E601CA" w:rsidRDefault="00F81657" w:rsidP="00D76CEA">
            <w:pPr>
              <w:jc w:val="center"/>
            </w:pPr>
          </w:p>
        </w:tc>
      </w:tr>
    </w:tbl>
    <w:p w14:paraId="1E64936A" w14:textId="77777777" w:rsidR="00F81657" w:rsidRPr="00E601CA" w:rsidRDefault="00F81657" w:rsidP="00F81657"/>
    <w:p w14:paraId="13780946" w14:textId="64261AE2" w:rsidR="00F81657" w:rsidRPr="00E601CA" w:rsidRDefault="00F81657" w:rsidP="00F74657">
      <w:pPr>
        <w:keepNext/>
      </w:pPr>
      <w:r>
        <w:lastRenderedPageBreak/>
        <w:t xml:space="preserve">Der Koeffizient </w:t>
      </w:r>
      <w:r>
        <w:rPr>
          <w:b/>
        </w:rPr>
        <w:t>M</w:t>
      </w:r>
      <w:r>
        <w:rPr>
          <w:b/>
          <w:bCs/>
        </w:rPr>
        <w:t>ccat</w:t>
      </w:r>
      <w:r>
        <w:t xml:space="preserve"> zur Modulierung von Cep,nr_max, Cep_max und Ic</w:t>
      </w:r>
      <w:r>
        <w:rPr>
          <w:vertAlign w:val="subscript"/>
        </w:rPr>
        <w:t>Energie</w:t>
      </w:r>
      <w:r>
        <w:t>_max je nach der Kategorie der Außenbelastung des Gebäudes oder Gebäudeteils nimmt folgende Werte an:</w:t>
      </w:r>
    </w:p>
    <w:tbl>
      <w:tblPr>
        <w:tblStyle w:val="TableGrid"/>
        <w:tblW w:w="10220" w:type="dxa"/>
        <w:tblLook w:val="0600" w:firstRow="0" w:lastRow="0" w:firstColumn="0" w:lastColumn="0" w:noHBand="1" w:noVBand="1"/>
      </w:tblPr>
      <w:tblGrid>
        <w:gridCol w:w="2972"/>
        <w:gridCol w:w="906"/>
        <w:gridCol w:w="906"/>
        <w:gridCol w:w="906"/>
        <w:gridCol w:w="906"/>
        <w:gridCol w:w="906"/>
        <w:gridCol w:w="906"/>
        <w:gridCol w:w="906"/>
        <w:gridCol w:w="906"/>
      </w:tblGrid>
      <w:tr w:rsidR="00EE4D02" w:rsidRPr="00E601CA" w14:paraId="073CCC09" w14:textId="77777777" w:rsidTr="003D7B82">
        <w:tc>
          <w:tcPr>
            <w:tcW w:w="2972" w:type="dxa"/>
            <w:tcBorders>
              <w:top w:val="single" w:sz="4" w:space="0" w:color="auto"/>
              <w:left w:val="single" w:sz="4" w:space="0" w:color="auto"/>
              <w:bottom w:val="single" w:sz="4" w:space="0" w:color="auto"/>
              <w:right w:val="single" w:sz="4" w:space="0" w:color="auto"/>
              <w:tl2br w:val="single" w:sz="4" w:space="0" w:color="auto"/>
            </w:tcBorders>
            <w:shd w:val="clear" w:color="auto" w:fill="A6A6A6" w:themeFill="background1" w:themeFillShade="A6"/>
            <w:hideMark/>
          </w:tcPr>
          <w:p w14:paraId="6763158A" w14:textId="77777777" w:rsidR="00EE4D02" w:rsidRPr="00E601CA" w:rsidRDefault="00EE4D02" w:rsidP="006941F7">
            <w:pPr>
              <w:keepNext/>
              <w:jc w:val="right"/>
            </w:pPr>
            <w:r>
              <w:t xml:space="preserve">Klimatische Zone </w:t>
            </w:r>
          </w:p>
          <w:p w14:paraId="70CD5212" w14:textId="4A2E6DE6" w:rsidR="00EE4D02" w:rsidRPr="00E601CA" w:rsidRDefault="00EE4D02" w:rsidP="003D7B82">
            <w:pPr>
              <w:keepNext/>
            </w:pPr>
            <w:r>
              <w:t>Kategorie</w:t>
            </w:r>
            <w:r>
              <w:br/>
              <w:t>der Außenbelastung</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FD27D0B" w14:textId="77777777" w:rsidR="00EE4D02" w:rsidRPr="00E601CA" w:rsidRDefault="00EE4D02" w:rsidP="006941F7">
            <w:pPr>
              <w:keepNext/>
              <w:jc w:val="center"/>
            </w:pPr>
            <w:r>
              <w:t>H1a</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913D641" w14:textId="77777777" w:rsidR="00EE4D02" w:rsidRPr="00E601CA" w:rsidRDefault="00EE4D02" w:rsidP="006941F7">
            <w:pPr>
              <w:keepNext/>
              <w:jc w:val="center"/>
            </w:pPr>
            <w:r>
              <w:t>H1b</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0F4B7D" w14:textId="77777777" w:rsidR="00EE4D02" w:rsidRPr="00E601CA" w:rsidRDefault="00EE4D02" w:rsidP="006941F7">
            <w:pPr>
              <w:keepNext/>
              <w:jc w:val="center"/>
            </w:pPr>
            <w:r>
              <w:t>H1c</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ACFC603" w14:textId="77777777" w:rsidR="00EE4D02" w:rsidRPr="00E601CA" w:rsidRDefault="00EE4D02" w:rsidP="006941F7">
            <w:pPr>
              <w:keepNext/>
              <w:jc w:val="center"/>
            </w:pPr>
            <w:r>
              <w:t>H2a</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FEC457F" w14:textId="77777777" w:rsidR="00EE4D02" w:rsidRPr="00E601CA" w:rsidRDefault="00EE4D02" w:rsidP="006941F7">
            <w:pPr>
              <w:keepNext/>
              <w:jc w:val="center"/>
            </w:pPr>
            <w:r>
              <w:t>H2b</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632DBE6" w14:textId="77777777" w:rsidR="00EE4D02" w:rsidRPr="00E601CA" w:rsidRDefault="00EE4D02" w:rsidP="006941F7">
            <w:pPr>
              <w:keepNext/>
              <w:jc w:val="center"/>
            </w:pPr>
            <w:r>
              <w:t>H2c</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82ADA54" w14:textId="77777777" w:rsidR="00EE4D02" w:rsidRPr="00E601CA" w:rsidRDefault="00EE4D02" w:rsidP="006941F7">
            <w:pPr>
              <w:keepNext/>
              <w:jc w:val="center"/>
            </w:pPr>
            <w:r>
              <w:t>H2d</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F067ED8" w14:textId="0BF7F66B" w:rsidR="00EE4D02" w:rsidRPr="00E601CA" w:rsidRDefault="00097506">
            <w:pPr>
              <w:keepNext/>
              <w:jc w:val="center"/>
            </w:pPr>
            <w:r>
              <w:t>H3</w:t>
            </w:r>
          </w:p>
        </w:tc>
      </w:tr>
      <w:tr w:rsidR="00EE4D02" w:rsidRPr="00E601CA" w14:paraId="272DB621" w14:textId="77777777" w:rsidTr="003D7B82">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6C2526" w14:textId="77777777" w:rsidR="00EE4D02" w:rsidRPr="00E601CA" w:rsidRDefault="00EE4D02" w:rsidP="003D7B82">
            <w:pPr>
              <w:jc w:val="center"/>
            </w:pPr>
            <w:r>
              <w:t>Kategorie 1</w:t>
            </w:r>
          </w:p>
        </w:tc>
        <w:tc>
          <w:tcPr>
            <w:tcW w:w="906" w:type="dxa"/>
            <w:tcBorders>
              <w:top w:val="single" w:sz="4" w:space="0" w:color="auto"/>
              <w:left w:val="single" w:sz="4" w:space="0" w:color="auto"/>
              <w:bottom w:val="single" w:sz="4" w:space="0" w:color="auto"/>
              <w:right w:val="single" w:sz="4" w:space="0" w:color="auto"/>
            </w:tcBorders>
            <w:vAlign w:val="center"/>
            <w:hideMark/>
          </w:tcPr>
          <w:p w14:paraId="49D9FF44" w14:textId="24E2328F" w:rsidR="00EE4D02" w:rsidRPr="00E601CA" w:rsidRDefault="00E30E9F" w:rsidP="003D7B82">
            <w:pPr>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4B22B316" w14:textId="14BA655A" w:rsidR="00EE4D02" w:rsidRPr="00E601CA" w:rsidRDefault="00E30E9F" w:rsidP="003D7B82">
            <w:pPr>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0D3D359A" w14:textId="4DCEF986" w:rsidR="00EE4D02" w:rsidRPr="00E601CA" w:rsidRDefault="00E30E9F" w:rsidP="003D7B82">
            <w:pPr>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003E09ED" w14:textId="18475CA1" w:rsidR="00EE4D02" w:rsidRPr="00E601CA" w:rsidRDefault="00E30E9F" w:rsidP="003D7B82">
            <w:pPr>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670F6651" w14:textId="04B942E4" w:rsidR="00EE4D02" w:rsidRPr="00E601CA" w:rsidRDefault="00E30E9F" w:rsidP="003D7B82">
            <w:pPr>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54D52B7C" w14:textId="5247D35C" w:rsidR="00EE4D02" w:rsidRPr="00E601CA" w:rsidRDefault="00E30E9F" w:rsidP="003D7B82">
            <w:pPr>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10F21827" w14:textId="2884428C" w:rsidR="00EE4D02" w:rsidRPr="00E601CA" w:rsidRDefault="00E30E9F" w:rsidP="003D7B82">
            <w:pPr>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32955D6C" w14:textId="74F9AB54" w:rsidR="00EE4D02" w:rsidRPr="00E601CA" w:rsidRDefault="00E30E9F" w:rsidP="003D7B82">
            <w:pPr>
              <w:jc w:val="center"/>
              <w:textAlignment w:val="bottom"/>
            </w:pPr>
            <w:r>
              <w:t>0</w:t>
            </w:r>
          </w:p>
        </w:tc>
      </w:tr>
      <w:tr w:rsidR="00EE4D02" w:rsidRPr="00E601CA" w14:paraId="25F185A8" w14:textId="77777777" w:rsidTr="003D7B82">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0C4D1" w14:textId="77777777" w:rsidR="00EE4D02" w:rsidRPr="00E601CA" w:rsidRDefault="00EE4D02" w:rsidP="003D7B82">
            <w:pPr>
              <w:jc w:val="center"/>
            </w:pPr>
            <w:r>
              <w:t>Kategorie 2</w:t>
            </w:r>
          </w:p>
        </w:tc>
        <w:tc>
          <w:tcPr>
            <w:tcW w:w="906" w:type="dxa"/>
            <w:tcBorders>
              <w:top w:val="single" w:sz="4" w:space="0" w:color="auto"/>
              <w:left w:val="single" w:sz="4" w:space="0" w:color="auto"/>
              <w:bottom w:val="single" w:sz="4" w:space="0" w:color="auto"/>
              <w:right w:val="single" w:sz="4" w:space="0" w:color="auto"/>
            </w:tcBorders>
            <w:vAlign w:val="center"/>
            <w:hideMark/>
          </w:tcPr>
          <w:p w14:paraId="5B7B3B93" w14:textId="292EB7BE" w:rsidR="00EE4D02" w:rsidRPr="00E601CA" w:rsidRDefault="00E30E9F" w:rsidP="003D7B82">
            <w:pPr>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21A95257" w14:textId="004BC22E" w:rsidR="00EE4D02" w:rsidRPr="00E601CA" w:rsidRDefault="00E30E9F" w:rsidP="003D7B82">
            <w:pPr>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77C8A892" w14:textId="7564FD21" w:rsidR="00EE4D02" w:rsidRPr="00E601CA" w:rsidRDefault="00E30E9F" w:rsidP="003D7B82">
            <w:pPr>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67F7E87D" w14:textId="3E4FD174" w:rsidR="00EE4D02" w:rsidRPr="00E601CA" w:rsidRDefault="00E30E9F" w:rsidP="003D7B82">
            <w:pPr>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2C9F0291" w14:textId="172317C0" w:rsidR="00EE4D02" w:rsidRPr="00E601CA" w:rsidRDefault="00E30E9F" w:rsidP="003D7B82">
            <w:pPr>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6B323184" w14:textId="3852D49A" w:rsidR="00EE4D02" w:rsidRPr="00E601CA" w:rsidRDefault="00E30E9F" w:rsidP="003D7B82">
            <w:pPr>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7FA281AC" w14:textId="5CB2E618" w:rsidR="00EE4D02" w:rsidRPr="00E601CA" w:rsidRDefault="00E30E9F" w:rsidP="003D7B82">
            <w:pPr>
              <w:jc w:val="center"/>
              <w:textAlignment w:val="bottom"/>
            </w:pPr>
            <w:r>
              <w:t>0,05</w:t>
            </w:r>
          </w:p>
        </w:tc>
        <w:tc>
          <w:tcPr>
            <w:tcW w:w="906" w:type="dxa"/>
            <w:tcBorders>
              <w:top w:val="single" w:sz="4" w:space="0" w:color="auto"/>
              <w:left w:val="single" w:sz="4" w:space="0" w:color="auto"/>
              <w:bottom w:val="single" w:sz="4" w:space="0" w:color="auto"/>
              <w:right w:val="single" w:sz="4" w:space="0" w:color="auto"/>
            </w:tcBorders>
            <w:vAlign w:val="center"/>
            <w:hideMark/>
          </w:tcPr>
          <w:p w14:paraId="185592E8" w14:textId="563211DD" w:rsidR="00EE4D02" w:rsidRPr="00E601CA" w:rsidRDefault="00E30E9F" w:rsidP="003D7B82">
            <w:pPr>
              <w:jc w:val="center"/>
              <w:textAlignment w:val="bottom"/>
            </w:pPr>
            <w:r>
              <w:t>0,05</w:t>
            </w:r>
          </w:p>
        </w:tc>
      </w:tr>
    </w:tbl>
    <w:p w14:paraId="34629491" w14:textId="77777777" w:rsidR="00EE4D02" w:rsidRPr="00E601CA" w:rsidRDefault="00EE4D02" w:rsidP="00F81657"/>
    <w:p w14:paraId="7F088C01" w14:textId="77777777" w:rsidR="00F81657" w:rsidRPr="00E601CA" w:rsidRDefault="00F81657" w:rsidP="00A02594">
      <w:pPr>
        <w:pStyle w:val="Heading7"/>
      </w:pPr>
      <w:r>
        <w:t>Mehrfamilienhäuser:</w:t>
      </w:r>
    </w:p>
    <w:p w14:paraId="05F010CE" w14:textId="22A37424" w:rsidR="00F81657" w:rsidRPr="00E601CA" w:rsidRDefault="00F81657" w:rsidP="00F81657">
      <w:pPr>
        <w:keepNext/>
      </w:pPr>
      <w:r>
        <w:t xml:space="preserve">Der Koeffizient </w:t>
      </w:r>
      <w:r>
        <w:rPr>
          <w:b/>
        </w:rPr>
        <w:t>Mcgéo</w:t>
      </w:r>
      <w:r>
        <w:t xml:space="preserve"> zur Modulierung von Cep,nr_max, Cep_max und Ic</w:t>
      </w:r>
      <w:r>
        <w:rPr>
          <w:vertAlign w:val="subscript"/>
        </w:rPr>
        <w:t>Energie</w:t>
      </w:r>
      <w:r>
        <w:t>_max je nach der geografischen Lage (klimatische Zone und Höhe) des Gebäudes nimmt folgende Werte an:</w:t>
      </w:r>
    </w:p>
    <w:tbl>
      <w:tblPr>
        <w:tblStyle w:val="TableGrid"/>
        <w:tblW w:w="10220" w:type="dxa"/>
        <w:tblLook w:val="0600" w:firstRow="0" w:lastRow="0" w:firstColumn="0" w:lastColumn="0" w:noHBand="1" w:noVBand="1"/>
      </w:tblPr>
      <w:tblGrid>
        <w:gridCol w:w="2714"/>
        <w:gridCol w:w="939"/>
        <w:gridCol w:w="939"/>
        <w:gridCol w:w="938"/>
        <w:gridCol w:w="938"/>
        <w:gridCol w:w="938"/>
        <w:gridCol w:w="938"/>
        <w:gridCol w:w="938"/>
        <w:gridCol w:w="938"/>
      </w:tblGrid>
      <w:tr w:rsidR="00F81657" w:rsidRPr="00E601CA" w14:paraId="4DACF877" w14:textId="77777777" w:rsidTr="003D7B82">
        <w:tc>
          <w:tcPr>
            <w:tcW w:w="2714" w:type="dxa"/>
            <w:tcBorders>
              <w:tl2br w:val="single" w:sz="4" w:space="0" w:color="auto"/>
            </w:tcBorders>
            <w:shd w:val="clear" w:color="auto" w:fill="A6A6A6" w:themeFill="background1" w:themeFillShade="A6"/>
            <w:hideMark/>
          </w:tcPr>
          <w:p w14:paraId="65C16DD9" w14:textId="77777777" w:rsidR="00F81657" w:rsidRPr="00E601CA" w:rsidRDefault="00F81657" w:rsidP="00FC0B23">
            <w:pPr>
              <w:keepNext/>
              <w:jc w:val="right"/>
            </w:pPr>
            <w:r>
              <w:t xml:space="preserve">Klimatische Zone </w:t>
            </w:r>
          </w:p>
          <w:p w14:paraId="48A014D1" w14:textId="77777777" w:rsidR="00F81657" w:rsidRPr="00E601CA" w:rsidRDefault="00F81657" w:rsidP="00FC0B23">
            <w:pPr>
              <w:keepNext/>
            </w:pPr>
            <w:r>
              <w:t>Höhe</w:t>
            </w:r>
          </w:p>
        </w:tc>
        <w:tc>
          <w:tcPr>
            <w:tcW w:w="939" w:type="dxa"/>
            <w:shd w:val="clear" w:color="auto" w:fill="A6A6A6" w:themeFill="background1" w:themeFillShade="A6"/>
            <w:hideMark/>
          </w:tcPr>
          <w:p w14:paraId="404B80D9" w14:textId="77777777" w:rsidR="00F81657" w:rsidRPr="00E601CA" w:rsidRDefault="00F81657" w:rsidP="00FC0B23">
            <w:pPr>
              <w:keepNext/>
            </w:pPr>
            <w:r>
              <w:t>H1a</w:t>
            </w:r>
          </w:p>
        </w:tc>
        <w:tc>
          <w:tcPr>
            <w:tcW w:w="939" w:type="dxa"/>
            <w:shd w:val="clear" w:color="auto" w:fill="A6A6A6" w:themeFill="background1" w:themeFillShade="A6"/>
            <w:hideMark/>
          </w:tcPr>
          <w:p w14:paraId="2B9AE664" w14:textId="77777777" w:rsidR="00F81657" w:rsidRPr="00E601CA" w:rsidRDefault="00F81657" w:rsidP="00FC0B23">
            <w:pPr>
              <w:keepNext/>
            </w:pPr>
            <w:r>
              <w:t>H1b</w:t>
            </w:r>
          </w:p>
        </w:tc>
        <w:tc>
          <w:tcPr>
            <w:tcW w:w="938" w:type="dxa"/>
            <w:shd w:val="clear" w:color="auto" w:fill="A6A6A6" w:themeFill="background1" w:themeFillShade="A6"/>
            <w:hideMark/>
          </w:tcPr>
          <w:p w14:paraId="708550D5" w14:textId="77777777" w:rsidR="00F81657" w:rsidRPr="00E601CA" w:rsidRDefault="00F81657" w:rsidP="00FC0B23">
            <w:pPr>
              <w:keepNext/>
            </w:pPr>
            <w:r>
              <w:t>H1c</w:t>
            </w:r>
          </w:p>
        </w:tc>
        <w:tc>
          <w:tcPr>
            <w:tcW w:w="938" w:type="dxa"/>
            <w:shd w:val="clear" w:color="auto" w:fill="A6A6A6" w:themeFill="background1" w:themeFillShade="A6"/>
            <w:hideMark/>
          </w:tcPr>
          <w:p w14:paraId="457AF8A9" w14:textId="77777777" w:rsidR="00F81657" w:rsidRPr="00E601CA" w:rsidRDefault="00F81657" w:rsidP="00FC0B23">
            <w:pPr>
              <w:keepNext/>
            </w:pPr>
            <w:r>
              <w:t>H2a</w:t>
            </w:r>
          </w:p>
        </w:tc>
        <w:tc>
          <w:tcPr>
            <w:tcW w:w="938" w:type="dxa"/>
            <w:shd w:val="clear" w:color="auto" w:fill="A6A6A6" w:themeFill="background1" w:themeFillShade="A6"/>
            <w:hideMark/>
          </w:tcPr>
          <w:p w14:paraId="19A239D9" w14:textId="77777777" w:rsidR="00F81657" w:rsidRPr="00E601CA" w:rsidRDefault="00F81657" w:rsidP="00FC0B23">
            <w:pPr>
              <w:keepNext/>
            </w:pPr>
            <w:r>
              <w:t>H2b</w:t>
            </w:r>
          </w:p>
        </w:tc>
        <w:tc>
          <w:tcPr>
            <w:tcW w:w="938" w:type="dxa"/>
            <w:shd w:val="clear" w:color="auto" w:fill="A6A6A6" w:themeFill="background1" w:themeFillShade="A6"/>
            <w:hideMark/>
          </w:tcPr>
          <w:p w14:paraId="7F91F41F" w14:textId="77777777" w:rsidR="00F81657" w:rsidRPr="00E601CA" w:rsidRDefault="00F81657" w:rsidP="00FC0B23">
            <w:pPr>
              <w:keepNext/>
            </w:pPr>
            <w:r>
              <w:t>H2c</w:t>
            </w:r>
          </w:p>
        </w:tc>
        <w:tc>
          <w:tcPr>
            <w:tcW w:w="938" w:type="dxa"/>
            <w:shd w:val="clear" w:color="auto" w:fill="A6A6A6" w:themeFill="background1" w:themeFillShade="A6"/>
            <w:hideMark/>
          </w:tcPr>
          <w:p w14:paraId="1D4F559B" w14:textId="77777777" w:rsidR="00F81657" w:rsidRPr="00E601CA" w:rsidRDefault="00F81657" w:rsidP="00FC0B23">
            <w:pPr>
              <w:keepNext/>
            </w:pPr>
            <w:r>
              <w:t>H2d</w:t>
            </w:r>
          </w:p>
        </w:tc>
        <w:tc>
          <w:tcPr>
            <w:tcW w:w="938" w:type="dxa"/>
            <w:shd w:val="clear" w:color="auto" w:fill="A6A6A6" w:themeFill="background1" w:themeFillShade="A6"/>
            <w:hideMark/>
          </w:tcPr>
          <w:p w14:paraId="0793D708" w14:textId="1A518116" w:rsidR="00F81657" w:rsidRPr="00E601CA" w:rsidRDefault="00097506" w:rsidP="00FC0B23">
            <w:pPr>
              <w:keepNext/>
            </w:pPr>
            <w:r>
              <w:t>H3</w:t>
            </w:r>
          </w:p>
        </w:tc>
      </w:tr>
      <w:tr w:rsidR="00F81657" w:rsidRPr="00E601CA" w14:paraId="1CA0460A" w14:textId="77777777" w:rsidTr="003D7B82">
        <w:tc>
          <w:tcPr>
            <w:tcW w:w="2714" w:type="dxa"/>
            <w:shd w:val="clear" w:color="auto" w:fill="F2F2F2" w:themeFill="background1" w:themeFillShade="F2"/>
            <w:hideMark/>
          </w:tcPr>
          <w:p w14:paraId="7FC4CDA9" w14:textId="77777777" w:rsidR="00F81657" w:rsidRPr="00E601CA" w:rsidRDefault="00F81657" w:rsidP="003D7B82">
            <w:pPr>
              <w:jc w:val="center"/>
            </w:pPr>
            <w:r>
              <w:t>&lt; 400 m</w:t>
            </w:r>
          </w:p>
        </w:tc>
        <w:tc>
          <w:tcPr>
            <w:tcW w:w="939" w:type="dxa"/>
            <w:vAlign w:val="center"/>
          </w:tcPr>
          <w:p w14:paraId="3C12C3D5" w14:textId="59E441BF" w:rsidR="00F81657" w:rsidRPr="00E601CA" w:rsidRDefault="00E30E9F" w:rsidP="003D7B82">
            <w:pPr>
              <w:jc w:val="center"/>
            </w:pPr>
            <w:r>
              <w:t>0,05</w:t>
            </w:r>
          </w:p>
        </w:tc>
        <w:tc>
          <w:tcPr>
            <w:tcW w:w="939" w:type="dxa"/>
            <w:vAlign w:val="center"/>
          </w:tcPr>
          <w:p w14:paraId="36EF8A89" w14:textId="24BB1CE5" w:rsidR="00F81657" w:rsidRPr="00E601CA" w:rsidRDefault="00E30E9F" w:rsidP="003D7B82">
            <w:pPr>
              <w:jc w:val="center"/>
            </w:pPr>
            <w:r>
              <w:t>0,05</w:t>
            </w:r>
          </w:p>
        </w:tc>
        <w:tc>
          <w:tcPr>
            <w:tcW w:w="938" w:type="dxa"/>
            <w:vAlign w:val="center"/>
          </w:tcPr>
          <w:p w14:paraId="1EA2808A" w14:textId="3950553C" w:rsidR="00F81657" w:rsidRPr="00E601CA" w:rsidRDefault="00E30E9F" w:rsidP="003D7B82">
            <w:pPr>
              <w:jc w:val="center"/>
            </w:pPr>
            <w:r>
              <w:t>0,05</w:t>
            </w:r>
          </w:p>
        </w:tc>
        <w:tc>
          <w:tcPr>
            <w:tcW w:w="938" w:type="dxa"/>
            <w:vAlign w:val="center"/>
          </w:tcPr>
          <w:p w14:paraId="5B29EEA5" w14:textId="59E2A2AE" w:rsidR="00F81657" w:rsidRPr="00E601CA" w:rsidRDefault="00E30E9F" w:rsidP="003D7B82">
            <w:pPr>
              <w:jc w:val="center"/>
            </w:pPr>
            <w:r>
              <w:t>-0,1</w:t>
            </w:r>
          </w:p>
        </w:tc>
        <w:tc>
          <w:tcPr>
            <w:tcW w:w="938" w:type="dxa"/>
            <w:vAlign w:val="center"/>
          </w:tcPr>
          <w:p w14:paraId="72B518D7" w14:textId="6687DCC7" w:rsidR="00F81657" w:rsidRPr="00E601CA" w:rsidRDefault="00E30E9F" w:rsidP="003D7B82">
            <w:pPr>
              <w:jc w:val="center"/>
            </w:pPr>
            <w:r>
              <w:t>0</w:t>
            </w:r>
          </w:p>
        </w:tc>
        <w:tc>
          <w:tcPr>
            <w:tcW w:w="938" w:type="dxa"/>
            <w:vAlign w:val="center"/>
          </w:tcPr>
          <w:p w14:paraId="2886D556" w14:textId="052DA9E5" w:rsidR="00F81657" w:rsidRPr="00E601CA" w:rsidRDefault="00E30E9F" w:rsidP="003D7B82">
            <w:pPr>
              <w:jc w:val="center"/>
            </w:pPr>
            <w:r>
              <w:t>-0,15</w:t>
            </w:r>
          </w:p>
        </w:tc>
        <w:tc>
          <w:tcPr>
            <w:tcW w:w="938" w:type="dxa"/>
            <w:vAlign w:val="center"/>
          </w:tcPr>
          <w:p w14:paraId="57B30701" w14:textId="43DB6360" w:rsidR="00F81657" w:rsidRPr="00E601CA" w:rsidRDefault="00E30E9F" w:rsidP="003D7B82">
            <w:pPr>
              <w:jc w:val="center"/>
            </w:pPr>
            <w:r>
              <w:t>-0,15</w:t>
            </w:r>
          </w:p>
        </w:tc>
        <w:tc>
          <w:tcPr>
            <w:tcW w:w="938" w:type="dxa"/>
            <w:vAlign w:val="center"/>
          </w:tcPr>
          <w:p w14:paraId="0A208523" w14:textId="528021A8" w:rsidR="00F81657" w:rsidRPr="00E601CA" w:rsidRDefault="00E30E9F" w:rsidP="003D7B82">
            <w:pPr>
              <w:jc w:val="center"/>
            </w:pPr>
            <w:r>
              <w:t>-0,25</w:t>
            </w:r>
          </w:p>
        </w:tc>
      </w:tr>
      <w:tr w:rsidR="00F81657" w:rsidRPr="00E601CA" w14:paraId="77DD932A" w14:textId="77777777" w:rsidTr="003D7B82">
        <w:tc>
          <w:tcPr>
            <w:tcW w:w="2714" w:type="dxa"/>
            <w:shd w:val="clear" w:color="auto" w:fill="F2F2F2" w:themeFill="background1" w:themeFillShade="F2"/>
            <w:hideMark/>
          </w:tcPr>
          <w:p w14:paraId="4BABBB8F" w14:textId="77777777" w:rsidR="00F81657" w:rsidRPr="00E601CA" w:rsidRDefault="00F81657" w:rsidP="003D7B82">
            <w:pPr>
              <w:jc w:val="center"/>
            </w:pPr>
            <w:r>
              <w:t>400 m-800 m</w:t>
            </w:r>
          </w:p>
        </w:tc>
        <w:tc>
          <w:tcPr>
            <w:tcW w:w="939" w:type="dxa"/>
            <w:vAlign w:val="center"/>
          </w:tcPr>
          <w:p w14:paraId="16473332" w14:textId="18980453" w:rsidR="00F81657" w:rsidRPr="00E601CA" w:rsidRDefault="00E30E9F" w:rsidP="003D7B82">
            <w:pPr>
              <w:jc w:val="center"/>
            </w:pPr>
            <w:r>
              <w:t>0,35</w:t>
            </w:r>
          </w:p>
        </w:tc>
        <w:tc>
          <w:tcPr>
            <w:tcW w:w="939" w:type="dxa"/>
            <w:vAlign w:val="center"/>
          </w:tcPr>
          <w:p w14:paraId="4483BB43" w14:textId="1AEA92E9" w:rsidR="00F81657" w:rsidRPr="00E601CA" w:rsidRDefault="00E30E9F" w:rsidP="003D7B82">
            <w:pPr>
              <w:jc w:val="center"/>
            </w:pPr>
            <w:r>
              <w:t>0,4</w:t>
            </w:r>
          </w:p>
        </w:tc>
        <w:tc>
          <w:tcPr>
            <w:tcW w:w="938" w:type="dxa"/>
            <w:vAlign w:val="center"/>
          </w:tcPr>
          <w:p w14:paraId="0CB3D8BA" w14:textId="3412B54F" w:rsidR="00F81657" w:rsidRPr="00E601CA" w:rsidRDefault="00E30E9F" w:rsidP="003D7B82">
            <w:pPr>
              <w:jc w:val="center"/>
            </w:pPr>
            <w:r>
              <w:t>0,35</w:t>
            </w:r>
          </w:p>
        </w:tc>
        <w:tc>
          <w:tcPr>
            <w:tcW w:w="938" w:type="dxa"/>
            <w:vAlign w:val="center"/>
          </w:tcPr>
          <w:p w14:paraId="6A8E13CF" w14:textId="4CC2682C" w:rsidR="00F81657" w:rsidRPr="00E601CA" w:rsidRDefault="00E30E9F" w:rsidP="003D7B82">
            <w:pPr>
              <w:jc w:val="center"/>
            </w:pPr>
            <w:r>
              <w:t>0,2</w:t>
            </w:r>
          </w:p>
        </w:tc>
        <w:tc>
          <w:tcPr>
            <w:tcW w:w="938" w:type="dxa"/>
            <w:vAlign w:val="center"/>
          </w:tcPr>
          <w:p w14:paraId="679AEDE6" w14:textId="59233CF8" w:rsidR="00F81657" w:rsidRPr="00E601CA" w:rsidRDefault="00E30E9F" w:rsidP="003D7B82">
            <w:pPr>
              <w:jc w:val="center"/>
            </w:pPr>
            <w:r>
              <w:t>0,2</w:t>
            </w:r>
          </w:p>
        </w:tc>
        <w:tc>
          <w:tcPr>
            <w:tcW w:w="938" w:type="dxa"/>
            <w:vAlign w:val="center"/>
          </w:tcPr>
          <w:p w14:paraId="3DA57A81" w14:textId="37E6DFE5" w:rsidR="00F81657" w:rsidRPr="00E601CA" w:rsidRDefault="00E30E9F" w:rsidP="003D7B82">
            <w:pPr>
              <w:jc w:val="center"/>
            </w:pPr>
            <w:r>
              <w:t>0,05</w:t>
            </w:r>
          </w:p>
        </w:tc>
        <w:tc>
          <w:tcPr>
            <w:tcW w:w="938" w:type="dxa"/>
            <w:vAlign w:val="center"/>
          </w:tcPr>
          <w:p w14:paraId="10597A90" w14:textId="2F2819F3" w:rsidR="00F81657" w:rsidRPr="00E601CA" w:rsidRDefault="00E30E9F" w:rsidP="003D7B82">
            <w:pPr>
              <w:jc w:val="center"/>
            </w:pPr>
            <w:r>
              <w:t>0,05</w:t>
            </w:r>
          </w:p>
        </w:tc>
        <w:tc>
          <w:tcPr>
            <w:tcW w:w="938" w:type="dxa"/>
            <w:vAlign w:val="center"/>
          </w:tcPr>
          <w:p w14:paraId="53BF95AB" w14:textId="30785D3D" w:rsidR="00F81657" w:rsidRPr="00E601CA" w:rsidRDefault="00E30E9F" w:rsidP="003D7B82">
            <w:pPr>
              <w:jc w:val="center"/>
            </w:pPr>
            <w:r>
              <w:t>-0,1</w:t>
            </w:r>
          </w:p>
        </w:tc>
      </w:tr>
      <w:tr w:rsidR="00F81657" w:rsidRPr="00E601CA" w14:paraId="03D94EE6" w14:textId="77777777" w:rsidTr="003D7B82">
        <w:tc>
          <w:tcPr>
            <w:tcW w:w="2714" w:type="dxa"/>
            <w:shd w:val="clear" w:color="auto" w:fill="F2F2F2" w:themeFill="background1" w:themeFillShade="F2"/>
            <w:hideMark/>
          </w:tcPr>
          <w:p w14:paraId="0A63AE7E" w14:textId="77777777" w:rsidR="00F81657" w:rsidRPr="00E601CA" w:rsidRDefault="00F81657" w:rsidP="003D7B82">
            <w:pPr>
              <w:jc w:val="center"/>
            </w:pPr>
            <w:r>
              <w:t>&gt; 800 m</w:t>
            </w:r>
          </w:p>
        </w:tc>
        <w:tc>
          <w:tcPr>
            <w:tcW w:w="939" w:type="dxa"/>
            <w:vAlign w:val="center"/>
          </w:tcPr>
          <w:p w14:paraId="2D29D18B" w14:textId="149DBE76" w:rsidR="00F81657" w:rsidRPr="00E601CA" w:rsidRDefault="00E30E9F" w:rsidP="003D7B82">
            <w:pPr>
              <w:jc w:val="center"/>
            </w:pPr>
            <w:r>
              <w:t>0,55</w:t>
            </w:r>
          </w:p>
        </w:tc>
        <w:tc>
          <w:tcPr>
            <w:tcW w:w="939" w:type="dxa"/>
            <w:vAlign w:val="center"/>
          </w:tcPr>
          <w:p w14:paraId="38589D0F" w14:textId="02A06B6B" w:rsidR="00F81657" w:rsidRPr="00E601CA" w:rsidRDefault="00E30E9F" w:rsidP="003D7B82">
            <w:pPr>
              <w:jc w:val="center"/>
            </w:pPr>
            <w:r>
              <w:t>0,65</w:t>
            </w:r>
          </w:p>
        </w:tc>
        <w:tc>
          <w:tcPr>
            <w:tcW w:w="938" w:type="dxa"/>
            <w:vAlign w:val="center"/>
          </w:tcPr>
          <w:p w14:paraId="3A8E20F1" w14:textId="5F45A456" w:rsidR="00F81657" w:rsidRPr="00E601CA" w:rsidRDefault="00E30E9F" w:rsidP="003D7B82">
            <w:pPr>
              <w:jc w:val="center"/>
            </w:pPr>
            <w:r>
              <w:t>0,55</w:t>
            </w:r>
          </w:p>
        </w:tc>
        <w:tc>
          <w:tcPr>
            <w:tcW w:w="938" w:type="dxa"/>
            <w:vAlign w:val="center"/>
          </w:tcPr>
          <w:p w14:paraId="799284E1" w14:textId="0DBE677E" w:rsidR="00F81657" w:rsidRPr="00E601CA" w:rsidRDefault="00E30E9F" w:rsidP="003D7B82">
            <w:pPr>
              <w:jc w:val="center"/>
            </w:pPr>
            <w:r>
              <w:t>0,45</w:t>
            </w:r>
          </w:p>
        </w:tc>
        <w:tc>
          <w:tcPr>
            <w:tcW w:w="938" w:type="dxa"/>
            <w:vAlign w:val="center"/>
          </w:tcPr>
          <w:p w14:paraId="0500A8F3" w14:textId="5C94F4A2" w:rsidR="00F81657" w:rsidRPr="00E601CA" w:rsidRDefault="00E30E9F" w:rsidP="003D7B82">
            <w:pPr>
              <w:jc w:val="center"/>
            </w:pPr>
            <w:r>
              <w:t>0,5</w:t>
            </w:r>
          </w:p>
        </w:tc>
        <w:tc>
          <w:tcPr>
            <w:tcW w:w="938" w:type="dxa"/>
            <w:vAlign w:val="center"/>
          </w:tcPr>
          <w:p w14:paraId="055E1379" w14:textId="5979DCF7" w:rsidR="00F81657" w:rsidRPr="00E601CA" w:rsidRDefault="00E30E9F" w:rsidP="003D7B82">
            <w:pPr>
              <w:jc w:val="center"/>
            </w:pPr>
            <w:r>
              <w:t>0,3</w:t>
            </w:r>
          </w:p>
        </w:tc>
        <w:tc>
          <w:tcPr>
            <w:tcW w:w="938" w:type="dxa"/>
            <w:vAlign w:val="center"/>
          </w:tcPr>
          <w:p w14:paraId="051DCE58" w14:textId="331EE212" w:rsidR="00F81657" w:rsidRPr="00E601CA" w:rsidRDefault="00E30E9F" w:rsidP="003D7B82">
            <w:pPr>
              <w:jc w:val="center"/>
            </w:pPr>
            <w:r>
              <w:t>0,3</w:t>
            </w:r>
          </w:p>
        </w:tc>
        <w:tc>
          <w:tcPr>
            <w:tcW w:w="938" w:type="dxa"/>
            <w:vAlign w:val="center"/>
          </w:tcPr>
          <w:p w14:paraId="6381C116" w14:textId="42D3AD6C" w:rsidR="00F81657" w:rsidRPr="00E601CA" w:rsidRDefault="00E30E9F" w:rsidP="003D7B82">
            <w:pPr>
              <w:jc w:val="center"/>
            </w:pPr>
            <w:r>
              <w:t>0,15</w:t>
            </w:r>
          </w:p>
        </w:tc>
      </w:tr>
    </w:tbl>
    <w:p w14:paraId="42B4823B" w14:textId="77777777" w:rsidR="00F81657" w:rsidRPr="00E601CA" w:rsidRDefault="00F81657" w:rsidP="00F81657"/>
    <w:p w14:paraId="580B6458" w14:textId="77777777" w:rsidR="002523E6" w:rsidRPr="00E601CA" w:rsidRDefault="002523E6" w:rsidP="002523E6">
      <w:pPr>
        <w:keepNext/>
      </w:pPr>
      <w:r>
        <w:t xml:space="preserve">Der Koeffizient </w:t>
      </w:r>
      <w:r>
        <w:rPr>
          <w:b/>
        </w:rPr>
        <w:t>Mccombles</w:t>
      </w:r>
      <w:r>
        <w:t xml:space="preserve"> zur Modulierung von Cep,nr_max, Cep_max und Ic</w:t>
      </w:r>
      <w:r>
        <w:rPr>
          <w:vertAlign w:val="subscript"/>
        </w:rPr>
        <w:t>Energie</w:t>
      </w:r>
      <w:r>
        <w:t>_max je nach Vorhandensein von ausgebauten Dachgeschossen in dem Gebäude oder Gebäudeteil wird nach folgender Formel berechnet: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890"/>
      </w:tblGrid>
      <w:tr w:rsidR="00222A90" w14:paraId="06CD7A2D" w14:textId="77777777" w:rsidTr="00A83508">
        <w:trPr>
          <w:jc w:val="center"/>
        </w:trPr>
        <w:tc>
          <w:tcPr>
            <w:tcW w:w="1530" w:type="dxa"/>
            <w:vMerge w:val="restart"/>
            <w:vAlign w:val="center"/>
          </w:tcPr>
          <w:p w14:paraId="259335C7" w14:textId="77777777" w:rsidR="00222A90" w:rsidRPr="00A234E1" w:rsidRDefault="00222A90" w:rsidP="00A83508">
            <w:pPr>
              <w:jc w:val="center"/>
              <w:rPr>
                <w:rFonts w:ascii="Cambria Math" w:hAnsi="Cambria Math" w:hint="eastAsia"/>
                <w:i/>
              </w:rPr>
            </w:pPr>
            <w:r>
              <w:rPr>
                <w:rFonts w:ascii="Cambria Math" w:hAnsi="Cambria Math"/>
                <w:i/>
              </w:rPr>
              <w:t>Mccombles =</w:t>
            </w:r>
          </w:p>
        </w:tc>
        <w:tc>
          <w:tcPr>
            <w:tcW w:w="1890" w:type="dxa"/>
            <w:tcBorders>
              <w:bottom w:val="single" w:sz="4" w:space="0" w:color="auto"/>
            </w:tcBorders>
            <w:vAlign w:val="center"/>
          </w:tcPr>
          <w:p w14:paraId="1B82DFB9" w14:textId="77777777" w:rsidR="00222A90" w:rsidRPr="00A234E1" w:rsidRDefault="00222A90" w:rsidP="00A83508">
            <w:pPr>
              <w:jc w:val="center"/>
              <w:rPr>
                <w:rFonts w:ascii="Cambria Math" w:hAnsi="Cambria Math" w:hint="eastAsia"/>
                <w:i/>
              </w:rPr>
            </w:pPr>
            <w:r>
              <w:rPr>
                <w:rFonts w:ascii="Cambria Math" w:hAnsi="Cambria Math"/>
                <w:i/>
              </w:rPr>
              <w:t>(0,4 × Scombles)</w:t>
            </w:r>
          </w:p>
        </w:tc>
      </w:tr>
      <w:tr w:rsidR="00222A90" w14:paraId="0669FE69" w14:textId="77777777" w:rsidTr="00A83508">
        <w:trPr>
          <w:jc w:val="center"/>
        </w:trPr>
        <w:tc>
          <w:tcPr>
            <w:tcW w:w="1530" w:type="dxa"/>
            <w:vMerge/>
            <w:vAlign w:val="center"/>
          </w:tcPr>
          <w:p w14:paraId="13D4CC25" w14:textId="77777777" w:rsidR="00222A90" w:rsidRPr="00A234E1" w:rsidRDefault="00222A90" w:rsidP="00A83508">
            <w:pPr>
              <w:jc w:val="center"/>
              <w:rPr>
                <w:rFonts w:ascii="Cambria Math" w:hAnsi="Cambria Math" w:hint="eastAsia"/>
                <w:i/>
              </w:rPr>
            </w:pPr>
          </w:p>
        </w:tc>
        <w:tc>
          <w:tcPr>
            <w:tcW w:w="1890" w:type="dxa"/>
            <w:tcBorders>
              <w:top w:val="single" w:sz="4" w:space="0" w:color="auto"/>
            </w:tcBorders>
            <w:vAlign w:val="center"/>
          </w:tcPr>
          <w:p w14:paraId="65A858F8" w14:textId="77777777" w:rsidR="00222A90" w:rsidRPr="00A234E1" w:rsidRDefault="00222A90" w:rsidP="00A83508">
            <w:pPr>
              <w:jc w:val="center"/>
              <w:rPr>
                <w:rFonts w:ascii="Cambria Math" w:hAnsi="Cambria Math" w:hint="eastAsia"/>
                <w:i/>
              </w:rPr>
            </w:pPr>
            <w:r>
              <w:rPr>
                <w:rFonts w:ascii="Cambria Math" w:hAnsi="Cambria Math"/>
                <w:i/>
              </w:rPr>
              <w:t>Sref</w:t>
            </w:r>
          </w:p>
        </w:tc>
      </w:tr>
    </w:tbl>
    <w:p w14:paraId="2B51AD3B" w14:textId="77777777" w:rsidR="00222A90" w:rsidRPr="00E601CA" w:rsidRDefault="00222A90" w:rsidP="00222A90"/>
    <w:p w14:paraId="77A29586" w14:textId="77777777" w:rsidR="002523E6" w:rsidRPr="00E601CA" w:rsidRDefault="002523E6" w:rsidP="004E68E1">
      <w:pPr>
        <w:rPr>
          <w:rFonts w:eastAsiaTheme="minorEastAsia"/>
        </w:rPr>
      </w:pPr>
      <w:r>
        <w:t>Wobei Scombles die Bodenfläche von ausgebauten Dachgeschossen mit einer Deckenhöhe von weniger als 1,8 m angibt.</w:t>
      </w:r>
    </w:p>
    <w:p w14:paraId="21F4DF83" w14:textId="77F679CA" w:rsidR="00F81657" w:rsidRPr="00E601CA" w:rsidRDefault="00F81657" w:rsidP="00F81657">
      <w:pPr>
        <w:keepNext/>
      </w:pPr>
      <w:r>
        <w:t xml:space="preserve">Der Koeffizient </w:t>
      </w:r>
      <w:r>
        <w:rPr>
          <w:b/>
        </w:rPr>
        <w:t>Mcsurf</w:t>
      </w:r>
      <w:r>
        <w:t xml:space="preserve"> zur Modulierung von Cep,nr_max, Cep_max und Ic</w:t>
      </w:r>
      <w:r>
        <w:rPr>
          <w:vertAlign w:val="subscript"/>
        </w:rPr>
        <w:t>Energie</w:t>
      </w:r>
      <w:r>
        <w:t>_max entsprechend der durchschnittlichen Fläche der Wohnungen in dem Gebäude oder Gebäudeteil nimmt folgende Werte an, wobei N</w:t>
      </w:r>
      <w:r>
        <w:rPr>
          <w:vertAlign w:val="subscript"/>
        </w:rPr>
        <w:t>L</w:t>
      </w:r>
      <w:r>
        <w:t xml:space="preserve"> die Anzahl der Wohnungen in dem Gebäude oder Gebäudeteil angibt:</w:t>
      </w:r>
    </w:p>
    <w:tbl>
      <w:tblPr>
        <w:tblStyle w:val="TableGrid"/>
        <w:tblW w:w="3441" w:type="pct"/>
        <w:jc w:val="center"/>
        <w:tblLook w:val="04A0" w:firstRow="1" w:lastRow="0" w:firstColumn="1" w:lastColumn="0" w:noHBand="0" w:noVBand="1"/>
      </w:tblPr>
      <w:tblGrid>
        <w:gridCol w:w="3410"/>
        <w:gridCol w:w="2826"/>
      </w:tblGrid>
      <w:tr w:rsidR="00F81657" w:rsidRPr="00E601CA" w14:paraId="04A95423" w14:textId="77777777" w:rsidTr="00FC0B23">
        <w:trPr>
          <w:jc w:val="center"/>
        </w:trPr>
        <w:tc>
          <w:tcPr>
            <w:tcW w:w="2734" w:type="pct"/>
            <w:shd w:val="clear" w:color="auto" w:fill="A6A6A6" w:themeFill="background1" w:themeFillShade="A6"/>
          </w:tcPr>
          <w:p w14:paraId="4A2F6268" w14:textId="77777777" w:rsidR="00F81657" w:rsidRPr="00E601CA" w:rsidRDefault="00F81657" w:rsidP="00FC0B23">
            <w:pPr>
              <w:keepNext/>
              <w:jc w:val="center"/>
            </w:pPr>
            <w:r>
              <w:t>Durchschnittliche Fläche der Wohnungen des Gebäudes</w:t>
            </w:r>
          </w:p>
        </w:tc>
        <w:tc>
          <w:tcPr>
            <w:tcW w:w="2266" w:type="pct"/>
            <w:shd w:val="clear" w:color="auto" w:fill="A6A6A6" w:themeFill="background1" w:themeFillShade="A6"/>
          </w:tcPr>
          <w:p w14:paraId="16DF0401" w14:textId="2F3405D0" w:rsidR="00F81657" w:rsidRPr="00E601CA" w:rsidRDefault="00F81657" w:rsidP="00F81657">
            <w:pPr>
              <w:keepNext/>
              <w:jc w:val="center"/>
            </w:pPr>
            <w:r>
              <w:t>Mcsurf</w:t>
            </w:r>
          </w:p>
        </w:tc>
      </w:tr>
      <w:tr w:rsidR="00A02594" w:rsidRPr="00E601CA" w14:paraId="038B09E9" w14:textId="77777777" w:rsidTr="00FC0B23">
        <w:trPr>
          <w:jc w:val="center"/>
        </w:trPr>
        <w:tc>
          <w:tcPr>
            <w:tcW w:w="2734" w:type="pct"/>
            <w:shd w:val="clear" w:color="auto" w:fill="F2F2F2" w:themeFill="background1" w:themeFillShade="F2"/>
          </w:tcPr>
          <w:p w14:paraId="6F0D77E9" w14:textId="509F149B" w:rsidR="00A02594" w:rsidRPr="00E601CA" w:rsidRDefault="001C4870" w:rsidP="005903B6">
            <w:pPr>
              <w:jc w:val="center"/>
            </w:pPr>
            <w:r>
              <w:rPr>
                <w:rFonts w:ascii="Cambria Math" w:hAnsi="Cambria Math"/>
                <w:i/>
              </w:rPr>
              <w:t>Smoy</w:t>
            </w:r>
            <w:r>
              <w:rPr>
                <w:rFonts w:ascii="Cambria Math" w:hAnsi="Cambria Math"/>
                <w:i/>
                <w:vertAlign w:val="subscript"/>
              </w:rPr>
              <w:t>lgt</w:t>
            </w:r>
            <w:r>
              <w:rPr>
                <w:rFonts w:ascii="Cambria Math" w:hAnsi="Cambria Math"/>
                <w:i/>
              </w:rPr>
              <w:t xml:space="preserve"> ≤ 40 m²</w:t>
            </w:r>
          </w:p>
        </w:tc>
        <w:tc>
          <w:tcPr>
            <w:tcW w:w="2266" w:type="pct"/>
          </w:tcPr>
          <w:p w14:paraId="5460DA8C" w14:textId="77777777" w:rsidR="005903B6" w:rsidRDefault="005903B6" w:rsidP="005903B6">
            <w:pPr>
              <w:jc w:val="center"/>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tblGrid>
            <w:tr w:rsidR="005903B6" w14:paraId="66A6E781" w14:textId="77777777" w:rsidTr="00A83508">
              <w:trPr>
                <w:jc w:val="center"/>
              </w:trPr>
              <w:tc>
                <w:tcPr>
                  <w:tcW w:w="2238" w:type="dxa"/>
                  <w:tcBorders>
                    <w:bottom w:val="single" w:sz="4" w:space="0" w:color="auto"/>
                  </w:tcBorders>
                </w:tcPr>
                <w:p w14:paraId="22AD1FBA" w14:textId="3A9112C2" w:rsidR="005903B6" w:rsidRPr="00C73940" w:rsidRDefault="005903B6" w:rsidP="005903B6">
                  <w:pPr>
                    <w:jc w:val="center"/>
                    <w:rPr>
                      <w:rFonts w:ascii="Cambria Math" w:hAnsi="Cambria Math" w:hint="eastAsia"/>
                      <w:i/>
                    </w:rPr>
                  </w:pPr>
                  <w:r>
                    <w:rPr>
                      <w:rFonts w:ascii="Cambria Math" w:hAnsi="Cambria Math"/>
                    </w:rPr>
                    <w:t>21 - 0,45 *</w:t>
                  </w:r>
                  <w:r>
                    <w:rPr>
                      <w:rFonts w:ascii="Cambria Math" w:hAnsi="Cambria Math"/>
                      <w:i/>
                    </w:rPr>
                    <w:t xml:space="preserve"> Smoy</w:t>
                  </w:r>
                  <w:r>
                    <w:rPr>
                      <w:rFonts w:ascii="Cambria Math" w:hAnsi="Cambria Math"/>
                      <w:i/>
                      <w:vertAlign w:val="subscript"/>
                    </w:rPr>
                    <w:t>lgt</w:t>
                  </w:r>
                </w:p>
              </w:tc>
            </w:tr>
            <w:tr w:rsidR="005903B6" w14:paraId="67E3D8D1" w14:textId="77777777" w:rsidTr="00A83508">
              <w:trPr>
                <w:jc w:val="center"/>
              </w:trPr>
              <w:tc>
                <w:tcPr>
                  <w:tcW w:w="2238" w:type="dxa"/>
                  <w:tcBorders>
                    <w:top w:val="single" w:sz="4" w:space="0" w:color="auto"/>
                  </w:tcBorders>
                </w:tcPr>
                <w:p w14:paraId="2C0C1DE6" w14:textId="77777777" w:rsidR="005903B6" w:rsidRPr="00C73940" w:rsidRDefault="005903B6" w:rsidP="005903B6">
                  <w:pPr>
                    <w:jc w:val="center"/>
                    <w:rPr>
                      <w:rFonts w:ascii="Cambria Math" w:hAnsi="Cambria Math" w:hint="eastAsia"/>
                      <w:i/>
                    </w:rPr>
                  </w:pPr>
                  <w:r>
                    <w:rPr>
                      <w:rFonts w:ascii="Cambria Math" w:hAnsi="Cambria Math"/>
                      <w:i/>
                    </w:rPr>
                    <w:t>Cep,nr_maxmoyen</w:t>
                  </w:r>
                </w:p>
              </w:tc>
            </w:tr>
          </w:tbl>
          <w:p w14:paraId="2B01C915" w14:textId="77777777" w:rsidR="005903B6" w:rsidRPr="00C73940" w:rsidRDefault="005903B6" w:rsidP="005903B6">
            <w:pPr>
              <w:jc w:val="center"/>
              <w:rPr>
                <w:iCs/>
              </w:rPr>
            </w:pPr>
          </w:p>
          <w:p w14:paraId="72BE247F" w14:textId="6A896382" w:rsidR="00A02594" w:rsidRPr="00E601CA" w:rsidRDefault="00A02594" w:rsidP="005903B6">
            <w:pPr>
              <w:jc w:val="center"/>
            </w:pPr>
          </w:p>
        </w:tc>
      </w:tr>
      <w:tr w:rsidR="00A02594" w:rsidRPr="00E601CA" w14:paraId="48AF194F" w14:textId="77777777" w:rsidTr="00FC0B23">
        <w:trPr>
          <w:jc w:val="center"/>
        </w:trPr>
        <w:tc>
          <w:tcPr>
            <w:tcW w:w="2734" w:type="pct"/>
            <w:shd w:val="clear" w:color="auto" w:fill="F2F2F2" w:themeFill="background1" w:themeFillShade="F2"/>
          </w:tcPr>
          <w:p w14:paraId="0807E72C" w14:textId="03F3C38B" w:rsidR="00A02594" w:rsidRPr="00E601CA" w:rsidRDefault="001C4870" w:rsidP="005903B6">
            <w:pPr>
              <w:jc w:val="center"/>
            </w:pPr>
            <w:r>
              <w:rPr>
                <w:rFonts w:ascii="Cambria Math" w:hAnsi="Cambria Math"/>
                <w:i/>
              </w:rPr>
              <w:t>40 m² &lt; Smoy</w:t>
            </w:r>
            <w:r>
              <w:rPr>
                <w:rFonts w:ascii="Cambria Math" w:hAnsi="Cambria Math"/>
                <w:i/>
                <w:vertAlign w:val="subscript"/>
              </w:rPr>
              <w:t>lgt</w:t>
            </w:r>
            <w:r>
              <w:rPr>
                <w:rFonts w:ascii="Cambria Math" w:hAnsi="Cambria Math"/>
                <w:i/>
              </w:rPr>
              <w:t xml:space="preserve"> ≤ 80 m²</w:t>
            </w:r>
          </w:p>
        </w:tc>
        <w:tc>
          <w:tcPr>
            <w:tcW w:w="2266" w:type="pct"/>
          </w:tcPr>
          <w:p w14:paraId="0BDE354D" w14:textId="77777777" w:rsidR="005903B6" w:rsidRDefault="005903B6" w:rsidP="005903B6">
            <w:pPr>
              <w:jc w:val="center"/>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tblGrid>
            <w:tr w:rsidR="005903B6" w14:paraId="75C970FD" w14:textId="77777777" w:rsidTr="00A83508">
              <w:trPr>
                <w:jc w:val="center"/>
              </w:trPr>
              <w:tc>
                <w:tcPr>
                  <w:tcW w:w="2238" w:type="dxa"/>
                  <w:tcBorders>
                    <w:bottom w:val="single" w:sz="4" w:space="0" w:color="auto"/>
                  </w:tcBorders>
                </w:tcPr>
                <w:p w14:paraId="66AF7FDF" w14:textId="46FA60E8" w:rsidR="005903B6" w:rsidRPr="00C73940" w:rsidRDefault="005903B6" w:rsidP="005903B6">
                  <w:pPr>
                    <w:jc w:val="center"/>
                    <w:rPr>
                      <w:rFonts w:ascii="Cambria Math" w:hAnsi="Cambria Math" w:hint="eastAsia"/>
                      <w:i/>
                    </w:rPr>
                  </w:pPr>
                  <w:r>
                    <w:rPr>
                      <w:rFonts w:ascii="Cambria Math" w:hAnsi="Cambria Math"/>
                    </w:rPr>
                    <w:t>9 - 0,15 *</w:t>
                  </w:r>
                  <w:r>
                    <w:rPr>
                      <w:rFonts w:ascii="Cambria Math" w:hAnsi="Cambria Math"/>
                      <w:i/>
                    </w:rPr>
                    <w:t xml:space="preserve"> Smoy</w:t>
                  </w:r>
                  <w:r>
                    <w:rPr>
                      <w:rFonts w:ascii="Cambria Math" w:hAnsi="Cambria Math"/>
                      <w:i/>
                      <w:vertAlign w:val="subscript"/>
                    </w:rPr>
                    <w:t>lgt</w:t>
                  </w:r>
                </w:p>
              </w:tc>
            </w:tr>
            <w:tr w:rsidR="005903B6" w14:paraId="4DD77FB3" w14:textId="77777777" w:rsidTr="00A83508">
              <w:trPr>
                <w:jc w:val="center"/>
              </w:trPr>
              <w:tc>
                <w:tcPr>
                  <w:tcW w:w="2238" w:type="dxa"/>
                  <w:tcBorders>
                    <w:top w:val="single" w:sz="4" w:space="0" w:color="auto"/>
                  </w:tcBorders>
                </w:tcPr>
                <w:p w14:paraId="4C009817" w14:textId="77777777" w:rsidR="005903B6" w:rsidRPr="00C73940" w:rsidRDefault="005903B6" w:rsidP="005903B6">
                  <w:pPr>
                    <w:jc w:val="center"/>
                    <w:rPr>
                      <w:rFonts w:ascii="Cambria Math" w:hAnsi="Cambria Math" w:hint="eastAsia"/>
                      <w:i/>
                    </w:rPr>
                  </w:pPr>
                  <w:r>
                    <w:rPr>
                      <w:rFonts w:ascii="Cambria Math" w:hAnsi="Cambria Math"/>
                      <w:i/>
                    </w:rPr>
                    <w:t>Cep,nr_maxmoyen</w:t>
                  </w:r>
                </w:p>
              </w:tc>
            </w:tr>
          </w:tbl>
          <w:p w14:paraId="5F4ACB98" w14:textId="77777777" w:rsidR="005903B6" w:rsidRPr="00C73940" w:rsidRDefault="005903B6" w:rsidP="005903B6">
            <w:pPr>
              <w:jc w:val="center"/>
              <w:rPr>
                <w:iCs/>
              </w:rPr>
            </w:pPr>
          </w:p>
          <w:p w14:paraId="323C26F3" w14:textId="0E6487DD" w:rsidR="00A02594" w:rsidRPr="00E601CA" w:rsidRDefault="00A02594" w:rsidP="005903B6">
            <w:pPr>
              <w:jc w:val="center"/>
            </w:pPr>
          </w:p>
        </w:tc>
      </w:tr>
      <w:tr w:rsidR="00A02594" w:rsidRPr="00E601CA" w14:paraId="1B1819A8" w14:textId="77777777" w:rsidTr="00FC0B23">
        <w:trPr>
          <w:jc w:val="center"/>
        </w:trPr>
        <w:tc>
          <w:tcPr>
            <w:tcW w:w="2734" w:type="pct"/>
            <w:shd w:val="clear" w:color="auto" w:fill="F2F2F2" w:themeFill="background1" w:themeFillShade="F2"/>
          </w:tcPr>
          <w:p w14:paraId="006ACE29" w14:textId="1D981FD0" w:rsidR="00A02594" w:rsidRPr="00E601CA" w:rsidRDefault="001C4870" w:rsidP="005903B6">
            <w:pPr>
              <w:jc w:val="center"/>
            </w:pPr>
            <w:r>
              <w:rPr>
                <w:rFonts w:ascii="Cambria Math" w:hAnsi="Cambria Math"/>
                <w:i/>
              </w:rPr>
              <w:t>80 m² &lt; Smoy</w:t>
            </w:r>
            <w:r>
              <w:rPr>
                <w:rFonts w:ascii="Cambria Math" w:hAnsi="Cambria Math"/>
                <w:i/>
                <w:vertAlign w:val="subscript"/>
              </w:rPr>
              <w:t>lgt</w:t>
            </w:r>
            <w:r>
              <w:rPr>
                <w:rFonts w:ascii="Cambria Math" w:hAnsi="Cambria Math"/>
                <w:i/>
              </w:rPr>
              <w:t xml:space="preserve"> ≤ 120 m²</w:t>
            </w:r>
          </w:p>
        </w:tc>
        <w:tc>
          <w:tcPr>
            <w:tcW w:w="2266" w:type="pct"/>
          </w:tcPr>
          <w:p w14:paraId="2F8FE6F4" w14:textId="77777777" w:rsidR="005903B6" w:rsidRDefault="005903B6" w:rsidP="005903B6">
            <w:pPr>
              <w:jc w:val="center"/>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tblGrid>
            <w:tr w:rsidR="005903B6" w14:paraId="7F4AE75B" w14:textId="77777777" w:rsidTr="00A83508">
              <w:trPr>
                <w:jc w:val="center"/>
              </w:trPr>
              <w:tc>
                <w:tcPr>
                  <w:tcW w:w="2238" w:type="dxa"/>
                  <w:tcBorders>
                    <w:bottom w:val="single" w:sz="4" w:space="0" w:color="auto"/>
                  </w:tcBorders>
                </w:tcPr>
                <w:p w14:paraId="3E9BEFCA" w14:textId="71938811" w:rsidR="005903B6" w:rsidRPr="00C73940" w:rsidRDefault="005903B6" w:rsidP="005903B6">
                  <w:pPr>
                    <w:jc w:val="center"/>
                    <w:rPr>
                      <w:rFonts w:ascii="Cambria Math" w:hAnsi="Cambria Math" w:hint="eastAsia"/>
                      <w:i/>
                    </w:rPr>
                  </w:pPr>
                  <w:r>
                    <w:rPr>
                      <w:rFonts w:ascii="Cambria Math" w:hAnsi="Cambria Math"/>
                    </w:rPr>
                    <w:t>3,4 - 0,08 *</w:t>
                  </w:r>
                  <w:r>
                    <w:rPr>
                      <w:rFonts w:ascii="Cambria Math" w:hAnsi="Cambria Math"/>
                      <w:i/>
                    </w:rPr>
                    <w:t xml:space="preserve"> Smoy</w:t>
                  </w:r>
                  <w:r>
                    <w:rPr>
                      <w:rFonts w:ascii="Cambria Math" w:hAnsi="Cambria Math"/>
                      <w:i/>
                      <w:vertAlign w:val="subscript"/>
                    </w:rPr>
                    <w:t>lgt</w:t>
                  </w:r>
                </w:p>
              </w:tc>
            </w:tr>
            <w:tr w:rsidR="005903B6" w14:paraId="7C25D68E" w14:textId="77777777" w:rsidTr="00A83508">
              <w:trPr>
                <w:jc w:val="center"/>
              </w:trPr>
              <w:tc>
                <w:tcPr>
                  <w:tcW w:w="2238" w:type="dxa"/>
                  <w:tcBorders>
                    <w:top w:val="single" w:sz="4" w:space="0" w:color="auto"/>
                  </w:tcBorders>
                </w:tcPr>
                <w:p w14:paraId="779A7921" w14:textId="77777777" w:rsidR="005903B6" w:rsidRPr="00C73940" w:rsidRDefault="005903B6" w:rsidP="005903B6">
                  <w:pPr>
                    <w:jc w:val="center"/>
                    <w:rPr>
                      <w:rFonts w:ascii="Cambria Math" w:hAnsi="Cambria Math" w:hint="eastAsia"/>
                      <w:i/>
                    </w:rPr>
                  </w:pPr>
                  <w:r>
                    <w:rPr>
                      <w:rFonts w:ascii="Cambria Math" w:hAnsi="Cambria Math"/>
                      <w:i/>
                    </w:rPr>
                    <w:t>Cep,nr_maxmoyen</w:t>
                  </w:r>
                </w:p>
              </w:tc>
            </w:tr>
          </w:tbl>
          <w:p w14:paraId="52A4F142" w14:textId="77777777" w:rsidR="005903B6" w:rsidRPr="00C73940" w:rsidRDefault="005903B6" w:rsidP="005903B6">
            <w:pPr>
              <w:jc w:val="center"/>
              <w:rPr>
                <w:iCs/>
              </w:rPr>
            </w:pPr>
          </w:p>
          <w:p w14:paraId="1C73A1EF" w14:textId="43D7FAAC" w:rsidR="00A02594" w:rsidRPr="00E601CA" w:rsidRDefault="00A02594" w:rsidP="005903B6">
            <w:pPr>
              <w:jc w:val="center"/>
            </w:pPr>
          </w:p>
        </w:tc>
      </w:tr>
      <w:tr w:rsidR="00A02594" w:rsidRPr="00E601CA" w14:paraId="1C3ABA39" w14:textId="77777777" w:rsidTr="00FC0B23">
        <w:trPr>
          <w:jc w:val="center"/>
        </w:trPr>
        <w:tc>
          <w:tcPr>
            <w:tcW w:w="2734" w:type="pct"/>
            <w:shd w:val="clear" w:color="auto" w:fill="F2F2F2" w:themeFill="background1" w:themeFillShade="F2"/>
          </w:tcPr>
          <w:p w14:paraId="069CFA1E" w14:textId="63E0255A" w:rsidR="00A02594" w:rsidRPr="00E601CA" w:rsidRDefault="001C4870" w:rsidP="005903B6">
            <w:pPr>
              <w:jc w:val="center"/>
              <w:rPr>
                <w:rFonts w:ascii="Calibri" w:eastAsia="Calibri" w:hAnsi="Calibri" w:cs="Times New Roman"/>
              </w:rPr>
            </w:pPr>
            <w:r>
              <w:rPr>
                <w:rFonts w:ascii="Cambria Math" w:hAnsi="Cambria Math"/>
                <w:i/>
              </w:rPr>
              <w:lastRenderedPageBreak/>
              <w:t>Smoy</w:t>
            </w:r>
            <w:r>
              <w:rPr>
                <w:rFonts w:ascii="Cambria Math" w:hAnsi="Cambria Math"/>
                <w:i/>
                <w:vertAlign w:val="subscript"/>
              </w:rPr>
              <w:t>lgt</w:t>
            </w:r>
            <w:r>
              <w:rPr>
                <w:rFonts w:ascii="Cambria Math" w:hAnsi="Cambria Math"/>
                <w:i/>
              </w:rPr>
              <w:t xml:space="preserve"> &gt; 120 m²</w:t>
            </w:r>
          </w:p>
        </w:tc>
        <w:tc>
          <w:tcPr>
            <w:tcW w:w="2266" w:type="pct"/>
          </w:tcPr>
          <w:p w14:paraId="042C1362" w14:textId="77777777" w:rsidR="005903B6" w:rsidRDefault="005903B6" w:rsidP="005903B6">
            <w:pPr>
              <w:jc w:val="center"/>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tblGrid>
            <w:tr w:rsidR="005903B6" w14:paraId="0284B0DF" w14:textId="77777777" w:rsidTr="00A83508">
              <w:trPr>
                <w:jc w:val="center"/>
              </w:trPr>
              <w:tc>
                <w:tcPr>
                  <w:tcW w:w="2238" w:type="dxa"/>
                  <w:tcBorders>
                    <w:bottom w:val="single" w:sz="4" w:space="0" w:color="auto"/>
                  </w:tcBorders>
                </w:tcPr>
                <w:p w14:paraId="29F04B47" w14:textId="7B7AA88E" w:rsidR="005903B6" w:rsidRPr="00C73940" w:rsidRDefault="005903B6" w:rsidP="005903B6">
                  <w:pPr>
                    <w:jc w:val="center"/>
                    <w:rPr>
                      <w:rFonts w:ascii="Cambria Math" w:hAnsi="Cambria Math" w:hint="eastAsia"/>
                      <w:i/>
                    </w:rPr>
                  </w:pPr>
                  <w:r>
                    <w:rPr>
                      <w:rFonts w:ascii="Cambria Math" w:hAnsi="Cambria Math"/>
                    </w:rPr>
                    <w:t>-6,2</w:t>
                  </w:r>
                </w:p>
              </w:tc>
            </w:tr>
            <w:tr w:rsidR="005903B6" w14:paraId="14FF513E" w14:textId="77777777" w:rsidTr="00A83508">
              <w:trPr>
                <w:jc w:val="center"/>
              </w:trPr>
              <w:tc>
                <w:tcPr>
                  <w:tcW w:w="2238" w:type="dxa"/>
                  <w:tcBorders>
                    <w:top w:val="single" w:sz="4" w:space="0" w:color="auto"/>
                  </w:tcBorders>
                </w:tcPr>
                <w:p w14:paraId="378218D4" w14:textId="77777777" w:rsidR="005903B6" w:rsidRPr="00C73940" w:rsidRDefault="005903B6" w:rsidP="005903B6">
                  <w:pPr>
                    <w:jc w:val="center"/>
                    <w:rPr>
                      <w:rFonts w:ascii="Cambria Math" w:hAnsi="Cambria Math" w:hint="eastAsia"/>
                      <w:i/>
                    </w:rPr>
                  </w:pPr>
                  <w:r>
                    <w:rPr>
                      <w:rFonts w:ascii="Cambria Math" w:hAnsi="Cambria Math"/>
                      <w:i/>
                    </w:rPr>
                    <w:t>Cep,nr_maxmoyen</w:t>
                  </w:r>
                </w:p>
              </w:tc>
            </w:tr>
          </w:tbl>
          <w:p w14:paraId="21DC61EF" w14:textId="77777777" w:rsidR="005903B6" w:rsidRPr="00C73940" w:rsidRDefault="005903B6" w:rsidP="005903B6">
            <w:pPr>
              <w:jc w:val="center"/>
              <w:rPr>
                <w:iCs/>
              </w:rPr>
            </w:pPr>
          </w:p>
          <w:p w14:paraId="4F3415F2" w14:textId="2BA138B6" w:rsidR="00A02594" w:rsidRPr="00E601CA" w:rsidRDefault="00A02594" w:rsidP="005903B6">
            <w:pPr>
              <w:jc w:val="center"/>
            </w:pPr>
          </w:p>
        </w:tc>
      </w:tr>
    </w:tbl>
    <w:p w14:paraId="1406DBA6" w14:textId="77777777" w:rsidR="00F81657" w:rsidRPr="00E601CA" w:rsidRDefault="00F81657" w:rsidP="00F81657"/>
    <w:p w14:paraId="662538F5" w14:textId="75F6CA02" w:rsidR="00F81657" w:rsidRPr="00E601CA" w:rsidRDefault="00F81657" w:rsidP="00F74657">
      <w:pPr>
        <w:keepNext/>
      </w:pPr>
      <w:r>
        <w:t xml:space="preserve">Der Koeffizient </w:t>
      </w:r>
      <w:r>
        <w:rPr>
          <w:b/>
        </w:rPr>
        <w:t>M</w:t>
      </w:r>
      <w:r>
        <w:rPr>
          <w:b/>
          <w:bCs/>
        </w:rPr>
        <w:t>ccat</w:t>
      </w:r>
      <w:r>
        <w:t xml:space="preserve"> zur Modulierung von Cep,nr_max, Cep_max und Ic</w:t>
      </w:r>
      <w:r>
        <w:rPr>
          <w:vertAlign w:val="subscript"/>
        </w:rPr>
        <w:t>Energie</w:t>
      </w:r>
      <w:r>
        <w:t>_max je nach der Kategorie der Außenbelastung des Gebäudes oder Gebäudeteils nimmt folgende Werte an:</w:t>
      </w:r>
    </w:p>
    <w:tbl>
      <w:tblPr>
        <w:tblStyle w:val="TableGrid"/>
        <w:tblW w:w="10220" w:type="dxa"/>
        <w:tblLook w:val="0600" w:firstRow="0" w:lastRow="0" w:firstColumn="0" w:lastColumn="0" w:noHBand="1" w:noVBand="1"/>
      </w:tblPr>
      <w:tblGrid>
        <w:gridCol w:w="2714"/>
        <w:gridCol w:w="939"/>
        <w:gridCol w:w="939"/>
        <w:gridCol w:w="938"/>
        <w:gridCol w:w="938"/>
        <w:gridCol w:w="938"/>
        <w:gridCol w:w="938"/>
        <w:gridCol w:w="938"/>
        <w:gridCol w:w="938"/>
      </w:tblGrid>
      <w:tr w:rsidR="00EE4D02" w:rsidRPr="00E601CA" w14:paraId="173E9A54" w14:textId="77777777" w:rsidTr="00074A18">
        <w:tc>
          <w:tcPr>
            <w:tcW w:w="2714" w:type="dxa"/>
            <w:tcBorders>
              <w:top w:val="single" w:sz="4" w:space="0" w:color="auto"/>
              <w:left w:val="single" w:sz="4" w:space="0" w:color="auto"/>
              <w:bottom w:val="single" w:sz="4" w:space="0" w:color="auto"/>
              <w:right w:val="single" w:sz="4" w:space="0" w:color="auto"/>
              <w:tl2br w:val="single" w:sz="4" w:space="0" w:color="auto"/>
            </w:tcBorders>
            <w:shd w:val="clear" w:color="auto" w:fill="A6A6A6" w:themeFill="background1" w:themeFillShade="A6"/>
            <w:hideMark/>
          </w:tcPr>
          <w:p w14:paraId="28682C69" w14:textId="77777777" w:rsidR="00EE4D02" w:rsidRPr="00E601CA" w:rsidRDefault="00EE4D02">
            <w:pPr>
              <w:keepNext/>
              <w:jc w:val="right"/>
            </w:pPr>
            <w:r>
              <w:t xml:space="preserve">Klimatische Zone </w:t>
            </w:r>
          </w:p>
          <w:p w14:paraId="25198ED7" w14:textId="0582F4FC" w:rsidR="00EE4D02" w:rsidRPr="00E601CA" w:rsidRDefault="00EE4D02" w:rsidP="00074A18">
            <w:pPr>
              <w:keepNext/>
            </w:pPr>
            <w:r>
              <w:t>Kategorie</w:t>
            </w:r>
            <w:r>
              <w:br/>
              <w:t>der Außenbelastung</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0898374" w14:textId="77777777" w:rsidR="00EE4D02" w:rsidRPr="00E601CA" w:rsidRDefault="00EE4D02">
            <w:pPr>
              <w:keepNext/>
              <w:jc w:val="center"/>
            </w:pPr>
            <w:r>
              <w:t>H1a</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684DF92" w14:textId="77777777" w:rsidR="00EE4D02" w:rsidRPr="00E601CA" w:rsidRDefault="00EE4D02">
            <w:pPr>
              <w:keepNext/>
              <w:jc w:val="center"/>
            </w:pPr>
            <w:r>
              <w:t>H1b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281A322" w14:textId="77777777" w:rsidR="00EE4D02" w:rsidRPr="00E601CA" w:rsidRDefault="00EE4D02">
            <w:pPr>
              <w:keepNext/>
              <w:jc w:val="center"/>
            </w:pPr>
            <w:r>
              <w:t>H1c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25C0094" w14:textId="77777777" w:rsidR="00EE4D02" w:rsidRPr="00E601CA" w:rsidRDefault="00EE4D02">
            <w:pPr>
              <w:keepNext/>
              <w:jc w:val="center"/>
            </w:pPr>
            <w:r>
              <w:t>H2a</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E8F1491" w14:textId="77777777" w:rsidR="00EE4D02" w:rsidRPr="00E601CA" w:rsidRDefault="00EE4D02">
            <w:pPr>
              <w:keepNext/>
              <w:jc w:val="center"/>
            </w:pPr>
            <w:r>
              <w:t>H2b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214F79C" w14:textId="77777777" w:rsidR="00EE4D02" w:rsidRPr="00E601CA" w:rsidRDefault="00EE4D02">
            <w:pPr>
              <w:keepNext/>
              <w:jc w:val="center"/>
            </w:pPr>
            <w:r>
              <w:t>H2c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96BFBF4" w14:textId="77777777" w:rsidR="00EE4D02" w:rsidRPr="00E601CA" w:rsidRDefault="00EE4D02">
            <w:pPr>
              <w:keepNext/>
              <w:jc w:val="center"/>
            </w:pPr>
            <w:r>
              <w:t>H2d</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EADA923" w14:textId="4A31BC94" w:rsidR="00EE4D02" w:rsidRPr="00E601CA" w:rsidRDefault="00097506">
            <w:pPr>
              <w:keepNext/>
              <w:jc w:val="center"/>
            </w:pPr>
            <w:r>
              <w:t>H3</w:t>
            </w:r>
          </w:p>
        </w:tc>
      </w:tr>
      <w:tr w:rsidR="00EE4D02" w:rsidRPr="00E601CA" w14:paraId="3DFDF665" w14:textId="77777777" w:rsidTr="00074A18">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B350AC" w14:textId="77777777" w:rsidR="00EE4D02" w:rsidRPr="00E601CA" w:rsidRDefault="00EE4D02" w:rsidP="00074A18">
            <w:pPr>
              <w:jc w:val="center"/>
            </w:pPr>
            <w:r>
              <w:t>Kategorie 1</w:t>
            </w:r>
          </w:p>
        </w:tc>
        <w:tc>
          <w:tcPr>
            <w:tcW w:w="939" w:type="dxa"/>
            <w:tcBorders>
              <w:top w:val="single" w:sz="4" w:space="0" w:color="auto"/>
              <w:left w:val="single" w:sz="4" w:space="0" w:color="auto"/>
              <w:bottom w:val="single" w:sz="4" w:space="0" w:color="auto"/>
              <w:right w:val="single" w:sz="4" w:space="0" w:color="auto"/>
            </w:tcBorders>
            <w:vAlign w:val="center"/>
            <w:hideMark/>
          </w:tcPr>
          <w:p w14:paraId="152AAD41" w14:textId="17B0A63D" w:rsidR="00EE4D02" w:rsidRPr="00E601CA" w:rsidRDefault="00E30E9F" w:rsidP="00074A18">
            <w:pPr>
              <w:jc w:val="center"/>
              <w:textAlignment w:val="bottom"/>
            </w:pPr>
            <w: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21455721" w14:textId="6EE64135" w:rsidR="00EE4D02" w:rsidRPr="00E601CA" w:rsidRDefault="00E30E9F" w:rsidP="00074A18">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C2C4F85" w14:textId="1260804C" w:rsidR="00EE4D02" w:rsidRPr="00E601CA" w:rsidRDefault="00E30E9F" w:rsidP="00074A18">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AF3ACE8" w14:textId="1B26A8C5" w:rsidR="00EE4D02" w:rsidRPr="00E601CA" w:rsidRDefault="00E30E9F" w:rsidP="00074A18">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13D2969" w14:textId="35255A25" w:rsidR="00EE4D02" w:rsidRPr="00E601CA" w:rsidRDefault="00E30E9F" w:rsidP="00074A18">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26A4E8E" w14:textId="75000957" w:rsidR="00EE4D02" w:rsidRPr="00E601CA" w:rsidRDefault="00E30E9F" w:rsidP="00074A18">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35453E9" w14:textId="1D734EE3" w:rsidR="00EE4D02" w:rsidRPr="00E601CA" w:rsidRDefault="00E30E9F" w:rsidP="00074A18">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523EB13" w14:textId="6BA60CBD" w:rsidR="00EE4D02" w:rsidRPr="00E601CA" w:rsidRDefault="00E30E9F" w:rsidP="00074A18">
            <w:pPr>
              <w:jc w:val="center"/>
              <w:textAlignment w:val="bottom"/>
            </w:pPr>
            <w:r>
              <w:t>0</w:t>
            </w:r>
          </w:p>
        </w:tc>
      </w:tr>
      <w:tr w:rsidR="00EE4D02" w:rsidRPr="00E601CA" w14:paraId="6B4A0486" w14:textId="77777777" w:rsidTr="00074A18">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E246E6" w14:textId="77777777" w:rsidR="00EE4D02" w:rsidRPr="00E601CA" w:rsidRDefault="00EE4D02" w:rsidP="00074A18">
            <w:pPr>
              <w:jc w:val="center"/>
            </w:pPr>
            <w:r>
              <w:t>Kategorie 2</w:t>
            </w:r>
          </w:p>
        </w:tc>
        <w:tc>
          <w:tcPr>
            <w:tcW w:w="939" w:type="dxa"/>
            <w:tcBorders>
              <w:top w:val="single" w:sz="4" w:space="0" w:color="auto"/>
              <w:left w:val="single" w:sz="4" w:space="0" w:color="auto"/>
              <w:bottom w:val="single" w:sz="4" w:space="0" w:color="auto"/>
              <w:right w:val="single" w:sz="4" w:space="0" w:color="auto"/>
            </w:tcBorders>
            <w:vAlign w:val="center"/>
            <w:hideMark/>
          </w:tcPr>
          <w:p w14:paraId="4DC6C6F6" w14:textId="5C43AA4A" w:rsidR="00EE4D02" w:rsidRPr="00E601CA" w:rsidRDefault="00E30E9F" w:rsidP="00074A18">
            <w:pPr>
              <w:jc w:val="center"/>
              <w:textAlignment w:val="bottom"/>
            </w:pPr>
            <w: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5DCBAA4D" w14:textId="2AE8CDFF" w:rsidR="00EE4D02" w:rsidRPr="00E601CA" w:rsidRDefault="00E30E9F" w:rsidP="00074A18">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512B21" w14:textId="403385CE" w:rsidR="00EE4D02" w:rsidRPr="00E601CA" w:rsidRDefault="00E30E9F" w:rsidP="00074A18">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F0850D" w14:textId="13A10555" w:rsidR="00EE4D02" w:rsidRPr="00E601CA" w:rsidRDefault="00E30E9F" w:rsidP="00074A18">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B2D2B6C" w14:textId="23564B06" w:rsidR="00EE4D02" w:rsidRPr="00E601CA" w:rsidRDefault="00E30E9F" w:rsidP="00074A18">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E7B710" w14:textId="4088E10C" w:rsidR="00EE4D02" w:rsidRPr="00E601CA" w:rsidRDefault="00E30E9F" w:rsidP="00074A18">
            <w:pPr>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A6698B6" w14:textId="5E2E6838" w:rsidR="00EE4D02" w:rsidRPr="00E601CA" w:rsidRDefault="00E30E9F" w:rsidP="00074A18">
            <w:pPr>
              <w:jc w:val="center"/>
              <w:textAlignment w:val="bottom"/>
            </w:pPr>
            <w:r>
              <w:t>0,05</w:t>
            </w:r>
          </w:p>
        </w:tc>
        <w:tc>
          <w:tcPr>
            <w:tcW w:w="938" w:type="dxa"/>
            <w:tcBorders>
              <w:top w:val="single" w:sz="4" w:space="0" w:color="auto"/>
              <w:left w:val="single" w:sz="4" w:space="0" w:color="auto"/>
              <w:bottom w:val="single" w:sz="4" w:space="0" w:color="auto"/>
              <w:right w:val="single" w:sz="4" w:space="0" w:color="auto"/>
            </w:tcBorders>
            <w:vAlign w:val="center"/>
            <w:hideMark/>
          </w:tcPr>
          <w:p w14:paraId="0CFD44EE" w14:textId="35610489" w:rsidR="00EE4D02" w:rsidRPr="00E601CA" w:rsidRDefault="00E30E9F" w:rsidP="00074A18">
            <w:pPr>
              <w:jc w:val="center"/>
              <w:textAlignment w:val="bottom"/>
            </w:pPr>
            <w:r>
              <w:t>0,05</w:t>
            </w:r>
          </w:p>
        </w:tc>
      </w:tr>
    </w:tbl>
    <w:p w14:paraId="3B9EA695" w14:textId="506981BD" w:rsidR="00224648" w:rsidRPr="00E601CA" w:rsidRDefault="00224648" w:rsidP="007B643E"/>
    <w:p w14:paraId="5A62D42C" w14:textId="4A76FF90" w:rsidR="00224648" w:rsidRPr="00E601CA" w:rsidRDefault="008203F4" w:rsidP="008203F4">
      <w:pPr>
        <w:pStyle w:val="Heading5"/>
        <w:keepNext/>
        <w:numPr>
          <w:ilvl w:val="0"/>
          <w:numId w:val="0"/>
        </w:numPr>
        <w:ind w:left="360" w:hanging="3"/>
      </w:pPr>
      <w:r>
        <w:rPr>
          <w:b w:val="0"/>
        </w:rPr>
        <w:t>TEIL IV:</w:t>
      </w:r>
      <w:r>
        <w:rPr>
          <w:b w:val="0"/>
        </w:rPr>
        <w:tab/>
      </w:r>
      <w:r>
        <w:t>Werte der Koeffizienten (Ic</w:t>
      </w:r>
      <w:r>
        <w:rPr>
          <w:vertAlign w:val="subscript"/>
        </w:rPr>
        <w:t>Komponenten</w:t>
      </w:r>
      <w:r>
        <w:t xml:space="preserve">_max) gemäß Artikel 14 </w:t>
      </w:r>
    </w:p>
    <w:p w14:paraId="37219D14" w14:textId="77777777" w:rsidR="00224648" w:rsidRPr="00E601CA" w:rsidRDefault="00224648" w:rsidP="00E8319A">
      <w:pPr>
        <w:pStyle w:val="Heading6"/>
        <w:numPr>
          <w:ilvl w:val="0"/>
          <w:numId w:val="25"/>
        </w:numPr>
      </w:pPr>
      <w:r>
        <w:t>Werte von Ic</w:t>
      </w:r>
      <w:r>
        <w:rPr>
          <w:vertAlign w:val="subscript"/>
        </w:rPr>
        <w:t>Komponenten</w:t>
      </w:r>
      <w:r>
        <w:t>_maxmoyen</w:t>
      </w:r>
    </w:p>
    <w:p w14:paraId="1F93CA6E" w14:textId="77777777" w:rsidR="00224648" w:rsidRPr="00E601CA" w:rsidRDefault="00224648" w:rsidP="00224648">
      <w:pPr>
        <w:keepNext/>
      </w:pPr>
      <w:r>
        <w:t>Der Koeffizient Ic</w:t>
      </w:r>
      <w:r>
        <w:rPr>
          <w:vertAlign w:val="subscript"/>
        </w:rPr>
        <w:t>Komponenten</w:t>
      </w:r>
      <w:r>
        <w:t>_maxmoyen nimmt je nach der Nutzung des Gebäudeteils und dem Einreichungsjahr des entsprechenden Baugenehmigungsantrags folgende Werte an:</w:t>
      </w:r>
    </w:p>
    <w:tbl>
      <w:tblPr>
        <w:tblStyle w:val="TableGrid"/>
        <w:tblW w:w="8795" w:type="dxa"/>
        <w:tblInd w:w="276" w:type="dxa"/>
        <w:tblLook w:val="04A0" w:firstRow="1" w:lastRow="0" w:firstColumn="1" w:lastColumn="0" w:noHBand="0" w:noVBand="1"/>
      </w:tblPr>
      <w:tblGrid>
        <w:gridCol w:w="2040"/>
        <w:gridCol w:w="1624"/>
        <w:gridCol w:w="1436"/>
        <w:gridCol w:w="1524"/>
        <w:gridCol w:w="2171"/>
      </w:tblGrid>
      <w:tr w:rsidR="00224648" w:rsidRPr="00E601CA" w14:paraId="0AC3BE0F" w14:textId="77777777" w:rsidTr="00074A18">
        <w:tc>
          <w:tcPr>
            <w:tcW w:w="1992" w:type="dxa"/>
            <w:shd w:val="clear" w:color="auto" w:fill="A6A6A6" w:themeFill="background1" w:themeFillShade="A6"/>
            <w:vAlign w:val="center"/>
          </w:tcPr>
          <w:p w14:paraId="03C9A05A" w14:textId="77777777" w:rsidR="00224648" w:rsidRPr="00E601CA" w:rsidRDefault="00224648" w:rsidP="00224648">
            <w:pPr>
              <w:keepNext/>
              <w:jc w:val="center"/>
            </w:pPr>
          </w:p>
        </w:tc>
        <w:tc>
          <w:tcPr>
            <w:tcW w:w="6803" w:type="dxa"/>
            <w:gridSpan w:val="4"/>
            <w:shd w:val="clear" w:color="auto" w:fill="A6A6A6" w:themeFill="background1" w:themeFillShade="A6"/>
            <w:vAlign w:val="center"/>
          </w:tcPr>
          <w:p w14:paraId="69194D9F" w14:textId="77777777" w:rsidR="00224648" w:rsidRPr="00E601CA" w:rsidRDefault="00224648" w:rsidP="00224648">
            <w:pPr>
              <w:keepNext/>
              <w:jc w:val="center"/>
            </w:pPr>
            <w:r>
              <w:t>Wert von Ic</w:t>
            </w:r>
            <w:r>
              <w:rPr>
                <w:vertAlign w:val="subscript"/>
              </w:rPr>
              <w:t>Komponenten</w:t>
            </w:r>
            <w:r>
              <w:t>_maxmoyen</w:t>
            </w:r>
          </w:p>
        </w:tc>
      </w:tr>
      <w:tr w:rsidR="00224648" w:rsidRPr="00E601CA" w14:paraId="72AC5DA0" w14:textId="77777777" w:rsidTr="00074A18">
        <w:tc>
          <w:tcPr>
            <w:tcW w:w="1992" w:type="dxa"/>
            <w:shd w:val="clear" w:color="auto" w:fill="A6A6A6" w:themeFill="background1" w:themeFillShade="A6"/>
            <w:vAlign w:val="center"/>
          </w:tcPr>
          <w:p w14:paraId="125EEB24" w14:textId="77777777" w:rsidR="00224648" w:rsidRPr="00E601CA" w:rsidRDefault="00224648" w:rsidP="00074A18">
            <w:pPr>
              <w:jc w:val="center"/>
            </w:pPr>
            <w:r>
              <w:t>Nutzung des Gebäudeteils</w:t>
            </w:r>
          </w:p>
        </w:tc>
        <w:tc>
          <w:tcPr>
            <w:tcW w:w="1636" w:type="dxa"/>
            <w:shd w:val="clear" w:color="auto" w:fill="A6A6A6" w:themeFill="background1" w:themeFillShade="A6"/>
            <w:vAlign w:val="center"/>
          </w:tcPr>
          <w:p w14:paraId="5E6F8590" w14:textId="77777777" w:rsidR="00224648" w:rsidRPr="00E601CA" w:rsidRDefault="00224648" w:rsidP="00074A18">
            <w:pPr>
              <w:jc w:val="center"/>
            </w:pPr>
            <w:r>
              <w:t>Jahre 2021 bis 2023</w:t>
            </w:r>
          </w:p>
        </w:tc>
        <w:tc>
          <w:tcPr>
            <w:tcW w:w="1445" w:type="dxa"/>
            <w:shd w:val="clear" w:color="auto" w:fill="A6A6A6" w:themeFill="background1" w:themeFillShade="A6"/>
          </w:tcPr>
          <w:p w14:paraId="7763DC12" w14:textId="77777777" w:rsidR="00224648" w:rsidRPr="00E601CA" w:rsidRDefault="00224648" w:rsidP="00074A18">
            <w:pPr>
              <w:jc w:val="center"/>
            </w:pPr>
            <w:r>
              <w:t>Jahre 2024 bis 2026</w:t>
            </w:r>
          </w:p>
        </w:tc>
        <w:tc>
          <w:tcPr>
            <w:tcW w:w="1534" w:type="dxa"/>
            <w:shd w:val="clear" w:color="auto" w:fill="A6A6A6" w:themeFill="background1" w:themeFillShade="A6"/>
          </w:tcPr>
          <w:p w14:paraId="4CFE9AEB" w14:textId="77777777" w:rsidR="00224648" w:rsidRPr="00E601CA" w:rsidRDefault="00224648" w:rsidP="00074A18">
            <w:pPr>
              <w:jc w:val="center"/>
            </w:pPr>
            <w:r>
              <w:t>Jahre 2027 bis 2029</w:t>
            </w:r>
          </w:p>
        </w:tc>
        <w:tc>
          <w:tcPr>
            <w:tcW w:w="2188" w:type="dxa"/>
            <w:shd w:val="clear" w:color="auto" w:fill="A6A6A6" w:themeFill="background1" w:themeFillShade="A6"/>
          </w:tcPr>
          <w:p w14:paraId="5E8A174A" w14:textId="77777777" w:rsidR="00224648" w:rsidRPr="00E601CA" w:rsidRDefault="00224648" w:rsidP="00074A18">
            <w:pPr>
              <w:jc w:val="center"/>
            </w:pPr>
            <w:r>
              <w:t>Jahr 2030</w:t>
            </w:r>
          </w:p>
        </w:tc>
      </w:tr>
      <w:tr w:rsidR="00257E0C" w:rsidRPr="00E601CA" w14:paraId="0E49F999" w14:textId="77777777" w:rsidTr="00074A18">
        <w:tc>
          <w:tcPr>
            <w:tcW w:w="1992" w:type="dxa"/>
            <w:shd w:val="clear" w:color="auto" w:fill="F2F2F2" w:themeFill="background1" w:themeFillShade="F2"/>
            <w:vAlign w:val="center"/>
          </w:tcPr>
          <w:p w14:paraId="5990CAF8" w14:textId="77777777" w:rsidR="00257E0C" w:rsidRPr="00E601CA" w:rsidRDefault="00257E0C" w:rsidP="00074A18">
            <w:pPr>
              <w:jc w:val="left"/>
            </w:pPr>
            <w:r>
              <w:t>Einfamilienhäuser oder Reihenhäuser</w:t>
            </w:r>
          </w:p>
        </w:tc>
        <w:tc>
          <w:tcPr>
            <w:tcW w:w="1636" w:type="dxa"/>
            <w:vAlign w:val="center"/>
          </w:tcPr>
          <w:p w14:paraId="22C77213" w14:textId="7F991C7E" w:rsidR="00257E0C" w:rsidRPr="00E601CA" w:rsidRDefault="00AF36EA" w:rsidP="00074A18">
            <w:pPr>
              <w:jc w:val="center"/>
            </w:pPr>
            <w:r>
              <w:t>630 kg Äq. CO</w:t>
            </w:r>
            <w:r>
              <w:rPr>
                <w:vertAlign w:val="subscript"/>
              </w:rPr>
              <w:t>2</w:t>
            </w:r>
            <w:r>
              <w:t>/m²</w:t>
            </w:r>
          </w:p>
        </w:tc>
        <w:tc>
          <w:tcPr>
            <w:tcW w:w="1445" w:type="dxa"/>
            <w:vAlign w:val="center"/>
          </w:tcPr>
          <w:p w14:paraId="586FFE8B" w14:textId="2FE7091B" w:rsidR="00257E0C" w:rsidRPr="00E601CA" w:rsidRDefault="00AF36EA" w:rsidP="00074A18">
            <w:pPr>
              <w:jc w:val="center"/>
            </w:pPr>
            <w:r>
              <w:t>510 kg Äq. CO</w:t>
            </w:r>
            <w:r>
              <w:rPr>
                <w:vertAlign w:val="subscript"/>
              </w:rPr>
              <w:t>2</w:t>
            </w:r>
            <w:r>
              <w:t>/m²</w:t>
            </w:r>
          </w:p>
        </w:tc>
        <w:tc>
          <w:tcPr>
            <w:tcW w:w="1534" w:type="dxa"/>
            <w:vAlign w:val="center"/>
          </w:tcPr>
          <w:p w14:paraId="5B850AD0" w14:textId="4D552A0C" w:rsidR="00257E0C" w:rsidRPr="00E601CA" w:rsidRDefault="00AF36EA" w:rsidP="00074A18">
            <w:pPr>
              <w:jc w:val="center"/>
            </w:pPr>
            <w:r>
              <w:t>450 kg Äq. CO</w:t>
            </w:r>
            <w:r>
              <w:rPr>
                <w:vertAlign w:val="subscript"/>
              </w:rPr>
              <w:t>2</w:t>
            </w:r>
            <w:r>
              <w:t>/m²</w:t>
            </w:r>
          </w:p>
        </w:tc>
        <w:tc>
          <w:tcPr>
            <w:tcW w:w="2188" w:type="dxa"/>
            <w:vAlign w:val="center"/>
          </w:tcPr>
          <w:p w14:paraId="19FCB21E" w14:textId="573AF503" w:rsidR="00257E0C" w:rsidRPr="00E601CA" w:rsidRDefault="00AF36EA" w:rsidP="00074A18">
            <w:pPr>
              <w:jc w:val="center"/>
            </w:pPr>
            <w:r>
              <w:t>370 kg Äq. CO</w:t>
            </w:r>
            <w:r>
              <w:rPr>
                <w:vertAlign w:val="subscript"/>
              </w:rPr>
              <w:t>2</w:t>
            </w:r>
            <w:r>
              <w:t>/m²</w:t>
            </w:r>
          </w:p>
        </w:tc>
      </w:tr>
      <w:tr w:rsidR="00257E0C" w:rsidRPr="00E601CA" w14:paraId="139729BC" w14:textId="77777777" w:rsidTr="00074A18">
        <w:tc>
          <w:tcPr>
            <w:tcW w:w="1992" w:type="dxa"/>
            <w:shd w:val="clear" w:color="auto" w:fill="F2F2F2" w:themeFill="background1" w:themeFillShade="F2"/>
            <w:vAlign w:val="center"/>
          </w:tcPr>
          <w:p w14:paraId="46F92E1C" w14:textId="77777777" w:rsidR="00257E0C" w:rsidRPr="00E601CA" w:rsidRDefault="00257E0C" w:rsidP="00074A18">
            <w:pPr>
              <w:jc w:val="left"/>
            </w:pPr>
            <w:r>
              <w:t>Mehrfamilienhäuser</w:t>
            </w:r>
          </w:p>
        </w:tc>
        <w:tc>
          <w:tcPr>
            <w:tcW w:w="1636" w:type="dxa"/>
            <w:vAlign w:val="center"/>
          </w:tcPr>
          <w:p w14:paraId="606AC59B" w14:textId="4D1196C9" w:rsidR="00257E0C" w:rsidRPr="00E601CA" w:rsidRDefault="00257E0C" w:rsidP="00074A18">
            <w:pPr>
              <w:jc w:val="center"/>
            </w:pPr>
            <w:r>
              <w:t>700 kg Äq. CO</w:t>
            </w:r>
            <w:r>
              <w:rPr>
                <w:vertAlign w:val="subscript"/>
              </w:rPr>
              <w:t>2</w:t>
            </w:r>
            <w:r>
              <w:t>/m²</w:t>
            </w:r>
          </w:p>
        </w:tc>
        <w:tc>
          <w:tcPr>
            <w:tcW w:w="1445" w:type="dxa"/>
            <w:vAlign w:val="center"/>
          </w:tcPr>
          <w:p w14:paraId="7B2BB88D" w14:textId="3BCA2DE7" w:rsidR="00257E0C" w:rsidRPr="00E601CA" w:rsidRDefault="00257E0C" w:rsidP="00074A18">
            <w:pPr>
              <w:jc w:val="center"/>
            </w:pPr>
            <w:r>
              <w:t>610 kg Äq. CO</w:t>
            </w:r>
            <w:r>
              <w:rPr>
                <w:vertAlign w:val="subscript"/>
              </w:rPr>
              <w:t>2</w:t>
            </w:r>
            <w:r>
              <w:t>/m²</w:t>
            </w:r>
          </w:p>
        </w:tc>
        <w:tc>
          <w:tcPr>
            <w:tcW w:w="1534" w:type="dxa"/>
            <w:vAlign w:val="center"/>
          </w:tcPr>
          <w:p w14:paraId="5753F2FB" w14:textId="291DABC2" w:rsidR="00257E0C" w:rsidRPr="00E601CA" w:rsidRDefault="00257E0C" w:rsidP="00074A18">
            <w:pPr>
              <w:jc w:val="center"/>
            </w:pPr>
            <w:r>
              <w:t>540 kg Äq. CO</w:t>
            </w:r>
            <w:r>
              <w:rPr>
                <w:vertAlign w:val="subscript"/>
              </w:rPr>
              <w:t>2</w:t>
            </w:r>
            <w:r>
              <w:t>/m²</w:t>
            </w:r>
          </w:p>
        </w:tc>
        <w:tc>
          <w:tcPr>
            <w:tcW w:w="2188" w:type="dxa"/>
            <w:vAlign w:val="center"/>
          </w:tcPr>
          <w:p w14:paraId="4A9D6777" w14:textId="0E76BE50" w:rsidR="00257E0C" w:rsidRPr="00E601CA" w:rsidRDefault="00257E0C" w:rsidP="00074A18">
            <w:pPr>
              <w:jc w:val="center"/>
            </w:pPr>
            <w:r>
              <w:t>450 kg Äq. CO</w:t>
            </w:r>
            <w:r>
              <w:rPr>
                <w:vertAlign w:val="subscript"/>
              </w:rPr>
              <w:t>2</w:t>
            </w:r>
            <w:r>
              <w:t>/m²</w:t>
            </w:r>
          </w:p>
        </w:tc>
      </w:tr>
      <w:tr w:rsidR="00224648" w:rsidRPr="00E601CA" w14:paraId="3A0E1449" w14:textId="77777777" w:rsidTr="00074A18">
        <w:tc>
          <w:tcPr>
            <w:tcW w:w="1992" w:type="dxa"/>
            <w:shd w:val="clear" w:color="auto" w:fill="F2F2F2" w:themeFill="background1" w:themeFillShade="F2"/>
            <w:vAlign w:val="center"/>
          </w:tcPr>
          <w:p w14:paraId="2928BB2F" w14:textId="77777777" w:rsidR="00224648" w:rsidRPr="00E601CA" w:rsidRDefault="00224648" w:rsidP="00074A18">
            <w:pPr>
              <w:jc w:val="left"/>
            </w:pPr>
            <w:r>
              <w:t>Bürogebäude</w:t>
            </w:r>
          </w:p>
        </w:tc>
        <w:tc>
          <w:tcPr>
            <w:tcW w:w="1636" w:type="dxa"/>
            <w:vAlign w:val="center"/>
          </w:tcPr>
          <w:p w14:paraId="1AA1C228" w14:textId="77777777" w:rsidR="00224648" w:rsidRPr="00E601CA" w:rsidRDefault="00224648" w:rsidP="00074A18">
            <w:pPr>
              <w:jc w:val="center"/>
            </w:pPr>
          </w:p>
        </w:tc>
        <w:tc>
          <w:tcPr>
            <w:tcW w:w="1445" w:type="dxa"/>
          </w:tcPr>
          <w:p w14:paraId="4AA24854" w14:textId="77777777" w:rsidR="00224648" w:rsidRPr="00E601CA" w:rsidRDefault="00224648" w:rsidP="00074A18">
            <w:pPr>
              <w:jc w:val="center"/>
            </w:pPr>
          </w:p>
        </w:tc>
        <w:tc>
          <w:tcPr>
            <w:tcW w:w="1534" w:type="dxa"/>
          </w:tcPr>
          <w:p w14:paraId="4EBDA983" w14:textId="77777777" w:rsidR="00224648" w:rsidRPr="00E601CA" w:rsidRDefault="00224648" w:rsidP="00074A18">
            <w:pPr>
              <w:jc w:val="center"/>
            </w:pPr>
          </w:p>
        </w:tc>
        <w:tc>
          <w:tcPr>
            <w:tcW w:w="2188" w:type="dxa"/>
          </w:tcPr>
          <w:p w14:paraId="5D1CEF1D" w14:textId="77777777" w:rsidR="00224648" w:rsidRPr="00E601CA" w:rsidRDefault="00224648" w:rsidP="00074A18">
            <w:pPr>
              <w:jc w:val="center"/>
            </w:pPr>
          </w:p>
        </w:tc>
      </w:tr>
      <w:tr w:rsidR="00224648" w:rsidRPr="00E601CA" w14:paraId="3396AD1A" w14:textId="77777777" w:rsidTr="00074A18">
        <w:tc>
          <w:tcPr>
            <w:tcW w:w="1992" w:type="dxa"/>
            <w:shd w:val="clear" w:color="auto" w:fill="F2F2F2" w:themeFill="background1" w:themeFillShade="F2"/>
            <w:vAlign w:val="center"/>
          </w:tcPr>
          <w:p w14:paraId="492D0BD0" w14:textId="77777777" w:rsidR="00224648" w:rsidRPr="00E601CA" w:rsidRDefault="00224648" w:rsidP="00074A18">
            <w:pPr>
              <w:jc w:val="left"/>
            </w:pPr>
            <w:r>
              <w:t>Unterrichtsgebäude</w:t>
            </w:r>
          </w:p>
        </w:tc>
        <w:tc>
          <w:tcPr>
            <w:tcW w:w="1636" w:type="dxa"/>
            <w:vAlign w:val="center"/>
          </w:tcPr>
          <w:p w14:paraId="602AF57D" w14:textId="77777777" w:rsidR="00224648" w:rsidRPr="00E601CA" w:rsidRDefault="00224648" w:rsidP="00074A18">
            <w:pPr>
              <w:jc w:val="center"/>
            </w:pPr>
          </w:p>
        </w:tc>
        <w:tc>
          <w:tcPr>
            <w:tcW w:w="1445" w:type="dxa"/>
          </w:tcPr>
          <w:p w14:paraId="6B18AED3" w14:textId="77777777" w:rsidR="00224648" w:rsidRPr="00E601CA" w:rsidRDefault="00224648" w:rsidP="00074A18">
            <w:pPr>
              <w:jc w:val="center"/>
            </w:pPr>
          </w:p>
        </w:tc>
        <w:tc>
          <w:tcPr>
            <w:tcW w:w="1534" w:type="dxa"/>
          </w:tcPr>
          <w:p w14:paraId="2CF7BC81" w14:textId="77777777" w:rsidR="00224648" w:rsidRPr="00E601CA" w:rsidRDefault="00224648" w:rsidP="00074A18">
            <w:pPr>
              <w:jc w:val="center"/>
            </w:pPr>
          </w:p>
        </w:tc>
        <w:tc>
          <w:tcPr>
            <w:tcW w:w="2188" w:type="dxa"/>
          </w:tcPr>
          <w:p w14:paraId="37077169" w14:textId="77777777" w:rsidR="00224648" w:rsidRPr="00E601CA" w:rsidRDefault="00224648" w:rsidP="00074A18">
            <w:pPr>
              <w:jc w:val="center"/>
            </w:pPr>
          </w:p>
        </w:tc>
      </w:tr>
    </w:tbl>
    <w:p w14:paraId="367B7DC3" w14:textId="77777777" w:rsidR="00224648" w:rsidRPr="00E601CA" w:rsidRDefault="00224648" w:rsidP="00F74657"/>
    <w:p w14:paraId="3A9467F9" w14:textId="77777777" w:rsidR="00224648" w:rsidRPr="00E601CA" w:rsidRDefault="00224648" w:rsidP="00E8319A">
      <w:pPr>
        <w:pStyle w:val="Heading6"/>
        <w:numPr>
          <w:ilvl w:val="0"/>
          <w:numId w:val="16"/>
        </w:numPr>
        <w:ind w:left="754" w:hanging="357"/>
      </w:pPr>
      <w:r>
        <w:t>Werte der Modulationskoeffizienten der Anforderung Ic</w:t>
      </w:r>
      <w:r>
        <w:rPr>
          <w:vertAlign w:val="subscript"/>
        </w:rPr>
        <w:t>Komponenten</w:t>
      </w:r>
      <w:r>
        <w:t>_max</w:t>
      </w:r>
    </w:p>
    <w:p w14:paraId="6A6595E5" w14:textId="77777777" w:rsidR="00224648" w:rsidRPr="00E601CA" w:rsidRDefault="00224648" w:rsidP="00E8319A">
      <w:pPr>
        <w:pStyle w:val="Heading7"/>
        <w:numPr>
          <w:ilvl w:val="1"/>
          <w:numId w:val="16"/>
        </w:numPr>
      </w:pPr>
      <w:r>
        <w:t>Einfamilienhäuser oder Reihenhäuser</w:t>
      </w:r>
    </w:p>
    <w:p w14:paraId="5634553F" w14:textId="58380340" w:rsidR="00224648" w:rsidRPr="00E601CA" w:rsidRDefault="00224648" w:rsidP="00224648">
      <w:pPr>
        <w:keepNext/>
      </w:pPr>
      <w:r>
        <w:t xml:space="preserve">Der Koeffizient </w:t>
      </w:r>
      <w:r>
        <w:rPr>
          <w:b/>
        </w:rPr>
        <w:t>Micombles</w:t>
      </w:r>
      <w:r>
        <w:t xml:space="preserve"> zur Modulierung von Ic</w:t>
      </w:r>
      <w:r>
        <w:rPr>
          <w:vertAlign w:val="subscript"/>
        </w:rPr>
        <w:t>Komponenten</w:t>
      </w:r>
      <w:r>
        <w:t>_max je nach Vorhandensein von ausgebauten Dachgeschossen in dem Gebäude oder Gebäudeteil wird nach folgender Formel berechnet: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890"/>
      </w:tblGrid>
      <w:tr w:rsidR="00667EEF" w14:paraId="7CEACA03" w14:textId="77777777" w:rsidTr="00A83508">
        <w:trPr>
          <w:jc w:val="center"/>
        </w:trPr>
        <w:tc>
          <w:tcPr>
            <w:tcW w:w="1530" w:type="dxa"/>
            <w:vMerge w:val="restart"/>
            <w:vAlign w:val="center"/>
          </w:tcPr>
          <w:p w14:paraId="0EEAF18E" w14:textId="41183F53" w:rsidR="00667EEF" w:rsidRPr="00A234E1" w:rsidRDefault="00667EEF" w:rsidP="00A83508">
            <w:pPr>
              <w:jc w:val="center"/>
              <w:rPr>
                <w:rFonts w:ascii="Cambria Math" w:hAnsi="Cambria Math" w:hint="eastAsia"/>
                <w:i/>
              </w:rPr>
            </w:pPr>
            <w:r>
              <w:rPr>
                <w:rFonts w:ascii="Cambria Math" w:hAnsi="Cambria Math"/>
                <w:i/>
              </w:rPr>
              <w:t>Micombles =</w:t>
            </w:r>
          </w:p>
        </w:tc>
        <w:tc>
          <w:tcPr>
            <w:tcW w:w="1890" w:type="dxa"/>
            <w:tcBorders>
              <w:bottom w:val="single" w:sz="4" w:space="0" w:color="auto"/>
            </w:tcBorders>
            <w:vAlign w:val="center"/>
          </w:tcPr>
          <w:p w14:paraId="6641947F" w14:textId="77777777" w:rsidR="00667EEF" w:rsidRPr="00A234E1" w:rsidRDefault="00667EEF" w:rsidP="00A83508">
            <w:pPr>
              <w:jc w:val="center"/>
              <w:rPr>
                <w:rFonts w:ascii="Cambria Math" w:hAnsi="Cambria Math" w:hint="eastAsia"/>
                <w:i/>
              </w:rPr>
            </w:pPr>
            <w:r>
              <w:rPr>
                <w:rFonts w:ascii="Cambria Math" w:hAnsi="Cambria Math"/>
                <w:i/>
              </w:rPr>
              <w:t>(0,4 × Scombles)</w:t>
            </w:r>
          </w:p>
        </w:tc>
      </w:tr>
      <w:tr w:rsidR="00667EEF" w14:paraId="4FE15AE2" w14:textId="77777777" w:rsidTr="00A83508">
        <w:trPr>
          <w:jc w:val="center"/>
        </w:trPr>
        <w:tc>
          <w:tcPr>
            <w:tcW w:w="1530" w:type="dxa"/>
            <w:vMerge/>
            <w:vAlign w:val="center"/>
          </w:tcPr>
          <w:p w14:paraId="5654DB49" w14:textId="77777777" w:rsidR="00667EEF" w:rsidRPr="00A234E1" w:rsidRDefault="00667EEF" w:rsidP="00A83508">
            <w:pPr>
              <w:jc w:val="center"/>
              <w:rPr>
                <w:rFonts w:ascii="Cambria Math" w:hAnsi="Cambria Math" w:hint="eastAsia"/>
                <w:i/>
              </w:rPr>
            </w:pPr>
          </w:p>
        </w:tc>
        <w:tc>
          <w:tcPr>
            <w:tcW w:w="1890" w:type="dxa"/>
            <w:tcBorders>
              <w:top w:val="single" w:sz="4" w:space="0" w:color="auto"/>
            </w:tcBorders>
            <w:vAlign w:val="center"/>
          </w:tcPr>
          <w:p w14:paraId="106D65A6" w14:textId="77777777" w:rsidR="00667EEF" w:rsidRPr="00A234E1" w:rsidRDefault="00667EEF" w:rsidP="00A83508">
            <w:pPr>
              <w:jc w:val="center"/>
              <w:rPr>
                <w:rFonts w:ascii="Cambria Math" w:hAnsi="Cambria Math" w:hint="eastAsia"/>
                <w:i/>
              </w:rPr>
            </w:pPr>
            <w:r>
              <w:rPr>
                <w:rFonts w:ascii="Cambria Math" w:hAnsi="Cambria Math"/>
                <w:i/>
              </w:rPr>
              <w:t>Sref</w:t>
            </w:r>
          </w:p>
        </w:tc>
      </w:tr>
    </w:tbl>
    <w:p w14:paraId="1368782E" w14:textId="77777777" w:rsidR="00667EEF" w:rsidRPr="00E601CA" w:rsidRDefault="00667EEF" w:rsidP="00667EEF"/>
    <w:p w14:paraId="7ED307B4" w14:textId="30723009" w:rsidR="00224648" w:rsidRPr="00E601CA" w:rsidRDefault="00224648" w:rsidP="00F74657">
      <w:r>
        <w:t>Wobei Scombles die Bodenfläche von ausgebauten Dachgeschossen mit einer Deckenhöhe von weniger als 1,8 m angibt.</w:t>
      </w:r>
    </w:p>
    <w:p w14:paraId="00DB80B3" w14:textId="45AB2648" w:rsidR="00224648" w:rsidRPr="00E601CA" w:rsidRDefault="00224648" w:rsidP="00224648">
      <w:pPr>
        <w:keepNext/>
      </w:pPr>
      <w:r>
        <w:lastRenderedPageBreak/>
        <w:t xml:space="preserve">Der Koeffizient </w:t>
      </w:r>
      <w:r>
        <w:rPr>
          <w:b/>
        </w:rPr>
        <w:t>Misurf</w:t>
      </w:r>
      <w:r>
        <w:t xml:space="preserve"> zur Modulierung von Ic</w:t>
      </w:r>
      <w:r>
        <w:rPr>
          <w:vertAlign w:val="subscript"/>
        </w:rPr>
        <w:t>Komponenten</w:t>
      </w:r>
      <w:r>
        <w:t>_max entsprechend der durchschnittlichen Fläche der Wohnungen in dem Gebäude oder Gebäudeteil (</w:t>
      </w:r>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 xml:space="preserve"> </m:t>
        </m:r>
      </m:oMath>
      <w:r>
        <w:t>) nimmt folgende Werte an:</w:t>
      </w:r>
    </w:p>
    <w:tbl>
      <w:tblPr>
        <w:tblStyle w:val="TableGrid"/>
        <w:tblW w:w="3441" w:type="pct"/>
        <w:jc w:val="center"/>
        <w:tblLook w:val="04A0" w:firstRow="1" w:lastRow="0" w:firstColumn="1" w:lastColumn="0" w:noHBand="0" w:noVBand="1"/>
      </w:tblPr>
      <w:tblGrid>
        <w:gridCol w:w="3410"/>
        <w:gridCol w:w="2826"/>
      </w:tblGrid>
      <w:tr w:rsidR="00224648" w:rsidRPr="00E601CA" w14:paraId="061BBD75" w14:textId="77777777" w:rsidTr="00FC0B23">
        <w:trPr>
          <w:jc w:val="center"/>
        </w:trPr>
        <w:tc>
          <w:tcPr>
            <w:tcW w:w="2734" w:type="pct"/>
            <w:shd w:val="clear" w:color="auto" w:fill="A6A6A6" w:themeFill="background1" w:themeFillShade="A6"/>
            <w:vAlign w:val="center"/>
          </w:tcPr>
          <w:p w14:paraId="7FE513B0" w14:textId="77777777" w:rsidR="00224648" w:rsidRPr="00E601CA" w:rsidRDefault="00224648" w:rsidP="00FC0B23">
            <w:pPr>
              <w:keepNext/>
              <w:jc w:val="center"/>
            </w:pPr>
            <w:r>
              <w:t>Durchschnittliche Fläche der Wohnungen des Gebäudes</w:t>
            </w:r>
          </w:p>
        </w:tc>
        <w:tc>
          <w:tcPr>
            <w:tcW w:w="2266" w:type="pct"/>
            <w:shd w:val="clear" w:color="auto" w:fill="A6A6A6" w:themeFill="background1" w:themeFillShade="A6"/>
            <w:vAlign w:val="center"/>
          </w:tcPr>
          <w:p w14:paraId="12313DC7" w14:textId="77777777" w:rsidR="00224648" w:rsidRPr="00E601CA" w:rsidRDefault="00224648" w:rsidP="00FC0B23">
            <w:pPr>
              <w:keepNext/>
              <w:jc w:val="center"/>
            </w:pPr>
            <w:r>
              <w:t>Misurf</w:t>
            </w:r>
          </w:p>
        </w:tc>
      </w:tr>
      <w:tr w:rsidR="00224648" w:rsidRPr="00E601CA" w14:paraId="640DF543" w14:textId="77777777" w:rsidTr="00FC0B23">
        <w:trPr>
          <w:jc w:val="center"/>
        </w:trPr>
        <w:tc>
          <w:tcPr>
            <w:tcW w:w="2734" w:type="pct"/>
            <w:shd w:val="clear" w:color="auto" w:fill="F2F2F2" w:themeFill="background1" w:themeFillShade="F2"/>
            <w:vAlign w:val="center"/>
          </w:tcPr>
          <w:p w14:paraId="713FF3E3" w14:textId="7A2F4F44" w:rsidR="00224648" w:rsidRPr="00A80B3F" w:rsidRDefault="00A80B3F" w:rsidP="00A80B3F">
            <w:pPr>
              <w:jc w:val="center"/>
            </w:pPr>
            <w:r>
              <w:t>Wenn</w:t>
            </w:r>
            <w:r>
              <w:rPr>
                <w:rFonts w:ascii="Cambria Math" w:hAnsi="Cambria Math"/>
                <w:i/>
              </w:rPr>
              <w:t xml:space="preserve"> Smoy</w:t>
            </w:r>
            <w:r>
              <w:rPr>
                <w:rFonts w:ascii="Cambria Math" w:hAnsi="Cambria Math"/>
                <w:i/>
                <w:vertAlign w:val="subscript"/>
              </w:rPr>
              <w:t>lgt</w:t>
            </w:r>
            <w:r>
              <w:rPr>
                <w:rFonts w:ascii="Cambria Math" w:hAnsi="Cambria Math"/>
                <w:i/>
              </w:rPr>
              <w:t xml:space="preserve"> ≤ 120 m²</w:t>
            </w:r>
          </w:p>
        </w:tc>
        <w:tc>
          <w:tcPr>
            <w:tcW w:w="2266" w:type="pct"/>
            <w:vAlign w:val="center"/>
          </w:tcPr>
          <w:p w14:paraId="66454F29" w14:textId="77777777" w:rsidR="00831BA2" w:rsidRDefault="00831BA2" w:rsidP="00074A18">
            <w:pPr>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
              <w:gridCol w:w="1720"/>
            </w:tblGrid>
            <w:tr w:rsidR="00831BA2" w14:paraId="340EFF90" w14:textId="77777777" w:rsidTr="00831BA2">
              <w:trPr>
                <w:jc w:val="center"/>
              </w:trPr>
              <w:tc>
                <w:tcPr>
                  <w:tcW w:w="890" w:type="dxa"/>
                  <w:vMerge w:val="restart"/>
                  <w:vAlign w:val="center"/>
                </w:tcPr>
                <w:p w14:paraId="2ABA52F9" w14:textId="1D911A29" w:rsidR="00831BA2" w:rsidRPr="00A234E1" w:rsidRDefault="00831BA2" w:rsidP="00831BA2">
                  <w:pPr>
                    <w:jc w:val="center"/>
                    <w:rPr>
                      <w:rFonts w:ascii="Cambria Math" w:hAnsi="Cambria Math" w:hint="eastAsia"/>
                      <w:i/>
                    </w:rPr>
                  </w:pPr>
                  <w:r>
                    <w:rPr>
                      <w:rFonts w:ascii="Cambria Math" w:hAnsi="Cambria Math"/>
                    </w:rPr>
                    <w:t>0,36 –</w:t>
                  </w:r>
                </w:p>
              </w:tc>
              <w:tc>
                <w:tcPr>
                  <w:tcW w:w="1720" w:type="dxa"/>
                  <w:tcBorders>
                    <w:bottom w:val="single" w:sz="4" w:space="0" w:color="auto"/>
                  </w:tcBorders>
                  <w:vAlign w:val="center"/>
                </w:tcPr>
                <w:p w14:paraId="490DDE1E" w14:textId="02D677A0" w:rsidR="00831BA2" w:rsidRPr="00A234E1" w:rsidRDefault="00831BA2" w:rsidP="00831BA2">
                  <w:pPr>
                    <w:jc w:val="center"/>
                    <w:rPr>
                      <w:rFonts w:ascii="Cambria Math" w:hAnsi="Cambria Math" w:hint="eastAsia"/>
                      <w:i/>
                    </w:rPr>
                  </w:pPr>
                  <w:r>
                    <w:rPr>
                      <w:rFonts w:ascii="Cambria Math" w:hAnsi="Cambria Math"/>
                      <w:i/>
                    </w:rPr>
                    <w:t>3,63 × Smoy</w:t>
                  </w:r>
                  <w:r>
                    <w:rPr>
                      <w:rFonts w:ascii="Cambria Math" w:hAnsi="Cambria Math"/>
                      <w:i/>
                      <w:vertAlign w:val="subscript"/>
                    </w:rPr>
                    <w:t>lgt</w:t>
                  </w:r>
                </w:p>
              </w:tc>
            </w:tr>
            <w:tr w:rsidR="00831BA2" w14:paraId="078A4F87" w14:textId="77777777" w:rsidTr="00831BA2">
              <w:trPr>
                <w:jc w:val="center"/>
              </w:trPr>
              <w:tc>
                <w:tcPr>
                  <w:tcW w:w="890" w:type="dxa"/>
                  <w:vMerge/>
                  <w:vAlign w:val="center"/>
                </w:tcPr>
                <w:p w14:paraId="3E6F08E9" w14:textId="77777777" w:rsidR="00831BA2" w:rsidRPr="00A234E1" w:rsidRDefault="00831BA2" w:rsidP="00831BA2">
                  <w:pPr>
                    <w:jc w:val="center"/>
                    <w:rPr>
                      <w:rFonts w:ascii="Cambria Math" w:hAnsi="Cambria Math" w:hint="eastAsia"/>
                      <w:i/>
                    </w:rPr>
                  </w:pPr>
                </w:p>
              </w:tc>
              <w:tc>
                <w:tcPr>
                  <w:tcW w:w="1720" w:type="dxa"/>
                  <w:tcBorders>
                    <w:top w:val="single" w:sz="4" w:space="0" w:color="auto"/>
                  </w:tcBorders>
                  <w:vAlign w:val="center"/>
                </w:tcPr>
                <w:p w14:paraId="44B5A511" w14:textId="4EFDF730" w:rsidR="00831BA2" w:rsidRPr="00A234E1" w:rsidRDefault="00831BA2" w:rsidP="00831BA2">
                  <w:pPr>
                    <w:jc w:val="center"/>
                    <w:rPr>
                      <w:rFonts w:ascii="Cambria Math" w:hAnsi="Cambria Math" w:hint="eastAsia"/>
                      <w:i/>
                    </w:rPr>
                  </w:pPr>
                  <w:r>
                    <w:rPr>
                      <w:rFonts w:ascii="Cambria Math" w:hAnsi="Cambria Math"/>
                      <w:i/>
                    </w:rPr>
                    <w:t>1000</w:t>
                  </w:r>
                </w:p>
              </w:tc>
            </w:tr>
          </w:tbl>
          <w:p w14:paraId="2D899390" w14:textId="77777777" w:rsidR="00831BA2" w:rsidRPr="00831BA2" w:rsidRDefault="00831BA2" w:rsidP="00074A18">
            <w:pPr>
              <w:jc w:val="center"/>
            </w:pPr>
          </w:p>
          <w:p w14:paraId="3D7C491F" w14:textId="69920C12" w:rsidR="00224648" w:rsidRPr="00E601CA" w:rsidRDefault="00224648" w:rsidP="00074A18">
            <w:pPr>
              <w:jc w:val="center"/>
            </w:pPr>
          </w:p>
        </w:tc>
      </w:tr>
      <w:tr w:rsidR="00224648" w:rsidRPr="00E601CA" w14:paraId="4A0F97F6" w14:textId="77777777" w:rsidTr="00FC0B23">
        <w:trPr>
          <w:jc w:val="center"/>
        </w:trPr>
        <w:tc>
          <w:tcPr>
            <w:tcW w:w="2734" w:type="pct"/>
            <w:shd w:val="clear" w:color="auto" w:fill="F2F2F2" w:themeFill="background1" w:themeFillShade="F2"/>
            <w:vAlign w:val="center"/>
          </w:tcPr>
          <w:p w14:paraId="068704BA" w14:textId="373B5DDD" w:rsidR="00224648" w:rsidRPr="00E601CA" w:rsidRDefault="00A80B3F" w:rsidP="00A80B3F">
            <w:pPr>
              <w:jc w:val="center"/>
            </w:pPr>
            <w:r>
              <w:t>Wenn</w:t>
            </w:r>
            <w:r>
              <w:rPr>
                <w:rFonts w:ascii="Cambria Math" w:hAnsi="Cambria Math"/>
                <w:i/>
              </w:rPr>
              <w:t xml:space="preserve"> Smoy</w:t>
            </w:r>
            <w:r>
              <w:rPr>
                <w:rFonts w:ascii="Cambria Math" w:hAnsi="Cambria Math"/>
                <w:i/>
                <w:vertAlign w:val="subscript"/>
              </w:rPr>
              <w:t>lgt</w:t>
            </w:r>
            <w:r>
              <w:rPr>
                <w:rFonts w:ascii="Cambria Math" w:hAnsi="Cambria Math"/>
                <w:i/>
              </w:rPr>
              <w:t xml:space="preserve"> &gt; 120 m²</w:t>
            </w:r>
          </w:p>
        </w:tc>
        <w:tc>
          <w:tcPr>
            <w:tcW w:w="2266" w:type="pct"/>
            <w:vAlign w:val="center"/>
          </w:tcPr>
          <w:p w14:paraId="04CD10F1" w14:textId="6B65FA97" w:rsidR="00224648" w:rsidRPr="00E601CA" w:rsidRDefault="00831BA2" w:rsidP="00831BA2">
            <w:pPr>
              <w:jc w:val="center"/>
            </w:pPr>
            <w:r>
              <w:rPr>
                <w:rFonts w:ascii="Cambria Math" w:hAnsi="Cambria Math"/>
              </w:rPr>
              <w:t>-0,076</w:t>
            </w:r>
          </w:p>
        </w:tc>
      </w:tr>
    </w:tbl>
    <w:p w14:paraId="53458ADD" w14:textId="77777777" w:rsidR="00224648" w:rsidRPr="00E601CA" w:rsidRDefault="00224648" w:rsidP="00224648"/>
    <w:p w14:paraId="2DED199A" w14:textId="77777777" w:rsidR="00224648" w:rsidRPr="00E601CA" w:rsidRDefault="00224648" w:rsidP="00224648">
      <w:r>
        <w:t xml:space="preserve">Der Koeffizient </w:t>
      </w:r>
      <w:r>
        <w:rPr>
          <w:b/>
        </w:rPr>
        <w:t>Miinfra</w:t>
      </w:r>
      <w:r>
        <w:t xml:space="preserve"> zur Modulierung von Ic</w:t>
      </w:r>
      <w:r>
        <w:rPr>
          <w:vertAlign w:val="subscript"/>
        </w:rPr>
        <w:t>Komponenten</w:t>
      </w:r>
      <w:r>
        <w:t>_max entsprechend der Auswirkung der Fundamente und Kellerräume des Gebäudes nimmt folgende Werte an:</w:t>
      </w:r>
    </w:p>
    <w:tbl>
      <w:tblPr>
        <w:tblStyle w:val="TableGrid"/>
        <w:tblW w:w="3572" w:type="pct"/>
        <w:jc w:val="center"/>
        <w:tblLook w:val="04A0" w:firstRow="1" w:lastRow="0" w:firstColumn="1" w:lastColumn="0" w:noHBand="0" w:noVBand="1"/>
      </w:tblPr>
      <w:tblGrid>
        <w:gridCol w:w="3540"/>
        <w:gridCol w:w="2934"/>
      </w:tblGrid>
      <w:tr w:rsidR="00224648" w:rsidRPr="00E601CA" w14:paraId="69818CF4" w14:textId="77777777" w:rsidTr="00074A18">
        <w:trPr>
          <w:jc w:val="center"/>
        </w:trPr>
        <w:tc>
          <w:tcPr>
            <w:tcW w:w="2734" w:type="pct"/>
            <w:shd w:val="clear" w:color="auto" w:fill="A6A6A6" w:themeFill="background1" w:themeFillShade="A6"/>
            <w:vAlign w:val="center"/>
          </w:tcPr>
          <w:p w14:paraId="7BFBF033" w14:textId="77777777" w:rsidR="00224648" w:rsidRPr="00E601CA" w:rsidRDefault="00224648" w:rsidP="00FC0B23">
            <w:pPr>
              <w:keepNext/>
              <w:jc w:val="center"/>
            </w:pPr>
            <w:r>
              <w:t xml:space="preserve">Wert von </w:t>
            </w:r>
            <m:oMath>
              <m:sSub>
                <m:sSubPr>
                  <m:ctrlPr>
                    <w:rPr>
                      <w:rFonts w:ascii="Cambria Math" w:hAnsi="Cambria Math"/>
                      <w:i/>
                      <w:iCs/>
                    </w:rPr>
                  </m:ctrlPr>
                </m:sSubPr>
                <m:e>
                  <m:r>
                    <w:rPr>
                      <w:rFonts w:ascii="Cambria Math" w:hAnsi="Cambria Math"/>
                    </w:rPr>
                    <m:t xml:space="preserve"> I</m:t>
                  </m:r>
                </m:e>
                <m:sub>
                  <m:r>
                    <w:rPr>
                      <w:rFonts w:ascii="Cambria Math" w:hAnsi="Cambria Math"/>
                    </w:rPr>
                    <m:t>lot2</m:t>
                  </m:r>
                </m:sub>
              </m:sSub>
            </m:oMath>
          </w:p>
        </w:tc>
        <w:tc>
          <w:tcPr>
            <w:tcW w:w="2266" w:type="pct"/>
            <w:shd w:val="clear" w:color="auto" w:fill="A6A6A6" w:themeFill="background1" w:themeFillShade="A6"/>
            <w:vAlign w:val="center"/>
          </w:tcPr>
          <w:p w14:paraId="0B3ACAC5" w14:textId="77777777" w:rsidR="00224648" w:rsidRPr="00E601CA" w:rsidRDefault="00224648" w:rsidP="00FC0B23">
            <w:pPr>
              <w:keepNext/>
              <w:jc w:val="center"/>
            </w:pPr>
            <w:r>
              <w:t>Miinfra</w:t>
            </w:r>
          </w:p>
        </w:tc>
      </w:tr>
      <w:tr w:rsidR="00224648" w:rsidRPr="00E601CA" w14:paraId="08DBF4B3" w14:textId="77777777" w:rsidTr="00074A18">
        <w:trPr>
          <w:jc w:val="center"/>
        </w:trPr>
        <w:tc>
          <w:tcPr>
            <w:tcW w:w="2734" w:type="pct"/>
            <w:shd w:val="clear" w:color="auto" w:fill="F2F2F2" w:themeFill="background1" w:themeFillShade="F2"/>
            <w:vAlign w:val="center"/>
          </w:tcPr>
          <w:p w14:paraId="2A095EFC" w14:textId="079E757B" w:rsidR="00224648" w:rsidRPr="00E601CA" w:rsidRDefault="00590E4F" w:rsidP="00662000">
            <w:pPr>
              <w:jc w:val="center"/>
            </w:pPr>
            <w:r>
              <w:t>Wenn</w:t>
            </w:r>
            <w:r>
              <w:rPr>
                <w:rFonts w:ascii="Cambria Math" w:hAnsi="Cambria Math"/>
                <w:i/>
              </w:rPr>
              <w:t xml:space="preserve"> I</w:t>
            </w:r>
            <w:r>
              <w:rPr>
                <w:rFonts w:ascii="Cambria Math" w:hAnsi="Cambria Math"/>
                <w:i/>
                <w:vertAlign w:val="subscript"/>
              </w:rPr>
              <w:t>lot2</w:t>
            </w:r>
            <w:r>
              <w:rPr>
                <w:rFonts w:ascii="Cambria Math" w:hAnsi="Cambria Math"/>
                <w:i/>
              </w:rPr>
              <w:t xml:space="preserve"> ≤ 40 kg Äq. CO</w:t>
            </w:r>
            <w:r>
              <w:rPr>
                <w:rFonts w:ascii="Cambria Math" w:hAnsi="Cambria Math"/>
                <w:i/>
                <w:vertAlign w:val="subscript"/>
              </w:rPr>
              <w:t>2</w:t>
            </w:r>
            <w:r>
              <w:rPr>
                <w:rFonts w:ascii="Cambria Math" w:hAnsi="Cambria Math"/>
                <w:i/>
              </w:rPr>
              <w:t>/m²</w:t>
            </w:r>
          </w:p>
        </w:tc>
        <w:tc>
          <w:tcPr>
            <w:tcW w:w="2266" w:type="pct"/>
            <w:vAlign w:val="center"/>
          </w:tcPr>
          <w:p w14:paraId="448DA411" w14:textId="77777777" w:rsidR="00224648" w:rsidRPr="00E601CA" w:rsidRDefault="00224648" w:rsidP="00662000">
            <w:pPr>
              <w:jc w:val="center"/>
            </w:pPr>
            <m:oMathPara>
              <m:oMath>
                <m:r>
                  <w:rPr>
                    <w:rFonts w:ascii="Cambria Math" w:hAnsi="Cambria Math"/>
                  </w:rPr>
                  <m:t>0</m:t>
                </m:r>
              </m:oMath>
            </m:oMathPara>
          </w:p>
        </w:tc>
      </w:tr>
      <w:tr w:rsidR="00224648" w:rsidRPr="00E601CA" w14:paraId="34EDFF6F" w14:textId="77777777" w:rsidTr="00074A18">
        <w:trPr>
          <w:jc w:val="center"/>
        </w:trPr>
        <w:tc>
          <w:tcPr>
            <w:tcW w:w="2734" w:type="pct"/>
            <w:shd w:val="clear" w:color="auto" w:fill="F2F2F2" w:themeFill="background1" w:themeFillShade="F2"/>
            <w:vAlign w:val="center"/>
          </w:tcPr>
          <w:p w14:paraId="7947264E" w14:textId="4B10A5D1" w:rsidR="00224648" w:rsidRPr="00E601CA" w:rsidRDefault="00590E4F" w:rsidP="00662000">
            <w:pPr>
              <w:jc w:val="center"/>
            </w:pPr>
            <w:r>
              <w:t>Wenn</w:t>
            </w:r>
            <w:r>
              <w:rPr>
                <w:rFonts w:ascii="Cambria Math" w:hAnsi="Cambria Math"/>
                <w:i/>
              </w:rPr>
              <w:t xml:space="preserve"> I</w:t>
            </w:r>
            <w:r>
              <w:rPr>
                <w:rFonts w:ascii="Cambria Math" w:hAnsi="Cambria Math"/>
                <w:i/>
                <w:vertAlign w:val="subscript"/>
              </w:rPr>
              <w:t>lot2</w:t>
            </w:r>
            <w:r>
              <w:rPr>
                <w:rFonts w:ascii="Cambria Math" w:hAnsi="Cambria Math"/>
                <w:i/>
              </w:rPr>
              <w:t>&gt; 40 kg Äq. CO</w:t>
            </w:r>
            <w:r>
              <w:rPr>
                <w:rFonts w:ascii="Cambria Math" w:hAnsi="Cambria Math"/>
                <w:i/>
                <w:vertAlign w:val="subscript"/>
              </w:rPr>
              <w:t>2</w:t>
            </w:r>
            <w:r>
              <w:rPr>
                <w:rFonts w:ascii="Cambria Math" w:hAnsi="Cambria Math"/>
                <w:i/>
              </w:rPr>
              <w:t>/m²</w:t>
            </w:r>
          </w:p>
        </w:tc>
        <w:tc>
          <w:tcPr>
            <w:tcW w:w="2266" w:type="pct"/>
            <w:vAlign w:val="center"/>
          </w:tcPr>
          <w:p w14:paraId="39956FC7" w14:textId="6817C863" w:rsidR="00224648" w:rsidRPr="00E601CA" w:rsidRDefault="00065F1A" w:rsidP="00662000">
            <w:pPr>
              <w:jc w:val="center"/>
            </w:pPr>
            <w:r>
              <w:t xml:space="preserve">0,5 </w:t>
            </w:r>
            <w:r>
              <w:rPr>
                <w:rFonts w:ascii="Cambria Math" w:hAnsi="Cambria Math"/>
              </w:rPr>
              <w:t>× (</w:t>
            </w:r>
            <w:r>
              <w:rPr>
                <w:rFonts w:ascii="Cambria Math" w:hAnsi="Cambria Math"/>
                <w:i/>
              </w:rPr>
              <w:t>I</w:t>
            </w:r>
            <w:r>
              <w:rPr>
                <w:rFonts w:ascii="Cambria Math" w:hAnsi="Cambria Math"/>
                <w:i/>
                <w:vertAlign w:val="subscript"/>
              </w:rPr>
              <w:t>lot2</w:t>
            </w:r>
            <w:r>
              <w:rPr>
                <w:rFonts w:ascii="Cambria Math" w:hAnsi="Cambria Math"/>
              </w:rPr>
              <w:t xml:space="preserve"> – 40)</w:t>
            </w:r>
          </w:p>
        </w:tc>
      </w:tr>
    </w:tbl>
    <w:p w14:paraId="296D0C82" w14:textId="52372109" w:rsidR="00224648" w:rsidRPr="00E601CA" w:rsidRDefault="00224648" w:rsidP="00224648">
      <w:r>
        <w:t xml:space="preserve">Wobei </w:t>
      </w:r>
      <m:oMath>
        <m:sSub>
          <m:sSubPr>
            <m:ctrlPr>
              <w:rPr>
                <w:rFonts w:ascii="Cambria Math" w:hAnsi="Cambria Math"/>
                <w:i/>
                <w:iCs/>
              </w:rPr>
            </m:ctrlPr>
          </m:sSubPr>
          <m:e>
            <m:r>
              <w:rPr>
                <w:rFonts w:ascii="Cambria Math" w:hAnsi="Cambria Math"/>
              </w:rPr>
              <m:t>I</m:t>
            </m:r>
          </m:e>
          <m:sub>
            <m:r>
              <w:rPr>
                <w:rFonts w:ascii="Cambria Math" w:hAnsi="Cambria Math"/>
              </w:rPr>
              <m:t>lot2</m:t>
            </m:r>
          </m:sub>
        </m:sSub>
      </m:oMath>
      <w:r>
        <w:t xml:space="preserve"> die Auswirkung auf den Klimawandel von Los 2 des Gebäudes oder Gebäudeteils darstellt, berechnet nach der dynamischen Methode des Berechnungsverfahrens gemäß Artikel 17.</w:t>
      </w:r>
    </w:p>
    <w:p w14:paraId="5785A021" w14:textId="77777777" w:rsidR="00224648" w:rsidRPr="00E601CA" w:rsidRDefault="00224648" w:rsidP="00224648"/>
    <w:p w14:paraId="3C5D0813" w14:textId="77777777" w:rsidR="00224648" w:rsidRPr="00E601CA" w:rsidRDefault="00224648" w:rsidP="00E8319A">
      <w:pPr>
        <w:pStyle w:val="Heading7"/>
        <w:numPr>
          <w:ilvl w:val="1"/>
          <w:numId w:val="16"/>
        </w:numPr>
      </w:pPr>
      <w:r>
        <w:t>Mehrfamilienhäuser:</w:t>
      </w:r>
    </w:p>
    <w:p w14:paraId="580BA4EE" w14:textId="12EB0B0F" w:rsidR="00224648" w:rsidRPr="00E601CA" w:rsidRDefault="00224648" w:rsidP="00224648">
      <w:pPr>
        <w:keepNext/>
      </w:pPr>
      <w:r>
        <w:t xml:space="preserve">Der Koeffizient </w:t>
      </w:r>
      <w:r>
        <w:rPr>
          <w:b/>
        </w:rPr>
        <w:t>Micombles</w:t>
      </w:r>
      <w:r>
        <w:t xml:space="preserve"> zur Modulierung von Ic</w:t>
      </w:r>
      <w:r>
        <w:rPr>
          <w:vertAlign w:val="subscript"/>
        </w:rPr>
        <w:t>Komponenten</w:t>
      </w:r>
      <w:r>
        <w:t>_max je nach Vorhandensein von ausgebauten Dachgeschossen in dem Gebäude oder Gebäudeteil wird nach folgender Formel berechnet: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890"/>
      </w:tblGrid>
      <w:tr w:rsidR="00FA2E84" w14:paraId="6206EB24" w14:textId="77777777" w:rsidTr="00A83508">
        <w:trPr>
          <w:jc w:val="center"/>
        </w:trPr>
        <w:tc>
          <w:tcPr>
            <w:tcW w:w="1530" w:type="dxa"/>
            <w:vMerge w:val="restart"/>
            <w:vAlign w:val="center"/>
          </w:tcPr>
          <w:p w14:paraId="60D5483B" w14:textId="5F863B36" w:rsidR="00FA2E84" w:rsidRPr="00A234E1" w:rsidRDefault="00FA2E84" w:rsidP="00A83508">
            <w:pPr>
              <w:jc w:val="center"/>
              <w:rPr>
                <w:rFonts w:ascii="Cambria Math" w:hAnsi="Cambria Math" w:hint="eastAsia"/>
                <w:i/>
              </w:rPr>
            </w:pPr>
            <w:r>
              <w:rPr>
                <w:rFonts w:ascii="Cambria Math" w:hAnsi="Cambria Math"/>
                <w:i/>
              </w:rPr>
              <w:t>Micombles =</w:t>
            </w:r>
          </w:p>
        </w:tc>
        <w:tc>
          <w:tcPr>
            <w:tcW w:w="1890" w:type="dxa"/>
            <w:tcBorders>
              <w:bottom w:val="single" w:sz="4" w:space="0" w:color="auto"/>
            </w:tcBorders>
            <w:vAlign w:val="center"/>
          </w:tcPr>
          <w:p w14:paraId="7140E7BB" w14:textId="77777777" w:rsidR="00FA2E84" w:rsidRPr="00A234E1" w:rsidRDefault="00FA2E84" w:rsidP="00A83508">
            <w:pPr>
              <w:jc w:val="center"/>
              <w:rPr>
                <w:rFonts w:ascii="Cambria Math" w:hAnsi="Cambria Math" w:hint="eastAsia"/>
                <w:i/>
              </w:rPr>
            </w:pPr>
            <w:r>
              <w:rPr>
                <w:rFonts w:ascii="Cambria Math" w:hAnsi="Cambria Math"/>
                <w:i/>
              </w:rPr>
              <w:t>(0,4 × Scombles)</w:t>
            </w:r>
          </w:p>
        </w:tc>
      </w:tr>
      <w:tr w:rsidR="00FA2E84" w14:paraId="76F9A2F3" w14:textId="77777777" w:rsidTr="00A83508">
        <w:trPr>
          <w:jc w:val="center"/>
        </w:trPr>
        <w:tc>
          <w:tcPr>
            <w:tcW w:w="1530" w:type="dxa"/>
            <w:vMerge/>
            <w:vAlign w:val="center"/>
          </w:tcPr>
          <w:p w14:paraId="3E77A7CF" w14:textId="77777777" w:rsidR="00FA2E84" w:rsidRPr="00A234E1" w:rsidRDefault="00FA2E84" w:rsidP="00A83508">
            <w:pPr>
              <w:jc w:val="center"/>
              <w:rPr>
                <w:rFonts w:ascii="Cambria Math" w:hAnsi="Cambria Math" w:hint="eastAsia"/>
                <w:i/>
              </w:rPr>
            </w:pPr>
          </w:p>
        </w:tc>
        <w:tc>
          <w:tcPr>
            <w:tcW w:w="1890" w:type="dxa"/>
            <w:tcBorders>
              <w:top w:val="single" w:sz="4" w:space="0" w:color="auto"/>
            </w:tcBorders>
            <w:vAlign w:val="center"/>
          </w:tcPr>
          <w:p w14:paraId="0F6D80FA" w14:textId="77777777" w:rsidR="00FA2E84" w:rsidRPr="00A234E1" w:rsidRDefault="00FA2E84" w:rsidP="00A83508">
            <w:pPr>
              <w:jc w:val="center"/>
              <w:rPr>
                <w:rFonts w:ascii="Cambria Math" w:hAnsi="Cambria Math" w:hint="eastAsia"/>
                <w:i/>
              </w:rPr>
            </w:pPr>
            <w:r>
              <w:rPr>
                <w:rFonts w:ascii="Cambria Math" w:hAnsi="Cambria Math"/>
                <w:i/>
              </w:rPr>
              <w:t>Sref</w:t>
            </w:r>
          </w:p>
        </w:tc>
      </w:tr>
    </w:tbl>
    <w:p w14:paraId="61ED43F4" w14:textId="77777777" w:rsidR="00FA2E84" w:rsidRPr="00E601CA" w:rsidRDefault="00FA2E84" w:rsidP="00FA2E84"/>
    <w:p w14:paraId="4759932F" w14:textId="63A9DB14" w:rsidR="00224648" w:rsidRPr="00E601CA" w:rsidRDefault="00224648" w:rsidP="00F74657">
      <w:r>
        <w:t>Wobei Scombles die Bodenfläche von ausgebauten Dachgeschossen mit einer Deckenhöhe von weniger als 1,8 m angibt.</w:t>
      </w:r>
    </w:p>
    <w:p w14:paraId="52704CE3" w14:textId="33B1AE11" w:rsidR="00224648" w:rsidRPr="00E601CA" w:rsidRDefault="00224648" w:rsidP="00224648">
      <w:pPr>
        <w:keepNext/>
      </w:pPr>
      <w:r>
        <w:t xml:space="preserve">Der Koeffizient </w:t>
      </w:r>
      <w:r>
        <w:rPr>
          <w:b/>
        </w:rPr>
        <w:t>Misurf</w:t>
      </w:r>
      <w:r>
        <w:t xml:space="preserve"> zur Modulierung von Ic</w:t>
      </w:r>
      <w:r>
        <w:rPr>
          <w:vertAlign w:val="subscript"/>
        </w:rPr>
        <w:t>Komponenten</w:t>
      </w:r>
      <w:r>
        <w:t xml:space="preserve">_max entsprechend der Bezugsfläche des Gebäudes oder Gebäudeteils </w:t>
      </w:r>
      <w:r>
        <w:rPr>
          <w:rFonts w:ascii="Cambria Math" w:hAnsi="Cambria Math"/>
          <w:i/>
        </w:rPr>
        <w:t xml:space="preserve">Sref </w:t>
      </w:r>
      <w:r>
        <w:t xml:space="preserve"> nimmt folgende Werte an:</w:t>
      </w:r>
    </w:p>
    <w:tbl>
      <w:tblPr>
        <w:tblStyle w:val="TableGrid"/>
        <w:tblW w:w="3441" w:type="pct"/>
        <w:jc w:val="center"/>
        <w:tblLook w:val="04A0" w:firstRow="1" w:lastRow="0" w:firstColumn="1" w:lastColumn="0" w:noHBand="0" w:noVBand="1"/>
      </w:tblPr>
      <w:tblGrid>
        <w:gridCol w:w="3410"/>
        <w:gridCol w:w="2826"/>
      </w:tblGrid>
      <w:tr w:rsidR="00224648" w:rsidRPr="00E601CA" w14:paraId="626B99CE" w14:textId="77777777" w:rsidTr="00FC0B23">
        <w:trPr>
          <w:jc w:val="center"/>
        </w:trPr>
        <w:tc>
          <w:tcPr>
            <w:tcW w:w="2734" w:type="pct"/>
            <w:shd w:val="clear" w:color="auto" w:fill="A6A6A6" w:themeFill="background1" w:themeFillShade="A6"/>
            <w:vAlign w:val="center"/>
          </w:tcPr>
          <w:p w14:paraId="39428000" w14:textId="58D2D640" w:rsidR="00224648" w:rsidRPr="00E601CA" w:rsidRDefault="00224648" w:rsidP="00FC0B23">
            <w:pPr>
              <w:keepNext/>
              <w:jc w:val="center"/>
            </w:pPr>
            <w:r>
              <w:t>Bezugsfläche des Gebäudes</w:t>
            </w:r>
          </w:p>
        </w:tc>
        <w:tc>
          <w:tcPr>
            <w:tcW w:w="2266" w:type="pct"/>
            <w:shd w:val="clear" w:color="auto" w:fill="A6A6A6" w:themeFill="background1" w:themeFillShade="A6"/>
            <w:vAlign w:val="center"/>
          </w:tcPr>
          <w:p w14:paraId="47354A2E" w14:textId="216A262F" w:rsidR="00224648" w:rsidRPr="00E601CA" w:rsidRDefault="00224648" w:rsidP="00FC0B23">
            <w:pPr>
              <w:keepNext/>
              <w:jc w:val="center"/>
            </w:pPr>
            <w:r>
              <w:t>Misurf</w:t>
            </w:r>
          </w:p>
        </w:tc>
      </w:tr>
      <w:tr w:rsidR="00224648" w:rsidRPr="00E601CA" w14:paraId="1F18541B" w14:textId="77777777" w:rsidTr="00FC0B23">
        <w:trPr>
          <w:jc w:val="center"/>
        </w:trPr>
        <w:tc>
          <w:tcPr>
            <w:tcW w:w="2734" w:type="pct"/>
            <w:shd w:val="clear" w:color="auto" w:fill="F2F2F2" w:themeFill="background1" w:themeFillShade="F2"/>
            <w:vAlign w:val="center"/>
          </w:tcPr>
          <w:p w14:paraId="54F85E88" w14:textId="0BA5C789" w:rsidR="00224648" w:rsidRPr="0035261C" w:rsidRDefault="0035261C" w:rsidP="0035261C">
            <w:pPr>
              <w:jc w:val="center"/>
            </w:pPr>
            <w:r>
              <w:t>Wenn</w:t>
            </w:r>
            <w:r>
              <w:rPr>
                <w:rFonts w:ascii="Cambria Math" w:hAnsi="Cambria Math"/>
                <w:i/>
              </w:rPr>
              <w:t xml:space="preserve"> Sref ≤ 1300 m²</w:t>
            </w:r>
          </w:p>
        </w:tc>
        <w:tc>
          <w:tcPr>
            <w:tcW w:w="2266" w:type="pct"/>
            <w:vAlign w:val="center"/>
          </w:tcPr>
          <w:p w14:paraId="574F7A6C" w14:textId="5D93B42C" w:rsidR="00224648" w:rsidRPr="00E601CA" w:rsidRDefault="00224648" w:rsidP="00074A18">
            <w:pPr>
              <w:jc w:val="center"/>
            </w:pPr>
            <m:oMathPara>
              <m:oMath>
                <m:r>
                  <w:rPr>
                    <w:rFonts w:ascii="Cambria Math" w:hAnsi="Cambria Math"/>
                  </w:rPr>
                  <m:t>-0,168+</m:t>
                </m:r>
                <m:f>
                  <m:fPr>
                    <m:ctrlPr>
                      <w:rPr>
                        <w:rFonts w:ascii="Cambria Math" w:hAnsi="Cambria Math"/>
                        <w:i/>
                        <w:iCs/>
                      </w:rPr>
                    </m:ctrlPr>
                  </m:fPr>
                  <m:num>
                    <m:r>
                      <w:rPr>
                        <w:rFonts w:ascii="Cambria Math" w:hAnsi="Cambria Math"/>
                      </w:rPr>
                      <m:t>1,29×Sref</m:t>
                    </m:r>
                  </m:num>
                  <m:den>
                    <m:r>
                      <w:rPr>
                        <w:rFonts w:ascii="Cambria Math" w:hAnsi="Cambria Math"/>
                      </w:rPr>
                      <m:t>10000</m:t>
                    </m:r>
                  </m:den>
                </m:f>
              </m:oMath>
            </m:oMathPara>
          </w:p>
        </w:tc>
      </w:tr>
      <w:tr w:rsidR="00224648" w:rsidRPr="00E601CA" w14:paraId="3ABDB81D" w14:textId="77777777" w:rsidTr="00FC0B23">
        <w:trPr>
          <w:jc w:val="center"/>
        </w:trPr>
        <w:tc>
          <w:tcPr>
            <w:tcW w:w="2734" w:type="pct"/>
            <w:shd w:val="clear" w:color="auto" w:fill="F2F2F2" w:themeFill="background1" w:themeFillShade="F2"/>
            <w:vAlign w:val="center"/>
          </w:tcPr>
          <w:p w14:paraId="035F659B" w14:textId="3DC0ECBC" w:rsidR="00224648" w:rsidRPr="00E601CA" w:rsidRDefault="0035261C" w:rsidP="0035261C">
            <w:pPr>
              <w:jc w:val="center"/>
            </w:pPr>
            <w:r>
              <w:t>Wenn</w:t>
            </w:r>
            <w:r>
              <w:rPr>
                <w:rFonts w:ascii="Cambria Math" w:hAnsi="Cambria Math"/>
                <w:i/>
              </w:rPr>
              <w:t xml:space="preserve"> 1300 m² &lt; Sref &lt; 4000 m²</w:t>
            </w:r>
          </w:p>
        </w:tc>
        <w:tc>
          <w:tcPr>
            <w:tcW w:w="2266" w:type="pct"/>
            <w:vAlign w:val="center"/>
          </w:tcPr>
          <w:p w14:paraId="7DC99DF5" w14:textId="0673F2D3" w:rsidR="00224648" w:rsidRPr="00E601CA" w:rsidRDefault="00E30E9F" w:rsidP="00074A18">
            <w:pPr>
              <w:jc w:val="center"/>
            </w:pPr>
            <m:oMathPara>
              <m:oMath>
                <m:r>
                  <w:rPr>
                    <w:rFonts w:ascii="Cambria Math" w:hAnsi="Cambria Math"/>
                  </w:rPr>
                  <m:t>0,04-</m:t>
                </m:r>
                <m:f>
                  <m:fPr>
                    <m:ctrlPr>
                      <w:rPr>
                        <w:rFonts w:ascii="Cambria Math" w:hAnsi="Cambria Math"/>
                        <w:i/>
                        <w:iCs/>
                      </w:rPr>
                    </m:ctrlPr>
                  </m:fPr>
                  <m:num>
                    <m:r>
                      <w:rPr>
                        <w:rFonts w:ascii="Cambria Math" w:hAnsi="Cambria Math"/>
                      </w:rPr>
                      <m:t>0,345×Sref</m:t>
                    </m:r>
                  </m:num>
                  <m:den>
                    <m:r>
                      <w:rPr>
                        <w:rFonts w:ascii="Cambria Math" w:hAnsi="Cambria Math"/>
                      </w:rPr>
                      <m:t>10000</m:t>
                    </m:r>
                  </m:den>
                </m:f>
              </m:oMath>
            </m:oMathPara>
          </w:p>
        </w:tc>
      </w:tr>
      <w:tr w:rsidR="00257E0C" w:rsidRPr="00E601CA" w14:paraId="7B71D316" w14:textId="77777777" w:rsidTr="00FC0B23">
        <w:trPr>
          <w:jc w:val="center"/>
        </w:trPr>
        <w:tc>
          <w:tcPr>
            <w:tcW w:w="2734" w:type="pct"/>
            <w:shd w:val="clear" w:color="auto" w:fill="F2F2F2" w:themeFill="background1" w:themeFillShade="F2"/>
            <w:vAlign w:val="center"/>
          </w:tcPr>
          <w:p w14:paraId="71D20D16" w14:textId="780D6E2F" w:rsidR="00257E0C" w:rsidRPr="00E601CA" w:rsidRDefault="00EE1F91" w:rsidP="00EE1F91">
            <w:pPr>
              <w:jc w:val="center"/>
              <w:rPr>
                <w:rFonts w:ascii="Calibri" w:eastAsia="Calibri" w:hAnsi="Calibri" w:cs="Times New Roman"/>
              </w:rPr>
            </w:pPr>
            <w:r>
              <w:t>Wenn</w:t>
            </w:r>
            <w:r>
              <w:rPr>
                <w:rFonts w:ascii="Cambria Math" w:hAnsi="Cambria Math"/>
                <w:i/>
              </w:rPr>
              <w:t xml:space="preserve"> Sref ≥ 4000 m²</w:t>
            </w:r>
          </w:p>
        </w:tc>
        <w:tc>
          <w:tcPr>
            <w:tcW w:w="2266" w:type="pct"/>
            <w:vAlign w:val="center"/>
          </w:tcPr>
          <w:p w14:paraId="224CE820" w14:textId="29373F47" w:rsidR="00257E0C" w:rsidRPr="00E601CA" w:rsidRDefault="00257E0C" w:rsidP="00074A18">
            <w:pPr>
              <w:jc w:val="center"/>
              <w:rPr>
                <w:rFonts w:ascii="Calibri" w:eastAsia="Calibri" w:hAnsi="Calibri" w:cs="Times New Roman"/>
              </w:rPr>
            </w:pPr>
            <m:oMathPara>
              <m:oMath>
                <m:r>
                  <w:rPr>
                    <w:rFonts w:ascii="Cambria Math" w:hAnsi="Cambria Math"/>
                  </w:rPr>
                  <m:t>-0,098</m:t>
                </m:r>
              </m:oMath>
            </m:oMathPara>
          </w:p>
        </w:tc>
      </w:tr>
    </w:tbl>
    <w:p w14:paraId="1B4D10F8" w14:textId="77777777" w:rsidR="00224648" w:rsidRPr="00E601CA" w:rsidRDefault="00224648" w:rsidP="00224648"/>
    <w:p w14:paraId="7690CB2A" w14:textId="77777777" w:rsidR="00224648" w:rsidRPr="00E601CA" w:rsidRDefault="00224648" w:rsidP="00455AB7">
      <w:pPr>
        <w:keepNext/>
      </w:pPr>
      <w:r>
        <w:lastRenderedPageBreak/>
        <w:t xml:space="preserve">Der Koeffizient </w:t>
      </w:r>
      <w:r>
        <w:rPr>
          <w:b/>
          <w:bCs/>
        </w:rPr>
        <w:t>Miinfra</w:t>
      </w:r>
      <w:r>
        <w:t xml:space="preserve"> zur Modulierung von Ic</w:t>
      </w:r>
      <w:r>
        <w:rPr>
          <w:vertAlign w:val="subscript"/>
        </w:rPr>
        <w:t>Komponenten</w:t>
      </w:r>
      <w:r>
        <w:t>_max entsprechend der Auswirkung der Fundamente und Kellerräume des Gebäudes nimmt folgende Werte an:</w:t>
      </w:r>
    </w:p>
    <w:tbl>
      <w:tblPr>
        <w:tblStyle w:val="TableGrid"/>
        <w:tblW w:w="3441" w:type="pct"/>
        <w:jc w:val="center"/>
        <w:tblLook w:val="04A0" w:firstRow="1" w:lastRow="0" w:firstColumn="1" w:lastColumn="0" w:noHBand="0" w:noVBand="1"/>
      </w:tblPr>
      <w:tblGrid>
        <w:gridCol w:w="3410"/>
        <w:gridCol w:w="2826"/>
      </w:tblGrid>
      <w:tr w:rsidR="00224648" w:rsidRPr="00E601CA" w14:paraId="2CB34F6B" w14:textId="77777777" w:rsidTr="00074A18">
        <w:trPr>
          <w:jc w:val="center"/>
        </w:trPr>
        <w:tc>
          <w:tcPr>
            <w:tcW w:w="2734" w:type="pct"/>
            <w:shd w:val="clear" w:color="auto" w:fill="A6A6A6" w:themeFill="background1" w:themeFillShade="A6"/>
            <w:vAlign w:val="center"/>
          </w:tcPr>
          <w:p w14:paraId="2BCEF8A1" w14:textId="77777777" w:rsidR="00224648" w:rsidRPr="00E601CA" w:rsidRDefault="00224648" w:rsidP="00FC0B23">
            <w:pPr>
              <w:keepNext/>
              <w:jc w:val="center"/>
            </w:pPr>
            <w:r>
              <w:t xml:space="preserve">Wert von </w:t>
            </w:r>
            <m:oMath>
              <m:sSub>
                <m:sSubPr>
                  <m:ctrlPr>
                    <w:rPr>
                      <w:rFonts w:ascii="Cambria Math" w:hAnsi="Cambria Math"/>
                      <w:i/>
                      <w:iCs/>
                    </w:rPr>
                  </m:ctrlPr>
                </m:sSubPr>
                <m:e>
                  <m:r>
                    <w:rPr>
                      <w:rFonts w:ascii="Cambria Math" w:hAnsi="Cambria Math"/>
                    </w:rPr>
                    <m:t xml:space="preserve"> I</m:t>
                  </m:r>
                </m:e>
                <m:sub>
                  <m:r>
                    <w:rPr>
                      <w:rFonts w:ascii="Cambria Math" w:hAnsi="Cambria Math"/>
                    </w:rPr>
                    <m:t>lot2</m:t>
                  </m:r>
                </m:sub>
              </m:sSub>
            </m:oMath>
          </w:p>
        </w:tc>
        <w:tc>
          <w:tcPr>
            <w:tcW w:w="2266" w:type="pct"/>
            <w:shd w:val="clear" w:color="auto" w:fill="A6A6A6" w:themeFill="background1" w:themeFillShade="A6"/>
            <w:vAlign w:val="center"/>
          </w:tcPr>
          <w:p w14:paraId="3E250165" w14:textId="77777777" w:rsidR="00224648" w:rsidRPr="00E601CA" w:rsidRDefault="00224648" w:rsidP="00FC0B23">
            <w:pPr>
              <w:keepNext/>
              <w:jc w:val="center"/>
            </w:pPr>
            <w:r>
              <w:t>Miinfra</w:t>
            </w:r>
          </w:p>
        </w:tc>
      </w:tr>
      <w:tr w:rsidR="00224648" w:rsidRPr="00E601CA" w14:paraId="4179F008" w14:textId="77777777" w:rsidTr="00074A18">
        <w:trPr>
          <w:jc w:val="center"/>
        </w:trPr>
        <w:tc>
          <w:tcPr>
            <w:tcW w:w="2734" w:type="pct"/>
            <w:shd w:val="clear" w:color="auto" w:fill="F2F2F2" w:themeFill="background1" w:themeFillShade="F2"/>
            <w:vAlign w:val="center"/>
          </w:tcPr>
          <w:p w14:paraId="75FA7989" w14:textId="3C7D6636" w:rsidR="00224648" w:rsidRPr="00E601CA" w:rsidRDefault="00662000" w:rsidP="00662000">
            <w:pPr>
              <w:keepNext/>
              <w:jc w:val="center"/>
            </w:pPr>
            <w:r>
              <w:t>Wenn</w:t>
            </w:r>
            <w:r>
              <w:rPr>
                <w:rFonts w:ascii="Cambria Math" w:hAnsi="Cambria Math"/>
                <w:i/>
              </w:rPr>
              <w:t xml:space="preserve"> I</w:t>
            </w:r>
            <w:r>
              <w:rPr>
                <w:rFonts w:ascii="Cambria Math" w:hAnsi="Cambria Math"/>
                <w:i/>
                <w:vertAlign w:val="subscript"/>
              </w:rPr>
              <w:t>lot2</w:t>
            </w:r>
            <w:r>
              <w:rPr>
                <w:rFonts w:ascii="Cambria Math" w:hAnsi="Cambria Math"/>
                <w:i/>
              </w:rPr>
              <w:t xml:space="preserve"> ≤ 40 kg Äq. CO</w:t>
            </w:r>
            <w:r>
              <w:rPr>
                <w:rFonts w:ascii="Cambria Math" w:hAnsi="Cambria Math"/>
                <w:i/>
                <w:vertAlign w:val="subscript"/>
              </w:rPr>
              <w:t>2</w:t>
            </w:r>
            <w:r>
              <w:rPr>
                <w:rFonts w:ascii="Cambria Math" w:hAnsi="Cambria Math"/>
                <w:i/>
              </w:rPr>
              <w:t>/m²</w:t>
            </w:r>
          </w:p>
        </w:tc>
        <w:tc>
          <w:tcPr>
            <w:tcW w:w="2266" w:type="pct"/>
            <w:vAlign w:val="center"/>
          </w:tcPr>
          <w:p w14:paraId="2515696B" w14:textId="77777777" w:rsidR="00224648" w:rsidRPr="00E601CA" w:rsidRDefault="00224648" w:rsidP="00FC0B23">
            <w:pPr>
              <w:keepNext/>
              <w:jc w:val="center"/>
            </w:pPr>
            <m:oMathPara>
              <m:oMath>
                <m:r>
                  <w:rPr>
                    <w:rFonts w:ascii="Cambria Math" w:hAnsi="Cambria Math"/>
                  </w:rPr>
                  <m:t>0</m:t>
                </m:r>
              </m:oMath>
            </m:oMathPara>
          </w:p>
        </w:tc>
      </w:tr>
      <w:tr w:rsidR="00224648" w:rsidRPr="00E601CA" w14:paraId="44649228" w14:textId="77777777" w:rsidTr="00074A18">
        <w:trPr>
          <w:jc w:val="center"/>
        </w:trPr>
        <w:tc>
          <w:tcPr>
            <w:tcW w:w="2734" w:type="pct"/>
            <w:shd w:val="clear" w:color="auto" w:fill="F2F2F2" w:themeFill="background1" w:themeFillShade="F2"/>
            <w:vAlign w:val="center"/>
          </w:tcPr>
          <w:p w14:paraId="7DFA4BA7" w14:textId="3F5C1874" w:rsidR="00224648" w:rsidRPr="00E601CA" w:rsidRDefault="00662000" w:rsidP="00662000">
            <w:pPr>
              <w:keepNext/>
              <w:jc w:val="center"/>
            </w:pPr>
            <w:r>
              <w:t>Wenn</w:t>
            </w:r>
            <w:r>
              <w:rPr>
                <w:rFonts w:ascii="Cambria Math" w:hAnsi="Cambria Math"/>
                <w:i/>
              </w:rPr>
              <w:t xml:space="preserve"> I</w:t>
            </w:r>
            <w:r>
              <w:rPr>
                <w:rFonts w:ascii="Cambria Math" w:hAnsi="Cambria Math"/>
                <w:i/>
                <w:vertAlign w:val="subscript"/>
              </w:rPr>
              <w:t>lot2</w:t>
            </w:r>
            <w:r>
              <w:rPr>
                <w:rFonts w:ascii="Cambria Math" w:hAnsi="Cambria Math"/>
                <w:i/>
              </w:rPr>
              <w:t>&gt; 40 kg Äq. CO</w:t>
            </w:r>
            <w:r>
              <w:rPr>
                <w:rFonts w:ascii="Cambria Math" w:hAnsi="Cambria Math"/>
                <w:i/>
                <w:vertAlign w:val="subscript"/>
              </w:rPr>
              <w:t>2</w:t>
            </w:r>
            <w:r>
              <w:rPr>
                <w:rFonts w:ascii="Cambria Math" w:hAnsi="Cambria Math"/>
                <w:i/>
              </w:rPr>
              <w:t>/m²</w:t>
            </w:r>
          </w:p>
        </w:tc>
        <w:tc>
          <w:tcPr>
            <w:tcW w:w="2266" w:type="pct"/>
            <w:vAlign w:val="center"/>
          </w:tcPr>
          <w:p w14:paraId="06354354" w14:textId="77777777" w:rsidR="00224648" w:rsidRPr="00E601CA" w:rsidRDefault="00224648" w:rsidP="00FC0B23">
            <w:pPr>
              <w:keepNext/>
              <w:jc w:val="center"/>
            </w:pPr>
            <m:oMathPara>
              <m:oMath>
                <m:r>
                  <w:rPr>
                    <w:rFonts w:ascii="Cambria Math" w:hAnsi="Cambria Math"/>
                  </w:rPr>
                  <m:t>0,5×</m:t>
                </m:r>
                <m:d>
                  <m:dPr>
                    <m:ctrlPr>
                      <w:rPr>
                        <w:rFonts w:ascii="Cambria Math" w:hAnsi="Cambria Math"/>
                        <w:i/>
                        <w:iCs/>
                      </w:rPr>
                    </m:ctrlPr>
                  </m:dPr>
                  <m:e>
                    <m:sSub>
                      <m:sSubPr>
                        <m:ctrlPr>
                          <w:rPr>
                            <w:rFonts w:ascii="Cambria Math" w:hAnsi="Cambria Math"/>
                            <w:i/>
                            <w:iCs/>
                          </w:rPr>
                        </m:ctrlPr>
                      </m:sSubPr>
                      <m:e>
                        <m:r>
                          <w:rPr>
                            <w:rFonts w:ascii="Cambria Math" w:hAnsi="Cambria Math"/>
                          </w:rPr>
                          <m:t>I</m:t>
                        </m:r>
                      </m:e>
                      <m:sub>
                        <m:r>
                          <w:rPr>
                            <w:rFonts w:ascii="Cambria Math" w:hAnsi="Cambria Math"/>
                          </w:rPr>
                          <m:t>lot2</m:t>
                        </m:r>
                      </m:sub>
                    </m:sSub>
                    <m:r>
                      <w:rPr>
                        <w:rFonts w:ascii="Cambria Math" w:hAnsi="Cambria Math"/>
                      </w:rPr>
                      <m:t>-40</m:t>
                    </m:r>
                  </m:e>
                </m:d>
              </m:oMath>
            </m:oMathPara>
          </w:p>
        </w:tc>
      </w:tr>
    </w:tbl>
    <w:p w14:paraId="6147DB8D" w14:textId="27FB3B6D" w:rsidR="00224648" w:rsidRPr="00E601CA" w:rsidRDefault="00224648" w:rsidP="00224648">
      <w:r>
        <w:t xml:space="preserve">Wobei </w:t>
      </w:r>
      <m:oMath>
        <m:sSub>
          <m:sSubPr>
            <m:ctrlPr>
              <w:rPr>
                <w:rFonts w:ascii="Cambria Math" w:hAnsi="Cambria Math"/>
                <w:i/>
                <w:iCs/>
              </w:rPr>
            </m:ctrlPr>
          </m:sSubPr>
          <m:e>
            <m:r>
              <w:rPr>
                <w:rFonts w:ascii="Cambria Math" w:hAnsi="Cambria Math"/>
              </w:rPr>
              <m:t>I</m:t>
            </m:r>
          </m:e>
          <m:sub>
            <m:r>
              <w:rPr>
                <w:rFonts w:ascii="Cambria Math" w:hAnsi="Cambria Math"/>
              </w:rPr>
              <m:t>lot2</m:t>
            </m:r>
          </m:sub>
        </m:sSub>
      </m:oMath>
      <w:r>
        <w:t xml:space="preserve"> die Auswirkung auf den Klimawandel von Los 2 des Gebäudes oder Gebäudeteils darstellt, berechnet nach der dynamischen Methode des Berechnungsverfahrens gemäß Artikel 17.</w:t>
      </w:r>
    </w:p>
    <w:p w14:paraId="0C7235F5" w14:textId="6F075B6F" w:rsidR="007B643E" w:rsidRPr="00E601CA" w:rsidRDefault="008203F4" w:rsidP="00455AB7">
      <w:pPr>
        <w:pStyle w:val="Heading5"/>
        <w:keepNext/>
        <w:numPr>
          <w:ilvl w:val="0"/>
          <w:numId w:val="0"/>
        </w:numPr>
        <w:ind w:left="360" w:hanging="3"/>
      </w:pPr>
      <w:r>
        <w:rPr>
          <w:b w:val="0"/>
        </w:rPr>
        <w:t>TEIL V:</w:t>
      </w:r>
      <w:r>
        <w:rPr>
          <w:b w:val="0"/>
        </w:rPr>
        <w:tab/>
      </w:r>
      <w:r>
        <w:t>Werte von DH_maxcat</w:t>
      </w:r>
    </w:p>
    <w:p w14:paraId="5803788C" w14:textId="4CDF44F3" w:rsidR="00713976" w:rsidRPr="00E601CA" w:rsidRDefault="00713976" w:rsidP="00455AB7">
      <w:pPr>
        <w:keepNext/>
      </w:pPr>
      <w:r>
        <w:t>Der Wert DH_maxcat, der für jede Kategorie der Außenbelastung festgelegt wird, nimmt die folgenden Werte an:</w:t>
      </w:r>
    </w:p>
    <w:tbl>
      <w:tblPr>
        <w:tblStyle w:val="TableGrid"/>
        <w:tblW w:w="0" w:type="auto"/>
        <w:jc w:val="center"/>
        <w:tblLook w:val="04A0" w:firstRow="1" w:lastRow="0" w:firstColumn="1" w:lastColumn="0" w:noHBand="0" w:noVBand="1"/>
      </w:tblPr>
      <w:tblGrid>
        <w:gridCol w:w="2291"/>
        <w:gridCol w:w="2291"/>
        <w:gridCol w:w="2291"/>
      </w:tblGrid>
      <w:tr w:rsidR="009265F3" w:rsidRPr="00E601CA" w14:paraId="63E63B79" w14:textId="654EFDFE" w:rsidTr="00074A18">
        <w:trPr>
          <w:jc w:val="center"/>
        </w:trPr>
        <w:tc>
          <w:tcPr>
            <w:tcW w:w="2291" w:type="dxa"/>
            <w:tcBorders>
              <w:top w:val="nil"/>
              <w:left w:val="nil"/>
            </w:tcBorders>
          </w:tcPr>
          <w:p w14:paraId="0112D328" w14:textId="77777777" w:rsidR="009265F3" w:rsidRPr="00E601CA" w:rsidRDefault="009265F3" w:rsidP="00455AB7">
            <w:pPr>
              <w:keepNext/>
              <w:jc w:val="center"/>
            </w:pPr>
          </w:p>
        </w:tc>
        <w:tc>
          <w:tcPr>
            <w:tcW w:w="2291" w:type="dxa"/>
            <w:shd w:val="clear" w:color="auto" w:fill="A6A6A6" w:themeFill="background1" w:themeFillShade="A6"/>
          </w:tcPr>
          <w:p w14:paraId="4A3B66DE" w14:textId="5861190A" w:rsidR="009265F3" w:rsidRPr="00E601CA" w:rsidRDefault="009265F3" w:rsidP="00455AB7">
            <w:pPr>
              <w:keepNext/>
              <w:jc w:val="center"/>
            </w:pPr>
            <w:r>
              <w:t>Kategorie 1</w:t>
            </w:r>
          </w:p>
        </w:tc>
        <w:tc>
          <w:tcPr>
            <w:tcW w:w="2291" w:type="dxa"/>
            <w:shd w:val="clear" w:color="auto" w:fill="A6A6A6" w:themeFill="background1" w:themeFillShade="A6"/>
          </w:tcPr>
          <w:p w14:paraId="2272F31C" w14:textId="4857B27E" w:rsidR="009265F3" w:rsidRPr="00E601CA" w:rsidRDefault="009265F3" w:rsidP="00455AB7">
            <w:pPr>
              <w:keepNext/>
              <w:jc w:val="center"/>
            </w:pPr>
            <w:r>
              <w:t>Kategorie 2</w:t>
            </w:r>
          </w:p>
        </w:tc>
      </w:tr>
      <w:tr w:rsidR="009265F3" w:rsidRPr="00E601CA" w14:paraId="7681FFD5" w14:textId="2EE539FC" w:rsidTr="00074A18">
        <w:trPr>
          <w:jc w:val="center"/>
        </w:trPr>
        <w:tc>
          <w:tcPr>
            <w:tcW w:w="2291" w:type="dxa"/>
            <w:shd w:val="clear" w:color="auto" w:fill="F2F2F2" w:themeFill="background1" w:themeFillShade="F2"/>
          </w:tcPr>
          <w:p w14:paraId="5600D624" w14:textId="14D59316" w:rsidR="009265F3" w:rsidRPr="00E601CA" w:rsidRDefault="009265F3" w:rsidP="007B643E">
            <w:pPr>
              <w:jc w:val="center"/>
            </w:pPr>
            <w:r>
              <w:t>DH_maxcat</w:t>
            </w:r>
          </w:p>
        </w:tc>
        <w:tc>
          <w:tcPr>
            <w:tcW w:w="2291" w:type="dxa"/>
          </w:tcPr>
          <w:p w14:paraId="79240934" w14:textId="393C2E88" w:rsidR="009265F3" w:rsidRPr="00E601CA" w:rsidRDefault="009265F3" w:rsidP="007B643E">
            <w:pPr>
              <w:jc w:val="center"/>
            </w:pPr>
            <w:r>
              <w:t>1250</w:t>
            </w:r>
          </w:p>
        </w:tc>
        <w:tc>
          <w:tcPr>
            <w:tcW w:w="2291" w:type="dxa"/>
          </w:tcPr>
          <w:p w14:paraId="2AEE56F5" w14:textId="3BF7236D" w:rsidR="009265F3" w:rsidRPr="00E601CA" w:rsidRDefault="009265F3" w:rsidP="00713976">
            <w:pPr>
              <w:jc w:val="center"/>
            </w:pPr>
            <w:r>
              <w:t>1850</w:t>
            </w:r>
          </w:p>
        </w:tc>
      </w:tr>
    </w:tbl>
    <w:p w14:paraId="7C518D5A" w14:textId="77777777" w:rsidR="00713976" w:rsidRPr="00E601CA" w:rsidRDefault="00713976" w:rsidP="007B643E"/>
    <w:p w14:paraId="6EB696E8" w14:textId="72662553" w:rsidR="009F2A30" w:rsidRPr="00E601CA" w:rsidRDefault="003815E1" w:rsidP="00455AB7">
      <w:pPr>
        <w:pStyle w:val="Heading4"/>
        <w:keepNext/>
        <w:numPr>
          <w:ilvl w:val="0"/>
          <w:numId w:val="0"/>
        </w:numPr>
      </w:pPr>
      <w:bookmarkStart w:id="69" w:name="_Ref57918471"/>
      <w:bookmarkStart w:id="70" w:name="_Ref49446495"/>
      <w:r>
        <w:rPr>
          <w:b w:val="0"/>
        </w:rPr>
        <w:t xml:space="preserve">ANHANG V. </w:t>
      </w:r>
      <w:r>
        <w:t>(VERFAHREN FÜR DIE EIGENKONTROLLE UND SOFTWAREBEWERTUNG)</w:t>
      </w:r>
      <w:bookmarkEnd w:id="69"/>
      <w:r>
        <w:t xml:space="preserve"> </w:t>
      </w:r>
    </w:p>
    <w:p w14:paraId="0FB891EA" w14:textId="77777777" w:rsidR="009F40F7" w:rsidRPr="00E601CA" w:rsidRDefault="009F40F7" w:rsidP="00455AB7">
      <w:pPr>
        <w:keepNext/>
      </w:pPr>
    </w:p>
    <w:p w14:paraId="7C4F274B" w14:textId="53B2D7D6" w:rsidR="00B64F22" w:rsidRPr="00E601CA" w:rsidRDefault="003815E1" w:rsidP="00455AB7">
      <w:pPr>
        <w:pStyle w:val="Heading4"/>
        <w:keepNext/>
        <w:numPr>
          <w:ilvl w:val="0"/>
          <w:numId w:val="0"/>
        </w:numPr>
      </w:pPr>
      <w:bookmarkStart w:id="71" w:name="_Ref57918275"/>
      <w:r>
        <w:rPr>
          <w:b w:val="0"/>
        </w:rPr>
        <w:t xml:space="preserve">ANHANG VI. </w:t>
      </w:r>
      <w:r>
        <w:t>(INHALT DER STANDARDISIERTEN ZUSAMMENFASSUNG DER ENERGIE- UND UMWELTPRÜFUNG)</w:t>
      </w:r>
      <w:bookmarkEnd w:id="71"/>
      <w:r>
        <w:t xml:space="preserve"> </w:t>
      </w:r>
    </w:p>
    <w:p w14:paraId="767B2BC1" w14:textId="6C238050" w:rsidR="00A93FE3" w:rsidRPr="00E601CA" w:rsidRDefault="00A93FE3" w:rsidP="00455AB7">
      <w:pPr>
        <w:keepNext/>
      </w:pPr>
      <w:r>
        <w:t>Für jedes Gebäude, das unter den vorliegenden Erlass fällt, mit Ausnahme der Gebäude gemäß Artikel 11, wird die standardisierte Zusammenfassung der Energie- und Umweltprüfung anhand einer Computerdatei im XML-Format, die folgende Elemente enthält, wiedergegeben.</w:t>
      </w:r>
    </w:p>
    <w:p w14:paraId="6E4A7AC1" w14:textId="2435A8C8" w:rsidR="00A93FE3" w:rsidRPr="00E601CA" w:rsidRDefault="00A93FE3" w:rsidP="00A93FE3">
      <w:pPr>
        <w:rPr>
          <w:b/>
        </w:rPr>
      </w:pPr>
      <w:r>
        <w:rPr>
          <w:b/>
        </w:rPr>
        <w:t>Kapitel 1: Verwaltungstechnische Daten des Gebäudes</w:t>
      </w:r>
    </w:p>
    <w:p w14:paraId="4AE21273" w14:textId="350C2DF4" w:rsidR="00A93FE3" w:rsidRPr="00E601CA" w:rsidRDefault="00A93FE3" w:rsidP="00455AB7">
      <w:pPr>
        <w:keepNext/>
      </w:pPr>
      <w:r>
        <w:rPr>
          <w:b/>
        </w:rPr>
        <w:t>Kapitel 2: Anforderungen an die Energieeffizienz gemäß Titel II und Wärmeeigenschaften und Anforderungen gemäß Titel III des vorliegenden Erlasses, mit folgenden Angaben:</w:t>
      </w:r>
    </w:p>
    <w:p w14:paraId="5DEAB305" w14:textId="44C25AC4" w:rsidR="00A93FE3" w:rsidRPr="00E601CA" w:rsidRDefault="00A93FE3" w:rsidP="00A93FE3">
      <w:r>
        <w:t>– Werte von Bbio, Bbio_max, Cep,nr, Cep,nr_max, Cep, Cep_max, Ic</w:t>
      </w:r>
      <w:r>
        <w:rPr>
          <w:vertAlign w:val="subscript"/>
        </w:rPr>
        <w:t>Energie</w:t>
      </w:r>
      <w:r>
        <w:t>, Ic</w:t>
      </w:r>
      <w:r>
        <w:rPr>
          <w:vertAlign w:val="subscript"/>
        </w:rPr>
        <w:t>Energie</w:t>
      </w:r>
      <w:r>
        <w:t>_max, Ic</w:t>
      </w:r>
      <w:r>
        <w:rPr>
          <w:vertAlign w:val="subscript"/>
        </w:rPr>
        <w:t>Komponenten</w:t>
      </w:r>
      <w:r>
        <w:t>, Ic</w:t>
      </w:r>
      <w:r>
        <w:rPr>
          <w:vertAlign w:val="subscript"/>
        </w:rPr>
        <w:t>Komponenten</w:t>
      </w:r>
      <w:r>
        <w:t>_max, DH und DH_max des Gebäudes gemäß den Bestimmungen der TITEL I und II des vorliegenden Erlasses,</w:t>
      </w:r>
    </w:p>
    <w:p w14:paraId="7B9CF3D1" w14:textId="1D8EED4E" w:rsidR="00A93FE3" w:rsidRPr="00E601CA" w:rsidRDefault="00A93FE3" w:rsidP="00A93FE3">
      <w:r>
        <w:t>– Werte der Anforderungen für ein durchschnittliches Gebäude sowie der in Anwendung von ANHANG IV des vorliegenden Erlasses ermittelten Modulationen,</w:t>
      </w:r>
    </w:p>
    <w:p w14:paraId="0FE2C094" w14:textId="77777777" w:rsidR="00A93FE3" w:rsidRPr="00E601CA" w:rsidRDefault="00A93FE3" w:rsidP="00A93FE3">
      <w:r>
        <w:t>– Wert der bei den Berechnungen verwendeten Bezugsfläche des Gebäudes,</w:t>
      </w:r>
    </w:p>
    <w:p w14:paraId="0902A79D" w14:textId="77777777" w:rsidR="00A93FE3" w:rsidRPr="00E601CA" w:rsidRDefault="00A93FE3" w:rsidP="00A93FE3">
      <w:r>
        <w:t>– Status des Gebäudeprojekts gegenüber den einzelnen Anforderungen an Maßnahmen gemäß Titel III des vorliegenden Erlasses, dem das Projekt unterliegt.</w:t>
      </w:r>
    </w:p>
    <w:p w14:paraId="7A931542" w14:textId="2F4BAA74" w:rsidR="00A93FE3" w:rsidRPr="00E601CA" w:rsidRDefault="00A93FE3" w:rsidP="00A93FE3">
      <w:pPr>
        <w:rPr>
          <w:b/>
        </w:rPr>
      </w:pPr>
      <w:r>
        <w:rPr>
          <w:b/>
        </w:rPr>
        <w:t>Kapitel 3: Sonstige nach dem in Artikel 17 angegebenen Verfahren vorgesehene Indikatoren</w:t>
      </w:r>
    </w:p>
    <w:p w14:paraId="548166C1" w14:textId="4789AFF7" w:rsidR="00A93FE3" w:rsidRPr="00E601CA" w:rsidRDefault="00A93FE3" w:rsidP="00455AB7">
      <w:pPr>
        <w:keepNext/>
      </w:pPr>
      <w:r>
        <w:rPr>
          <w:b/>
        </w:rPr>
        <w:t>Kapitel 4: Einzelheiten der Eingangs- und Ausgangsdaten der vorgeschriebenen Berechnungen, insbesondere</w:t>
      </w:r>
    </w:p>
    <w:p w14:paraId="034FDA66" w14:textId="77777777" w:rsidR="00A93FE3" w:rsidRPr="00E601CA" w:rsidRDefault="00A93FE3" w:rsidP="00A93FE3">
      <w:r>
        <w:t>– Zusammensetzung der Eigenschaften der Gebäudehülle je Wandkategorie (Flächen, Ausrichtungen; Eigenschaften usw.),</w:t>
      </w:r>
    </w:p>
    <w:p w14:paraId="297A3E31" w14:textId="77777777" w:rsidR="00A93FE3" w:rsidRPr="00E601CA" w:rsidRDefault="00A93FE3" w:rsidP="00A93FE3">
      <w:r>
        <w:lastRenderedPageBreak/>
        <w:t>– Zusammensetzung der Eigenschaften der energetischen Systeme des Gebäudes,</w:t>
      </w:r>
    </w:p>
    <w:p w14:paraId="51B0AE0D" w14:textId="77777777" w:rsidR="00A93FE3" w:rsidRPr="00E601CA" w:rsidRDefault="00A93FE3" w:rsidP="00A93FE3">
      <w:r>
        <w:t>– Zusammensetzung des Bedarfs, des Verbrauchs und der Erzeugung von Energie für das Gebäude, u. a. nach Verwendungszweck und Energietyp,</w:t>
      </w:r>
    </w:p>
    <w:p w14:paraId="13D215BC" w14:textId="77777777" w:rsidR="00DA340A" w:rsidRPr="00E601CA" w:rsidRDefault="00A93FE3" w:rsidP="00A93FE3">
      <w:r>
        <w:t>– Mengen und Referenzen der Umweltdaten für jede Gebäudekomponente, die insbesondere zur Beschreibung der Auswirkung der Gebäudekomponenten auf den Klimawandel herangezogen werden,</w:t>
      </w:r>
    </w:p>
    <w:p w14:paraId="021207D0" w14:textId="5B9585CC" w:rsidR="00A93FE3" w:rsidRPr="00E601CA" w:rsidRDefault="00A93FE3" w:rsidP="00A93FE3">
      <w:r>
        <w:t>– für jedes Projekt oder Gebäude sowie für sämtliche Zonen, Gruppen oder Räume: Gesamtheit der Eigenschaften nach dem in Artikel 17 angegebenen Verfahren,</w:t>
      </w:r>
    </w:p>
    <w:p w14:paraId="08C256EF" w14:textId="77777777" w:rsidR="00A93FE3" w:rsidRPr="00E601CA" w:rsidRDefault="00A93FE3" w:rsidP="00A93FE3">
      <w:r>
        <w:t xml:space="preserve">– Parameter, die zur Berechnung der von dem Wasserverbrauch und </w:t>
      </w:r>
      <w:r>
        <w:noBreakHyphen/>
        <w:t>abfluss sowie der Baustelle erzeugten Beiträge zu den Auswirkungen eingegeben wurden.</w:t>
      </w:r>
    </w:p>
    <w:p w14:paraId="3615CD9A" w14:textId="6D3CF71F" w:rsidR="00A93FE3" w:rsidRPr="00E601CA" w:rsidRDefault="00A93FE3" w:rsidP="00455AB7">
      <w:pPr>
        <w:keepNext/>
        <w:rPr>
          <w:b/>
        </w:rPr>
      </w:pPr>
      <w:r>
        <w:rPr>
          <w:b/>
        </w:rPr>
        <w:t>Kapitel 5, optional berechnet: Auswirkung verschiedener Parameter auf konventionelle Ergebnisse (Bbio, Cep,nr, Cep und DH)</w:t>
      </w:r>
    </w:p>
    <w:p w14:paraId="7D7D5669" w14:textId="77777777" w:rsidR="00A93FE3" w:rsidRPr="00E601CA" w:rsidRDefault="00A93FE3" w:rsidP="00A93FE3">
      <w:r>
        <w:t>– Zu Informationszwecken für Planer: Empfindlichkeit der Berechnungsergebnisse gegenüber Veränderungen der technischen Eigenschaften des Gebäudes.</w:t>
      </w:r>
    </w:p>
    <w:p w14:paraId="700BB4AA" w14:textId="77777777" w:rsidR="00A93FE3" w:rsidRPr="00E601CA" w:rsidRDefault="00A93FE3" w:rsidP="00A93FE3">
      <w:r>
        <w:t>– Zu Informationszwecken für zukünftige Nutzer bei zu Wohnzwecken genutzten Gebäuden: Empfindlichkeit der Berechnungsergebnisse gegenüber anderen Verhaltensweisen im Vergleich zu konventionellen Verhaltensweisen, die als Grundlage für die vorgeschriebene Berechnung dienen.</w:t>
      </w:r>
    </w:p>
    <w:p w14:paraId="139B41B5" w14:textId="123AD262" w:rsidR="00A93FE3" w:rsidRPr="00E601CA" w:rsidRDefault="00A93FE3" w:rsidP="00A93FE3">
      <w:r>
        <w:t>Für jedes Gebäude, das unter den Artikel 11 des vorliegenden Erlasses fällt, werden in der standardisierten Zusammenfassung der Energie- und Umweltprüfung sämtliche verwendeten Daten sowie die ermittelten Ergebnisse angegeben, anhand derer die Einhaltung der vereinfachten Anwendungsmethode sowohl im Hinblick auf den Anwendungsbereich als auch in Bezug auf die umzusetzenden technischen und architektonischen Maßnahmen nachgewiesen werden kann. Falls Anforderungen an die Maßnahmen vorgesehen sind, wird auch der Status des Gebäudeprojekts in Bezug auf jede dieser Anforderungen, denen das Projekt unterliegt, angegeben.</w:t>
      </w:r>
    </w:p>
    <w:p w14:paraId="7D9F5D46" w14:textId="77777777" w:rsidR="00A93FE3" w:rsidRPr="00E601CA" w:rsidRDefault="00A93FE3" w:rsidP="00A93FE3"/>
    <w:p w14:paraId="1AE35304" w14:textId="529E2435" w:rsidR="008E32DB" w:rsidRPr="00E601CA" w:rsidRDefault="003815E1" w:rsidP="003815E1">
      <w:pPr>
        <w:pStyle w:val="Heading4"/>
        <w:numPr>
          <w:ilvl w:val="0"/>
          <w:numId w:val="0"/>
        </w:numPr>
        <w:ind w:left="360" w:hanging="360"/>
      </w:pPr>
      <w:bookmarkStart w:id="72" w:name="_Ref57370992"/>
      <w:bookmarkStart w:id="73" w:name="_Ref57898275"/>
      <w:r>
        <w:rPr>
          <w:b w:val="0"/>
        </w:rPr>
        <w:t>ANHANG VII.</w:t>
      </w:r>
      <w:r>
        <w:t xml:space="preserve"> (LUFTDURCHLÄSSIGKEIT)</w:t>
      </w:r>
      <w:bookmarkEnd w:id="72"/>
      <w:r>
        <w:t xml:space="preserve"> </w:t>
      </w:r>
      <w:bookmarkEnd w:id="70"/>
      <w:bookmarkEnd w:id="73"/>
    </w:p>
    <w:p w14:paraId="5BC4E24F" w14:textId="77777777" w:rsidR="009F40F7" w:rsidRPr="00E601CA" w:rsidRDefault="009F40F7" w:rsidP="009F40F7"/>
    <w:p w14:paraId="6442E642" w14:textId="051F0F22" w:rsidR="00B64F22" w:rsidRPr="00E601CA" w:rsidRDefault="003815E1" w:rsidP="003815E1">
      <w:pPr>
        <w:pStyle w:val="Heading4"/>
        <w:numPr>
          <w:ilvl w:val="0"/>
          <w:numId w:val="0"/>
        </w:numPr>
      </w:pPr>
      <w:bookmarkStart w:id="74" w:name="_Ref57990115"/>
      <w:r>
        <w:rPr>
          <w:b w:val="0"/>
        </w:rPr>
        <w:t xml:space="preserve">ANHANG VIII. </w:t>
      </w:r>
      <w:r>
        <w:t>(MODALITÄTEN FÜR DIE ÜBERPRÜFUNG DER LÜFTUNGSSYSTEME)</w:t>
      </w:r>
      <w:bookmarkEnd w:id="74"/>
      <w:r>
        <w:t xml:space="preserve"> </w:t>
      </w:r>
    </w:p>
    <w:p w14:paraId="2966D31F" w14:textId="77777777" w:rsidR="009F40F7" w:rsidRPr="00E601CA" w:rsidRDefault="009F40F7" w:rsidP="009F40F7"/>
    <w:p w14:paraId="31F125F3" w14:textId="6EE0F5A2" w:rsidR="00F9619D" w:rsidRPr="00E601CA" w:rsidRDefault="003815E1" w:rsidP="003815E1">
      <w:pPr>
        <w:pStyle w:val="Heading4"/>
        <w:numPr>
          <w:ilvl w:val="0"/>
          <w:numId w:val="0"/>
        </w:numPr>
      </w:pPr>
      <w:bookmarkStart w:id="75" w:name="_Ref49508336"/>
      <w:r>
        <w:rPr>
          <w:b w:val="0"/>
        </w:rPr>
        <w:t xml:space="preserve">ANHANG IX. </w:t>
      </w:r>
      <w:r>
        <w:t>(VEREINFACHTE ANWENDUNGSMETHODEN)</w:t>
      </w:r>
      <w:bookmarkEnd w:id="75"/>
      <w:r>
        <w:t xml:space="preserve"> </w:t>
      </w:r>
    </w:p>
    <w:p w14:paraId="63EF696B" w14:textId="6DE470A3" w:rsidR="00D12E1E" w:rsidRPr="00E601CA" w:rsidRDefault="00D12E1E" w:rsidP="00A93FE3"/>
    <w:p w14:paraId="734A5925" w14:textId="6E62F5BB" w:rsidR="00A93FE3" w:rsidRPr="00E601CA" w:rsidRDefault="003815E1" w:rsidP="00455AB7">
      <w:pPr>
        <w:pStyle w:val="Heading4"/>
        <w:keepNext/>
        <w:numPr>
          <w:ilvl w:val="0"/>
          <w:numId w:val="0"/>
        </w:numPr>
      </w:pPr>
      <w:r>
        <w:t xml:space="preserve">ANHANG X. (PRÜFUNTERLAGEN FÜR SONDERFÄLLE) </w:t>
      </w:r>
    </w:p>
    <w:p w14:paraId="064ACBF8" w14:textId="5959CDF7" w:rsidR="00A93FE3" w:rsidRPr="00E601CA" w:rsidRDefault="008203F4" w:rsidP="00455AB7">
      <w:pPr>
        <w:pStyle w:val="Heading5"/>
        <w:keepNext/>
        <w:numPr>
          <w:ilvl w:val="0"/>
          <w:numId w:val="0"/>
        </w:numPr>
        <w:ind w:left="360" w:hanging="3"/>
      </w:pPr>
      <w:r>
        <w:rPr>
          <w:b w:val="0"/>
        </w:rPr>
        <w:t>TEIL I:</w:t>
      </w:r>
      <w:r>
        <w:rPr>
          <w:b w:val="0"/>
        </w:rPr>
        <w:tab/>
      </w:r>
      <w:r>
        <w:t>Gegenstand</w:t>
      </w:r>
    </w:p>
    <w:p w14:paraId="7E7F8F61" w14:textId="75A5A2F6" w:rsidR="00A93FE3" w:rsidRPr="00E601CA" w:rsidRDefault="00A93FE3" w:rsidP="00A93FE3">
      <w:r>
        <w:t>In diesem Anhang wird der Inhalt der Prüfunterlagen für Bauprojekte, Systeme und Wärme- bzw. Kältenetze gemäß TITEL V des vorliegenden Erlasses beschrieben, die dem Minister für Energie und dem Minister für Bau- und Wohnungswesen zur Stützung des Genehmigungsantrags vorgelegt werden.</w:t>
      </w:r>
    </w:p>
    <w:p w14:paraId="392378E7" w14:textId="6E699B65" w:rsidR="00A93FE3" w:rsidRPr="00E601CA" w:rsidRDefault="00A93FE3" w:rsidP="00A93FE3">
      <w:r>
        <w:lastRenderedPageBreak/>
        <w:t>Bei Wärme- bzw. Kältenetzen gemäß TITEL V des vorliegenden Erlasses beziehen sich die Genehmigungsanträge ausschließlich auf die Genehmigung eines vorläufigen Werts des CO</w:t>
      </w:r>
      <w:r>
        <w:rPr>
          <w:vertAlign w:val="subscript"/>
        </w:rPr>
        <w:t>2</w:t>
      </w:r>
      <w:r>
        <w:t>-Gehalts der an ihre Unterstationen gelieferten Energie in kWh sowie auf die Quote der erneuerbaren Energie oder der Rückgewinnung bezogen auf die an ihre Unterstationen gelieferte Wärme in kWh (für Heizung und Warmwasserbereitung). Die Genehmigung hat eine Gültigkeit von maximal drei Jahren.</w:t>
      </w:r>
    </w:p>
    <w:p w14:paraId="435F8E19" w14:textId="647B5E69" w:rsidR="00A93FE3" w:rsidRPr="00E601CA" w:rsidRDefault="00A93FE3" w:rsidP="00A93FE3">
      <w:r>
        <w:t>Eine erhebliche Änderung des Emissionsfaktors (bzw. der Quote der erneuerbaren Energie und der Rückgewinnung) eines Wärme- bzw. Kältenetzes im Sinne von Artikel 57 besteht aus einer vorhersehbaren Änderung des Emissionsfaktors (bzw. der Quote der erneuerbaren Energie und der Rückgewinnung) – aufgrund von Arbeiten zur Modifizierung des Wärme- bzw. Kältenetzes innerhalb von weniger als zwei Jahren – von mindestens 30 g CO</w:t>
      </w:r>
      <w:r>
        <w:rPr>
          <w:vertAlign w:val="subscript"/>
        </w:rPr>
        <w:t>2</w:t>
      </w:r>
      <w:r>
        <w:t xml:space="preserve">/kWh (bzw. 20 Punkte) bezogen auf eine Unterstation. </w:t>
      </w:r>
    </w:p>
    <w:p w14:paraId="43DB330B" w14:textId="75529CFE" w:rsidR="00A93FE3" w:rsidRPr="00E601CA" w:rsidRDefault="008203F4" w:rsidP="00455AB7">
      <w:pPr>
        <w:pStyle w:val="Heading5"/>
        <w:keepNext/>
        <w:numPr>
          <w:ilvl w:val="0"/>
          <w:numId w:val="0"/>
        </w:numPr>
        <w:ind w:left="360" w:hanging="3"/>
      </w:pPr>
      <w:r>
        <w:rPr>
          <w:b w:val="0"/>
        </w:rPr>
        <w:t>TEIL II:</w:t>
      </w:r>
      <w:r>
        <w:rPr>
          <w:b w:val="0"/>
        </w:rPr>
        <w:tab/>
      </w:r>
      <w:r>
        <w:t>Vom Antragsteller vorzulegende Daten</w:t>
      </w:r>
    </w:p>
    <w:p w14:paraId="4B41FE4B" w14:textId="6BE1D18F" w:rsidR="00A93FE3" w:rsidRPr="00E601CA" w:rsidRDefault="00A93FE3" w:rsidP="00A93FE3">
      <w:r>
        <w:t>Der Antrag kann nur in den Fällen gemäß Artikel 57 gestellt werden.</w:t>
      </w:r>
    </w:p>
    <w:p w14:paraId="5806C15C" w14:textId="12EDB3CD" w:rsidR="00A93FE3" w:rsidRPr="00E601CA" w:rsidRDefault="00A93FE3" w:rsidP="00A93FE3">
      <w:pPr>
        <w:pStyle w:val="Heading6"/>
        <w:numPr>
          <w:ilvl w:val="0"/>
          <w:numId w:val="19"/>
        </w:numPr>
      </w:pPr>
      <w:r>
        <w:t>Antrag für ein Bauprojekt</w:t>
      </w:r>
    </w:p>
    <w:p w14:paraId="1634D6AB" w14:textId="77777777" w:rsidR="00A93FE3" w:rsidRPr="00E601CA" w:rsidRDefault="00A93FE3" w:rsidP="00455AB7">
      <w:pPr>
        <w:keepNext/>
      </w:pPr>
      <w:r>
        <w:t>Der Antragsteller muss Folgendes vorlegen:</w:t>
      </w:r>
    </w:p>
    <w:p w14:paraId="041C1559" w14:textId="5425B47D" w:rsidR="00A93FE3" w:rsidRPr="00E601CA" w:rsidRDefault="00A93FE3" w:rsidP="00A93FE3">
      <w:r>
        <w:t>– Beschreibung des betreffenden Bauprojekts, mit den zugehörigen Plänen,</w:t>
      </w:r>
    </w:p>
    <w:p w14:paraId="446BA5CA" w14:textId="77777777" w:rsidR="00A93FE3" w:rsidRPr="00E601CA" w:rsidRDefault="00A93FE3" w:rsidP="00A93FE3">
      <w:r>
        <w:t>– Liste der Eingangsdaten für den anwendbaren Teil des Berechnungsverfahrens,</w:t>
      </w:r>
    </w:p>
    <w:p w14:paraId="70C40189" w14:textId="77777777" w:rsidR="00A93FE3" w:rsidRPr="00E601CA" w:rsidRDefault="00A93FE3" w:rsidP="00A93FE3">
      <w:r>
        <w:t>– ausführliche Beschreibung der Gründe, warum das Berechnungsverfahren für die anderen Teile nicht anwendbar ist,</w:t>
      </w:r>
    </w:p>
    <w:p w14:paraId="2A7BC5BA" w14:textId="77777777" w:rsidR="00A93FE3" w:rsidRPr="00E601CA" w:rsidRDefault="00A93FE3" w:rsidP="00A93FE3">
      <w:r>
        <w:t>– standardisierte Zusammenfassung der thermischen Prüfung unter Erfassung des Gebäudes in entsprechend degradierter Form bei den Teilen, bei denen das Berechnungsverfahren nicht anwendbar ist,</w:t>
      </w:r>
    </w:p>
    <w:p w14:paraId="695D4C35" w14:textId="77777777" w:rsidR="00A93FE3" w:rsidRPr="00E601CA" w:rsidRDefault="00A93FE3" w:rsidP="00A93FE3">
      <w:r>
        <w:t>– Erklärung der Art und Weise, wie die nicht modellierbaren Elemente des Projekts in dem Tool zur Anwendung der Vorschriften in entsprechend degradierter Form erfasst wurden,</w:t>
      </w:r>
    </w:p>
    <w:p w14:paraId="3B416CB7" w14:textId="458A0BE8" w:rsidR="00A93FE3" w:rsidRPr="00E601CA" w:rsidRDefault="00A93FE3" w:rsidP="00A93FE3">
      <w:r>
        <w:t>– ausführliche Begründung der Berücksichtigungsmodalitäten und der erwarteten Leistung für die nicht modellierbaren Teile.</w:t>
      </w:r>
    </w:p>
    <w:p w14:paraId="57F46BB1" w14:textId="5BF79DB8" w:rsidR="00A93FE3" w:rsidRPr="00E601CA" w:rsidRDefault="00A93FE3" w:rsidP="00A93FE3">
      <w:r>
        <w:t>In den Unterlagen wird das angebliche Leistungsniveau des Vorgangs nachgewiesen, d. h. die Einhaltung sämtlicher Anforderungen der Vorschriften sowohl im Hinblick auf die allgemeinen Leistungsanforderungen als auch in Bezug auf die Anforderungen an Maßnahmen. Mit der Genehmigung wird ggf. nur die Einhaltung des vorliegenden Erlasses auf der Grundlage der vorgelegten Unterlagen bestätigt.</w:t>
      </w:r>
    </w:p>
    <w:p w14:paraId="27227E47" w14:textId="456A7EE6" w:rsidR="00A93FE3" w:rsidRPr="00E601CA" w:rsidRDefault="00A93FE3" w:rsidP="00A93FE3">
      <w:pPr>
        <w:pStyle w:val="Heading6"/>
        <w:numPr>
          <w:ilvl w:val="0"/>
          <w:numId w:val="16"/>
        </w:numPr>
        <w:ind w:left="754" w:hanging="357"/>
      </w:pPr>
      <w:r>
        <w:t xml:space="preserve">Antrag für ein besonderes System </w:t>
      </w:r>
    </w:p>
    <w:p w14:paraId="20E3A035" w14:textId="77777777" w:rsidR="00A93FE3" w:rsidRPr="00E601CA" w:rsidRDefault="00A93FE3" w:rsidP="00455AB7">
      <w:pPr>
        <w:keepNext/>
      </w:pPr>
      <w:r>
        <w:t>Der Antragsteller muss Folgendes vorlegen:</w:t>
      </w:r>
    </w:p>
    <w:p w14:paraId="5785E53F" w14:textId="77777777" w:rsidR="00A93FE3" w:rsidRPr="00E601CA" w:rsidRDefault="00A93FE3" w:rsidP="00A93FE3">
      <w:r>
        <w:t>– Beschreibung des betreffenden Systems, begleitet von Informationen, anhand derer dessen thermische Leistungen bewertet werden können, insbesondere im Hinblick auf die spätere Einbeziehung dieses Systems in die Berechnungsverfahren; diese Informationen umfassen Rückmeldungen über die Installation des Systems bei mindestens zehn Bauprojekten, die dem vorliegenden Erlasse oder den vorgenannten Erlassen vom 26. Oktober 2010 oder 28. Dezember 2012 entsprechen,</w:t>
      </w:r>
    </w:p>
    <w:p w14:paraId="46B8937A" w14:textId="77777777" w:rsidR="00A93FE3" w:rsidRPr="00E601CA" w:rsidRDefault="00A93FE3" w:rsidP="00A93FE3">
      <w:r>
        <w:lastRenderedPageBreak/>
        <w:t>– Beschreibung der Elemente des Systems, die bei dem Berechnungsverfahren nicht berücksichtigt werden,</w:t>
      </w:r>
    </w:p>
    <w:p w14:paraId="31FE973F" w14:textId="77777777" w:rsidR="00A93FE3" w:rsidRPr="00E601CA" w:rsidRDefault="00A93FE3" w:rsidP="00A93FE3">
      <w:r>
        <w:t>– Beschreibung des Anwendungsbereichs dieses Systems,</w:t>
      </w:r>
    </w:p>
    <w:p w14:paraId="0EFD2342" w14:textId="77777777" w:rsidR="00A93FE3" w:rsidRPr="00E601CA" w:rsidRDefault="00A93FE3" w:rsidP="00A93FE3">
      <w:r>
        <w:t>– Liste der Eingangsdaten für die anwendbaren Teile des Berechnungsverfahrens,</w:t>
      </w:r>
    </w:p>
    <w:p w14:paraId="1023D786" w14:textId="21931C57" w:rsidR="00A93FE3" w:rsidRPr="00E601CA" w:rsidRDefault="00A93FE3" w:rsidP="00A93FE3">
      <w:r>
        <w:t>– ausführliche Beschreibung der Gründe, warum das Berechnungsverfahren für die anderen Elemente des Systems nicht anwendbar ist,</w:t>
      </w:r>
    </w:p>
    <w:p w14:paraId="4A0FF18B" w14:textId="77777777" w:rsidR="00A93FE3" w:rsidRPr="00E601CA" w:rsidRDefault="00A93FE3" w:rsidP="00A93FE3">
      <w:r>
        <w:t>– Vorschlag zur Anpassung des Berechnungsverfahrens an das betrachtete System, mit mindestens einem numerischen Anwendungsbeispiel; dieser Vorschlag steht mit den oben genannten Rückmeldungen in Zusammenhang.</w:t>
      </w:r>
    </w:p>
    <w:p w14:paraId="2EA9DA4A" w14:textId="77777777" w:rsidR="00A93FE3" w:rsidRPr="00E601CA" w:rsidRDefault="00A93FE3" w:rsidP="00A93FE3">
      <w:pPr>
        <w:pStyle w:val="Heading6"/>
        <w:numPr>
          <w:ilvl w:val="0"/>
          <w:numId w:val="16"/>
        </w:numPr>
        <w:ind w:left="754" w:hanging="357"/>
      </w:pPr>
      <w:r>
        <w:t>Antrag für ein Wärme- bzw. Kältenetz</w:t>
      </w:r>
    </w:p>
    <w:p w14:paraId="45281250" w14:textId="77777777" w:rsidR="00A93FE3" w:rsidRPr="00E601CA" w:rsidRDefault="00A93FE3" w:rsidP="00455AB7">
      <w:pPr>
        <w:keepNext/>
      </w:pPr>
      <w:r>
        <w:t>Der Antragsteller muss Folgendes vorlegen:</w:t>
      </w:r>
    </w:p>
    <w:p w14:paraId="2D536134" w14:textId="77777777" w:rsidR="00A93FE3" w:rsidRPr="00E601CA" w:rsidRDefault="00A93FE3" w:rsidP="00A93FE3">
      <w:r>
        <w:t>– Beschreibung des betreffenden Wärme- bzw. Kältenetzes, begleitet von Informationen, anhand derer die anfängliche und die dauerhafte Energieeffizienz und Umweltverträglichkeit, insbesondere aufgrund der Bereitstellung von Energie, der Leistung der Generatoren, der Leistung der Verteilung und des Verbrauchs der Hilfseinrichtungen sowie der voraussichtlich gelieferten Wärme- bzw. Kältemenge, bewertet werden können,</w:t>
      </w:r>
    </w:p>
    <w:p w14:paraId="72C4CF12" w14:textId="2619C8F6" w:rsidR="00A93FE3" w:rsidRPr="00E601CA" w:rsidRDefault="00A93FE3" w:rsidP="00A93FE3">
      <w:r>
        <w:t>– Vorschlag für den CO</w:t>
      </w:r>
      <w:r>
        <w:rPr>
          <w:vertAlign w:val="subscript"/>
        </w:rPr>
        <w:t>2</w:t>
      </w:r>
      <w:r>
        <w:t>-Gehalt der an die Unterstationen des Netzes gelieferten kWh und für die Quote der erneuerbaren Energie und der Rückgewinnung, der insbesondere auf den Emissionsfaktoren gemäß Artikel 19 basiert,</w:t>
      </w:r>
    </w:p>
    <w:p w14:paraId="0348D4D0" w14:textId="3324CC96" w:rsidR="00A93FE3" w:rsidRPr="00E601CA" w:rsidRDefault="00A93FE3" w:rsidP="00A93FE3">
      <w:r>
        <w:t>– Verpflichtung, fünf Jahre lang ab Inbetriebnahme des Netzes jährlich an der Jahreserhebung der Wärme- und Kältenetze teilzunehmen.</w:t>
      </w:r>
    </w:p>
    <w:p w14:paraId="48264974" w14:textId="77777777" w:rsidR="00CE43A6" w:rsidRPr="00E601CA" w:rsidRDefault="00CE43A6" w:rsidP="00CE43A6"/>
    <w:p w14:paraId="32F10080" w14:textId="6579F261" w:rsidR="00A93FE3" w:rsidRPr="00E601CA" w:rsidRDefault="003815E1" w:rsidP="00455AB7">
      <w:pPr>
        <w:pStyle w:val="Heading4"/>
        <w:keepNext/>
        <w:numPr>
          <w:ilvl w:val="0"/>
          <w:numId w:val="0"/>
        </w:numPr>
        <w:ind w:left="360" w:hanging="360"/>
      </w:pPr>
      <w:bookmarkStart w:id="76" w:name="_Ref57812333"/>
      <w:bookmarkStart w:id="77" w:name="_Ref57398000"/>
      <w:r>
        <w:rPr>
          <w:b w:val="0"/>
        </w:rPr>
        <w:t xml:space="preserve">ANHANG XI. </w:t>
      </w:r>
      <w:r>
        <w:t>PAUSCHALE LEISTUNG BESTIMMTER LOSE</w:t>
      </w:r>
      <w:bookmarkEnd w:id="76"/>
      <w:r>
        <w:t xml:space="preserve"> </w:t>
      </w:r>
    </w:p>
    <w:p w14:paraId="0AEBF597" w14:textId="2A9BB810" w:rsidR="00A93FE3" w:rsidRPr="00E601CA" w:rsidRDefault="00A93FE3" w:rsidP="00A93FE3">
      <w:pPr>
        <w:pStyle w:val="Heading6"/>
        <w:numPr>
          <w:ilvl w:val="0"/>
          <w:numId w:val="48"/>
        </w:numPr>
      </w:pPr>
      <w:r>
        <w:t>Einfamilienhäuser oder Reihenhäuser</w:t>
      </w:r>
    </w:p>
    <w:p w14:paraId="19394EAA" w14:textId="51315EF9" w:rsidR="00A93FE3" w:rsidRPr="00E601CA" w:rsidRDefault="00A93FE3" w:rsidP="00A93FE3">
      <w:r>
        <w:t>Für die Beschreibung der Auswirkung aller Komponenten, die zu den unten genannten Losen oder Teillosen gehören und nach dem in Artikel 17 angegebenen Verfahren festgelegt sind, können die nachfolgenden Werte verwendet werden.</w:t>
      </w:r>
    </w:p>
    <w:tbl>
      <w:tblPr>
        <w:tblStyle w:val="TableGrid"/>
        <w:tblW w:w="8075" w:type="dxa"/>
        <w:jc w:val="center"/>
        <w:tblLook w:val="0600" w:firstRow="0" w:lastRow="0" w:firstColumn="0" w:lastColumn="0" w:noHBand="1" w:noVBand="1"/>
      </w:tblPr>
      <w:tblGrid>
        <w:gridCol w:w="1729"/>
        <w:gridCol w:w="1245"/>
        <w:gridCol w:w="1269"/>
        <w:gridCol w:w="1237"/>
        <w:gridCol w:w="1368"/>
        <w:gridCol w:w="1227"/>
      </w:tblGrid>
      <w:tr w:rsidR="00A93FE3" w:rsidRPr="00E601CA" w14:paraId="4A7D6C37" w14:textId="77777777" w:rsidTr="00915D36">
        <w:trPr>
          <w:jc w:val="center"/>
        </w:trPr>
        <w:tc>
          <w:tcPr>
            <w:tcW w:w="1839" w:type="dxa"/>
            <w:tcBorders>
              <w:tl2br w:val="single" w:sz="4" w:space="0" w:color="auto"/>
            </w:tcBorders>
            <w:shd w:val="clear" w:color="auto" w:fill="A6A6A6" w:themeFill="background1" w:themeFillShade="A6"/>
          </w:tcPr>
          <w:p w14:paraId="468B9B10" w14:textId="77777777" w:rsidR="00A93FE3" w:rsidRPr="00E601CA" w:rsidRDefault="00A93FE3" w:rsidP="00511F7F">
            <w:pPr>
              <w:keepNext/>
              <w:jc w:val="right"/>
            </w:pPr>
          </w:p>
        </w:tc>
        <w:tc>
          <w:tcPr>
            <w:tcW w:w="6236" w:type="dxa"/>
            <w:gridSpan w:val="5"/>
            <w:shd w:val="clear" w:color="auto" w:fill="A6A6A6" w:themeFill="background1" w:themeFillShade="A6"/>
          </w:tcPr>
          <w:p w14:paraId="74C87D57" w14:textId="77777777" w:rsidR="00A93FE3" w:rsidRPr="00E601CA" w:rsidRDefault="00A93FE3" w:rsidP="00511F7F">
            <w:pPr>
              <w:keepNext/>
              <w:jc w:val="center"/>
            </w:pPr>
            <w:r>
              <w:t>Auswirkung auf den Klimawandel je Lebenszyklusphase des Gebäudes (kg Äq. CO</w:t>
            </w:r>
            <w:r>
              <w:rPr>
                <w:vertAlign w:val="subscript"/>
              </w:rPr>
              <w:t>2</w:t>
            </w:r>
            <w:r>
              <w:t>/m²)</w:t>
            </w:r>
          </w:p>
        </w:tc>
      </w:tr>
      <w:tr w:rsidR="00A93FE3" w:rsidRPr="00E601CA" w14:paraId="05E64F67" w14:textId="77777777" w:rsidTr="00915D36">
        <w:trPr>
          <w:jc w:val="center"/>
        </w:trPr>
        <w:tc>
          <w:tcPr>
            <w:tcW w:w="1839" w:type="dxa"/>
            <w:tcBorders>
              <w:tl2br w:val="single" w:sz="4" w:space="0" w:color="auto"/>
            </w:tcBorders>
            <w:shd w:val="clear" w:color="auto" w:fill="A6A6A6" w:themeFill="background1" w:themeFillShade="A6"/>
            <w:hideMark/>
          </w:tcPr>
          <w:p w14:paraId="48AD4C54" w14:textId="26A6282C" w:rsidR="00A93FE3" w:rsidRPr="00E601CA" w:rsidRDefault="00A93FE3" w:rsidP="00511F7F">
            <w:pPr>
              <w:keepNext/>
              <w:jc w:val="right"/>
            </w:pPr>
            <w:r>
              <w:t>Phase des Lebens-</w:t>
            </w:r>
            <w:r>
              <w:br/>
              <w:t>zyklus</w:t>
            </w:r>
          </w:p>
          <w:p w14:paraId="3B55FDE5" w14:textId="77777777" w:rsidR="00A93FE3" w:rsidRPr="00E601CA" w:rsidRDefault="00A93FE3" w:rsidP="00511F7F">
            <w:pPr>
              <w:keepNext/>
            </w:pPr>
            <w:r>
              <w:t>Los o. Teillos</w:t>
            </w:r>
          </w:p>
        </w:tc>
        <w:tc>
          <w:tcPr>
            <w:tcW w:w="1203" w:type="dxa"/>
            <w:shd w:val="clear" w:color="auto" w:fill="A6A6A6" w:themeFill="background1" w:themeFillShade="A6"/>
            <w:hideMark/>
          </w:tcPr>
          <w:p w14:paraId="6CFA09B0" w14:textId="77777777" w:rsidR="00A93FE3" w:rsidRPr="00E601CA" w:rsidRDefault="00A93FE3" w:rsidP="00511F7F">
            <w:pPr>
              <w:keepNext/>
            </w:pPr>
            <w:r>
              <w:t>Herstellung</w:t>
            </w:r>
          </w:p>
        </w:tc>
        <w:tc>
          <w:tcPr>
            <w:tcW w:w="1366" w:type="dxa"/>
            <w:shd w:val="clear" w:color="auto" w:fill="A6A6A6" w:themeFill="background1" w:themeFillShade="A6"/>
            <w:hideMark/>
          </w:tcPr>
          <w:p w14:paraId="4F529A6D" w14:textId="77777777" w:rsidR="00A93FE3" w:rsidRPr="00E601CA" w:rsidRDefault="00A93FE3" w:rsidP="00511F7F">
            <w:pPr>
              <w:keepNext/>
            </w:pPr>
            <w:r>
              <w:t>Bau</w:t>
            </w:r>
          </w:p>
        </w:tc>
        <w:tc>
          <w:tcPr>
            <w:tcW w:w="1287" w:type="dxa"/>
            <w:shd w:val="clear" w:color="auto" w:fill="A6A6A6" w:themeFill="background1" w:themeFillShade="A6"/>
            <w:hideMark/>
          </w:tcPr>
          <w:p w14:paraId="2EFB1A3F" w14:textId="77777777" w:rsidR="00A93FE3" w:rsidRPr="00E601CA" w:rsidRDefault="00A93FE3" w:rsidP="00511F7F">
            <w:pPr>
              <w:keepNext/>
            </w:pPr>
            <w:r>
              <w:t>Betrieb</w:t>
            </w:r>
          </w:p>
        </w:tc>
        <w:tc>
          <w:tcPr>
            <w:tcW w:w="1120" w:type="dxa"/>
            <w:shd w:val="clear" w:color="auto" w:fill="A6A6A6" w:themeFill="background1" w:themeFillShade="A6"/>
            <w:hideMark/>
          </w:tcPr>
          <w:p w14:paraId="722AA3C6" w14:textId="77777777" w:rsidR="00A93FE3" w:rsidRPr="00E601CA" w:rsidRDefault="00A93FE3" w:rsidP="00511F7F">
            <w:pPr>
              <w:keepNext/>
            </w:pPr>
            <w:r>
              <w:t>Ende der Lebensdauer</w:t>
            </w:r>
          </w:p>
        </w:tc>
        <w:tc>
          <w:tcPr>
            <w:tcW w:w="1260" w:type="dxa"/>
            <w:shd w:val="clear" w:color="auto" w:fill="A6A6A6" w:themeFill="background1" w:themeFillShade="A6"/>
            <w:hideMark/>
          </w:tcPr>
          <w:p w14:paraId="68D9C84E" w14:textId="77777777" w:rsidR="00A93FE3" w:rsidRPr="00E601CA" w:rsidRDefault="00A93FE3" w:rsidP="00511F7F">
            <w:pPr>
              <w:keepNext/>
            </w:pPr>
            <w:r>
              <w:t>Modul D</w:t>
            </w:r>
          </w:p>
        </w:tc>
      </w:tr>
      <w:tr w:rsidR="00A93FE3" w:rsidRPr="00E601CA" w14:paraId="0B50757B" w14:textId="77777777" w:rsidTr="00915D36">
        <w:trPr>
          <w:jc w:val="center"/>
        </w:trPr>
        <w:tc>
          <w:tcPr>
            <w:tcW w:w="1839" w:type="dxa"/>
            <w:shd w:val="clear" w:color="auto" w:fill="F2F2F2" w:themeFill="background1" w:themeFillShade="F2"/>
            <w:hideMark/>
          </w:tcPr>
          <w:p w14:paraId="6F80C794" w14:textId="77777777" w:rsidR="00A93FE3" w:rsidRPr="00E601CA" w:rsidRDefault="00A93FE3" w:rsidP="00915D36">
            <w:pPr>
              <w:jc w:val="center"/>
            </w:pPr>
            <w:r>
              <w:t>8,1</w:t>
            </w:r>
          </w:p>
        </w:tc>
        <w:tc>
          <w:tcPr>
            <w:tcW w:w="1203" w:type="dxa"/>
            <w:vAlign w:val="center"/>
          </w:tcPr>
          <w:p w14:paraId="3A757C91" w14:textId="33461D7E" w:rsidR="00A93FE3" w:rsidRPr="00E601CA" w:rsidRDefault="00A93FE3" w:rsidP="00915D36">
            <w:pPr>
              <w:jc w:val="center"/>
            </w:pPr>
            <w:r>
              <w:t>61</w:t>
            </w:r>
          </w:p>
        </w:tc>
        <w:tc>
          <w:tcPr>
            <w:tcW w:w="1366" w:type="dxa"/>
            <w:vAlign w:val="center"/>
          </w:tcPr>
          <w:p w14:paraId="48388DA2" w14:textId="77777777" w:rsidR="00A93FE3" w:rsidRPr="00E601CA" w:rsidRDefault="00A93FE3" w:rsidP="00915D36">
            <w:pPr>
              <w:jc w:val="center"/>
            </w:pPr>
            <w:r>
              <w:t>0</w:t>
            </w:r>
          </w:p>
        </w:tc>
        <w:tc>
          <w:tcPr>
            <w:tcW w:w="1287" w:type="dxa"/>
            <w:vAlign w:val="center"/>
          </w:tcPr>
          <w:p w14:paraId="3C9E5A37" w14:textId="23E63B40" w:rsidR="00A93FE3" w:rsidRPr="00E601CA" w:rsidRDefault="00A93FE3" w:rsidP="00915D36">
            <w:pPr>
              <w:jc w:val="center"/>
            </w:pPr>
            <w:r>
              <w:t>106</w:t>
            </w:r>
          </w:p>
        </w:tc>
        <w:tc>
          <w:tcPr>
            <w:tcW w:w="1120" w:type="dxa"/>
            <w:vAlign w:val="center"/>
          </w:tcPr>
          <w:p w14:paraId="21F7CC12" w14:textId="527BBCDF" w:rsidR="00A93FE3" w:rsidRPr="00E601CA" w:rsidRDefault="00A93FE3" w:rsidP="00915D36">
            <w:pPr>
              <w:jc w:val="center"/>
            </w:pPr>
            <w:r>
              <w:t>3</w:t>
            </w:r>
          </w:p>
        </w:tc>
        <w:tc>
          <w:tcPr>
            <w:tcW w:w="1260" w:type="dxa"/>
            <w:vAlign w:val="center"/>
          </w:tcPr>
          <w:p w14:paraId="3A5C8B15" w14:textId="77777777" w:rsidR="00A93FE3" w:rsidRPr="00E601CA" w:rsidRDefault="00A93FE3" w:rsidP="00915D36">
            <w:pPr>
              <w:jc w:val="center"/>
            </w:pPr>
            <w:r>
              <w:t>0</w:t>
            </w:r>
          </w:p>
        </w:tc>
      </w:tr>
      <w:tr w:rsidR="00A93FE3" w:rsidRPr="00E601CA" w14:paraId="633E464B" w14:textId="77777777" w:rsidTr="00915D36">
        <w:trPr>
          <w:jc w:val="center"/>
        </w:trPr>
        <w:tc>
          <w:tcPr>
            <w:tcW w:w="1839" w:type="dxa"/>
            <w:shd w:val="clear" w:color="auto" w:fill="F2F2F2" w:themeFill="background1" w:themeFillShade="F2"/>
            <w:hideMark/>
          </w:tcPr>
          <w:p w14:paraId="28B7A2C9" w14:textId="77777777" w:rsidR="00A93FE3" w:rsidRPr="00E601CA" w:rsidRDefault="00A93FE3" w:rsidP="00915D36">
            <w:pPr>
              <w:jc w:val="center"/>
            </w:pPr>
            <w:r>
              <w:t>10</w:t>
            </w:r>
          </w:p>
        </w:tc>
        <w:tc>
          <w:tcPr>
            <w:tcW w:w="1203" w:type="dxa"/>
          </w:tcPr>
          <w:p w14:paraId="27ECCE37" w14:textId="7009A0CF" w:rsidR="00A93FE3" w:rsidRPr="00E601CA" w:rsidRDefault="00A93FE3" w:rsidP="00915D36">
            <w:pPr>
              <w:jc w:val="center"/>
            </w:pPr>
            <w:r>
              <w:t>50</w:t>
            </w:r>
          </w:p>
        </w:tc>
        <w:tc>
          <w:tcPr>
            <w:tcW w:w="1366" w:type="dxa"/>
          </w:tcPr>
          <w:p w14:paraId="42AFDB9D" w14:textId="77777777" w:rsidR="00A93FE3" w:rsidRPr="00E601CA" w:rsidRDefault="00A93FE3" w:rsidP="00915D36">
            <w:pPr>
              <w:jc w:val="center"/>
            </w:pPr>
            <w:r>
              <w:t>0</w:t>
            </w:r>
          </w:p>
        </w:tc>
        <w:tc>
          <w:tcPr>
            <w:tcW w:w="1287" w:type="dxa"/>
          </w:tcPr>
          <w:p w14:paraId="6F88E262" w14:textId="3C6B1152" w:rsidR="00A93FE3" w:rsidRPr="00E601CA" w:rsidRDefault="00A93FE3" w:rsidP="00915D36">
            <w:pPr>
              <w:jc w:val="center"/>
            </w:pPr>
            <w:r>
              <w:t>45</w:t>
            </w:r>
          </w:p>
        </w:tc>
        <w:tc>
          <w:tcPr>
            <w:tcW w:w="1120" w:type="dxa"/>
          </w:tcPr>
          <w:p w14:paraId="7161CD53" w14:textId="728454D2" w:rsidR="00A93FE3" w:rsidRPr="00E601CA" w:rsidRDefault="00A93FE3" w:rsidP="00915D36">
            <w:pPr>
              <w:jc w:val="center"/>
            </w:pPr>
            <w:r>
              <w:t>3</w:t>
            </w:r>
          </w:p>
        </w:tc>
        <w:tc>
          <w:tcPr>
            <w:tcW w:w="1260" w:type="dxa"/>
          </w:tcPr>
          <w:p w14:paraId="500ECF94" w14:textId="77777777" w:rsidR="00A93FE3" w:rsidRPr="00E601CA" w:rsidRDefault="00A93FE3" w:rsidP="00915D36">
            <w:pPr>
              <w:jc w:val="center"/>
            </w:pPr>
            <w:r>
              <w:t>0</w:t>
            </w:r>
          </w:p>
        </w:tc>
      </w:tr>
      <w:tr w:rsidR="00A93FE3" w:rsidRPr="00E601CA" w14:paraId="7E749B03" w14:textId="77777777" w:rsidTr="00915D36">
        <w:trPr>
          <w:jc w:val="center"/>
        </w:trPr>
        <w:tc>
          <w:tcPr>
            <w:tcW w:w="1839" w:type="dxa"/>
            <w:shd w:val="clear" w:color="auto" w:fill="F2F2F2" w:themeFill="background1" w:themeFillShade="F2"/>
            <w:hideMark/>
          </w:tcPr>
          <w:p w14:paraId="671B89CE" w14:textId="77777777" w:rsidR="00A93FE3" w:rsidRPr="00E601CA" w:rsidRDefault="00A93FE3" w:rsidP="00915D36">
            <w:pPr>
              <w:jc w:val="center"/>
            </w:pPr>
            <w:r>
              <w:t>11</w:t>
            </w:r>
          </w:p>
        </w:tc>
        <w:tc>
          <w:tcPr>
            <w:tcW w:w="1203" w:type="dxa"/>
          </w:tcPr>
          <w:p w14:paraId="26828685" w14:textId="77777777" w:rsidR="00A93FE3" w:rsidRPr="00E601CA" w:rsidRDefault="00A93FE3" w:rsidP="00915D36">
            <w:pPr>
              <w:jc w:val="center"/>
            </w:pPr>
            <w:r>
              <w:t>1</w:t>
            </w:r>
          </w:p>
        </w:tc>
        <w:tc>
          <w:tcPr>
            <w:tcW w:w="1366" w:type="dxa"/>
          </w:tcPr>
          <w:p w14:paraId="786F5842" w14:textId="77777777" w:rsidR="00A93FE3" w:rsidRPr="00E601CA" w:rsidRDefault="00A93FE3" w:rsidP="00915D36">
            <w:pPr>
              <w:jc w:val="center"/>
            </w:pPr>
            <w:r>
              <w:t>0</w:t>
            </w:r>
          </w:p>
        </w:tc>
        <w:tc>
          <w:tcPr>
            <w:tcW w:w="1287" w:type="dxa"/>
          </w:tcPr>
          <w:p w14:paraId="6299C1CD" w14:textId="77777777" w:rsidR="00A93FE3" w:rsidRPr="00E601CA" w:rsidRDefault="00A93FE3" w:rsidP="00915D36">
            <w:pPr>
              <w:jc w:val="center"/>
            </w:pPr>
            <w:r>
              <w:t>1</w:t>
            </w:r>
          </w:p>
        </w:tc>
        <w:tc>
          <w:tcPr>
            <w:tcW w:w="1120" w:type="dxa"/>
          </w:tcPr>
          <w:p w14:paraId="3FACCFFB" w14:textId="77777777" w:rsidR="00A93FE3" w:rsidRPr="00E601CA" w:rsidRDefault="00A93FE3" w:rsidP="00915D36">
            <w:pPr>
              <w:jc w:val="center"/>
            </w:pPr>
            <w:r>
              <w:t>0</w:t>
            </w:r>
          </w:p>
        </w:tc>
        <w:tc>
          <w:tcPr>
            <w:tcW w:w="1260" w:type="dxa"/>
          </w:tcPr>
          <w:p w14:paraId="63B3A959" w14:textId="77777777" w:rsidR="00A93FE3" w:rsidRPr="00E601CA" w:rsidRDefault="00A93FE3" w:rsidP="00915D36">
            <w:pPr>
              <w:jc w:val="center"/>
            </w:pPr>
            <w:r>
              <w:t>0</w:t>
            </w:r>
          </w:p>
        </w:tc>
      </w:tr>
    </w:tbl>
    <w:p w14:paraId="5A6BC091" w14:textId="77777777" w:rsidR="00A93FE3" w:rsidRPr="00E601CA" w:rsidRDefault="00A93FE3" w:rsidP="00A93FE3"/>
    <w:p w14:paraId="72C76BE4" w14:textId="77777777" w:rsidR="00A93FE3" w:rsidRPr="00E601CA" w:rsidRDefault="00A93FE3" w:rsidP="00A93FE3">
      <w:pPr>
        <w:pStyle w:val="Heading6"/>
        <w:numPr>
          <w:ilvl w:val="0"/>
          <w:numId w:val="19"/>
        </w:numPr>
      </w:pPr>
      <w:r>
        <w:lastRenderedPageBreak/>
        <w:t>Mehrfamilienhäuser</w:t>
      </w:r>
    </w:p>
    <w:p w14:paraId="6782F546" w14:textId="6E155264" w:rsidR="00A93FE3" w:rsidRPr="00E601CA" w:rsidRDefault="00A93FE3" w:rsidP="00A93FE3">
      <w:r>
        <w:t>Für die Beschreibung der Auswirkung aller Komponenten, die zu den unten genannten Losen oder Teillosen gehören und nach dem in Artikel 17 angegebenen Verfahren festgelegt sind, können die nachfolgenden Werte verwendet werden.</w:t>
      </w:r>
    </w:p>
    <w:tbl>
      <w:tblPr>
        <w:tblStyle w:val="TableGrid"/>
        <w:tblW w:w="8075" w:type="dxa"/>
        <w:jc w:val="center"/>
        <w:tblLook w:val="0600" w:firstRow="0" w:lastRow="0" w:firstColumn="0" w:lastColumn="0" w:noHBand="1" w:noVBand="1"/>
      </w:tblPr>
      <w:tblGrid>
        <w:gridCol w:w="1729"/>
        <w:gridCol w:w="1245"/>
        <w:gridCol w:w="1269"/>
        <w:gridCol w:w="1237"/>
        <w:gridCol w:w="1368"/>
        <w:gridCol w:w="1227"/>
      </w:tblGrid>
      <w:tr w:rsidR="00A93FE3" w:rsidRPr="00E601CA" w14:paraId="2B24B95F" w14:textId="77777777" w:rsidTr="00915D36">
        <w:trPr>
          <w:jc w:val="center"/>
        </w:trPr>
        <w:tc>
          <w:tcPr>
            <w:tcW w:w="1839" w:type="dxa"/>
            <w:tcBorders>
              <w:tl2br w:val="single" w:sz="4" w:space="0" w:color="auto"/>
            </w:tcBorders>
            <w:shd w:val="clear" w:color="auto" w:fill="A6A6A6" w:themeFill="background1" w:themeFillShade="A6"/>
          </w:tcPr>
          <w:p w14:paraId="26086A8E" w14:textId="77777777" w:rsidR="00A93FE3" w:rsidRPr="00E601CA" w:rsidRDefault="00A93FE3" w:rsidP="00511F7F">
            <w:pPr>
              <w:keepNext/>
              <w:jc w:val="right"/>
            </w:pPr>
          </w:p>
        </w:tc>
        <w:tc>
          <w:tcPr>
            <w:tcW w:w="6236" w:type="dxa"/>
            <w:gridSpan w:val="5"/>
            <w:shd w:val="clear" w:color="auto" w:fill="A6A6A6" w:themeFill="background1" w:themeFillShade="A6"/>
          </w:tcPr>
          <w:p w14:paraId="2BEC812F" w14:textId="77777777" w:rsidR="00A93FE3" w:rsidRPr="00E601CA" w:rsidRDefault="00A93FE3" w:rsidP="00511F7F">
            <w:pPr>
              <w:keepNext/>
              <w:jc w:val="center"/>
            </w:pPr>
            <w:r>
              <w:t>Auswirkung auf den Klimawandel je Lebenszyklusphase des Gebäudes (kg Äq. CO</w:t>
            </w:r>
            <w:r>
              <w:rPr>
                <w:vertAlign w:val="subscript"/>
              </w:rPr>
              <w:t>2</w:t>
            </w:r>
            <w:r>
              <w:t>/m²)</w:t>
            </w:r>
          </w:p>
        </w:tc>
      </w:tr>
      <w:tr w:rsidR="00A93FE3" w:rsidRPr="00E601CA" w14:paraId="08038261" w14:textId="77777777" w:rsidTr="00915D36">
        <w:trPr>
          <w:jc w:val="center"/>
        </w:trPr>
        <w:tc>
          <w:tcPr>
            <w:tcW w:w="1839" w:type="dxa"/>
            <w:tcBorders>
              <w:tl2br w:val="single" w:sz="4" w:space="0" w:color="auto"/>
            </w:tcBorders>
            <w:shd w:val="clear" w:color="auto" w:fill="A6A6A6" w:themeFill="background1" w:themeFillShade="A6"/>
            <w:hideMark/>
          </w:tcPr>
          <w:p w14:paraId="3AE84E6C" w14:textId="43ED0717" w:rsidR="00A93FE3" w:rsidRPr="00E601CA" w:rsidRDefault="00A93FE3" w:rsidP="00511F7F">
            <w:pPr>
              <w:keepNext/>
              <w:jc w:val="right"/>
            </w:pPr>
            <w:r>
              <w:t>Phase des Lebens-</w:t>
            </w:r>
            <w:r>
              <w:br/>
              <w:t>zyklus</w:t>
            </w:r>
          </w:p>
          <w:p w14:paraId="7D156810" w14:textId="77777777" w:rsidR="00A93FE3" w:rsidRPr="00E601CA" w:rsidRDefault="00A93FE3" w:rsidP="00511F7F">
            <w:pPr>
              <w:keepNext/>
            </w:pPr>
            <w:r>
              <w:t>Los o. Teillos</w:t>
            </w:r>
          </w:p>
        </w:tc>
        <w:tc>
          <w:tcPr>
            <w:tcW w:w="1203" w:type="dxa"/>
            <w:shd w:val="clear" w:color="auto" w:fill="A6A6A6" w:themeFill="background1" w:themeFillShade="A6"/>
            <w:hideMark/>
          </w:tcPr>
          <w:p w14:paraId="39461E0E" w14:textId="77777777" w:rsidR="00A93FE3" w:rsidRPr="00E601CA" w:rsidRDefault="00A93FE3" w:rsidP="00511F7F">
            <w:pPr>
              <w:keepNext/>
            </w:pPr>
            <w:r>
              <w:t>Herstellung</w:t>
            </w:r>
          </w:p>
        </w:tc>
        <w:tc>
          <w:tcPr>
            <w:tcW w:w="1366" w:type="dxa"/>
            <w:shd w:val="clear" w:color="auto" w:fill="A6A6A6" w:themeFill="background1" w:themeFillShade="A6"/>
            <w:hideMark/>
          </w:tcPr>
          <w:p w14:paraId="51FBDCD2" w14:textId="77777777" w:rsidR="00A93FE3" w:rsidRPr="00E601CA" w:rsidRDefault="00A93FE3" w:rsidP="00511F7F">
            <w:pPr>
              <w:keepNext/>
            </w:pPr>
            <w:r>
              <w:t>Bau</w:t>
            </w:r>
          </w:p>
        </w:tc>
        <w:tc>
          <w:tcPr>
            <w:tcW w:w="1287" w:type="dxa"/>
            <w:shd w:val="clear" w:color="auto" w:fill="A6A6A6" w:themeFill="background1" w:themeFillShade="A6"/>
            <w:hideMark/>
          </w:tcPr>
          <w:p w14:paraId="4653470B" w14:textId="77777777" w:rsidR="00A93FE3" w:rsidRPr="00E601CA" w:rsidRDefault="00A93FE3" w:rsidP="00511F7F">
            <w:pPr>
              <w:keepNext/>
            </w:pPr>
            <w:r>
              <w:t>Betrieb</w:t>
            </w:r>
          </w:p>
        </w:tc>
        <w:tc>
          <w:tcPr>
            <w:tcW w:w="1120" w:type="dxa"/>
            <w:shd w:val="clear" w:color="auto" w:fill="A6A6A6" w:themeFill="background1" w:themeFillShade="A6"/>
            <w:hideMark/>
          </w:tcPr>
          <w:p w14:paraId="03D95A46" w14:textId="77777777" w:rsidR="00A93FE3" w:rsidRPr="00E601CA" w:rsidRDefault="00A93FE3" w:rsidP="00511F7F">
            <w:pPr>
              <w:keepNext/>
            </w:pPr>
            <w:r>
              <w:t>Ende der Lebensdauer</w:t>
            </w:r>
          </w:p>
        </w:tc>
        <w:tc>
          <w:tcPr>
            <w:tcW w:w="1260" w:type="dxa"/>
            <w:shd w:val="clear" w:color="auto" w:fill="A6A6A6" w:themeFill="background1" w:themeFillShade="A6"/>
            <w:hideMark/>
          </w:tcPr>
          <w:p w14:paraId="4468EAC6" w14:textId="77777777" w:rsidR="00A93FE3" w:rsidRPr="00E601CA" w:rsidRDefault="00A93FE3" w:rsidP="00511F7F">
            <w:pPr>
              <w:keepNext/>
            </w:pPr>
            <w:r>
              <w:t>Modul D</w:t>
            </w:r>
          </w:p>
        </w:tc>
      </w:tr>
      <w:tr w:rsidR="00A93FE3" w:rsidRPr="00E601CA" w14:paraId="5A7DE2FE" w14:textId="77777777" w:rsidTr="00915D36">
        <w:trPr>
          <w:jc w:val="center"/>
        </w:trPr>
        <w:tc>
          <w:tcPr>
            <w:tcW w:w="1839" w:type="dxa"/>
            <w:shd w:val="clear" w:color="auto" w:fill="F2F2F2" w:themeFill="background1" w:themeFillShade="F2"/>
            <w:hideMark/>
          </w:tcPr>
          <w:p w14:paraId="09AD6B8E" w14:textId="77777777" w:rsidR="00A93FE3" w:rsidRPr="00E601CA" w:rsidRDefault="00A93FE3" w:rsidP="00915D36">
            <w:pPr>
              <w:jc w:val="center"/>
            </w:pPr>
            <w:r>
              <w:t>8,1</w:t>
            </w:r>
          </w:p>
        </w:tc>
        <w:tc>
          <w:tcPr>
            <w:tcW w:w="1203" w:type="dxa"/>
            <w:vAlign w:val="center"/>
          </w:tcPr>
          <w:p w14:paraId="5D03CF6C" w14:textId="77777777" w:rsidR="00A93FE3" w:rsidRPr="00E601CA" w:rsidRDefault="00A93FE3" w:rsidP="00915D36">
            <w:pPr>
              <w:jc w:val="center"/>
            </w:pPr>
            <w:r>
              <w:t>16</w:t>
            </w:r>
          </w:p>
        </w:tc>
        <w:tc>
          <w:tcPr>
            <w:tcW w:w="1366" w:type="dxa"/>
            <w:vAlign w:val="center"/>
          </w:tcPr>
          <w:p w14:paraId="76393BD8" w14:textId="77777777" w:rsidR="00A93FE3" w:rsidRPr="00E601CA" w:rsidRDefault="00A93FE3" w:rsidP="00915D36">
            <w:pPr>
              <w:jc w:val="center"/>
            </w:pPr>
            <w:r>
              <w:t>0</w:t>
            </w:r>
          </w:p>
        </w:tc>
        <w:tc>
          <w:tcPr>
            <w:tcW w:w="1287" w:type="dxa"/>
            <w:vAlign w:val="center"/>
          </w:tcPr>
          <w:p w14:paraId="0CB9D6F7" w14:textId="77777777" w:rsidR="00A93FE3" w:rsidRPr="00E601CA" w:rsidRDefault="00A93FE3" w:rsidP="00915D36">
            <w:pPr>
              <w:jc w:val="center"/>
            </w:pPr>
            <w:r>
              <w:t>57</w:t>
            </w:r>
          </w:p>
        </w:tc>
        <w:tc>
          <w:tcPr>
            <w:tcW w:w="1120" w:type="dxa"/>
            <w:vAlign w:val="center"/>
          </w:tcPr>
          <w:p w14:paraId="50788132" w14:textId="77777777" w:rsidR="00A93FE3" w:rsidRPr="00E601CA" w:rsidRDefault="00A93FE3" w:rsidP="00915D36">
            <w:pPr>
              <w:jc w:val="center"/>
            </w:pPr>
            <w:r>
              <w:t>1</w:t>
            </w:r>
          </w:p>
        </w:tc>
        <w:tc>
          <w:tcPr>
            <w:tcW w:w="1260" w:type="dxa"/>
            <w:vAlign w:val="center"/>
          </w:tcPr>
          <w:p w14:paraId="3A012F3C" w14:textId="77777777" w:rsidR="00A93FE3" w:rsidRPr="00E601CA" w:rsidRDefault="00A93FE3" w:rsidP="00915D36">
            <w:pPr>
              <w:jc w:val="center"/>
            </w:pPr>
            <w:r>
              <w:t>0</w:t>
            </w:r>
          </w:p>
        </w:tc>
      </w:tr>
      <w:tr w:rsidR="00A93FE3" w:rsidRPr="00E601CA" w14:paraId="25EDD39F" w14:textId="77777777" w:rsidTr="00915D36">
        <w:trPr>
          <w:jc w:val="center"/>
        </w:trPr>
        <w:tc>
          <w:tcPr>
            <w:tcW w:w="1839" w:type="dxa"/>
            <w:shd w:val="clear" w:color="auto" w:fill="F2F2F2" w:themeFill="background1" w:themeFillShade="F2"/>
            <w:hideMark/>
          </w:tcPr>
          <w:p w14:paraId="2A7A0E14" w14:textId="77777777" w:rsidR="00A93FE3" w:rsidRPr="00E601CA" w:rsidRDefault="00A93FE3" w:rsidP="00915D36">
            <w:pPr>
              <w:jc w:val="center"/>
            </w:pPr>
            <w:r>
              <w:t>10</w:t>
            </w:r>
          </w:p>
        </w:tc>
        <w:tc>
          <w:tcPr>
            <w:tcW w:w="1203" w:type="dxa"/>
          </w:tcPr>
          <w:p w14:paraId="277AED02" w14:textId="77777777" w:rsidR="00A93FE3" w:rsidRPr="00E601CA" w:rsidRDefault="00A93FE3" w:rsidP="00915D36">
            <w:pPr>
              <w:jc w:val="center"/>
            </w:pPr>
            <w:r>
              <w:t>24</w:t>
            </w:r>
          </w:p>
        </w:tc>
        <w:tc>
          <w:tcPr>
            <w:tcW w:w="1366" w:type="dxa"/>
          </w:tcPr>
          <w:p w14:paraId="31E3341A" w14:textId="77777777" w:rsidR="00A93FE3" w:rsidRPr="00E601CA" w:rsidRDefault="00A93FE3" w:rsidP="00915D36">
            <w:pPr>
              <w:jc w:val="center"/>
            </w:pPr>
            <w:r>
              <w:t>0</w:t>
            </w:r>
          </w:p>
        </w:tc>
        <w:tc>
          <w:tcPr>
            <w:tcW w:w="1287" w:type="dxa"/>
          </w:tcPr>
          <w:p w14:paraId="7452A322" w14:textId="77777777" w:rsidR="00A93FE3" w:rsidRPr="00E601CA" w:rsidRDefault="00A93FE3" w:rsidP="00915D36">
            <w:pPr>
              <w:jc w:val="center"/>
            </w:pPr>
            <w:r>
              <w:t>23</w:t>
            </w:r>
          </w:p>
        </w:tc>
        <w:tc>
          <w:tcPr>
            <w:tcW w:w="1120" w:type="dxa"/>
          </w:tcPr>
          <w:p w14:paraId="21493974" w14:textId="77777777" w:rsidR="00A93FE3" w:rsidRPr="00E601CA" w:rsidRDefault="00A93FE3" w:rsidP="00915D36">
            <w:pPr>
              <w:jc w:val="center"/>
            </w:pPr>
            <w:r>
              <w:t>1</w:t>
            </w:r>
          </w:p>
        </w:tc>
        <w:tc>
          <w:tcPr>
            <w:tcW w:w="1260" w:type="dxa"/>
          </w:tcPr>
          <w:p w14:paraId="112DD269" w14:textId="77777777" w:rsidR="00A93FE3" w:rsidRPr="00E601CA" w:rsidRDefault="00A93FE3" w:rsidP="00915D36">
            <w:pPr>
              <w:jc w:val="center"/>
            </w:pPr>
            <w:r>
              <w:t>0</w:t>
            </w:r>
          </w:p>
        </w:tc>
      </w:tr>
      <w:tr w:rsidR="00A93FE3" w:rsidRPr="00E601CA" w14:paraId="5777DCC4" w14:textId="77777777" w:rsidTr="00915D36">
        <w:trPr>
          <w:jc w:val="center"/>
        </w:trPr>
        <w:tc>
          <w:tcPr>
            <w:tcW w:w="1839" w:type="dxa"/>
            <w:shd w:val="clear" w:color="auto" w:fill="F2F2F2" w:themeFill="background1" w:themeFillShade="F2"/>
            <w:hideMark/>
          </w:tcPr>
          <w:p w14:paraId="2FDC4D8F" w14:textId="77777777" w:rsidR="00A93FE3" w:rsidRPr="00E601CA" w:rsidRDefault="00A93FE3" w:rsidP="00915D36">
            <w:pPr>
              <w:jc w:val="center"/>
            </w:pPr>
            <w:r>
              <w:t>11</w:t>
            </w:r>
          </w:p>
        </w:tc>
        <w:tc>
          <w:tcPr>
            <w:tcW w:w="1203" w:type="dxa"/>
          </w:tcPr>
          <w:p w14:paraId="319835C6" w14:textId="77777777" w:rsidR="00A93FE3" w:rsidRPr="00E601CA" w:rsidRDefault="00A93FE3" w:rsidP="00915D36">
            <w:pPr>
              <w:jc w:val="center"/>
            </w:pPr>
            <w:r>
              <w:t>1</w:t>
            </w:r>
          </w:p>
        </w:tc>
        <w:tc>
          <w:tcPr>
            <w:tcW w:w="1366" w:type="dxa"/>
          </w:tcPr>
          <w:p w14:paraId="3753CA11" w14:textId="77777777" w:rsidR="00A93FE3" w:rsidRPr="00E601CA" w:rsidRDefault="00A93FE3" w:rsidP="00915D36">
            <w:pPr>
              <w:jc w:val="center"/>
            </w:pPr>
            <w:r>
              <w:t>0</w:t>
            </w:r>
          </w:p>
        </w:tc>
        <w:tc>
          <w:tcPr>
            <w:tcW w:w="1287" w:type="dxa"/>
          </w:tcPr>
          <w:p w14:paraId="247BBF8D" w14:textId="77777777" w:rsidR="00A93FE3" w:rsidRPr="00E601CA" w:rsidRDefault="00A93FE3" w:rsidP="00915D36">
            <w:pPr>
              <w:jc w:val="center"/>
            </w:pPr>
            <w:r>
              <w:t>1</w:t>
            </w:r>
          </w:p>
        </w:tc>
        <w:tc>
          <w:tcPr>
            <w:tcW w:w="1120" w:type="dxa"/>
          </w:tcPr>
          <w:p w14:paraId="3A7041BD" w14:textId="77777777" w:rsidR="00A93FE3" w:rsidRPr="00E601CA" w:rsidRDefault="00A93FE3" w:rsidP="00915D36">
            <w:pPr>
              <w:jc w:val="center"/>
            </w:pPr>
            <w:r>
              <w:t>0</w:t>
            </w:r>
          </w:p>
        </w:tc>
        <w:tc>
          <w:tcPr>
            <w:tcW w:w="1260" w:type="dxa"/>
          </w:tcPr>
          <w:p w14:paraId="7F96CE5E" w14:textId="77777777" w:rsidR="00A93FE3" w:rsidRPr="00E601CA" w:rsidRDefault="00A93FE3" w:rsidP="00915D36">
            <w:pPr>
              <w:jc w:val="center"/>
            </w:pPr>
            <w:r>
              <w:t>0</w:t>
            </w:r>
          </w:p>
        </w:tc>
      </w:tr>
    </w:tbl>
    <w:p w14:paraId="2C5D2558" w14:textId="77777777" w:rsidR="00A93FE3" w:rsidRPr="00E601CA" w:rsidRDefault="00A93FE3" w:rsidP="00A93FE3"/>
    <w:p w14:paraId="029E6914" w14:textId="2A42CE78" w:rsidR="00A93FE3" w:rsidRPr="00E601CA" w:rsidRDefault="003815E1" w:rsidP="00455AB7">
      <w:pPr>
        <w:pStyle w:val="Heading4"/>
        <w:keepNext/>
        <w:numPr>
          <w:ilvl w:val="0"/>
          <w:numId w:val="0"/>
        </w:numPr>
      </w:pPr>
      <w:bookmarkStart w:id="78" w:name="_Ref57990085"/>
      <w:r>
        <w:rPr>
          <w:b w:val="0"/>
        </w:rPr>
        <w:t xml:space="preserve">ANHANG XII. </w:t>
      </w:r>
      <w:r>
        <w:t>STANDARDLEISTUNG VON BIOLOGISCHEN DÄMMSTOFFEN</w:t>
      </w:r>
      <w:bookmarkEnd w:id="78"/>
    </w:p>
    <w:p w14:paraId="1231CDA1" w14:textId="4306C1A9" w:rsidR="00A93FE3" w:rsidRPr="00E601CA" w:rsidRDefault="00A93FE3" w:rsidP="00455AB7">
      <w:pPr>
        <w:keepNext/>
      </w:pPr>
      <w:r>
        <w:t>Falls der Wert der nutzbaren Wärmeleitfähigkeit eines biologischen Dämmstoffs nicht nach den Modalitäten gemäß Artikel 24 des vorliegenden Erlasses nachgewiesen werden kann, entspricht der zu verwendende Wert dem in der nachfolgenden Tabelle definierten Standardwert:</w:t>
      </w:r>
    </w:p>
    <w:tbl>
      <w:tblPr>
        <w:tblStyle w:val="Grilledutableau1"/>
        <w:tblW w:w="5000" w:type="pct"/>
        <w:tblInd w:w="3" w:type="dxa"/>
        <w:tblLook w:val="04A0" w:firstRow="1" w:lastRow="0" w:firstColumn="1" w:lastColumn="0" w:noHBand="0" w:noVBand="1"/>
      </w:tblPr>
      <w:tblGrid>
        <w:gridCol w:w="1869"/>
        <w:gridCol w:w="3202"/>
        <w:gridCol w:w="1730"/>
        <w:gridCol w:w="2261"/>
      </w:tblGrid>
      <w:tr w:rsidR="00A93FE3" w:rsidRPr="00E601CA" w14:paraId="6F324C6E" w14:textId="77777777" w:rsidTr="00915D36">
        <w:tc>
          <w:tcPr>
            <w:tcW w:w="3116" w:type="pct"/>
            <w:gridSpan w:val="2"/>
            <w:shd w:val="clear" w:color="auto" w:fill="A6A6A6" w:themeFill="background1" w:themeFillShade="A6"/>
            <w:vAlign w:val="center"/>
            <w:hideMark/>
          </w:tcPr>
          <w:p w14:paraId="1BAA5729" w14:textId="77777777" w:rsidR="00A93FE3" w:rsidRPr="00E601CA" w:rsidRDefault="00A93FE3" w:rsidP="00455AB7">
            <w:pPr>
              <w:keepNext/>
              <w:spacing w:before="100" w:beforeAutospacing="1" w:after="100" w:afterAutospacing="1"/>
              <w:jc w:val="center"/>
              <w:rPr>
                <w:rFonts w:eastAsia="Times New Roman" w:cstheme="minorHAnsi"/>
                <w:szCs w:val="24"/>
              </w:rPr>
            </w:pPr>
            <w:r>
              <w:t>DÄMMSTOFFTYP</w:t>
            </w:r>
          </w:p>
        </w:tc>
        <w:tc>
          <w:tcPr>
            <w:tcW w:w="942" w:type="pct"/>
            <w:shd w:val="clear" w:color="auto" w:fill="A6A6A6" w:themeFill="background1" w:themeFillShade="A6"/>
            <w:vAlign w:val="center"/>
            <w:hideMark/>
          </w:tcPr>
          <w:p w14:paraId="70DE76D0" w14:textId="77777777" w:rsidR="00A93FE3" w:rsidRPr="00E601CA" w:rsidRDefault="00A93FE3" w:rsidP="00455AB7">
            <w:pPr>
              <w:keepNext/>
              <w:spacing w:before="100" w:beforeAutospacing="1" w:after="100" w:afterAutospacing="1"/>
              <w:jc w:val="center"/>
              <w:rPr>
                <w:rFonts w:eastAsia="Times New Roman" w:cstheme="minorHAnsi"/>
                <w:szCs w:val="24"/>
              </w:rPr>
            </w:pPr>
            <w:r>
              <w:t>TROCKENDICHTE (r)</w:t>
            </w:r>
            <w:r>
              <w:br/>
              <w:t>in kg/m³</w:t>
            </w:r>
          </w:p>
        </w:tc>
        <w:tc>
          <w:tcPr>
            <w:tcW w:w="942" w:type="pct"/>
            <w:shd w:val="clear" w:color="auto" w:fill="A6A6A6" w:themeFill="background1" w:themeFillShade="A6"/>
            <w:vAlign w:val="center"/>
            <w:hideMark/>
          </w:tcPr>
          <w:p w14:paraId="21810F3D" w14:textId="77777777" w:rsidR="00A93FE3" w:rsidRPr="00E601CA" w:rsidRDefault="00A93FE3" w:rsidP="00455AB7">
            <w:pPr>
              <w:keepNext/>
              <w:spacing w:before="100" w:beforeAutospacing="1" w:after="100" w:afterAutospacing="1"/>
              <w:jc w:val="center"/>
              <w:rPr>
                <w:rFonts w:eastAsia="Times New Roman" w:cstheme="minorHAnsi"/>
                <w:szCs w:val="24"/>
              </w:rPr>
            </w:pPr>
            <w:r>
              <w:t>NUTZBARE WÄRMELEITFÄHIGKEIT (λ)</w:t>
            </w:r>
            <w:r>
              <w:br/>
              <w:t>in W/(m.K)</w:t>
            </w:r>
          </w:p>
        </w:tc>
      </w:tr>
      <w:tr w:rsidR="00A93FE3" w:rsidRPr="00E601CA" w14:paraId="19FCF1D5" w14:textId="77777777" w:rsidTr="00915D36">
        <w:tc>
          <w:tcPr>
            <w:tcW w:w="587" w:type="pct"/>
            <w:vMerge w:val="restart"/>
            <w:shd w:val="clear" w:color="auto" w:fill="F2F2F2" w:themeFill="background1" w:themeFillShade="F2"/>
            <w:vAlign w:val="center"/>
            <w:hideMark/>
          </w:tcPr>
          <w:p w14:paraId="77AB1DC8" w14:textId="77777777" w:rsidR="00A93FE3" w:rsidRPr="00E601CA" w:rsidRDefault="00A93FE3" w:rsidP="00511F7F">
            <w:pPr>
              <w:spacing w:before="100" w:beforeAutospacing="1" w:after="100" w:afterAutospacing="1"/>
              <w:jc w:val="center"/>
              <w:rPr>
                <w:rFonts w:eastAsia="Times New Roman" w:cstheme="minorHAnsi"/>
              </w:rPr>
            </w:pPr>
            <w:r>
              <w:t>Dämmstoffe aus Holz</w:t>
            </w:r>
          </w:p>
        </w:tc>
        <w:tc>
          <w:tcPr>
            <w:tcW w:w="2530" w:type="pct"/>
            <w:vMerge w:val="restart"/>
            <w:shd w:val="clear" w:color="auto" w:fill="F2F2F2" w:themeFill="background1" w:themeFillShade="F2"/>
            <w:vAlign w:val="center"/>
            <w:hideMark/>
          </w:tcPr>
          <w:p w14:paraId="42C78B15" w14:textId="77777777" w:rsidR="003815E1" w:rsidRPr="00E601CA" w:rsidRDefault="00A93FE3" w:rsidP="003815E1">
            <w:pPr>
              <w:jc w:val="left"/>
              <w:rPr>
                <w:rFonts w:eastAsia="Times New Roman" w:cstheme="minorHAnsi"/>
              </w:rPr>
            </w:pPr>
            <w:r>
              <w:t>Kork gemäß der Norm NF B 57-000</w:t>
            </w:r>
          </w:p>
          <w:p w14:paraId="44AC17EC" w14:textId="77777777" w:rsidR="003815E1" w:rsidRPr="00E601CA" w:rsidRDefault="00A93FE3" w:rsidP="003815E1">
            <w:pPr>
              <w:jc w:val="left"/>
              <w:rPr>
                <w:rFonts w:eastAsia="Times New Roman" w:cstheme="minorHAnsi"/>
              </w:rPr>
            </w:pPr>
            <w:r>
              <w:t>– gepresst</w:t>
            </w:r>
          </w:p>
          <w:p w14:paraId="441AEC63" w14:textId="77777777" w:rsidR="003815E1" w:rsidRPr="00E601CA" w:rsidRDefault="00A93FE3" w:rsidP="003815E1">
            <w:pPr>
              <w:jc w:val="left"/>
              <w:rPr>
                <w:rFonts w:eastAsia="Times New Roman" w:cstheme="minorHAnsi"/>
              </w:rPr>
            </w:pPr>
            <w:r>
              <w:t>– reinexpandiert gemäß der Norm NF EN 13170 (ICB)</w:t>
            </w:r>
          </w:p>
          <w:p w14:paraId="7AA26B60" w14:textId="191E8D2E" w:rsidR="00A93FE3" w:rsidRPr="00E601CA" w:rsidRDefault="00A93FE3" w:rsidP="003815E1">
            <w:pPr>
              <w:jc w:val="left"/>
              <w:rPr>
                <w:rFonts w:eastAsia="Times New Roman" w:cstheme="minorHAnsi"/>
              </w:rPr>
            </w:pPr>
            <w:r>
              <w:t>– expandiert und mit Balsamharz oder Kunstharzen gebunden</w:t>
            </w:r>
          </w:p>
        </w:tc>
        <w:tc>
          <w:tcPr>
            <w:tcW w:w="942" w:type="pct"/>
            <w:vAlign w:val="center"/>
            <w:hideMark/>
          </w:tcPr>
          <w:p w14:paraId="43FE4D77" w14:textId="77777777" w:rsidR="00A93FE3" w:rsidRPr="00E601CA" w:rsidRDefault="00A93FE3" w:rsidP="00511F7F">
            <w:pPr>
              <w:jc w:val="center"/>
              <w:rPr>
                <w:rFonts w:eastAsia="Times New Roman" w:cstheme="minorHAnsi"/>
              </w:rPr>
            </w:pPr>
            <w:r>
              <w:t>ρ ≤ 500</w:t>
            </w:r>
          </w:p>
        </w:tc>
        <w:tc>
          <w:tcPr>
            <w:tcW w:w="942" w:type="pct"/>
            <w:vAlign w:val="center"/>
            <w:hideMark/>
          </w:tcPr>
          <w:p w14:paraId="0DEEB75C" w14:textId="77777777" w:rsidR="00A93FE3" w:rsidRPr="00E601CA" w:rsidRDefault="00A93FE3" w:rsidP="00511F7F">
            <w:pPr>
              <w:jc w:val="center"/>
              <w:rPr>
                <w:rFonts w:eastAsia="Times New Roman" w:cstheme="minorHAnsi"/>
              </w:rPr>
            </w:pPr>
            <w:r>
              <w:t>0,10</w:t>
            </w:r>
          </w:p>
        </w:tc>
      </w:tr>
      <w:tr w:rsidR="00A93FE3" w:rsidRPr="00E601CA" w14:paraId="2E933184" w14:textId="77777777" w:rsidTr="00915D36">
        <w:tc>
          <w:tcPr>
            <w:tcW w:w="587" w:type="pct"/>
            <w:vMerge/>
            <w:shd w:val="clear" w:color="auto" w:fill="F2F2F2" w:themeFill="background1" w:themeFillShade="F2"/>
            <w:vAlign w:val="center"/>
            <w:hideMark/>
          </w:tcPr>
          <w:p w14:paraId="17D62EB4" w14:textId="77777777" w:rsidR="00A93FE3" w:rsidRPr="00E601CA" w:rsidRDefault="00A93FE3" w:rsidP="00511F7F">
            <w:pPr>
              <w:jc w:val="center"/>
              <w:rPr>
                <w:rFonts w:eastAsia="Times New Roman" w:cstheme="minorHAnsi"/>
                <w:lang w:eastAsia="fr-FR" w:bidi="ar-SA"/>
              </w:rPr>
            </w:pPr>
          </w:p>
        </w:tc>
        <w:tc>
          <w:tcPr>
            <w:tcW w:w="2530" w:type="pct"/>
            <w:vMerge/>
            <w:shd w:val="clear" w:color="auto" w:fill="F2F2F2" w:themeFill="background1" w:themeFillShade="F2"/>
            <w:vAlign w:val="center"/>
            <w:hideMark/>
          </w:tcPr>
          <w:p w14:paraId="0ECA7D52" w14:textId="77777777" w:rsidR="00A93FE3" w:rsidRPr="00E601CA" w:rsidRDefault="00A93FE3" w:rsidP="003815E1">
            <w:pPr>
              <w:jc w:val="left"/>
              <w:rPr>
                <w:rFonts w:eastAsia="Times New Roman" w:cstheme="minorHAnsi"/>
                <w:lang w:eastAsia="fr-FR" w:bidi="ar-SA"/>
              </w:rPr>
            </w:pPr>
          </w:p>
        </w:tc>
        <w:tc>
          <w:tcPr>
            <w:tcW w:w="942" w:type="pct"/>
            <w:vAlign w:val="center"/>
            <w:hideMark/>
          </w:tcPr>
          <w:p w14:paraId="093662AC" w14:textId="77777777" w:rsidR="00A93FE3" w:rsidRPr="00E601CA" w:rsidRDefault="00A93FE3" w:rsidP="00511F7F">
            <w:pPr>
              <w:jc w:val="center"/>
              <w:rPr>
                <w:rFonts w:eastAsia="Times New Roman" w:cstheme="minorHAnsi"/>
              </w:rPr>
            </w:pPr>
            <w:r>
              <w:t>100 ≤ ρ ≤ 150</w:t>
            </w:r>
          </w:p>
        </w:tc>
        <w:tc>
          <w:tcPr>
            <w:tcW w:w="942" w:type="pct"/>
            <w:vAlign w:val="center"/>
            <w:hideMark/>
          </w:tcPr>
          <w:p w14:paraId="06741696" w14:textId="77777777" w:rsidR="00A93FE3" w:rsidRPr="00E601CA" w:rsidRDefault="00A93FE3" w:rsidP="00511F7F">
            <w:pPr>
              <w:jc w:val="center"/>
              <w:rPr>
                <w:rFonts w:eastAsia="Times New Roman" w:cstheme="minorHAnsi"/>
              </w:rPr>
            </w:pPr>
            <w:r>
              <w:t>0,049</w:t>
            </w:r>
          </w:p>
        </w:tc>
      </w:tr>
      <w:tr w:rsidR="00A93FE3" w:rsidRPr="00E601CA" w14:paraId="580520AD" w14:textId="77777777" w:rsidTr="00915D36">
        <w:tc>
          <w:tcPr>
            <w:tcW w:w="587" w:type="pct"/>
            <w:vMerge/>
            <w:shd w:val="clear" w:color="auto" w:fill="F2F2F2" w:themeFill="background1" w:themeFillShade="F2"/>
            <w:vAlign w:val="center"/>
            <w:hideMark/>
          </w:tcPr>
          <w:p w14:paraId="5FDF5132" w14:textId="77777777" w:rsidR="00A93FE3" w:rsidRPr="00E601CA" w:rsidRDefault="00A93FE3" w:rsidP="00511F7F">
            <w:pPr>
              <w:jc w:val="center"/>
              <w:rPr>
                <w:rFonts w:eastAsia="Times New Roman" w:cstheme="minorHAnsi"/>
                <w:lang w:eastAsia="fr-FR" w:bidi="ar-SA"/>
              </w:rPr>
            </w:pPr>
          </w:p>
        </w:tc>
        <w:tc>
          <w:tcPr>
            <w:tcW w:w="2530" w:type="pct"/>
            <w:vMerge/>
            <w:shd w:val="clear" w:color="auto" w:fill="F2F2F2" w:themeFill="background1" w:themeFillShade="F2"/>
            <w:vAlign w:val="center"/>
            <w:hideMark/>
          </w:tcPr>
          <w:p w14:paraId="153AC681" w14:textId="77777777" w:rsidR="00A93FE3" w:rsidRPr="00E601CA" w:rsidRDefault="00A93FE3" w:rsidP="003815E1">
            <w:pPr>
              <w:jc w:val="left"/>
              <w:rPr>
                <w:rFonts w:eastAsia="Times New Roman" w:cstheme="minorHAnsi"/>
                <w:lang w:eastAsia="fr-FR" w:bidi="ar-SA"/>
              </w:rPr>
            </w:pPr>
          </w:p>
        </w:tc>
        <w:tc>
          <w:tcPr>
            <w:tcW w:w="942" w:type="pct"/>
            <w:vAlign w:val="center"/>
            <w:hideMark/>
          </w:tcPr>
          <w:p w14:paraId="0ADE0674" w14:textId="77777777" w:rsidR="00A93FE3" w:rsidRPr="00E601CA" w:rsidRDefault="00A93FE3" w:rsidP="00511F7F">
            <w:pPr>
              <w:jc w:val="center"/>
              <w:rPr>
                <w:rFonts w:eastAsia="Times New Roman" w:cstheme="minorHAnsi"/>
              </w:rPr>
            </w:pPr>
            <w:r>
              <w:t>100 ≤ ρ &lt; 150</w:t>
            </w:r>
          </w:p>
        </w:tc>
        <w:tc>
          <w:tcPr>
            <w:tcW w:w="942" w:type="pct"/>
            <w:vAlign w:val="center"/>
            <w:hideMark/>
          </w:tcPr>
          <w:p w14:paraId="02AA3D7A" w14:textId="77777777" w:rsidR="00A93FE3" w:rsidRPr="00E601CA" w:rsidRDefault="00A93FE3" w:rsidP="00511F7F">
            <w:pPr>
              <w:jc w:val="center"/>
              <w:rPr>
                <w:rFonts w:eastAsia="Times New Roman" w:cstheme="minorHAnsi"/>
              </w:rPr>
            </w:pPr>
            <w:r>
              <w:t>0,049</w:t>
            </w:r>
          </w:p>
        </w:tc>
      </w:tr>
      <w:tr w:rsidR="00A93FE3" w:rsidRPr="00E601CA" w14:paraId="5658A442" w14:textId="77777777" w:rsidTr="00915D36">
        <w:tc>
          <w:tcPr>
            <w:tcW w:w="587" w:type="pct"/>
            <w:vMerge/>
            <w:shd w:val="clear" w:color="auto" w:fill="F2F2F2" w:themeFill="background1" w:themeFillShade="F2"/>
            <w:vAlign w:val="center"/>
            <w:hideMark/>
          </w:tcPr>
          <w:p w14:paraId="57C35EE5" w14:textId="77777777" w:rsidR="00A93FE3" w:rsidRPr="00E601CA" w:rsidRDefault="00A93FE3" w:rsidP="00511F7F">
            <w:pPr>
              <w:jc w:val="center"/>
              <w:rPr>
                <w:rFonts w:eastAsia="Times New Roman" w:cstheme="minorHAnsi"/>
                <w:lang w:eastAsia="fr-FR" w:bidi="ar-SA"/>
              </w:rPr>
            </w:pPr>
          </w:p>
        </w:tc>
        <w:tc>
          <w:tcPr>
            <w:tcW w:w="2530" w:type="pct"/>
            <w:vMerge/>
            <w:shd w:val="clear" w:color="auto" w:fill="F2F2F2" w:themeFill="background1" w:themeFillShade="F2"/>
            <w:vAlign w:val="center"/>
            <w:hideMark/>
          </w:tcPr>
          <w:p w14:paraId="7D1C640F" w14:textId="77777777" w:rsidR="00A93FE3" w:rsidRPr="00E601CA" w:rsidRDefault="00A93FE3" w:rsidP="003815E1">
            <w:pPr>
              <w:jc w:val="left"/>
              <w:rPr>
                <w:rFonts w:eastAsia="Times New Roman" w:cstheme="minorHAnsi"/>
                <w:lang w:eastAsia="fr-FR" w:bidi="ar-SA"/>
              </w:rPr>
            </w:pPr>
          </w:p>
        </w:tc>
        <w:tc>
          <w:tcPr>
            <w:tcW w:w="942" w:type="pct"/>
            <w:vAlign w:val="center"/>
            <w:hideMark/>
          </w:tcPr>
          <w:p w14:paraId="453790BB" w14:textId="77777777" w:rsidR="00A93FE3" w:rsidRPr="00E601CA" w:rsidRDefault="00A93FE3" w:rsidP="00511F7F">
            <w:pPr>
              <w:jc w:val="center"/>
              <w:rPr>
                <w:rFonts w:eastAsia="Times New Roman" w:cstheme="minorHAnsi"/>
              </w:rPr>
            </w:pPr>
            <w:r>
              <w:t>150 ≤ ρ ≤ 250</w:t>
            </w:r>
          </w:p>
        </w:tc>
        <w:tc>
          <w:tcPr>
            <w:tcW w:w="942" w:type="pct"/>
            <w:vAlign w:val="center"/>
            <w:hideMark/>
          </w:tcPr>
          <w:p w14:paraId="7FB82461" w14:textId="77777777" w:rsidR="00A93FE3" w:rsidRPr="00E601CA" w:rsidRDefault="00A93FE3" w:rsidP="00511F7F">
            <w:pPr>
              <w:jc w:val="center"/>
              <w:rPr>
                <w:rFonts w:eastAsia="Times New Roman" w:cstheme="minorHAnsi"/>
              </w:rPr>
            </w:pPr>
            <w:r>
              <w:t>0,055</w:t>
            </w:r>
          </w:p>
        </w:tc>
      </w:tr>
      <w:tr w:rsidR="00A93FE3" w:rsidRPr="00E601CA" w14:paraId="5E7109B6" w14:textId="77777777" w:rsidTr="00915D36">
        <w:tc>
          <w:tcPr>
            <w:tcW w:w="587" w:type="pct"/>
            <w:vMerge/>
            <w:shd w:val="clear" w:color="auto" w:fill="F2F2F2" w:themeFill="background1" w:themeFillShade="F2"/>
            <w:vAlign w:val="center"/>
            <w:hideMark/>
          </w:tcPr>
          <w:p w14:paraId="21A25E1B" w14:textId="77777777" w:rsidR="00A93FE3" w:rsidRPr="00E601CA" w:rsidRDefault="00A93FE3" w:rsidP="00511F7F">
            <w:pPr>
              <w:jc w:val="center"/>
              <w:rPr>
                <w:rFonts w:eastAsia="Times New Roman" w:cstheme="minorHAnsi"/>
                <w:lang w:eastAsia="fr-FR" w:bidi="ar-SA"/>
              </w:rPr>
            </w:pPr>
          </w:p>
        </w:tc>
        <w:tc>
          <w:tcPr>
            <w:tcW w:w="2530" w:type="pct"/>
            <w:vMerge w:val="restart"/>
            <w:shd w:val="clear" w:color="auto" w:fill="F2F2F2" w:themeFill="background1" w:themeFillShade="F2"/>
            <w:vAlign w:val="center"/>
            <w:hideMark/>
          </w:tcPr>
          <w:p w14:paraId="6D00FB63" w14:textId="77777777" w:rsidR="00A93FE3" w:rsidRPr="00E601CA" w:rsidRDefault="00A93FE3" w:rsidP="003815E1">
            <w:pPr>
              <w:jc w:val="left"/>
              <w:rPr>
                <w:rFonts w:eastAsia="Times New Roman" w:cstheme="minorHAnsi"/>
              </w:rPr>
            </w:pPr>
            <w:r>
              <w:t>Holzfaserplatten gemäß der Norm NF EN 316</w:t>
            </w:r>
          </w:p>
        </w:tc>
        <w:tc>
          <w:tcPr>
            <w:tcW w:w="942" w:type="pct"/>
            <w:vAlign w:val="center"/>
            <w:hideMark/>
          </w:tcPr>
          <w:p w14:paraId="59B8ED0A" w14:textId="77777777" w:rsidR="00A93FE3" w:rsidRPr="00E601CA" w:rsidRDefault="00A93FE3" w:rsidP="00511F7F">
            <w:pPr>
              <w:jc w:val="center"/>
              <w:rPr>
                <w:rFonts w:eastAsia="Times New Roman" w:cstheme="minorHAnsi"/>
              </w:rPr>
            </w:pPr>
            <w:r>
              <w:t>750 ≤ ρ ≤ 1000</w:t>
            </w:r>
          </w:p>
        </w:tc>
        <w:tc>
          <w:tcPr>
            <w:tcW w:w="942" w:type="pct"/>
            <w:vAlign w:val="center"/>
            <w:hideMark/>
          </w:tcPr>
          <w:p w14:paraId="266A7E03" w14:textId="77777777" w:rsidR="00A93FE3" w:rsidRPr="00E601CA" w:rsidRDefault="00A93FE3" w:rsidP="00511F7F">
            <w:pPr>
              <w:jc w:val="center"/>
              <w:rPr>
                <w:rFonts w:eastAsia="Times New Roman" w:cstheme="minorHAnsi"/>
              </w:rPr>
            </w:pPr>
            <w:r>
              <w:t>0,20</w:t>
            </w:r>
          </w:p>
        </w:tc>
      </w:tr>
      <w:tr w:rsidR="00A93FE3" w:rsidRPr="00E601CA" w14:paraId="58931DD9" w14:textId="77777777" w:rsidTr="00915D36">
        <w:tc>
          <w:tcPr>
            <w:tcW w:w="587" w:type="pct"/>
            <w:vMerge/>
            <w:shd w:val="clear" w:color="auto" w:fill="F2F2F2" w:themeFill="background1" w:themeFillShade="F2"/>
            <w:vAlign w:val="center"/>
            <w:hideMark/>
          </w:tcPr>
          <w:p w14:paraId="318E760B" w14:textId="77777777" w:rsidR="00A93FE3" w:rsidRPr="00E601CA" w:rsidRDefault="00A93FE3" w:rsidP="00511F7F">
            <w:pPr>
              <w:jc w:val="center"/>
              <w:rPr>
                <w:rFonts w:eastAsia="Times New Roman" w:cstheme="minorHAnsi"/>
                <w:lang w:eastAsia="fr-FR" w:bidi="ar-SA"/>
              </w:rPr>
            </w:pPr>
          </w:p>
        </w:tc>
        <w:tc>
          <w:tcPr>
            <w:tcW w:w="2530" w:type="pct"/>
            <w:vMerge/>
            <w:shd w:val="clear" w:color="auto" w:fill="F2F2F2" w:themeFill="background1" w:themeFillShade="F2"/>
            <w:vAlign w:val="center"/>
            <w:hideMark/>
          </w:tcPr>
          <w:p w14:paraId="41533F31" w14:textId="77777777" w:rsidR="00A93FE3" w:rsidRPr="00E601CA" w:rsidRDefault="00A93FE3" w:rsidP="003815E1">
            <w:pPr>
              <w:jc w:val="left"/>
              <w:rPr>
                <w:rFonts w:eastAsia="Times New Roman" w:cstheme="minorHAnsi"/>
                <w:lang w:eastAsia="fr-FR" w:bidi="ar-SA"/>
              </w:rPr>
            </w:pPr>
          </w:p>
        </w:tc>
        <w:tc>
          <w:tcPr>
            <w:tcW w:w="942" w:type="pct"/>
            <w:vAlign w:val="center"/>
            <w:hideMark/>
          </w:tcPr>
          <w:p w14:paraId="31AC014F" w14:textId="77777777" w:rsidR="00A93FE3" w:rsidRPr="00E601CA" w:rsidRDefault="00A93FE3" w:rsidP="00511F7F">
            <w:pPr>
              <w:jc w:val="center"/>
              <w:rPr>
                <w:rFonts w:eastAsia="Times New Roman" w:cstheme="minorHAnsi"/>
              </w:rPr>
            </w:pPr>
            <w:r>
              <w:t>550 ≤ ρ ≤ 750</w:t>
            </w:r>
          </w:p>
        </w:tc>
        <w:tc>
          <w:tcPr>
            <w:tcW w:w="942" w:type="pct"/>
            <w:vAlign w:val="center"/>
            <w:hideMark/>
          </w:tcPr>
          <w:p w14:paraId="2EBB0A9E" w14:textId="77777777" w:rsidR="00A93FE3" w:rsidRPr="00E601CA" w:rsidRDefault="00A93FE3" w:rsidP="00511F7F">
            <w:pPr>
              <w:jc w:val="center"/>
              <w:rPr>
                <w:rFonts w:eastAsia="Times New Roman" w:cstheme="minorHAnsi"/>
              </w:rPr>
            </w:pPr>
            <w:r>
              <w:t>0,18</w:t>
            </w:r>
          </w:p>
        </w:tc>
      </w:tr>
      <w:tr w:rsidR="00A93FE3" w:rsidRPr="00E601CA" w14:paraId="77A04BB3" w14:textId="77777777" w:rsidTr="00915D36">
        <w:tc>
          <w:tcPr>
            <w:tcW w:w="587" w:type="pct"/>
            <w:vMerge/>
            <w:shd w:val="clear" w:color="auto" w:fill="F2F2F2" w:themeFill="background1" w:themeFillShade="F2"/>
            <w:vAlign w:val="center"/>
            <w:hideMark/>
          </w:tcPr>
          <w:p w14:paraId="1EECEE7E" w14:textId="77777777" w:rsidR="00A93FE3" w:rsidRPr="00E601CA" w:rsidRDefault="00A93FE3" w:rsidP="00511F7F">
            <w:pPr>
              <w:jc w:val="center"/>
              <w:rPr>
                <w:rFonts w:eastAsia="Times New Roman" w:cstheme="minorHAnsi"/>
                <w:lang w:eastAsia="fr-FR" w:bidi="ar-SA"/>
              </w:rPr>
            </w:pPr>
          </w:p>
        </w:tc>
        <w:tc>
          <w:tcPr>
            <w:tcW w:w="2530" w:type="pct"/>
            <w:vMerge/>
            <w:shd w:val="clear" w:color="auto" w:fill="F2F2F2" w:themeFill="background1" w:themeFillShade="F2"/>
            <w:vAlign w:val="center"/>
            <w:hideMark/>
          </w:tcPr>
          <w:p w14:paraId="02861764" w14:textId="77777777" w:rsidR="00A93FE3" w:rsidRPr="00E601CA" w:rsidRDefault="00A93FE3" w:rsidP="003815E1">
            <w:pPr>
              <w:jc w:val="left"/>
              <w:rPr>
                <w:rFonts w:eastAsia="Times New Roman" w:cstheme="minorHAnsi"/>
                <w:lang w:eastAsia="fr-FR" w:bidi="ar-SA"/>
              </w:rPr>
            </w:pPr>
          </w:p>
        </w:tc>
        <w:tc>
          <w:tcPr>
            <w:tcW w:w="942" w:type="pct"/>
            <w:vAlign w:val="center"/>
            <w:hideMark/>
          </w:tcPr>
          <w:p w14:paraId="6D3C12F8" w14:textId="77777777" w:rsidR="00A93FE3" w:rsidRPr="00E601CA" w:rsidRDefault="00A93FE3" w:rsidP="00511F7F">
            <w:pPr>
              <w:jc w:val="center"/>
              <w:rPr>
                <w:rFonts w:eastAsia="Times New Roman" w:cstheme="minorHAnsi"/>
              </w:rPr>
            </w:pPr>
            <w:r>
              <w:t>350 ≤ ρ ≤ 550</w:t>
            </w:r>
          </w:p>
        </w:tc>
        <w:tc>
          <w:tcPr>
            <w:tcW w:w="942" w:type="pct"/>
            <w:vAlign w:val="center"/>
            <w:hideMark/>
          </w:tcPr>
          <w:p w14:paraId="34B0A46A" w14:textId="77777777" w:rsidR="00A93FE3" w:rsidRPr="00E601CA" w:rsidRDefault="00A93FE3" w:rsidP="00511F7F">
            <w:pPr>
              <w:jc w:val="center"/>
              <w:rPr>
                <w:rFonts w:eastAsia="Times New Roman" w:cstheme="minorHAnsi"/>
              </w:rPr>
            </w:pPr>
            <w:r>
              <w:t>0,14</w:t>
            </w:r>
          </w:p>
        </w:tc>
      </w:tr>
      <w:tr w:rsidR="00A93FE3" w:rsidRPr="00E601CA" w14:paraId="04817F34" w14:textId="77777777" w:rsidTr="00915D36">
        <w:tc>
          <w:tcPr>
            <w:tcW w:w="587" w:type="pct"/>
            <w:vMerge/>
            <w:shd w:val="clear" w:color="auto" w:fill="F2F2F2" w:themeFill="background1" w:themeFillShade="F2"/>
            <w:vAlign w:val="center"/>
            <w:hideMark/>
          </w:tcPr>
          <w:p w14:paraId="5B850005" w14:textId="77777777" w:rsidR="00A93FE3" w:rsidRPr="00E601CA" w:rsidRDefault="00A93FE3" w:rsidP="00511F7F">
            <w:pPr>
              <w:jc w:val="center"/>
              <w:rPr>
                <w:rFonts w:eastAsia="Times New Roman" w:cstheme="minorHAnsi"/>
                <w:lang w:eastAsia="fr-FR" w:bidi="ar-SA"/>
              </w:rPr>
            </w:pPr>
          </w:p>
        </w:tc>
        <w:tc>
          <w:tcPr>
            <w:tcW w:w="2530" w:type="pct"/>
            <w:vMerge/>
            <w:shd w:val="clear" w:color="auto" w:fill="F2F2F2" w:themeFill="background1" w:themeFillShade="F2"/>
            <w:vAlign w:val="center"/>
            <w:hideMark/>
          </w:tcPr>
          <w:p w14:paraId="185EB289" w14:textId="77777777" w:rsidR="00A93FE3" w:rsidRPr="00E601CA" w:rsidRDefault="00A93FE3" w:rsidP="003815E1">
            <w:pPr>
              <w:jc w:val="left"/>
              <w:rPr>
                <w:rFonts w:eastAsia="Times New Roman" w:cstheme="minorHAnsi"/>
                <w:lang w:eastAsia="fr-FR" w:bidi="ar-SA"/>
              </w:rPr>
            </w:pPr>
          </w:p>
        </w:tc>
        <w:tc>
          <w:tcPr>
            <w:tcW w:w="942" w:type="pct"/>
            <w:vAlign w:val="center"/>
            <w:hideMark/>
          </w:tcPr>
          <w:p w14:paraId="03F3E8C5" w14:textId="77777777" w:rsidR="00A93FE3" w:rsidRPr="00E601CA" w:rsidRDefault="00A93FE3" w:rsidP="00511F7F">
            <w:pPr>
              <w:jc w:val="center"/>
              <w:rPr>
                <w:rFonts w:eastAsia="Times New Roman" w:cstheme="minorHAnsi"/>
              </w:rPr>
            </w:pPr>
            <w:r>
              <w:t>200 ≤ ρ ≤ 350</w:t>
            </w:r>
          </w:p>
        </w:tc>
        <w:tc>
          <w:tcPr>
            <w:tcW w:w="942" w:type="pct"/>
            <w:vAlign w:val="center"/>
            <w:hideMark/>
          </w:tcPr>
          <w:p w14:paraId="3F358D7B" w14:textId="77777777" w:rsidR="00A93FE3" w:rsidRPr="00E601CA" w:rsidRDefault="00A93FE3" w:rsidP="00511F7F">
            <w:pPr>
              <w:jc w:val="center"/>
              <w:rPr>
                <w:rFonts w:eastAsia="Times New Roman" w:cstheme="minorHAnsi"/>
              </w:rPr>
            </w:pPr>
            <w:r>
              <w:t>0,10</w:t>
            </w:r>
          </w:p>
        </w:tc>
      </w:tr>
      <w:tr w:rsidR="00A93FE3" w:rsidRPr="00E601CA" w14:paraId="4B9DFFBE" w14:textId="77777777" w:rsidTr="00915D36">
        <w:tc>
          <w:tcPr>
            <w:tcW w:w="587" w:type="pct"/>
            <w:vMerge/>
            <w:shd w:val="clear" w:color="auto" w:fill="F2F2F2" w:themeFill="background1" w:themeFillShade="F2"/>
            <w:vAlign w:val="center"/>
            <w:hideMark/>
          </w:tcPr>
          <w:p w14:paraId="76F9A75C" w14:textId="77777777" w:rsidR="00A93FE3" w:rsidRPr="00E601CA" w:rsidRDefault="00A93FE3" w:rsidP="00511F7F">
            <w:pPr>
              <w:jc w:val="center"/>
              <w:rPr>
                <w:rFonts w:eastAsia="Times New Roman" w:cstheme="minorHAnsi"/>
                <w:lang w:eastAsia="fr-FR" w:bidi="ar-SA"/>
              </w:rPr>
            </w:pPr>
          </w:p>
        </w:tc>
        <w:tc>
          <w:tcPr>
            <w:tcW w:w="2530" w:type="pct"/>
            <w:vMerge/>
            <w:shd w:val="clear" w:color="auto" w:fill="F2F2F2" w:themeFill="background1" w:themeFillShade="F2"/>
            <w:vAlign w:val="center"/>
            <w:hideMark/>
          </w:tcPr>
          <w:p w14:paraId="62965A79" w14:textId="77777777" w:rsidR="00A93FE3" w:rsidRPr="00E601CA" w:rsidRDefault="00A93FE3" w:rsidP="003815E1">
            <w:pPr>
              <w:jc w:val="left"/>
              <w:rPr>
                <w:rFonts w:eastAsia="Times New Roman" w:cstheme="minorHAnsi"/>
                <w:lang w:eastAsia="fr-FR" w:bidi="ar-SA"/>
              </w:rPr>
            </w:pPr>
          </w:p>
        </w:tc>
        <w:tc>
          <w:tcPr>
            <w:tcW w:w="942" w:type="pct"/>
            <w:vAlign w:val="center"/>
            <w:hideMark/>
          </w:tcPr>
          <w:p w14:paraId="3D19BD15" w14:textId="77777777" w:rsidR="00A93FE3" w:rsidRPr="00E601CA" w:rsidRDefault="00A93FE3" w:rsidP="00511F7F">
            <w:pPr>
              <w:jc w:val="center"/>
              <w:rPr>
                <w:rFonts w:eastAsia="Times New Roman" w:cstheme="minorHAnsi"/>
              </w:rPr>
            </w:pPr>
            <w:r>
              <w:t>ρ ≤ 200</w:t>
            </w:r>
          </w:p>
        </w:tc>
        <w:tc>
          <w:tcPr>
            <w:tcW w:w="942" w:type="pct"/>
            <w:vAlign w:val="center"/>
            <w:hideMark/>
          </w:tcPr>
          <w:p w14:paraId="1F77A267" w14:textId="77777777" w:rsidR="00A93FE3" w:rsidRPr="00E601CA" w:rsidRDefault="00A93FE3" w:rsidP="00511F7F">
            <w:pPr>
              <w:jc w:val="center"/>
              <w:rPr>
                <w:rFonts w:eastAsia="Times New Roman" w:cstheme="minorHAnsi"/>
              </w:rPr>
            </w:pPr>
            <w:r>
              <w:t>0,07</w:t>
            </w:r>
          </w:p>
        </w:tc>
      </w:tr>
      <w:tr w:rsidR="00A93FE3" w:rsidRPr="00E601CA" w14:paraId="2C2B2F74" w14:textId="77777777" w:rsidTr="00915D36">
        <w:tc>
          <w:tcPr>
            <w:tcW w:w="587" w:type="pct"/>
            <w:vMerge/>
            <w:shd w:val="clear" w:color="auto" w:fill="F2F2F2" w:themeFill="background1" w:themeFillShade="F2"/>
            <w:vAlign w:val="center"/>
            <w:hideMark/>
          </w:tcPr>
          <w:p w14:paraId="0768E9F4" w14:textId="77777777" w:rsidR="00A93FE3" w:rsidRPr="00E601CA" w:rsidRDefault="00A93FE3" w:rsidP="00511F7F">
            <w:pPr>
              <w:jc w:val="center"/>
              <w:rPr>
                <w:rFonts w:eastAsia="Times New Roman" w:cstheme="minorHAnsi"/>
                <w:lang w:eastAsia="fr-FR" w:bidi="ar-SA"/>
              </w:rPr>
            </w:pPr>
          </w:p>
        </w:tc>
        <w:tc>
          <w:tcPr>
            <w:tcW w:w="2530" w:type="pct"/>
            <w:vMerge w:val="restart"/>
            <w:shd w:val="clear" w:color="auto" w:fill="F2F2F2" w:themeFill="background1" w:themeFillShade="F2"/>
            <w:vAlign w:val="center"/>
            <w:hideMark/>
          </w:tcPr>
          <w:p w14:paraId="7BFB61DE" w14:textId="77777777" w:rsidR="003815E1" w:rsidRPr="00E601CA" w:rsidRDefault="00A93FE3" w:rsidP="003815E1">
            <w:pPr>
              <w:jc w:val="left"/>
              <w:rPr>
                <w:rFonts w:eastAsia="Times New Roman" w:cstheme="minorHAnsi"/>
              </w:rPr>
            </w:pPr>
            <w:r>
              <w:t>Holzwolleplatten</w:t>
            </w:r>
          </w:p>
          <w:p w14:paraId="2874C9E8" w14:textId="77777777" w:rsidR="003815E1" w:rsidRPr="00E601CA" w:rsidRDefault="00A93FE3" w:rsidP="003815E1">
            <w:pPr>
              <w:jc w:val="left"/>
              <w:rPr>
                <w:rFonts w:eastAsia="Times New Roman" w:cstheme="minorHAnsi"/>
              </w:rPr>
            </w:pPr>
            <w:r>
              <w:t>– hydraulisch gebundene Holzwolleplatten gemäß der Norm NF EN 13168</w:t>
            </w:r>
          </w:p>
          <w:p w14:paraId="5EE3E585" w14:textId="75E68B24" w:rsidR="00A93FE3" w:rsidRPr="00E601CA" w:rsidRDefault="00A93FE3" w:rsidP="003815E1">
            <w:pPr>
              <w:jc w:val="left"/>
              <w:rPr>
                <w:rFonts w:eastAsia="Times New Roman" w:cstheme="minorHAnsi"/>
              </w:rPr>
            </w:pPr>
            <w:r>
              <w:t>– gebundene Holzwolleplatten</w:t>
            </w:r>
          </w:p>
        </w:tc>
        <w:tc>
          <w:tcPr>
            <w:tcW w:w="942" w:type="pct"/>
            <w:vAlign w:val="center"/>
            <w:hideMark/>
          </w:tcPr>
          <w:p w14:paraId="67E8FBC7" w14:textId="77777777" w:rsidR="00A93FE3" w:rsidRPr="00E601CA" w:rsidRDefault="00A93FE3" w:rsidP="00511F7F">
            <w:pPr>
              <w:jc w:val="center"/>
              <w:rPr>
                <w:rFonts w:eastAsia="Times New Roman" w:cstheme="minorHAnsi"/>
              </w:rPr>
            </w:pPr>
            <w:r>
              <w:t>350 ≤ ρ ≤ 450</w:t>
            </w:r>
          </w:p>
        </w:tc>
        <w:tc>
          <w:tcPr>
            <w:tcW w:w="942" w:type="pct"/>
            <w:vAlign w:val="center"/>
            <w:hideMark/>
          </w:tcPr>
          <w:p w14:paraId="700FE0AD" w14:textId="77777777" w:rsidR="00A93FE3" w:rsidRPr="00E601CA" w:rsidRDefault="00A93FE3" w:rsidP="00511F7F">
            <w:pPr>
              <w:jc w:val="center"/>
              <w:rPr>
                <w:rFonts w:eastAsia="Times New Roman" w:cstheme="minorHAnsi"/>
              </w:rPr>
            </w:pPr>
            <w:r>
              <w:t>0,10</w:t>
            </w:r>
          </w:p>
        </w:tc>
      </w:tr>
      <w:tr w:rsidR="00A93FE3" w:rsidRPr="00E601CA" w14:paraId="04149A00" w14:textId="77777777" w:rsidTr="00915D36">
        <w:tc>
          <w:tcPr>
            <w:tcW w:w="587" w:type="pct"/>
            <w:vMerge/>
            <w:shd w:val="clear" w:color="auto" w:fill="F2F2F2" w:themeFill="background1" w:themeFillShade="F2"/>
            <w:vAlign w:val="center"/>
            <w:hideMark/>
          </w:tcPr>
          <w:p w14:paraId="0FC8507B" w14:textId="77777777" w:rsidR="00A93FE3" w:rsidRPr="00E601CA" w:rsidRDefault="00A93FE3" w:rsidP="00511F7F">
            <w:pPr>
              <w:jc w:val="center"/>
              <w:rPr>
                <w:rFonts w:eastAsia="Times New Roman" w:cstheme="minorHAnsi"/>
                <w:lang w:eastAsia="fr-FR" w:bidi="ar-SA"/>
              </w:rPr>
            </w:pPr>
          </w:p>
        </w:tc>
        <w:tc>
          <w:tcPr>
            <w:tcW w:w="2530" w:type="pct"/>
            <w:vMerge/>
            <w:shd w:val="clear" w:color="auto" w:fill="F2F2F2" w:themeFill="background1" w:themeFillShade="F2"/>
            <w:vAlign w:val="center"/>
            <w:hideMark/>
          </w:tcPr>
          <w:p w14:paraId="12C44246" w14:textId="77777777" w:rsidR="00A93FE3" w:rsidRPr="00E601CA" w:rsidRDefault="00A93FE3" w:rsidP="003815E1">
            <w:pPr>
              <w:jc w:val="left"/>
              <w:rPr>
                <w:rFonts w:eastAsia="Times New Roman" w:cstheme="minorHAnsi"/>
                <w:lang w:eastAsia="fr-FR" w:bidi="ar-SA"/>
              </w:rPr>
            </w:pPr>
          </w:p>
        </w:tc>
        <w:tc>
          <w:tcPr>
            <w:tcW w:w="942" w:type="pct"/>
            <w:vAlign w:val="center"/>
            <w:hideMark/>
          </w:tcPr>
          <w:p w14:paraId="0E2F24C4" w14:textId="77777777" w:rsidR="00A93FE3" w:rsidRPr="00E601CA" w:rsidRDefault="00A93FE3" w:rsidP="00511F7F">
            <w:pPr>
              <w:jc w:val="center"/>
              <w:rPr>
                <w:rFonts w:eastAsia="Times New Roman" w:cstheme="minorHAnsi"/>
              </w:rPr>
            </w:pPr>
            <w:r>
              <w:t>30 ≤ ρ ≤ 350</w:t>
            </w:r>
          </w:p>
        </w:tc>
        <w:tc>
          <w:tcPr>
            <w:tcW w:w="942" w:type="pct"/>
            <w:vAlign w:val="center"/>
            <w:hideMark/>
          </w:tcPr>
          <w:p w14:paraId="41A2228F" w14:textId="77777777" w:rsidR="00A93FE3" w:rsidRPr="00E601CA" w:rsidRDefault="00A93FE3" w:rsidP="00511F7F">
            <w:pPr>
              <w:jc w:val="center"/>
              <w:rPr>
                <w:rFonts w:eastAsia="Times New Roman" w:cstheme="minorHAnsi"/>
              </w:rPr>
            </w:pPr>
            <w:r>
              <w:t>0,08</w:t>
            </w:r>
          </w:p>
        </w:tc>
      </w:tr>
      <w:tr w:rsidR="00A93FE3" w:rsidRPr="00E601CA" w14:paraId="2306E6BF" w14:textId="77777777" w:rsidTr="00915D36">
        <w:tc>
          <w:tcPr>
            <w:tcW w:w="587" w:type="pct"/>
            <w:vMerge/>
            <w:shd w:val="clear" w:color="auto" w:fill="F2F2F2" w:themeFill="background1" w:themeFillShade="F2"/>
            <w:vAlign w:val="center"/>
            <w:hideMark/>
          </w:tcPr>
          <w:p w14:paraId="2564A182" w14:textId="77777777" w:rsidR="00A93FE3" w:rsidRPr="00E601CA" w:rsidRDefault="00A93FE3" w:rsidP="00511F7F">
            <w:pPr>
              <w:jc w:val="center"/>
              <w:rPr>
                <w:rFonts w:eastAsia="Times New Roman" w:cstheme="minorHAnsi"/>
                <w:lang w:eastAsia="fr-FR" w:bidi="ar-SA"/>
              </w:rPr>
            </w:pPr>
          </w:p>
        </w:tc>
        <w:tc>
          <w:tcPr>
            <w:tcW w:w="2530" w:type="pct"/>
            <w:vMerge/>
            <w:shd w:val="clear" w:color="auto" w:fill="F2F2F2" w:themeFill="background1" w:themeFillShade="F2"/>
            <w:vAlign w:val="center"/>
            <w:hideMark/>
          </w:tcPr>
          <w:p w14:paraId="2094B1D9" w14:textId="77777777" w:rsidR="00A93FE3" w:rsidRPr="00E601CA" w:rsidRDefault="00A93FE3" w:rsidP="003815E1">
            <w:pPr>
              <w:jc w:val="left"/>
              <w:rPr>
                <w:rFonts w:eastAsia="Times New Roman" w:cstheme="minorHAnsi"/>
                <w:lang w:eastAsia="fr-FR" w:bidi="ar-SA"/>
              </w:rPr>
            </w:pPr>
          </w:p>
        </w:tc>
        <w:tc>
          <w:tcPr>
            <w:tcW w:w="942" w:type="pct"/>
            <w:vAlign w:val="center"/>
            <w:hideMark/>
          </w:tcPr>
          <w:p w14:paraId="03779F76" w14:textId="77777777" w:rsidR="00A93FE3" w:rsidRPr="00E601CA" w:rsidRDefault="00A93FE3" w:rsidP="00511F7F">
            <w:pPr>
              <w:jc w:val="center"/>
              <w:rPr>
                <w:rFonts w:eastAsia="Times New Roman" w:cstheme="minorHAnsi"/>
              </w:rPr>
            </w:pPr>
            <w:r>
              <w:t>450 ≤ ρ ≤ 600</w:t>
            </w:r>
          </w:p>
        </w:tc>
        <w:tc>
          <w:tcPr>
            <w:tcW w:w="942" w:type="pct"/>
            <w:vAlign w:val="center"/>
            <w:hideMark/>
          </w:tcPr>
          <w:p w14:paraId="1F2D2C3D" w14:textId="77777777" w:rsidR="00A93FE3" w:rsidRPr="00E601CA" w:rsidRDefault="00A93FE3" w:rsidP="00511F7F">
            <w:pPr>
              <w:jc w:val="center"/>
              <w:rPr>
                <w:rFonts w:eastAsia="Times New Roman" w:cstheme="minorHAnsi"/>
              </w:rPr>
            </w:pPr>
            <w:r>
              <w:t>0,10</w:t>
            </w:r>
          </w:p>
        </w:tc>
      </w:tr>
      <w:tr w:rsidR="00A93FE3" w:rsidRPr="00E601CA" w14:paraId="27C03C0D" w14:textId="77777777" w:rsidTr="00915D36">
        <w:tc>
          <w:tcPr>
            <w:tcW w:w="587" w:type="pct"/>
            <w:vMerge w:val="restart"/>
            <w:shd w:val="clear" w:color="auto" w:fill="F2F2F2" w:themeFill="background1" w:themeFillShade="F2"/>
            <w:vAlign w:val="center"/>
            <w:hideMark/>
          </w:tcPr>
          <w:p w14:paraId="5ACEE4E8" w14:textId="77777777" w:rsidR="00A93FE3" w:rsidRPr="00E601CA" w:rsidRDefault="00A93FE3" w:rsidP="00511F7F">
            <w:pPr>
              <w:jc w:val="center"/>
              <w:rPr>
                <w:rFonts w:eastAsia="Times New Roman" w:cstheme="minorHAnsi"/>
              </w:rPr>
            </w:pPr>
            <w:r>
              <w:t>Dämmstoffe auf Pflanzenfaserbasis</w:t>
            </w:r>
          </w:p>
        </w:tc>
        <w:tc>
          <w:tcPr>
            <w:tcW w:w="2530" w:type="pct"/>
            <w:shd w:val="clear" w:color="auto" w:fill="F2F2F2" w:themeFill="background1" w:themeFillShade="F2"/>
            <w:vAlign w:val="center"/>
            <w:hideMark/>
          </w:tcPr>
          <w:p w14:paraId="4E3088F9" w14:textId="77777777" w:rsidR="00A93FE3" w:rsidRPr="00E601CA" w:rsidRDefault="00A93FE3" w:rsidP="003815E1">
            <w:pPr>
              <w:jc w:val="left"/>
              <w:rPr>
                <w:rFonts w:eastAsia="Times New Roman" w:cstheme="minorHAnsi"/>
              </w:rPr>
            </w:pPr>
            <w:r>
              <w:t>Zellulose</w:t>
            </w:r>
          </w:p>
        </w:tc>
        <w:tc>
          <w:tcPr>
            <w:tcW w:w="942" w:type="pct"/>
            <w:vAlign w:val="center"/>
            <w:hideMark/>
          </w:tcPr>
          <w:p w14:paraId="3703997D" w14:textId="77777777" w:rsidR="00A93FE3" w:rsidRPr="00E601CA" w:rsidRDefault="00A93FE3" w:rsidP="00511F7F">
            <w:pPr>
              <w:jc w:val="center"/>
              <w:rPr>
                <w:rFonts w:eastAsia="Times New Roman" w:cstheme="minorHAnsi"/>
              </w:rPr>
            </w:pPr>
            <w:r>
              <w:t>20 ≤ ρ ≤ 100</w:t>
            </w:r>
          </w:p>
        </w:tc>
        <w:tc>
          <w:tcPr>
            <w:tcW w:w="942" w:type="pct"/>
            <w:vAlign w:val="center"/>
            <w:hideMark/>
          </w:tcPr>
          <w:p w14:paraId="202432DE" w14:textId="77777777" w:rsidR="00A93FE3" w:rsidRPr="00E601CA" w:rsidRDefault="00A93FE3" w:rsidP="00511F7F">
            <w:pPr>
              <w:jc w:val="center"/>
              <w:rPr>
                <w:rFonts w:eastAsia="Times New Roman" w:cstheme="minorHAnsi"/>
              </w:rPr>
            </w:pPr>
            <w:r>
              <w:t>0,049</w:t>
            </w:r>
          </w:p>
        </w:tc>
      </w:tr>
      <w:tr w:rsidR="00A93FE3" w:rsidRPr="00E601CA" w14:paraId="6F417A41" w14:textId="77777777" w:rsidTr="00915D36">
        <w:tc>
          <w:tcPr>
            <w:tcW w:w="587" w:type="pct"/>
            <w:vMerge/>
            <w:shd w:val="clear" w:color="auto" w:fill="F2F2F2" w:themeFill="background1" w:themeFillShade="F2"/>
            <w:vAlign w:val="center"/>
            <w:hideMark/>
          </w:tcPr>
          <w:p w14:paraId="14CC8A8E" w14:textId="77777777" w:rsidR="00A93FE3" w:rsidRPr="00E601CA" w:rsidRDefault="00A93FE3" w:rsidP="00511F7F">
            <w:pPr>
              <w:jc w:val="center"/>
              <w:rPr>
                <w:rFonts w:eastAsia="Times New Roman" w:cstheme="minorHAnsi"/>
                <w:lang w:eastAsia="fr-FR" w:bidi="ar-SA"/>
              </w:rPr>
            </w:pPr>
          </w:p>
        </w:tc>
        <w:tc>
          <w:tcPr>
            <w:tcW w:w="2530" w:type="pct"/>
            <w:vMerge w:val="restart"/>
            <w:shd w:val="clear" w:color="auto" w:fill="F2F2F2" w:themeFill="background1" w:themeFillShade="F2"/>
            <w:vAlign w:val="center"/>
            <w:hideMark/>
          </w:tcPr>
          <w:p w14:paraId="7F0E37C2" w14:textId="77777777" w:rsidR="003815E1" w:rsidRPr="00E601CA" w:rsidRDefault="00A93FE3" w:rsidP="003815E1">
            <w:pPr>
              <w:jc w:val="left"/>
              <w:rPr>
                <w:rFonts w:eastAsia="Times New Roman" w:cstheme="minorHAnsi"/>
              </w:rPr>
            </w:pPr>
            <w:r>
              <w:t>Hanf und Flachs</w:t>
            </w:r>
          </w:p>
          <w:p w14:paraId="02BFD3E0" w14:textId="77777777" w:rsidR="003815E1" w:rsidRPr="00E601CA" w:rsidRDefault="00A93FE3" w:rsidP="003815E1">
            <w:pPr>
              <w:jc w:val="left"/>
              <w:rPr>
                <w:rFonts w:eastAsia="Times New Roman" w:cstheme="minorHAnsi"/>
              </w:rPr>
            </w:pPr>
            <w:r>
              <w:t>– gebundene Fasern</w:t>
            </w:r>
          </w:p>
          <w:p w14:paraId="05EC162C" w14:textId="5F7E1386" w:rsidR="00A93FE3" w:rsidRPr="00E601CA" w:rsidRDefault="00A93FE3" w:rsidP="003815E1">
            <w:pPr>
              <w:jc w:val="left"/>
              <w:rPr>
                <w:rFonts w:eastAsia="Times New Roman" w:cstheme="minorHAnsi"/>
              </w:rPr>
            </w:pPr>
            <w:r>
              <w:t>– lose Fasern (Schüttdämmstoff, nicht gebundene Fasern)</w:t>
            </w:r>
          </w:p>
        </w:tc>
        <w:tc>
          <w:tcPr>
            <w:tcW w:w="942" w:type="pct"/>
            <w:vMerge w:val="restart"/>
            <w:vAlign w:val="center"/>
            <w:hideMark/>
          </w:tcPr>
          <w:p w14:paraId="4D1B4C62" w14:textId="77777777" w:rsidR="00A93FE3" w:rsidRPr="00E601CA" w:rsidRDefault="00A93FE3" w:rsidP="00511F7F">
            <w:pPr>
              <w:jc w:val="center"/>
              <w:rPr>
                <w:rFonts w:eastAsia="Times New Roman" w:cstheme="minorHAnsi"/>
              </w:rPr>
            </w:pPr>
            <w:r>
              <w:t>20 ≤ ρ ≤ 200</w:t>
            </w:r>
          </w:p>
        </w:tc>
        <w:tc>
          <w:tcPr>
            <w:tcW w:w="942" w:type="pct"/>
            <w:vAlign w:val="center"/>
            <w:hideMark/>
          </w:tcPr>
          <w:p w14:paraId="2B4E207F" w14:textId="77777777" w:rsidR="00A93FE3" w:rsidRPr="00E601CA" w:rsidRDefault="00A93FE3" w:rsidP="00511F7F">
            <w:pPr>
              <w:jc w:val="center"/>
              <w:rPr>
                <w:rFonts w:eastAsia="Times New Roman" w:cstheme="minorHAnsi"/>
              </w:rPr>
            </w:pPr>
            <w:r>
              <w:t>0,048</w:t>
            </w:r>
          </w:p>
        </w:tc>
      </w:tr>
      <w:tr w:rsidR="00A93FE3" w:rsidRPr="00E601CA" w14:paraId="2C88464A" w14:textId="77777777" w:rsidTr="00915D36">
        <w:tc>
          <w:tcPr>
            <w:tcW w:w="587" w:type="pct"/>
            <w:vMerge/>
            <w:shd w:val="clear" w:color="auto" w:fill="F2F2F2" w:themeFill="background1" w:themeFillShade="F2"/>
            <w:vAlign w:val="center"/>
            <w:hideMark/>
          </w:tcPr>
          <w:p w14:paraId="3DFC12D0" w14:textId="77777777" w:rsidR="00A93FE3" w:rsidRPr="00E601CA" w:rsidRDefault="00A93FE3" w:rsidP="00511F7F">
            <w:pPr>
              <w:jc w:val="center"/>
              <w:rPr>
                <w:rFonts w:eastAsia="Times New Roman" w:cstheme="minorHAnsi"/>
                <w:lang w:eastAsia="fr-FR" w:bidi="ar-SA"/>
              </w:rPr>
            </w:pPr>
          </w:p>
        </w:tc>
        <w:tc>
          <w:tcPr>
            <w:tcW w:w="2530" w:type="pct"/>
            <w:vMerge/>
            <w:shd w:val="clear" w:color="auto" w:fill="F2F2F2" w:themeFill="background1" w:themeFillShade="F2"/>
            <w:vAlign w:val="center"/>
            <w:hideMark/>
          </w:tcPr>
          <w:p w14:paraId="0A6A9181" w14:textId="77777777" w:rsidR="00A93FE3" w:rsidRPr="00E601CA" w:rsidRDefault="00A93FE3" w:rsidP="003815E1">
            <w:pPr>
              <w:jc w:val="left"/>
              <w:rPr>
                <w:rFonts w:eastAsia="Times New Roman" w:cstheme="minorHAnsi"/>
                <w:lang w:eastAsia="fr-FR" w:bidi="ar-SA"/>
              </w:rPr>
            </w:pPr>
          </w:p>
        </w:tc>
        <w:tc>
          <w:tcPr>
            <w:tcW w:w="942" w:type="pct"/>
            <w:vMerge/>
            <w:vAlign w:val="center"/>
            <w:hideMark/>
          </w:tcPr>
          <w:p w14:paraId="355CB078" w14:textId="77777777" w:rsidR="00A93FE3" w:rsidRPr="00E601CA" w:rsidRDefault="00A93FE3" w:rsidP="00511F7F">
            <w:pPr>
              <w:jc w:val="center"/>
              <w:rPr>
                <w:rFonts w:eastAsia="Times New Roman" w:cstheme="minorHAnsi"/>
                <w:lang w:eastAsia="fr-FR" w:bidi="ar-SA"/>
              </w:rPr>
            </w:pPr>
          </w:p>
        </w:tc>
        <w:tc>
          <w:tcPr>
            <w:tcW w:w="942" w:type="pct"/>
            <w:vAlign w:val="center"/>
            <w:hideMark/>
          </w:tcPr>
          <w:p w14:paraId="3FEAC4AF" w14:textId="77777777" w:rsidR="00A93FE3" w:rsidRPr="00E601CA" w:rsidRDefault="00A93FE3" w:rsidP="00511F7F">
            <w:pPr>
              <w:jc w:val="center"/>
              <w:rPr>
                <w:rFonts w:eastAsia="Times New Roman" w:cstheme="minorHAnsi"/>
              </w:rPr>
            </w:pPr>
            <w:r>
              <w:t>0,056</w:t>
            </w:r>
          </w:p>
        </w:tc>
      </w:tr>
      <w:tr w:rsidR="00A93FE3" w:rsidRPr="00E601CA" w14:paraId="657876D6" w14:textId="77777777" w:rsidTr="00915D36">
        <w:tc>
          <w:tcPr>
            <w:tcW w:w="587" w:type="pct"/>
            <w:vMerge/>
            <w:shd w:val="clear" w:color="auto" w:fill="F2F2F2" w:themeFill="background1" w:themeFillShade="F2"/>
            <w:vAlign w:val="center"/>
            <w:hideMark/>
          </w:tcPr>
          <w:p w14:paraId="02FD6120" w14:textId="77777777" w:rsidR="00A93FE3" w:rsidRPr="00E601CA" w:rsidRDefault="00A93FE3" w:rsidP="00511F7F">
            <w:pPr>
              <w:jc w:val="center"/>
              <w:rPr>
                <w:rFonts w:eastAsia="Times New Roman" w:cstheme="minorHAnsi"/>
                <w:lang w:eastAsia="fr-FR" w:bidi="ar-SA"/>
              </w:rPr>
            </w:pPr>
          </w:p>
        </w:tc>
        <w:tc>
          <w:tcPr>
            <w:tcW w:w="2530" w:type="pct"/>
            <w:vMerge w:val="restart"/>
            <w:shd w:val="clear" w:color="auto" w:fill="F2F2F2" w:themeFill="background1" w:themeFillShade="F2"/>
            <w:vAlign w:val="center"/>
            <w:hideMark/>
          </w:tcPr>
          <w:p w14:paraId="0C4449B6" w14:textId="77777777" w:rsidR="003815E1" w:rsidRPr="00E601CA" w:rsidRDefault="00A93FE3" w:rsidP="003815E1">
            <w:pPr>
              <w:jc w:val="left"/>
              <w:rPr>
                <w:rFonts w:eastAsia="Times New Roman" w:cstheme="minorHAnsi"/>
              </w:rPr>
            </w:pPr>
            <w:r>
              <w:t>Verdichtetes Stroh</w:t>
            </w:r>
          </w:p>
          <w:p w14:paraId="6A9A1975" w14:textId="77777777" w:rsidR="003815E1" w:rsidRPr="00E601CA" w:rsidRDefault="00A93FE3" w:rsidP="003815E1">
            <w:pPr>
              <w:jc w:val="left"/>
              <w:rPr>
                <w:rFonts w:eastAsia="Times New Roman" w:cstheme="minorHAnsi"/>
              </w:rPr>
            </w:pPr>
            <w:r>
              <w:t>– quer liegende Halme</w:t>
            </w:r>
          </w:p>
          <w:p w14:paraId="4D83ACBD" w14:textId="32CC81BE" w:rsidR="00A93FE3" w:rsidRPr="00E601CA" w:rsidRDefault="00A93FE3" w:rsidP="003815E1">
            <w:pPr>
              <w:jc w:val="left"/>
              <w:rPr>
                <w:rFonts w:eastAsia="Times New Roman" w:cstheme="minorHAnsi"/>
              </w:rPr>
            </w:pPr>
            <w:r>
              <w:lastRenderedPageBreak/>
              <w:t>– längs liegende Halme</w:t>
            </w:r>
          </w:p>
        </w:tc>
        <w:tc>
          <w:tcPr>
            <w:tcW w:w="942" w:type="pct"/>
            <w:vMerge w:val="restart"/>
            <w:vAlign w:val="center"/>
            <w:hideMark/>
          </w:tcPr>
          <w:p w14:paraId="4F86BDA1" w14:textId="77777777" w:rsidR="00A93FE3" w:rsidRPr="00E601CA" w:rsidRDefault="00A93FE3" w:rsidP="00511F7F">
            <w:pPr>
              <w:jc w:val="center"/>
              <w:rPr>
                <w:rFonts w:eastAsia="Times New Roman" w:cstheme="minorHAnsi"/>
              </w:rPr>
            </w:pPr>
            <w:r>
              <w:lastRenderedPageBreak/>
              <w:t>80 ≤ ρ ≤ 120</w:t>
            </w:r>
          </w:p>
        </w:tc>
        <w:tc>
          <w:tcPr>
            <w:tcW w:w="942" w:type="pct"/>
            <w:vAlign w:val="center"/>
            <w:hideMark/>
          </w:tcPr>
          <w:p w14:paraId="7F25BAB4" w14:textId="77777777" w:rsidR="00A93FE3" w:rsidRPr="00E601CA" w:rsidRDefault="00A93FE3" w:rsidP="00511F7F">
            <w:pPr>
              <w:jc w:val="center"/>
              <w:rPr>
                <w:rFonts w:eastAsia="Times New Roman" w:cstheme="minorHAnsi"/>
              </w:rPr>
            </w:pPr>
            <w:r>
              <w:t>0,052</w:t>
            </w:r>
          </w:p>
        </w:tc>
      </w:tr>
      <w:tr w:rsidR="00A93FE3" w:rsidRPr="00E601CA" w14:paraId="04641A62" w14:textId="77777777" w:rsidTr="00915D36">
        <w:tc>
          <w:tcPr>
            <w:tcW w:w="587" w:type="pct"/>
            <w:vMerge/>
            <w:shd w:val="clear" w:color="auto" w:fill="F2F2F2" w:themeFill="background1" w:themeFillShade="F2"/>
            <w:vAlign w:val="center"/>
            <w:hideMark/>
          </w:tcPr>
          <w:p w14:paraId="5973DBDD" w14:textId="77777777" w:rsidR="00A93FE3" w:rsidRPr="00E601CA" w:rsidRDefault="00A93FE3" w:rsidP="00511F7F">
            <w:pPr>
              <w:jc w:val="center"/>
              <w:rPr>
                <w:rFonts w:eastAsia="Times New Roman" w:cstheme="minorHAnsi"/>
                <w:lang w:eastAsia="fr-FR" w:bidi="ar-SA"/>
              </w:rPr>
            </w:pPr>
          </w:p>
        </w:tc>
        <w:tc>
          <w:tcPr>
            <w:tcW w:w="2530" w:type="pct"/>
            <w:vMerge/>
            <w:shd w:val="clear" w:color="auto" w:fill="F2F2F2" w:themeFill="background1" w:themeFillShade="F2"/>
            <w:vAlign w:val="center"/>
            <w:hideMark/>
          </w:tcPr>
          <w:p w14:paraId="4CC68B3F" w14:textId="77777777" w:rsidR="00A93FE3" w:rsidRPr="00E601CA" w:rsidRDefault="00A93FE3" w:rsidP="003815E1">
            <w:pPr>
              <w:jc w:val="left"/>
              <w:rPr>
                <w:rFonts w:eastAsia="Times New Roman" w:cstheme="minorHAnsi"/>
                <w:lang w:eastAsia="fr-FR" w:bidi="ar-SA"/>
              </w:rPr>
            </w:pPr>
          </w:p>
        </w:tc>
        <w:tc>
          <w:tcPr>
            <w:tcW w:w="942" w:type="pct"/>
            <w:vMerge/>
            <w:vAlign w:val="center"/>
            <w:hideMark/>
          </w:tcPr>
          <w:p w14:paraId="77D8C12E" w14:textId="77777777" w:rsidR="00A93FE3" w:rsidRPr="00E601CA" w:rsidRDefault="00A93FE3" w:rsidP="00511F7F">
            <w:pPr>
              <w:jc w:val="center"/>
              <w:rPr>
                <w:rFonts w:eastAsia="Times New Roman" w:cstheme="minorHAnsi"/>
                <w:lang w:eastAsia="fr-FR" w:bidi="ar-SA"/>
              </w:rPr>
            </w:pPr>
          </w:p>
        </w:tc>
        <w:tc>
          <w:tcPr>
            <w:tcW w:w="942" w:type="pct"/>
            <w:vAlign w:val="center"/>
            <w:hideMark/>
          </w:tcPr>
          <w:p w14:paraId="517804FC" w14:textId="77777777" w:rsidR="00A93FE3" w:rsidRPr="00E601CA" w:rsidRDefault="00A93FE3" w:rsidP="00511F7F">
            <w:pPr>
              <w:jc w:val="center"/>
              <w:rPr>
                <w:rFonts w:eastAsia="Times New Roman" w:cstheme="minorHAnsi"/>
              </w:rPr>
            </w:pPr>
            <w:r>
              <w:t>0,080</w:t>
            </w:r>
          </w:p>
        </w:tc>
      </w:tr>
      <w:tr w:rsidR="00A93FE3" w:rsidRPr="00E601CA" w14:paraId="4EFE1E6E" w14:textId="77777777" w:rsidTr="00915D36">
        <w:tc>
          <w:tcPr>
            <w:tcW w:w="587" w:type="pct"/>
            <w:vMerge/>
            <w:shd w:val="clear" w:color="auto" w:fill="F2F2F2" w:themeFill="background1" w:themeFillShade="F2"/>
            <w:vAlign w:val="center"/>
            <w:hideMark/>
          </w:tcPr>
          <w:p w14:paraId="0F54C51F" w14:textId="77777777" w:rsidR="00A93FE3" w:rsidRPr="00E601CA" w:rsidRDefault="00A93FE3" w:rsidP="00511F7F">
            <w:pPr>
              <w:jc w:val="center"/>
              <w:rPr>
                <w:rFonts w:eastAsia="Times New Roman" w:cstheme="minorHAnsi"/>
                <w:lang w:eastAsia="fr-FR" w:bidi="ar-SA"/>
              </w:rPr>
            </w:pPr>
          </w:p>
        </w:tc>
        <w:tc>
          <w:tcPr>
            <w:tcW w:w="2530" w:type="pct"/>
            <w:vMerge w:val="restart"/>
            <w:shd w:val="clear" w:color="auto" w:fill="F2F2F2" w:themeFill="background1" w:themeFillShade="F2"/>
            <w:vAlign w:val="center"/>
            <w:hideMark/>
          </w:tcPr>
          <w:p w14:paraId="421AED7C" w14:textId="77777777" w:rsidR="00A93FE3" w:rsidRPr="00E601CA" w:rsidRDefault="00A93FE3" w:rsidP="003815E1">
            <w:pPr>
              <w:jc w:val="left"/>
              <w:rPr>
                <w:rFonts w:eastAsia="Times New Roman" w:cstheme="minorHAnsi"/>
              </w:rPr>
            </w:pPr>
            <w:r>
              <w:t xml:space="preserve">Sonstige Dämmstoffe auf Pflanzenfaserbasis </w:t>
            </w:r>
          </w:p>
        </w:tc>
        <w:tc>
          <w:tcPr>
            <w:tcW w:w="942" w:type="pct"/>
            <w:vAlign w:val="center"/>
            <w:hideMark/>
          </w:tcPr>
          <w:p w14:paraId="1E1582DE" w14:textId="77777777" w:rsidR="00A93FE3" w:rsidRPr="00E601CA" w:rsidRDefault="00A93FE3" w:rsidP="00511F7F">
            <w:pPr>
              <w:spacing w:before="100" w:beforeAutospacing="1" w:after="100" w:afterAutospacing="1"/>
              <w:jc w:val="center"/>
              <w:rPr>
                <w:rFonts w:eastAsia="Times New Roman" w:cstheme="minorHAnsi"/>
              </w:rPr>
            </w:pPr>
            <w:r>
              <w:t>20 ≤ ρ &lt; 40</w:t>
            </w:r>
          </w:p>
        </w:tc>
        <w:tc>
          <w:tcPr>
            <w:tcW w:w="942" w:type="pct"/>
            <w:vAlign w:val="center"/>
            <w:hideMark/>
          </w:tcPr>
          <w:p w14:paraId="3A4A49CD" w14:textId="77777777" w:rsidR="00A93FE3" w:rsidRPr="00E601CA" w:rsidRDefault="00A93FE3" w:rsidP="00511F7F">
            <w:pPr>
              <w:spacing w:before="100" w:beforeAutospacing="1" w:after="100" w:afterAutospacing="1"/>
              <w:jc w:val="center"/>
              <w:rPr>
                <w:rFonts w:eastAsia="Times New Roman" w:cstheme="minorHAnsi"/>
              </w:rPr>
            </w:pPr>
            <w:r>
              <w:t>0,065</w:t>
            </w:r>
          </w:p>
        </w:tc>
      </w:tr>
      <w:tr w:rsidR="00A93FE3" w:rsidRPr="00E601CA" w14:paraId="1E091E2E" w14:textId="77777777" w:rsidTr="00915D36">
        <w:tc>
          <w:tcPr>
            <w:tcW w:w="587" w:type="pct"/>
            <w:vMerge/>
            <w:shd w:val="clear" w:color="auto" w:fill="F2F2F2" w:themeFill="background1" w:themeFillShade="F2"/>
            <w:vAlign w:val="center"/>
            <w:hideMark/>
          </w:tcPr>
          <w:p w14:paraId="05E23D74" w14:textId="77777777" w:rsidR="00A93FE3" w:rsidRPr="00E601CA" w:rsidRDefault="00A93FE3" w:rsidP="00511F7F">
            <w:pPr>
              <w:jc w:val="center"/>
              <w:rPr>
                <w:rFonts w:eastAsia="Times New Roman" w:cstheme="minorHAnsi"/>
                <w:lang w:eastAsia="fr-FR" w:bidi="ar-SA"/>
              </w:rPr>
            </w:pPr>
          </w:p>
        </w:tc>
        <w:tc>
          <w:tcPr>
            <w:tcW w:w="2530" w:type="pct"/>
            <w:vMerge/>
            <w:shd w:val="clear" w:color="auto" w:fill="F2F2F2" w:themeFill="background1" w:themeFillShade="F2"/>
            <w:vAlign w:val="center"/>
            <w:hideMark/>
          </w:tcPr>
          <w:p w14:paraId="535C364C" w14:textId="77777777" w:rsidR="00A93FE3" w:rsidRPr="00E601CA" w:rsidRDefault="00A93FE3" w:rsidP="003815E1">
            <w:pPr>
              <w:jc w:val="left"/>
              <w:rPr>
                <w:rFonts w:eastAsia="Times New Roman" w:cstheme="minorHAnsi"/>
                <w:lang w:eastAsia="fr-FR" w:bidi="ar-SA"/>
              </w:rPr>
            </w:pPr>
          </w:p>
        </w:tc>
        <w:tc>
          <w:tcPr>
            <w:tcW w:w="942" w:type="pct"/>
            <w:vAlign w:val="center"/>
            <w:hideMark/>
          </w:tcPr>
          <w:p w14:paraId="139BF36E" w14:textId="77777777" w:rsidR="00A93FE3" w:rsidRPr="00E601CA" w:rsidRDefault="00A93FE3" w:rsidP="00511F7F">
            <w:pPr>
              <w:spacing w:before="100" w:beforeAutospacing="1" w:after="100" w:afterAutospacing="1"/>
              <w:jc w:val="center"/>
              <w:rPr>
                <w:rFonts w:eastAsia="Times New Roman" w:cstheme="minorHAnsi"/>
              </w:rPr>
            </w:pPr>
            <w:r>
              <w:t>40 ≤ ρ &lt; 60</w:t>
            </w:r>
          </w:p>
        </w:tc>
        <w:tc>
          <w:tcPr>
            <w:tcW w:w="942" w:type="pct"/>
            <w:vAlign w:val="center"/>
            <w:hideMark/>
          </w:tcPr>
          <w:p w14:paraId="60D67310" w14:textId="77777777" w:rsidR="00A93FE3" w:rsidRPr="00E601CA" w:rsidRDefault="00A93FE3" w:rsidP="00511F7F">
            <w:pPr>
              <w:spacing w:before="100" w:beforeAutospacing="1" w:after="100" w:afterAutospacing="1"/>
              <w:jc w:val="center"/>
              <w:rPr>
                <w:rFonts w:eastAsia="Times New Roman" w:cstheme="minorHAnsi"/>
              </w:rPr>
            </w:pPr>
            <w:r>
              <w:t>0,060</w:t>
            </w:r>
          </w:p>
        </w:tc>
      </w:tr>
      <w:tr w:rsidR="00A93FE3" w:rsidRPr="00E601CA" w14:paraId="0689D23C" w14:textId="77777777" w:rsidTr="00915D36">
        <w:tc>
          <w:tcPr>
            <w:tcW w:w="587" w:type="pct"/>
            <w:vMerge/>
            <w:shd w:val="clear" w:color="auto" w:fill="F2F2F2" w:themeFill="background1" w:themeFillShade="F2"/>
            <w:vAlign w:val="center"/>
            <w:hideMark/>
          </w:tcPr>
          <w:p w14:paraId="5ED79DBB" w14:textId="77777777" w:rsidR="00A93FE3" w:rsidRPr="00E601CA" w:rsidRDefault="00A93FE3" w:rsidP="00511F7F">
            <w:pPr>
              <w:jc w:val="center"/>
              <w:rPr>
                <w:rFonts w:eastAsia="Times New Roman" w:cstheme="minorHAnsi"/>
                <w:lang w:eastAsia="fr-FR" w:bidi="ar-SA"/>
              </w:rPr>
            </w:pPr>
          </w:p>
        </w:tc>
        <w:tc>
          <w:tcPr>
            <w:tcW w:w="2530" w:type="pct"/>
            <w:vMerge/>
            <w:shd w:val="clear" w:color="auto" w:fill="F2F2F2" w:themeFill="background1" w:themeFillShade="F2"/>
            <w:vAlign w:val="center"/>
            <w:hideMark/>
          </w:tcPr>
          <w:p w14:paraId="10CAF2AB" w14:textId="77777777" w:rsidR="00A93FE3" w:rsidRPr="00E601CA" w:rsidRDefault="00A93FE3" w:rsidP="003815E1">
            <w:pPr>
              <w:jc w:val="left"/>
              <w:rPr>
                <w:rFonts w:eastAsia="Times New Roman" w:cstheme="minorHAnsi"/>
                <w:lang w:eastAsia="fr-FR" w:bidi="ar-SA"/>
              </w:rPr>
            </w:pPr>
          </w:p>
        </w:tc>
        <w:tc>
          <w:tcPr>
            <w:tcW w:w="942" w:type="pct"/>
            <w:vAlign w:val="center"/>
            <w:hideMark/>
          </w:tcPr>
          <w:p w14:paraId="54CC3488" w14:textId="77777777" w:rsidR="00A93FE3" w:rsidRPr="00E601CA" w:rsidRDefault="00A93FE3" w:rsidP="00511F7F">
            <w:pPr>
              <w:spacing w:before="100" w:beforeAutospacing="1" w:after="100" w:afterAutospacing="1"/>
              <w:jc w:val="center"/>
              <w:rPr>
                <w:rFonts w:eastAsia="Times New Roman" w:cstheme="minorHAnsi"/>
              </w:rPr>
            </w:pPr>
            <w:r>
              <w:t>60 ≤ ρ &lt; 200</w:t>
            </w:r>
          </w:p>
        </w:tc>
        <w:tc>
          <w:tcPr>
            <w:tcW w:w="942" w:type="pct"/>
            <w:vAlign w:val="center"/>
            <w:hideMark/>
          </w:tcPr>
          <w:p w14:paraId="390817E7" w14:textId="77777777" w:rsidR="00A93FE3" w:rsidRPr="00E601CA" w:rsidRDefault="00A93FE3" w:rsidP="00511F7F">
            <w:pPr>
              <w:spacing w:before="100" w:beforeAutospacing="1" w:after="100" w:afterAutospacing="1"/>
              <w:jc w:val="center"/>
              <w:rPr>
                <w:rFonts w:eastAsia="Times New Roman" w:cstheme="minorHAnsi"/>
              </w:rPr>
            </w:pPr>
            <w:r>
              <w:t>0,065</w:t>
            </w:r>
          </w:p>
        </w:tc>
      </w:tr>
      <w:tr w:rsidR="00A93FE3" w:rsidRPr="00E601CA" w14:paraId="05578A0C" w14:textId="77777777" w:rsidTr="00915D36">
        <w:tc>
          <w:tcPr>
            <w:tcW w:w="587" w:type="pct"/>
            <w:vMerge w:val="restart"/>
            <w:shd w:val="clear" w:color="auto" w:fill="F2F2F2" w:themeFill="background1" w:themeFillShade="F2"/>
            <w:vAlign w:val="center"/>
            <w:hideMark/>
          </w:tcPr>
          <w:p w14:paraId="70530F0D" w14:textId="77777777" w:rsidR="00A93FE3" w:rsidRPr="00E601CA" w:rsidRDefault="00A93FE3" w:rsidP="00511F7F">
            <w:pPr>
              <w:jc w:val="center"/>
              <w:rPr>
                <w:rFonts w:eastAsia="Times New Roman" w:cstheme="minorHAnsi"/>
              </w:rPr>
            </w:pPr>
            <w:r>
              <w:t>Dämmstoffe auf Tierfaserbasis</w:t>
            </w:r>
          </w:p>
        </w:tc>
        <w:tc>
          <w:tcPr>
            <w:tcW w:w="2530" w:type="pct"/>
            <w:shd w:val="clear" w:color="auto" w:fill="F2F2F2" w:themeFill="background1" w:themeFillShade="F2"/>
            <w:vAlign w:val="center"/>
            <w:hideMark/>
          </w:tcPr>
          <w:p w14:paraId="3D755BF6" w14:textId="77777777" w:rsidR="00A93FE3" w:rsidRPr="00E601CA" w:rsidRDefault="00A93FE3" w:rsidP="003815E1">
            <w:pPr>
              <w:jc w:val="left"/>
              <w:rPr>
                <w:rFonts w:eastAsia="Times New Roman" w:cstheme="minorHAnsi"/>
              </w:rPr>
            </w:pPr>
            <w:r>
              <w:t>Schafwolle</w:t>
            </w:r>
          </w:p>
        </w:tc>
        <w:tc>
          <w:tcPr>
            <w:tcW w:w="942" w:type="pct"/>
            <w:vAlign w:val="center"/>
            <w:hideMark/>
          </w:tcPr>
          <w:p w14:paraId="5A55B81E" w14:textId="77777777" w:rsidR="00A93FE3" w:rsidRPr="00E601CA" w:rsidRDefault="00A93FE3" w:rsidP="00511F7F">
            <w:pPr>
              <w:spacing w:before="100" w:beforeAutospacing="1" w:after="100" w:afterAutospacing="1"/>
              <w:jc w:val="center"/>
              <w:rPr>
                <w:rFonts w:eastAsia="Times New Roman" w:cstheme="minorHAnsi"/>
              </w:rPr>
            </w:pPr>
            <w:r>
              <w:t>10 ≤ ρ &lt; 100</w:t>
            </w:r>
          </w:p>
        </w:tc>
        <w:tc>
          <w:tcPr>
            <w:tcW w:w="942" w:type="pct"/>
            <w:vAlign w:val="center"/>
            <w:hideMark/>
          </w:tcPr>
          <w:p w14:paraId="2585493E" w14:textId="77777777" w:rsidR="00A93FE3" w:rsidRPr="00E601CA" w:rsidRDefault="00A93FE3" w:rsidP="00511F7F">
            <w:pPr>
              <w:spacing w:before="100" w:beforeAutospacing="1" w:after="100" w:afterAutospacing="1"/>
              <w:jc w:val="center"/>
              <w:rPr>
                <w:rFonts w:eastAsia="Times New Roman" w:cstheme="minorHAnsi"/>
              </w:rPr>
            </w:pPr>
            <w:r>
              <w:t>0,046</w:t>
            </w:r>
          </w:p>
        </w:tc>
      </w:tr>
      <w:tr w:rsidR="00A93FE3" w:rsidRPr="00E601CA" w14:paraId="3320CD49" w14:textId="77777777" w:rsidTr="00915D36">
        <w:tc>
          <w:tcPr>
            <w:tcW w:w="587" w:type="pct"/>
            <w:vMerge/>
            <w:shd w:val="clear" w:color="auto" w:fill="F2F2F2" w:themeFill="background1" w:themeFillShade="F2"/>
            <w:vAlign w:val="center"/>
            <w:hideMark/>
          </w:tcPr>
          <w:p w14:paraId="0A579C85" w14:textId="77777777" w:rsidR="00A93FE3" w:rsidRPr="00E601CA" w:rsidRDefault="00A93FE3" w:rsidP="00511F7F">
            <w:pPr>
              <w:jc w:val="left"/>
              <w:rPr>
                <w:rFonts w:eastAsia="Times New Roman" w:cstheme="minorHAnsi"/>
                <w:lang w:eastAsia="fr-FR" w:bidi="ar-SA"/>
              </w:rPr>
            </w:pPr>
          </w:p>
        </w:tc>
        <w:tc>
          <w:tcPr>
            <w:tcW w:w="2530" w:type="pct"/>
            <w:vMerge w:val="restart"/>
            <w:shd w:val="clear" w:color="auto" w:fill="F2F2F2" w:themeFill="background1" w:themeFillShade="F2"/>
            <w:vAlign w:val="center"/>
            <w:hideMark/>
          </w:tcPr>
          <w:p w14:paraId="5E1C4998" w14:textId="77777777" w:rsidR="00A93FE3" w:rsidRPr="00E601CA" w:rsidRDefault="00A93FE3" w:rsidP="003815E1">
            <w:pPr>
              <w:jc w:val="left"/>
              <w:rPr>
                <w:rFonts w:eastAsia="Times New Roman" w:cstheme="minorHAnsi"/>
              </w:rPr>
            </w:pPr>
            <w:r>
              <w:t xml:space="preserve">Sonstige Dämmstoffe auf Tierfaserbasis </w:t>
            </w:r>
          </w:p>
        </w:tc>
        <w:tc>
          <w:tcPr>
            <w:tcW w:w="942" w:type="pct"/>
            <w:vAlign w:val="center"/>
            <w:hideMark/>
          </w:tcPr>
          <w:p w14:paraId="7E403DA8" w14:textId="77777777" w:rsidR="00A93FE3" w:rsidRPr="00E601CA" w:rsidRDefault="00A93FE3" w:rsidP="00511F7F">
            <w:pPr>
              <w:spacing w:before="100" w:beforeAutospacing="1" w:after="100" w:afterAutospacing="1"/>
              <w:jc w:val="center"/>
              <w:rPr>
                <w:rFonts w:eastAsia="Times New Roman" w:cstheme="minorHAnsi"/>
              </w:rPr>
            </w:pPr>
            <w:r>
              <w:t>10 ≤ ρ &lt; 20</w:t>
            </w:r>
          </w:p>
        </w:tc>
        <w:tc>
          <w:tcPr>
            <w:tcW w:w="942" w:type="pct"/>
            <w:vAlign w:val="center"/>
            <w:hideMark/>
          </w:tcPr>
          <w:p w14:paraId="018A5663" w14:textId="77777777" w:rsidR="00A93FE3" w:rsidRPr="00E601CA" w:rsidRDefault="00A93FE3" w:rsidP="00511F7F">
            <w:pPr>
              <w:spacing w:before="100" w:beforeAutospacing="1" w:after="100" w:afterAutospacing="1"/>
              <w:jc w:val="center"/>
              <w:rPr>
                <w:rFonts w:eastAsia="Times New Roman" w:cstheme="minorHAnsi"/>
              </w:rPr>
            </w:pPr>
            <w:r>
              <w:t>0,065</w:t>
            </w:r>
          </w:p>
        </w:tc>
      </w:tr>
      <w:tr w:rsidR="00A93FE3" w:rsidRPr="00E601CA" w14:paraId="4E629E82" w14:textId="77777777" w:rsidTr="00915D36">
        <w:tc>
          <w:tcPr>
            <w:tcW w:w="587" w:type="pct"/>
            <w:vMerge/>
            <w:shd w:val="clear" w:color="auto" w:fill="F2F2F2" w:themeFill="background1" w:themeFillShade="F2"/>
            <w:hideMark/>
          </w:tcPr>
          <w:p w14:paraId="0C7041A4" w14:textId="77777777" w:rsidR="00A93FE3" w:rsidRPr="00E601CA" w:rsidRDefault="00A93FE3" w:rsidP="00511F7F">
            <w:pPr>
              <w:jc w:val="left"/>
              <w:rPr>
                <w:rFonts w:eastAsia="Times New Roman" w:cstheme="minorHAnsi"/>
                <w:lang w:eastAsia="fr-FR" w:bidi="ar-SA"/>
              </w:rPr>
            </w:pPr>
          </w:p>
        </w:tc>
        <w:tc>
          <w:tcPr>
            <w:tcW w:w="2530" w:type="pct"/>
            <w:vMerge/>
            <w:shd w:val="clear" w:color="auto" w:fill="F2F2F2" w:themeFill="background1" w:themeFillShade="F2"/>
            <w:hideMark/>
          </w:tcPr>
          <w:p w14:paraId="4992E092" w14:textId="77777777" w:rsidR="00A93FE3" w:rsidRPr="00E601CA" w:rsidRDefault="00A93FE3" w:rsidP="00511F7F">
            <w:pPr>
              <w:jc w:val="left"/>
              <w:rPr>
                <w:rFonts w:eastAsia="Times New Roman" w:cstheme="minorHAnsi"/>
                <w:lang w:eastAsia="fr-FR" w:bidi="ar-SA"/>
              </w:rPr>
            </w:pPr>
          </w:p>
        </w:tc>
        <w:tc>
          <w:tcPr>
            <w:tcW w:w="942" w:type="pct"/>
            <w:vAlign w:val="center"/>
            <w:hideMark/>
          </w:tcPr>
          <w:p w14:paraId="22BE14C6" w14:textId="77777777" w:rsidR="00A93FE3" w:rsidRPr="00E601CA" w:rsidRDefault="00A93FE3" w:rsidP="00511F7F">
            <w:pPr>
              <w:spacing w:before="100" w:beforeAutospacing="1" w:after="100" w:afterAutospacing="1"/>
              <w:jc w:val="center"/>
              <w:rPr>
                <w:rFonts w:eastAsia="Times New Roman" w:cstheme="minorHAnsi"/>
              </w:rPr>
            </w:pPr>
            <w:r>
              <w:t>20 ≤ ρ &lt; 50</w:t>
            </w:r>
          </w:p>
        </w:tc>
        <w:tc>
          <w:tcPr>
            <w:tcW w:w="942" w:type="pct"/>
            <w:vAlign w:val="center"/>
            <w:hideMark/>
          </w:tcPr>
          <w:p w14:paraId="712FB5E9" w14:textId="77777777" w:rsidR="00A93FE3" w:rsidRPr="00E601CA" w:rsidRDefault="00A93FE3" w:rsidP="00511F7F">
            <w:pPr>
              <w:spacing w:before="100" w:beforeAutospacing="1" w:after="100" w:afterAutospacing="1"/>
              <w:jc w:val="center"/>
              <w:rPr>
                <w:rFonts w:eastAsia="Times New Roman" w:cstheme="minorHAnsi"/>
              </w:rPr>
            </w:pPr>
            <w:r>
              <w:t>0,060</w:t>
            </w:r>
          </w:p>
        </w:tc>
      </w:tr>
      <w:tr w:rsidR="00A93FE3" w:rsidRPr="00E601CA" w14:paraId="7AECC662" w14:textId="77777777" w:rsidTr="00915D36">
        <w:tc>
          <w:tcPr>
            <w:tcW w:w="587" w:type="pct"/>
            <w:vMerge/>
            <w:shd w:val="clear" w:color="auto" w:fill="F2F2F2" w:themeFill="background1" w:themeFillShade="F2"/>
            <w:hideMark/>
          </w:tcPr>
          <w:p w14:paraId="3867CC99" w14:textId="77777777" w:rsidR="00A93FE3" w:rsidRPr="00E601CA" w:rsidRDefault="00A93FE3" w:rsidP="00511F7F">
            <w:pPr>
              <w:jc w:val="left"/>
              <w:rPr>
                <w:rFonts w:eastAsia="Times New Roman" w:cstheme="minorHAnsi"/>
                <w:lang w:eastAsia="fr-FR" w:bidi="ar-SA"/>
              </w:rPr>
            </w:pPr>
          </w:p>
        </w:tc>
        <w:tc>
          <w:tcPr>
            <w:tcW w:w="2530" w:type="pct"/>
            <w:vMerge/>
            <w:shd w:val="clear" w:color="auto" w:fill="F2F2F2" w:themeFill="background1" w:themeFillShade="F2"/>
            <w:hideMark/>
          </w:tcPr>
          <w:p w14:paraId="0120EE97" w14:textId="77777777" w:rsidR="00A93FE3" w:rsidRPr="00E601CA" w:rsidRDefault="00A93FE3" w:rsidP="00511F7F">
            <w:pPr>
              <w:jc w:val="left"/>
              <w:rPr>
                <w:rFonts w:eastAsia="Times New Roman" w:cstheme="minorHAnsi"/>
                <w:lang w:eastAsia="fr-FR" w:bidi="ar-SA"/>
              </w:rPr>
            </w:pPr>
          </w:p>
        </w:tc>
        <w:tc>
          <w:tcPr>
            <w:tcW w:w="942" w:type="pct"/>
            <w:vAlign w:val="center"/>
            <w:hideMark/>
          </w:tcPr>
          <w:p w14:paraId="676DC4A2" w14:textId="77777777" w:rsidR="00A93FE3" w:rsidRPr="00E601CA" w:rsidRDefault="00A93FE3" w:rsidP="00511F7F">
            <w:pPr>
              <w:spacing w:before="100" w:beforeAutospacing="1" w:after="100" w:afterAutospacing="1"/>
              <w:jc w:val="center"/>
              <w:rPr>
                <w:rFonts w:eastAsia="Times New Roman" w:cstheme="minorHAnsi"/>
              </w:rPr>
            </w:pPr>
            <w:r>
              <w:t>50 ≤ ρ &lt; 100</w:t>
            </w:r>
          </w:p>
        </w:tc>
        <w:tc>
          <w:tcPr>
            <w:tcW w:w="942" w:type="pct"/>
            <w:vAlign w:val="center"/>
            <w:hideMark/>
          </w:tcPr>
          <w:p w14:paraId="791D7A61" w14:textId="77777777" w:rsidR="00A93FE3" w:rsidRPr="00E601CA" w:rsidRDefault="00A93FE3" w:rsidP="00511F7F">
            <w:pPr>
              <w:spacing w:before="100" w:beforeAutospacing="1" w:after="100" w:afterAutospacing="1"/>
              <w:jc w:val="center"/>
              <w:rPr>
                <w:rFonts w:eastAsia="Times New Roman" w:cstheme="minorHAnsi"/>
              </w:rPr>
            </w:pPr>
            <w:r>
              <w:t>0,050</w:t>
            </w:r>
          </w:p>
        </w:tc>
      </w:tr>
    </w:tbl>
    <w:p w14:paraId="59DD52FB" w14:textId="302C777C" w:rsidR="00E8319A" w:rsidRPr="00E601CA" w:rsidRDefault="00E8319A" w:rsidP="00A93FE3">
      <w:pPr>
        <w:pStyle w:val="Heading4"/>
        <w:numPr>
          <w:ilvl w:val="0"/>
          <w:numId w:val="0"/>
        </w:numPr>
      </w:pPr>
      <w:bookmarkStart w:id="79" w:name="_GoBack"/>
      <w:bookmarkEnd w:id="77"/>
      <w:bookmarkEnd w:id="79"/>
    </w:p>
    <w:sectPr w:rsidR="00E8319A" w:rsidRPr="00E601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28F05" w14:textId="77777777" w:rsidR="001255FB" w:rsidRDefault="001255FB" w:rsidP="003230A3">
      <w:pPr>
        <w:spacing w:after="0" w:line="240" w:lineRule="auto"/>
      </w:pPr>
      <w:r>
        <w:separator/>
      </w:r>
    </w:p>
  </w:endnote>
  <w:endnote w:type="continuationSeparator" w:id="0">
    <w:p w14:paraId="05FE31EA" w14:textId="77777777" w:rsidR="001255FB" w:rsidRDefault="001255FB" w:rsidP="00323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Noto Sans Symbol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800A4" w14:textId="77777777" w:rsidR="001255FB" w:rsidRDefault="001255FB" w:rsidP="003230A3">
      <w:pPr>
        <w:spacing w:after="0" w:line="240" w:lineRule="auto"/>
      </w:pPr>
      <w:r>
        <w:separator/>
      </w:r>
    </w:p>
  </w:footnote>
  <w:footnote w:type="continuationSeparator" w:id="0">
    <w:p w14:paraId="3EB46406" w14:textId="77777777" w:rsidR="001255FB" w:rsidRDefault="001255FB" w:rsidP="003230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184A"/>
    <w:multiLevelType w:val="hybridMultilevel"/>
    <w:tmpl w:val="D51EA27A"/>
    <w:lvl w:ilvl="0" w:tplc="BB728842">
      <w:start w:val="1"/>
      <w:numFmt w:val="decimal"/>
      <w:pStyle w:val="Heading3"/>
      <w:lvlText w:val="Article %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976239"/>
    <w:multiLevelType w:val="hybridMultilevel"/>
    <w:tmpl w:val="C026F66E"/>
    <w:lvl w:ilvl="0" w:tplc="00000002">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E93D55"/>
    <w:multiLevelType w:val="hybridMultilevel"/>
    <w:tmpl w:val="E0E8E46C"/>
    <w:lvl w:ilvl="0" w:tplc="A992D0B4">
      <w:start w:val="1"/>
      <w:numFmt w:val="upperRoman"/>
      <w:pStyle w:val="Heading4"/>
      <w:lvlText w:val="ANNEXE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27605D"/>
    <w:multiLevelType w:val="hybridMultilevel"/>
    <w:tmpl w:val="380EF682"/>
    <w:lvl w:ilvl="0" w:tplc="49F0C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C611DF"/>
    <w:multiLevelType w:val="hybridMultilevel"/>
    <w:tmpl w:val="3074209A"/>
    <w:lvl w:ilvl="0" w:tplc="8C6463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DB7309"/>
    <w:multiLevelType w:val="hybridMultilevel"/>
    <w:tmpl w:val="350437C2"/>
    <w:lvl w:ilvl="0" w:tplc="BA98F8B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C53CB"/>
    <w:multiLevelType w:val="hybridMultilevel"/>
    <w:tmpl w:val="891A1336"/>
    <w:lvl w:ilvl="0" w:tplc="932C8186">
      <w:start w:val="9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FC6F9C"/>
    <w:multiLevelType w:val="hybridMultilevel"/>
    <w:tmpl w:val="7FD8EEB0"/>
    <w:lvl w:ilvl="0" w:tplc="87AAEF64">
      <w:start w:val="1"/>
      <w:numFmt w:val="upperRoman"/>
      <w:pStyle w:val="Heading2"/>
      <w:lvlText w:val="CHAPITRE %1."/>
      <w:lvlJc w:val="left"/>
      <w:pPr>
        <w:ind w:left="107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6243A3"/>
    <w:multiLevelType w:val="hybridMultilevel"/>
    <w:tmpl w:val="8F508A20"/>
    <w:lvl w:ilvl="0" w:tplc="582E78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392629"/>
    <w:multiLevelType w:val="multilevel"/>
    <w:tmpl w:val="5E263950"/>
    <w:styleLink w:val="Style1"/>
    <w:lvl w:ilvl="0">
      <w:start w:val="1"/>
      <w:numFmt w:val="upperRoman"/>
      <w:lvlText w:val="PARTI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2064D0A"/>
    <w:multiLevelType w:val="hybridMultilevel"/>
    <w:tmpl w:val="11C05F28"/>
    <w:lvl w:ilvl="0" w:tplc="9850BA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4056A70"/>
    <w:multiLevelType w:val="hybridMultilevel"/>
    <w:tmpl w:val="B30458B2"/>
    <w:lvl w:ilvl="0" w:tplc="3388376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83036C8"/>
    <w:multiLevelType w:val="hybridMultilevel"/>
    <w:tmpl w:val="A58C71AC"/>
    <w:lvl w:ilvl="0" w:tplc="BA98F8BE">
      <w:start w:val="1"/>
      <w:numFmt w:val="bullet"/>
      <w:lvlText w:val="-"/>
      <w:lvlJc w:val="left"/>
      <w:pPr>
        <w:ind w:left="1798" w:hanging="360"/>
      </w:pPr>
      <w:rPr>
        <w:rFonts w:ascii="Calibri" w:eastAsiaTheme="minorHAnsi" w:hAnsi="Calibri" w:cs="Calibri" w:hint="default"/>
      </w:rPr>
    </w:lvl>
    <w:lvl w:ilvl="1" w:tplc="040C0003" w:tentative="1">
      <w:start w:val="1"/>
      <w:numFmt w:val="bullet"/>
      <w:lvlText w:val="o"/>
      <w:lvlJc w:val="left"/>
      <w:pPr>
        <w:ind w:left="2518" w:hanging="360"/>
      </w:pPr>
      <w:rPr>
        <w:rFonts w:ascii="Courier New" w:hAnsi="Courier New" w:cs="Courier New" w:hint="default"/>
      </w:rPr>
    </w:lvl>
    <w:lvl w:ilvl="2" w:tplc="040C0005" w:tentative="1">
      <w:start w:val="1"/>
      <w:numFmt w:val="bullet"/>
      <w:lvlText w:val=""/>
      <w:lvlJc w:val="left"/>
      <w:pPr>
        <w:ind w:left="3238" w:hanging="360"/>
      </w:pPr>
      <w:rPr>
        <w:rFonts w:ascii="Wingdings" w:hAnsi="Wingdings" w:hint="default"/>
      </w:rPr>
    </w:lvl>
    <w:lvl w:ilvl="3" w:tplc="040C0001" w:tentative="1">
      <w:start w:val="1"/>
      <w:numFmt w:val="bullet"/>
      <w:lvlText w:val=""/>
      <w:lvlJc w:val="left"/>
      <w:pPr>
        <w:ind w:left="3958" w:hanging="360"/>
      </w:pPr>
      <w:rPr>
        <w:rFonts w:ascii="Symbol" w:hAnsi="Symbol" w:hint="default"/>
      </w:rPr>
    </w:lvl>
    <w:lvl w:ilvl="4" w:tplc="040C0003" w:tentative="1">
      <w:start w:val="1"/>
      <w:numFmt w:val="bullet"/>
      <w:lvlText w:val="o"/>
      <w:lvlJc w:val="left"/>
      <w:pPr>
        <w:ind w:left="4678" w:hanging="360"/>
      </w:pPr>
      <w:rPr>
        <w:rFonts w:ascii="Courier New" w:hAnsi="Courier New" w:cs="Courier New" w:hint="default"/>
      </w:rPr>
    </w:lvl>
    <w:lvl w:ilvl="5" w:tplc="040C0005" w:tentative="1">
      <w:start w:val="1"/>
      <w:numFmt w:val="bullet"/>
      <w:lvlText w:val=""/>
      <w:lvlJc w:val="left"/>
      <w:pPr>
        <w:ind w:left="5398" w:hanging="360"/>
      </w:pPr>
      <w:rPr>
        <w:rFonts w:ascii="Wingdings" w:hAnsi="Wingdings" w:hint="default"/>
      </w:rPr>
    </w:lvl>
    <w:lvl w:ilvl="6" w:tplc="040C0001" w:tentative="1">
      <w:start w:val="1"/>
      <w:numFmt w:val="bullet"/>
      <w:lvlText w:val=""/>
      <w:lvlJc w:val="left"/>
      <w:pPr>
        <w:ind w:left="6118" w:hanging="360"/>
      </w:pPr>
      <w:rPr>
        <w:rFonts w:ascii="Symbol" w:hAnsi="Symbol" w:hint="default"/>
      </w:rPr>
    </w:lvl>
    <w:lvl w:ilvl="7" w:tplc="040C0003" w:tentative="1">
      <w:start w:val="1"/>
      <w:numFmt w:val="bullet"/>
      <w:lvlText w:val="o"/>
      <w:lvlJc w:val="left"/>
      <w:pPr>
        <w:ind w:left="6838" w:hanging="360"/>
      </w:pPr>
      <w:rPr>
        <w:rFonts w:ascii="Courier New" w:hAnsi="Courier New" w:cs="Courier New" w:hint="default"/>
      </w:rPr>
    </w:lvl>
    <w:lvl w:ilvl="8" w:tplc="040C0005" w:tentative="1">
      <w:start w:val="1"/>
      <w:numFmt w:val="bullet"/>
      <w:lvlText w:val=""/>
      <w:lvlJc w:val="left"/>
      <w:pPr>
        <w:ind w:left="7558" w:hanging="360"/>
      </w:pPr>
      <w:rPr>
        <w:rFonts w:ascii="Wingdings" w:hAnsi="Wingdings" w:hint="default"/>
      </w:rPr>
    </w:lvl>
  </w:abstractNum>
  <w:abstractNum w:abstractNumId="13" w15:restartNumberingAfterBreak="0">
    <w:nsid w:val="3E631106"/>
    <w:multiLevelType w:val="hybridMultilevel"/>
    <w:tmpl w:val="EE5A77D8"/>
    <w:lvl w:ilvl="0" w:tplc="BA98F8BE">
      <w:start w:val="1"/>
      <w:numFmt w:val="bullet"/>
      <w:lvlText w:val="-"/>
      <w:lvlJc w:val="left"/>
      <w:pPr>
        <w:ind w:left="720" w:hanging="360"/>
      </w:pPr>
      <w:rPr>
        <w:rFonts w:ascii="Calibri" w:eastAsiaTheme="minorHAnsi" w:hAnsi="Calibri" w:cs="Calibri" w:hint="default"/>
      </w:rPr>
    </w:lvl>
    <w:lvl w:ilvl="1" w:tplc="92B2440A">
      <w:start w:val="2016"/>
      <w:numFmt w:val="bullet"/>
      <w:lvlText w:val="-"/>
      <w:lvlJc w:val="left"/>
      <w:pPr>
        <w:ind w:left="1440" w:hanging="360"/>
      </w:pPr>
      <w:rPr>
        <w:rFonts w:ascii="Times New Roman" w:hAnsi="Times New Roman" w:cs="Times New Roman" w:hint="default"/>
        <w:sz w:val="24"/>
        <w:szCs w:val="24"/>
        <w:u w:val="none"/>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49597B"/>
    <w:multiLevelType w:val="hybridMultilevel"/>
    <w:tmpl w:val="B726C356"/>
    <w:lvl w:ilvl="0" w:tplc="3CE2279C">
      <w:start w:val="1"/>
      <w:numFmt w:val="upperRoman"/>
      <w:pStyle w:val="Heading5"/>
      <w:lvlText w:val="PARTIE %1 :"/>
      <w:lvlJc w:val="left"/>
      <w:pPr>
        <w:ind w:left="71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1BF7917"/>
    <w:multiLevelType w:val="hybridMultilevel"/>
    <w:tmpl w:val="B06A60A8"/>
    <w:lvl w:ilvl="0" w:tplc="1396B5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36C3F15"/>
    <w:multiLevelType w:val="hybridMultilevel"/>
    <w:tmpl w:val="5A10876E"/>
    <w:lvl w:ilvl="0" w:tplc="228231D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6237E4E"/>
    <w:multiLevelType w:val="hybridMultilevel"/>
    <w:tmpl w:val="B2BA2D0C"/>
    <w:lvl w:ilvl="0" w:tplc="5410713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1930E7"/>
    <w:multiLevelType w:val="hybridMultilevel"/>
    <w:tmpl w:val="88A823F2"/>
    <w:lvl w:ilvl="0" w:tplc="50BA612A">
      <w:start w:val="1"/>
      <w:numFmt w:val="upperRoman"/>
      <w:pStyle w:val="ListParagraph"/>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E4457EC"/>
    <w:multiLevelType w:val="hybridMultilevel"/>
    <w:tmpl w:val="E2B843B6"/>
    <w:lvl w:ilvl="0" w:tplc="0404532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335310"/>
    <w:multiLevelType w:val="hybridMultilevel"/>
    <w:tmpl w:val="233E8962"/>
    <w:lvl w:ilvl="0" w:tplc="80F001CA">
      <w:start w:val="9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AB2DE7"/>
    <w:multiLevelType w:val="hybridMultilevel"/>
    <w:tmpl w:val="B47EB87C"/>
    <w:lvl w:ilvl="0" w:tplc="8A986C72">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C654711"/>
    <w:multiLevelType w:val="hybridMultilevel"/>
    <w:tmpl w:val="FB4E7FDE"/>
    <w:lvl w:ilvl="0" w:tplc="D534D83C">
      <w:start w:val="1"/>
      <w:numFmt w:val="upperRoman"/>
      <w:pStyle w:val="Heading1"/>
      <w:lvlText w:val="TITRE %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25B7E22"/>
    <w:multiLevelType w:val="hybridMultilevel"/>
    <w:tmpl w:val="9816F124"/>
    <w:lvl w:ilvl="0" w:tplc="7C80A60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3B1885"/>
    <w:multiLevelType w:val="hybridMultilevel"/>
    <w:tmpl w:val="12AEDA34"/>
    <w:lvl w:ilvl="0" w:tplc="0D2CBA7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3350FA5"/>
    <w:multiLevelType w:val="multilevel"/>
    <w:tmpl w:val="A1000BBC"/>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3F310DF"/>
    <w:multiLevelType w:val="hybridMultilevel"/>
    <w:tmpl w:val="4B6617CE"/>
    <w:lvl w:ilvl="0" w:tplc="941A4DB4">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1A34EB"/>
    <w:multiLevelType w:val="hybridMultilevel"/>
    <w:tmpl w:val="8668ED80"/>
    <w:lvl w:ilvl="0" w:tplc="63F40FE8">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75407771"/>
    <w:multiLevelType w:val="hybridMultilevel"/>
    <w:tmpl w:val="50F2EC6E"/>
    <w:lvl w:ilvl="0" w:tplc="AED4A65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86E726A"/>
    <w:multiLevelType w:val="multilevel"/>
    <w:tmpl w:val="1B8C1032"/>
    <w:lvl w:ilvl="0">
      <w:start w:val="1"/>
      <w:numFmt w:val="decimal"/>
      <w:pStyle w:val="Heading6"/>
      <w:lvlText w:val="%1."/>
      <w:lvlJc w:val="left"/>
      <w:pPr>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7"/>
      <w:lvlText w:val="%1.%2."/>
      <w:lvlJc w:val="left"/>
      <w:pPr>
        <w:ind w:left="136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0" w15:restartNumberingAfterBreak="0">
    <w:nsid w:val="7B1114F0"/>
    <w:multiLevelType w:val="hybridMultilevel"/>
    <w:tmpl w:val="C41608D4"/>
    <w:lvl w:ilvl="0" w:tplc="00000002">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1"/>
  </w:num>
  <w:num w:numId="4">
    <w:abstractNumId w:val="22"/>
  </w:num>
  <w:num w:numId="5">
    <w:abstractNumId w:val="2"/>
  </w:num>
  <w:num w:numId="6">
    <w:abstractNumId w:val="18"/>
  </w:num>
  <w:num w:numId="7">
    <w:abstractNumId w:val="19"/>
  </w:num>
  <w:num w:numId="8">
    <w:abstractNumId w:val="26"/>
  </w:num>
  <w:num w:numId="9">
    <w:abstractNumId w:val="24"/>
  </w:num>
  <w:num w:numId="10">
    <w:abstractNumId w:val="25"/>
  </w:num>
  <w:num w:numId="11">
    <w:abstractNumId w:val="17"/>
  </w:num>
  <w:num w:numId="12">
    <w:abstractNumId w:val="23"/>
  </w:num>
  <w:num w:numId="13">
    <w:abstractNumId w:val="10"/>
  </w:num>
  <w:num w:numId="14">
    <w:abstractNumId w:val="9"/>
  </w:num>
  <w:num w:numId="15">
    <w:abstractNumId w:val="14"/>
  </w:num>
  <w:num w:numId="16">
    <w:abstractNumId w:val="29"/>
  </w:num>
  <w:num w:numId="17">
    <w:abstractNumId w:val="3"/>
  </w:num>
  <w:num w:numId="18">
    <w:abstractNumId w:val="2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5"/>
  </w:num>
  <w:num w:numId="22">
    <w:abstractNumId w:val="18"/>
    <w:lvlOverride w:ilvl="0">
      <w:startOverride w:val="1"/>
    </w:lvlOverride>
  </w:num>
  <w:num w:numId="23">
    <w:abstractNumId w:val="14"/>
    <w:lvlOverride w:ilvl="0">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
  </w:num>
  <w:num w:numId="28">
    <w:abstractNumId w:val="30"/>
  </w:num>
  <w:num w:numId="29">
    <w:abstractNumId w:val="8"/>
  </w:num>
  <w:num w:numId="30">
    <w:abstractNumId w:val="28"/>
  </w:num>
  <w:num w:numId="31">
    <w:abstractNumId w:val="13"/>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0"/>
  </w:num>
  <w:num w:numId="35">
    <w:abstractNumId w:val="16"/>
  </w:num>
  <w:num w:numId="36">
    <w:abstractNumId w:val="12"/>
  </w:num>
  <w:num w:numId="37">
    <w:abstractNumId w:val="11"/>
  </w:num>
  <w:num w:numId="38">
    <w:abstractNumId w:val="4"/>
  </w:num>
  <w:num w:numId="39">
    <w:abstractNumId w:val="18"/>
  </w:num>
  <w:num w:numId="40">
    <w:abstractNumId w:val="5"/>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num>
  <w:num w:numId="45">
    <w:abstractNumId w:val="18"/>
  </w:num>
  <w:num w:numId="46">
    <w:abstractNumId w:val="14"/>
    <w:lvlOverride w:ilvl="0">
      <w:startOverride w:val="1"/>
    </w:lvlOverride>
  </w:num>
  <w:num w:numId="47">
    <w:abstractNumId w:val="14"/>
    <w:lvlOverride w:ilvl="0">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855"/>
    <w:rsid w:val="00003F58"/>
    <w:rsid w:val="00004ADD"/>
    <w:rsid w:val="0001250E"/>
    <w:rsid w:val="00012B57"/>
    <w:rsid w:val="00013875"/>
    <w:rsid w:val="000240BB"/>
    <w:rsid w:val="000259A1"/>
    <w:rsid w:val="00031402"/>
    <w:rsid w:val="00032417"/>
    <w:rsid w:val="00034078"/>
    <w:rsid w:val="00035AF0"/>
    <w:rsid w:val="00040407"/>
    <w:rsid w:val="00045B74"/>
    <w:rsid w:val="00047154"/>
    <w:rsid w:val="00047D3B"/>
    <w:rsid w:val="000518D1"/>
    <w:rsid w:val="000523B4"/>
    <w:rsid w:val="00052BCF"/>
    <w:rsid w:val="00053DF0"/>
    <w:rsid w:val="00065F1A"/>
    <w:rsid w:val="0007134F"/>
    <w:rsid w:val="00074915"/>
    <w:rsid w:val="00074A18"/>
    <w:rsid w:val="000758E6"/>
    <w:rsid w:val="00097506"/>
    <w:rsid w:val="000A05F7"/>
    <w:rsid w:val="000B168B"/>
    <w:rsid w:val="000B3F6F"/>
    <w:rsid w:val="000B79A7"/>
    <w:rsid w:val="000C3CCD"/>
    <w:rsid w:val="000C6F3A"/>
    <w:rsid w:val="000C795B"/>
    <w:rsid w:val="000E737C"/>
    <w:rsid w:val="000E74D7"/>
    <w:rsid w:val="00100AFF"/>
    <w:rsid w:val="00101EFE"/>
    <w:rsid w:val="0010408E"/>
    <w:rsid w:val="00112341"/>
    <w:rsid w:val="001255FB"/>
    <w:rsid w:val="00132937"/>
    <w:rsid w:val="00140B83"/>
    <w:rsid w:val="00142788"/>
    <w:rsid w:val="00143813"/>
    <w:rsid w:val="0014511E"/>
    <w:rsid w:val="00156B14"/>
    <w:rsid w:val="0016067B"/>
    <w:rsid w:val="00166544"/>
    <w:rsid w:val="0017209F"/>
    <w:rsid w:val="001865E3"/>
    <w:rsid w:val="0019138C"/>
    <w:rsid w:val="0019329D"/>
    <w:rsid w:val="00195EFC"/>
    <w:rsid w:val="001A2855"/>
    <w:rsid w:val="001A3805"/>
    <w:rsid w:val="001C0957"/>
    <w:rsid w:val="001C4870"/>
    <w:rsid w:val="001C7638"/>
    <w:rsid w:val="001C7BB5"/>
    <w:rsid w:val="001D2511"/>
    <w:rsid w:val="001E3DC2"/>
    <w:rsid w:val="001F4D1D"/>
    <w:rsid w:val="00200F87"/>
    <w:rsid w:val="00210944"/>
    <w:rsid w:val="002118CB"/>
    <w:rsid w:val="00212378"/>
    <w:rsid w:val="0021289E"/>
    <w:rsid w:val="002213CF"/>
    <w:rsid w:val="00222A90"/>
    <w:rsid w:val="002230C6"/>
    <w:rsid w:val="00223979"/>
    <w:rsid w:val="00224648"/>
    <w:rsid w:val="00227E83"/>
    <w:rsid w:val="0023603C"/>
    <w:rsid w:val="00240FC6"/>
    <w:rsid w:val="002523E6"/>
    <w:rsid w:val="00257E0C"/>
    <w:rsid w:val="00263C37"/>
    <w:rsid w:val="00265BC4"/>
    <w:rsid w:val="00265D3D"/>
    <w:rsid w:val="00267AB3"/>
    <w:rsid w:val="0028268A"/>
    <w:rsid w:val="002861D4"/>
    <w:rsid w:val="002A0CB2"/>
    <w:rsid w:val="002A23D0"/>
    <w:rsid w:val="002C37B0"/>
    <w:rsid w:val="002C679C"/>
    <w:rsid w:val="002C6AEE"/>
    <w:rsid w:val="002D246F"/>
    <w:rsid w:val="002F2D8B"/>
    <w:rsid w:val="002F42B4"/>
    <w:rsid w:val="00304DB2"/>
    <w:rsid w:val="00311951"/>
    <w:rsid w:val="003134E6"/>
    <w:rsid w:val="00316C2F"/>
    <w:rsid w:val="003175F2"/>
    <w:rsid w:val="003230A3"/>
    <w:rsid w:val="0032392B"/>
    <w:rsid w:val="00324401"/>
    <w:rsid w:val="0032499B"/>
    <w:rsid w:val="003362D0"/>
    <w:rsid w:val="00342BAF"/>
    <w:rsid w:val="00345C20"/>
    <w:rsid w:val="0034685B"/>
    <w:rsid w:val="00346A0A"/>
    <w:rsid w:val="0035261C"/>
    <w:rsid w:val="00364BAC"/>
    <w:rsid w:val="003677FE"/>
    <w:rsid w:val="003711FC"/>
    <w:rsid w:val="003803ED"/>
    <w:rsid w:val="0038152B"/>
    <w:rsid w:val="003815E1"/>
    <w:rsid w:val="0038194B"/>
    <w:rsid w:val="00390481"/>
    <w:rsid w:val="003A0BC6"/>
    <w:rsid w:val="003A6E3E"/>
    <w:rsid w:val="003B2EB2"/>
    <w:rsid w:val="003C0E26"/>
    <w:rsid w:val="003C1E49"/>
    <w:rsid w:val="003C7747"/>
    <w:rsid w:val="003D0336"/>
    <w:rsid w:val="003D5D08"/>
    <w:rsid w:val="003D77A4"/>
    <w:rsid w:val="003D7B82"/>
    <w:rsid w:val="003E02A1"/>
    <w:rsid w:val="003F747A"/>
    <w:rsid w:val="00403395"/>
    <w:rsid w:val="00417003"/>
    <w:rsid w:val="004205DE"/>
    <w:rsid w:val="004305B4"/>
    <w:rsid w:val="00430CBB"/>
    <w:rsid w:val="00445109"/>
    <w:rsid w:val="00450DDA"/>
    <w:rsid w:val="00455AB7"/>
    <w:rsid w:val="00457924"/>
    <w:rsid w:val="004600F9"/>
    <w:rsid w:val="0046089D"/>
    <w:rsid w:val="00464D2B"/>
    <w:rsid w:val="00465511"/>
    <w:rsid w:val="00473601"/>
    <w:rsid w:val="0047562F"/>
    <w:rsid w:val="00485B48"/>
    <w:rsid w:val="00490676"/>
    <w:rsid w:val="00491ADC"/>
    <w:rsid w:val="004A1D3F"/>
    <w:rsid w:val="004B1F30"/>
    <w:rsid w:val="004B3E2E"/>
    <w:rsid w:val="004B7E7F"/>
    <w:rsid w:val="004C0331"/>
    <w:rsid w:val="004C1772"/>
    <w:rsid w:val="004D1646"/>
    <w:rsid w:val="004D2802"/>
    <w:rsid w:val="004D7B1D"/>
    <w:rsid w:val="004E1462"/>
    <w:rsid w:val="004E68E1"/>
    <w:rsid w:val="004E6BF5"/>
    <w:rsid w:val="004E6D76"/>
    <w:rsid w:val="004F00EC"/>
    <w:rsid w:val="004F123B"/>
    <w:rsid w:val="004F2D43"/>
    <w:rsid w:val="004F5DFA"/>
    <w:rsid w:val="004F74B4"/>
    <w:rsid w:val="00500A57"/>
    <w:rsid w:val="005015BA"/>
    <w:rsid w:val="00505DA9"/>
    <w:rsid w:val="00506BF6"/>
    <w:rsid w:val="00511F7F"/>
    <w:rsid w:val="00515639"/>
    <w:rsid w:val="00517FFB"/>
    <w:rsid w:val="005242E3"/>
    <w:rsid w:val="005246E9"/>
    <w:rsid w:val="00524B12"/>
    <w:rsid w:val="0052651E"/>
    <w:rsid w:val="005302B8"/>
    <w:rsid w:val="0053472A"/>
    <w:rsid w:val="00537083"/>
    <w:rsid w:val="005376F7"/>
    <w:rsid w:val="0054020D"/>
    <w:rsid w:val="00556495"/>
    <w:rsid w:val="00557AEB"/>
    <w:rsid w:val="0056152E"/>
    <w:rsid w:val="00562F82"/>
    <w:rsid w:val="005671F2"/>
    <w:rsid w:val="005737F2"/>
    <w:rsid w:val="00580EBA"/>
    <w:rsid w:val="0058202D"/>
    <w:rsid w:val="005903B6"/>
    <w:rsid w:val="00590E4F"/>
    <w:rsid w:val="00593497"/>
    <w:rsid w:val="005A4FB5"/>
    <w:rsid w:val="005B46A5"/>
    <w:rsid w:val="005C1255"/>
    <w:rsid w:val="005C1BB6"/>
    <w:rsid w:val="005C32FB"/>
    <w:rsid w:val="005C3F14"/>
    <w:rsid w:val="005E3473"/>
    <w:rsid w:val="005E706D"/>
    <w:rsid w:val="005E78A2"/>
    <w:rsid w:val="005E7CCF"/>
    <w:rsid w:val="005F4565"/>
    <w:rsid w:val="005F5179"/>
    <w:rsid w:val="005F7A45"/>
    <w:rsid w:val="00603D80"/>
    <w:rsid w:val="00603E6B"/>
    <w:rsid w:val="0060473F"/>
    <w:rsid w:val="006100F0"/>
    <w:rsid w:val="00611FC7"/>
    <w:rsid w:val="00617DDB"/>
    <w:rsid w:val="00630419"/>
    <w:rsid w:val="00635867"/>
    <w:rsid w:val="00635E35"/>
    <w:rsid w:val="00642C19"/>
    <w:rsid w:val="00656E9E"/>
    <w:rsid w:val="00662000"/>
    <w:rsid w:val="00663053"/>
    <w:rsid w:val="00664655"/>
    <w:rsid w:val="00667EEF"/>
    <w:rsid w:val="0067282A"/>
    <w:rsid w:val="006741D7"/>
    <w:rsid w:val="00675A9E"/>
    <w:rsid w:val="00690FB8"/>
    <w:rsid w:val="006921F1"/>
    <w:rsid w:val="00692FF1"/>
    <w:rsid w:val="006941F7"/>
    <w:rsid w:val="006949EF"/>
    <w:rsid w:val="00697894"/>
    <w:rsid w:val="006A18A0"/>
    <w:rsid w:val="006A1FB6"/>
    <w:rsid w:val="006A36B1"/>
    <w:rsid w:val="006B19DB"/>
    <w:rsid w:val="006C1EA3"/>
    <w:rsid w:val="006C6C95"/>
    <w:rsid w:val="006C7734"/>
    <w:rsid w:val="006E2899"/>
    <w:rsid w:val="006E49FE"/>
    <w:rsid w:val="006F1A32"/>
    <w:rsid w:val="006F35B0"/>
    <w:rsid w:val="006F6A1C"/>
    <w:rsid w:val="006F79B7"/>
    <w:rsid w:val="00702952"/>
    <w:rsid w:val="00702F49"/>
    <w:rsid w:val="00713976"/>
    <w:rsid w:val="0071709E"/>
    <w:rsid w:val="00721A32"/>
    <w:rsid w:val="0072658B"/>
    <w:rsid w:val="00726EEE"/>
    <w:rsid w:val="00733D9F"/>
    <w:rsid w:val="007361B2"/>
    <w:rsid w:val="0074061C"/>
    <w:rsid w:val="00741017"/>
    <w:rsid w:val="00742E69"/>
    <w:rsid w:val="00744508"/>
    <w:rsid w:val="0074648A"/>
    <w:rsid w:val="00757192"/>
    <w:rsid w:val="00760A20"/>
    <w:rsid w:val="007644DB"/>
    <w:rsid w:val="00764899"/>
    <w:rsid w:val="0076603F"/>
    <w:rsid w:val="00766CC2"/>
    <w:rsid w:val="00767408"/>
    <w:rsid w:val="00767E27"/>
    <w:rsid w:val="00771EC8"/>
    <w:rsid w:val="00773CDF"/>
    <w:rsid w:val="0078435F"/>
    <w:rsid w:val="00785284"/>
    <w:rsid w:val="007A5D47"/>
    <w:rsid w:val="007A5F76"/>
    <w:rsid w:val="007B643E"/>
    <w:rsid w:val="007C4597"/>
    <w:rsid w:val="007C6C0F"/>
    <w:rsid w:val="007D30F8"/>
    <w:rsid w:val="007E0B47"/>
    <w:rsid w:val="007E0C63"/>
    <w:rsid w:val="007E77C5"/>
    <w:rsid w:val="007F14B9"/>
    <w:rsid w:val="007F1EA8"/>
    <w:rsid w:val="007F40E5"/>
    <w:rsid w:val="007F6B79"/>
    <w:rsid w:val="00803ADF"/>
    <w:rsid w:val="00814C60"/>
    <w:rsid w:val="00814CEF"/>
    <w:rsid w:val="008203F4"/>
    <w:rsid w:val="00821DEC"/>
    <w:rsid w:val="00823E5F"/>
    <w:rsid w:val="008244F0"/>
    <w:rsid w:val="00825713"/>
    <w:rsid w:val="00827A05"/>
    <w:rsid w:val="00831BA2"/>
    <w:rsid w:val="00841521"/>
    <w:rsid w:val="008439D3"/>
    <w:rsid w:val="00843B00"/>
    <w:rsid w:val="0084468C"/>
    <w:rsid w:val="008511FC"/>
    <w:rsid w:val="00854644"/>
    <w:rsid w:val="00855C24"/>
    <w:rsid w:val="00864556"/>
    <w:rsid w:val="00865A77"/>
    <w:rsid w:val="00866253"/>
    <w:rsid w:val="00871860"/>
    <w:rsid w:val="0087364F"/>
    <w:rsid w:val="00886CDC"/>
    <w:rsid w:val="00892EBA"/>
    <w:rsid w:val="00896B5F"/>
    <w:rsid w:val="008A051C"/>
    <w:rsid w:val="008B32B7"/>
    <w:rsid w:val="008B5EC4"/>
    <w:rsid w:val="008B5FAE"/>
    <w:rsid w:val="008B72EF"/>
    <w:rsid w:val="008C42A7"/>
    <w:rsid w:val="008C561B"/>
    <w:rsid w:val="008D3F44"/>
    <w:rsid w:val="008D793D"/>
    <w:rsid w:val="008E1467"/>
    <w:rsid w:val="008E291D"/>
    <w:rsid w:val="008E32DB"/>
    <w:rsid w:val="00906764"/>
    <w:rsid w:val="00912046"/>
    <w:rsid w:val="00915D36"/>
    <w:rsid w:val="00923C31"/>
    <w:rsid w:val="009265F3"/>
    <w:rsid w:val="00926D19"/>
    <w:rsid w:val="00932CA5"/>
    <w:rsid w:val="00933F50"/>
    <w:rsid w:val="00937BD6"/>
    <w:rsid w:val="00942254"/>
    <w:rsid w:val="00951EDB"/>
    <w:rsid w:val="009547F1"/>
    <w:rsid w:val="00955122"/>
    <w:rsid w:val="009626C7"/>
    <w:rsid w:val="00965E1A"/>
    <w:rsid w:val="00971927"/>
    <w:rsid w:val="00975325"/>
    <w:rsid w:val="0098102E"/>
    <w:rsid w:val="0098510B"/>
    <w:rsid w:val="00990003"/>
    <w:rsid w:val="0099764F"/>
    <w:rsid w:val="00997A24"/>
    <w:rsid w:val="00997D76"/>
    <w:rsid w:val="009A2E2A"/>
    <w:rsid w:val="009B5003"/>
    <w:rsid w:val="009C3EEB"/>
    <w:rsid w:val="009D7310"/>
    <w:rsid w:val="009E0991"/>
    <w:rsid w:val="009E1060"/>
    <w:rsid w:val="009E18E5"/>
    <w:rsid w:val="009E5BF1"/>
    <w:rsid w:val="009F2A30"/>
    <w:rsid w:val="009F3D79"/>
    <w:rsid w:val="009F40F7"/>
    <w:rsid w:val="00A02594"/>
    <w:rsid w:val="00A04030"/>
    <w:rsid w:val="00A10DCB"/>
    <w:rsid w:val="00A13A1A"/>
    <w:rsid w:val="00A1566B"/>
    <w:rsid w:val="00A16276"/>
    <w:rsid w:val="00A2187F"/>
    <w:rsid w:val="00A2293F"/>
    <w:rsid w:val="00A22FA7"/>
    <w:rsid w:val="00A234E1"/>
    <w:rsid w:val="00A348C0"/>
    <w:rsid w:val="00A3740F"/>
    <w:rsid w:val="00A40263"/>
    <w:rsid w:val="00A47592"/>
    <w:rsid w:val="00A54D22"/>
    <w:rsid w:val="00A54F73"/>
    <w:rsid w:val="00A559A7"/>
    <w:rsid w:val="00A56B6C"/>
    <w:rsid w:val="00A80B3F"/>
    <w:rsid w:val="00A872C1"/>
    <w:rsid w:val="00A93FE3"/>
    <w:rsid w:val="00AA0090"/>
    <w:rsid w:val="00AA38CA"/>
    <w:rsid w:val="00AA5256"/>
    <w:rsid w:val="00AA57C7"/>
    <w:rsid w:val="00AB0226"/>
    <w:rsid w:val="00AB20B8"/>
    <w:rsid w:val="00AB5367"/>
    <w:rsid w:val="00AB6ABD"/>
    <w:rsid w:val="00AB7FB5"/>
    <w:rsid w:val="00AC40AD"/>
    <w:rsid w:val="00AC6485"/>
    <w:rsid w:val="00AD5C28"/>
    <w:rsid w:val="00AF36EA"/>
    <w:rsid w:val="00AF71B5"/>
    <w:rsid w:val="00B0058C"/>
    <w:rsid w:val="00B043C5"/>
    <w:rsid w:val="00B22B9B"/>
    <w:rsid w:val="00B22DB9"/>
    <w:rsid w:val="00B273A1"/>
    <w:rsid w:val="00B42CF3"/>
    <w:rsid w:val="00B55B3E"/>
    <w:rsid w:val="00B64A73"/>
    <w:rsid w:val="00B64DDB"/>
    <w:rsid w:val="00B64F22"/>
    <w:rsid w:val="00B73E45"/>
    <w:rsid w:val="00B77192"/>
    <w:rsid w:val="00B777F9"/>
    <w:rsid w:val="00B80206"/>
    <w:rsid w:val="00B832C0"/>
    <w:rsid w:val="00B84A2D"/>
    <w:rsid w:val="00B85218"/>
    <w:rsid w:val="00B91953"/>
    <w:rsid w:val="00BA671E"/>
    <w:rsid w:val="00BB536D"/>
    <w:rsid w:val="00BC0AB9"/>
    <w:rsid w:val="00BC0CA6"/>
    <w:rsid w:val="00BC21DF"/>
    <w:rsid w:val="00BC7CC6"/>
    <w:rsid w:val="00BD2CE1"/>
    <w:rsid w:val="00BD40F0"/>
    <w:rsid w:val="00BD73F5"/>
    <w:rsid w:val="00BD7860"/>
    <w:rsid w:val="00BE356F"/>
    <w:rsid w:val="00BE6F11"/>
    <w:rsid w:val="00BF1485"/>
    <w:rsid w:val="00BF2119"/>
    <w:rsid w:val="00BF403D"/>
    <w:rsid w:val="00C03EB4"/>
    <w:rsid w:val="00C20A8E"/>
    <w:rsid w:val="00C23EDD"/>
    <w:rsid w:val="00C24832"/>
    <w:rsid w:val="00C2769F"/>
    <w:rsid w:val="00C602A5"/>
    <w:rsid w:val="00C65659"/>
    <w:rsid w:val="00C71D7F"/>
    <w:rsid w:val="00C72BD2"/>
    <w:rsid w:val="00C73940"/>
    <w:rsid w:val="00C75F0F"/>
    <w:rsid w:val="00C77219"/>
    <w:rsid w:val="00C945D0"/>
    <w:rsid w:val="00C95E71"/>
    <w:rsid w:val="00C968FB"/>
    <w:rsid w:val="00CA03BA"/>
    <w:rsid w:val="00CA4953"/>
    <w:rsid w:val="00CA4B28"/>
    <w:rsid w:val="00CA631C"/>
    <w:rsid w:val="00CB2BA6"/>
    <w:rsid w:val="00CD3128"/>
    <w:rsid w:val="00CD4B24"/>
    <w:rsid w:val="00CD591E"/>
    <w:rsid w:val="00CD601C"/>
    <w:rsid w:val="00CD607B"/>
    <w:rsid w:val="00CD66A8"/>
    <w:rsid w:val="00CE43A6"/>
    <w:rsid w:val="00CE44A8"/>
    <w:rsid w:val="00CF249D"/>
    <w:rsid w:val="00D11249"/>
    <w:rsid w:val="00D12E1E"/>
    <w:rsid w:val="00D26A4E"/>
    <w:rsid w:val="00D31841"/>
    <w:rsid w:val="00D3536F"/>
    <w:rsid w:val="00D36AD8"/>
    <w:rsid w:val="00D36C39"/>
    <w:rsid w:val="00D42264"/>
    <w:rsid w:val="00D44C51"/>
    <w:rsid w:val="00D50E5F"/>
    <w:rsid w:val="00D56689"/>
    <w:rsid w:val="00D61655"/>
    <w:rsid w:val="00D6460B"/>
    <w:rsid w:val="00D75257"/>
    <w:rsid w:val="00D7544D"/>
    <w:rsid w:val="00D76CEA"/>
    <w:rsid w:val="00D849D1"/>
    <w:rsid w:val="00D91C87"/>
    <w:rsid w:val="00D96D9A"/>
    <w:rsid w:val="00D97C91"/>
    <w:rsid w:val="00DA340A"/>
    <w:rsid w:val="00DB0BE2"/>
    <w:rsid w:val="00DB4DA1"/>
    <w:rsid w:val="00DB7D28"/>
    <w:rsid w:val="00DD261D"/>
    <w:rsid w:val="00DD2CFD"/>
    <w:rsid w:val="00DD530C"/>
    <w:rsid w:val="00DE6463"/>
    <w:rsid w:val="00DF0DDD"/>
    <w:rsid w:val="00DF1043"/>
    <w:rsid w:val="00E00EF2"/>
    <w:rsid w:val="00E04AE5"/>
    <w:rsid w:val="00E04C8D"/>
    <w:rsid w:val="00E0581B"/>
    <w:rsid w:val="00E05843"/>
    <w:rsid w:val="00E1448A"/>
    <w:rsid w:val="00E2045D"/>
    <w:rsid w:val="00E214C2"/>
    <w:rsid w:val="00E24E9E"/>
    <w:rsid w:val="00E2614B"/>
    <w:rsid w:val="00E263C3"/>
    <w:rsid w:val="00E30E9F"/>
    <w:rsid w:val="00E30F98"/>
    <w:rsid w:val="00E52D22"/>
    <w:rsid w:val="00E601CA"/>
    <w:rsid w:val="00E63A77"/>
    <w:rsid w:val="00E76A8B"/>
    <w:rsid w:val="00E7783F"/>
    <w:rsid w:val="00E8319A"/>
    <w:rsid w:val="00E85F4B"/>
    <w:rsid w:val="00E9780A"/>
    <w:rsid w:val="00EA0C25"/>
    <w:rsid w:val="00EA4EC2"/>
    <w:rsid w:val="00EA7FBA"/>
    <w:rsid w:val="00EE1F91"/>
    <w:rsid w:val="00EE3156"/>
    <w:rsid w:val="00EE4A1A"/>
    <w:rsid w:val="00EE4B5B"/>
    <w:rsid w:val="00EE4D02"/>
    <w:rsid w:val="00EF22F6"/>
    <w:rsid w:val="00EF43E6"/>
    <w:rsid w:val="00EF485B"/>
    <w:rsid w:val="00EF6F19"/>
    <w:rsid w:val="00F00823"/>
    <w:rsid w:val="00F01EBB"/>
    <w:rsid w:val="00F11BAA"/>
    <w:rsid w:val="00F26D54"/>
    <w:rsid w:val="00F335F5"/>
    <w:rsid w:val="00F45D94"/>
    <w:rsid w:val="00F55AE3"/>
    <w:rsid w:val="00F5617D"/>
    <w:rsid w:val="00F6040B"/>
    <w:rsid w:val="00F67CA6"/>
    <w:rsid w:val="00F7078D"/>
    <w:rsid w:val="00F723DA"/>
    <w:rsid w:val="00F74657"/>
    <w:rsid w:val="00F77068"/>
    <w:rsid w:val="00F81657"/>
    <w:rsid w:val="00F86151"/>
    <w:rsid w:val="00F86A6F"/>
    <w:rsid w:val="00F9144F"/>
    <w:rsid w:val="00F92A8B"/>
    <w:rsid w:val="00F9619D"/>
    <w:rsid w:val="00F96CB4"/>
    <w:rsid w:val="00F96E3E"/>
    <w:rsid w:val="00F973C1"/>
    <w:rsid w:val="00FA2E84"/>
    <w:rsid w:val="00FB442F"/>
    <w:rsid w:val="00FC0B23"/>
    <w:rsid w:val="00FC18CE"/>
    <w:rsid w:val="00FC495C"/>
    <w:rsid w:val="00FC5866"/>
    <w:rsid w:val="00FE7A29"/>
    <w:rsid w:val="00FF1B40"/>
    <w:rsid w:val="00FF75AE"/>
  </w:rsids>
  <m:mathPr>
    <m:mathFont m:val="Cambria Math"/>
    <m:brkBin m:val="before"/>
    <m:brkBinSub m:val="--"/>
    <m:smallFrac m:val="0"/>
    <m:dispDef/>
    <m:lMargin m:val="0"/>
    <m:rMargin m:val="0"/>
    <m:defJc m:val="centerGroup"/>
    <m:wrapIndent m:val="1440"/>
    <m:intLim m:val="subSup"/>
    <m:naryLim m:val="undOvr"/>
  </m:mathPr>
  <w:themeFontLang w:val="fr-FR"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6ABA4"/>
  <w15:docId w15:val="{E84B14A3-B81F-4A32-8304-E3672DB4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A30"/>
    <w:pPr>
      <w:jc w:val="both"/>
    </w:pPr>
    <w:rPr>
      <w:lang w:eastAsia="zh-CN" w:bidi="hi-IN"/>
    </w:rPr>
  </w:style>
  <w:style w:type="paragraph" w:styleId="Heading1">
    <w:name w:val="heading 1"/>
    <w:basedOn w:val="Subtitle"/>
    <w:next w:val="Normal"/>
    <w:link w:val="Heading1Char"/>
    <w:uiPriority w:val="9"/>
    <w:qFormat/>
    <w:rsid w:val="00403395"/>
    <w:pPr>
      <w:numPr>
        <w:numId w:val="4"/>
      </w:numPr>
      <w:ind w:left="1588" w:hanging="1588"/>
      <w:outlineLvl w:val="0"/>
    </w:pPr>
  </w:style>
  <w:style w:type="paragraph" w:styleId="Heading2">
    <w:name w:val="heading 2"/>
    <w:basedOn w:val="Normal"/>
    <w:next w:val="Normal"/>
    <w:link w:val="Heading2Char"/>
    <w:uiPriority w:val="9"/>
    <w:unhideWhenUsed/>
    <w:qFormat/>
    <w:rsid w:val="0019138C"/>
    <w:pPr>
      <w:numPr>
        <w:numId w:val="20"/>
      </w:numPr>
      <w:spacing w:before="360"/>
      <w:outlineLvl w:val="1"/>
    </w:pPr>
    <w:rPr>
      <w:b/>
    </w:rPr>
  </w:style>
  <w:style w:type="paragraph" w:styleId="Heading3">
    <w:name w:val="heading 3"/>
    <w:basedOn w:val="Normal"/>
    <w:next w:val="Normal"/>
    <w:link w:val="Heading3Char"/>
    <w:uiPriority w:val="9"/>
    <w:unhideWhenUsed/>
    <w:qFormat/>
    <w:rsid w:val="00DF0DDD"/>
    <w:pPr>
      <w:numPr>
        <w:numId w:val="2"/>
      </w:numPr>
      <w:spacing w:before="240" w:after="120"/>
      <w:outlineLvl w:val="2"/>
    </w:pPr>
    <w:rPr>
      <w:b/>
    </w:rPr>
  </w:style>
  <w:style w:type="paragraph" w:styleId="Heading4">
    <w:name w:val="heading 4"/>
    <w:basedOn w:val="Heading1"/>
    <w:next w:val="Normal"/>
    <w:link w:val="Heading4Char"/>
    <w:uiPriority w:val="9"/>
    <w:unhideWhenUsed/>
    <w:qFormat/>
    <w:rsid w:val="00B64F22"/>
    <w:pPr>
      <w:numPr>
        <w:numId w:val="5"/>
      </w:numPr>
      <w:outlineLvl w:val="3"/>
    </w:pPr>
  </w:style>
  <w:style w:type="paragraph" w:styleId="Heading5">
    <w:name w:val="heading 5"/>
    <w:basedOn w:val="Heading2"/>
    <w:next w:val="Normal"/>
    <w:link w:val="Heading5Char"/>
    <w:uiPriority w:val="9"/>
    <w:unhideWhenUsed/>
    <w:qFormat/>
    <w:rsid w:val="00B42CF3"/>
    <w:pPr>
      <w:numPr>
        <w:numId w:val="15"/>
      </w:numPr>
      <w:outlineLvl w:val="4"/>
    </w:pPr>
    <w:rPr>
      <w14:scene3d>
        <w14:camera w14:prst="orthographicFront"/>
        <w14:lightRig w14:rig="threePt" w14:dir="t">
          <w14:rot w14:lat="0" w14:lon="0" w14:rev="0"/>
        </w14:lightRig>
      </w14:scene3d>
    </w:rPr>
  </w:style>
  <w:style w:type="paragraph" w:styleId="Heading6">
    <w:name w:val="heading 6"/>
    <w:basedOn w:val="Normal"/>
    <w:next w:val="Normal"/>
    <w:link w:val="Heading6Char"/>
    <w:uiPriority w:val="9"/>
    <w:unhideWhenUsed/>
    <w:qFormat/>
    <w:rsid w:val="00A02594"/>
    <w:pPr>
      <w:keepNext/>
      <w:keepLines/>
      <w:numPr>
        <w:numId w:val="18"/>
      </w:numPr>
      <w:spacing w:before="40" w:after="120"/>
      <w:ind w:left="754" w:hanging="357"/>
      <w:outlineLvl w:val="5"/>
    </w:pPr>
    <w:rPr>
      <w:rFonts w:eastAsiaTheme="majorEastAsia" w:cstheme="minorHAnsi"/>
      <w:szCs w:val="20"/>
      <w:u w:val="single"/>
    </w:rPr>
  </w:style>
  <w:style w:type="paragraph" w:styleId="Heading7">
    <w:name w:val="heading 7"/>
    <w:basedOn w:val="Heading6"/>
    <w:next w:val="Normal"/>
    <w:link w:val="Heading7Char"/>
    <w:uiPriority w:val="9"/>
    <w:unhideWhenUsed/>
    <w:qFormat/>
    <w:rsid w:val="00A02594"/>
    <w:pPr>
      <w:numPr>
        <w:ilvl w:val="1"/>
      </w:numP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28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85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03395"/>
    <w:rPr>
      <w:rFonts w:ascii="Liberation Serif" w:eastAsia="SimSun" w:hAnsi="Liberation Serif" w:cs="Mangal"/>
      <w:b/>
      <w:smallCaps/>
      <w:sz w:val="28"/>
      <w:szCs w:val="24"/>
      <w:lang w:eastAsia="zh-CN" w:bidi="hi-IN"/>
    </w:rPr>
  </w:style>
  <w:style w:type="paragraph" w:styleId="Subtitle">
    <w:name w:val="Subtitle"/>
    <w:aliases w:val="Titre1"/>
    <w:basedOn w:val="Normal"/>
    <w:next w:val="Normal"/>
    <w:link w:val="SubtitleChar"/>
    <w:uiPriority w:val="11"/>
    <w:qFormat/>
    <w:rsid w:val="001A2855"/>
    <w:pPr>
      <w:widowControl w:val="0"/>
      <w:spacing w:after="120" w:line="240" w:lineRule="auto"/>
    </w:pPr>
    <w:rPr>
      <w:rFonts w:ascii="Liberation Serif" w:hAnsi="Liberation Serif" w:cs="Mangal"/>
      <w:b/>
      <w:smallCaps/>
      <w:sz w:val="28"/>
      <w:szCs w:val="24"/>
    </w:rPr>
  </w:style>
  <w:style w:type="character" w:customStyle="1" w:styleId="SubtitleChar">
    <w:name w:val="Subtitle Char"/>
    <w:aliases w:val="Titre1 Char"/>
    <w:basedOn w:val="DefaultParagraphFont"/>
    <w:link w:val="Subtitle"/>
    <w:uiPriority w:val="11"/>
    <w:rsid w:val="001A2855"/>
    <w:rPr>
      <w:rFonts w:ascii="Liberation Serif" w:eastAsia="SimSun" w:hAnsi="Liberation Serif" w:cs="Mangal"/>
      <w:b/>
      <w:smallCaps/>
      <w:sz w:val="28"/>
      <w:szCs w:val="24"/>
      <w:lang w:eastAsia="zh-CN" w:bidi="hi-IN"/>
    </w:rPr>
  </w:style>
  <w:style w:type="character" w:customStyle="1" w:styleId="Heading2Char">
    <w:name w:val="Heading 2 Char"/>
    <w:basedOn w:val="DefaultParagraphFont"/>
    <w:link w:val="Heading2"/>
    <w:uiPriority w:val="9"/>
    <w:rsid w:val="0019138C"/>
    <w:rPr>
      <w:b/>
      <w:lang w:eastAsia="zh-CN" w:bidi="hi-IN"/>
    </w:rPr>
  </w:style>
  <w:style w:type="character" w:customStyle="1" w:styleId="Heading3Char">
    <w:name w:val="Heading 3 Char"/>
    <w:basedOn w:val="DefaultParagraphFont"/>
    <w:link w:val="Heading3"/>
    <w:uiPriority w:val="9"/>
    <w:rsid w:val="00DF0DDD"/>
    <w:rPr>
      <w:b/>
      <w:lang w:eastAsia="zh-CN" w:bidi="hi-IN"/>
    </w:rPr>
  </w:style>
  <w:style w:type="character" w:styleId="CommentReference">
    <w:name w:val="annotation reference"/>
    <w:basedOn w:val="DefaultParagraphFont"/>
    <w:uiPriority w:val="99"/>
    <w:unhideWhenUsed/>
    <w:rsid w:val="007D30F8"/>
    <w:rPr>
      <w:sz w:val="16"/>
      <w:szCs w:val="16"/>
    </w:rPr>
  </w:style>
  <w:style w:type="paragraph" w:styleId="CommentText">
    <w:name w:val="annotation text"/>
    <w:basedOn w:val="Normal"/>
    <w:link w:val="CommentTextChar"/>
    <w:uiPriority w:val="99"/>
    <w:unhideWhenUsed/>
    <w:rsid w:val="007D30F8"/>
    <w:pPr>
      <w:spacing w:line="240" w:lineRule="auto"/>
    </w:pPr>
    <w:rPr>
      <w:sz w:val="20"/>
      <w:szCs w:val="20"/>
    </w:rPr>
  </w:style>
  <w:style w:type="character" w:customStyle="1" w:styleId="CommentTextChar">
    <w:name w:val="Comment Text Char"/>
    <w:basedOn w:val="DefaultParagraphFont"/>
    <w:link w:val="CommentText"/>
    <w:uiPriority w:val="99"/>
    <w:rsid w:val="007D30F8"/>
    <w:rPr>
      <w:sz w:val="20"/>
      <w:szCs w:val="20"/>
    </w:rPr>
  </w:style>
  <w:style w:type="paragraph" w:styleId="CommentSubject">
    <w:name w:val="annotation subject"/>
    <w:basedOn w:val="CommentText"/>
    <w:next w:val="CommentText"/>
    <w:link w:val="CommentSubjectChar"/>
    <w:uiPriority w:val="99"/>
    <w:semiHidden/>
    <w:unhideWhenUsed/>
    <w:rsid w:val="007D30F8"/>
    <w:rPr>
      <w:b/>
      <w:bCs/>
    </w:rPr>
  </w:style>
  <w:style w:type="character" w:customStyle="1" w:styleId="CommentSubjectChar">
    <w:name w:val="Comment Subject Char"/>
    <w:basedOn w:val="CommentTextChar"/>
    <w:link w:val="CommentSubject"/>
    <w:uiPriority w:val="99"/>
    <w:semiHidden/>
    <w:rsid w:val="007D30F8"/>
    <w:rPr>
      <w:b/>
      <w:bCs/>
      <w:sz w:val="20"/>
      <w:szCs w:val="20"/>
    </w:rPr>
  </w:style>
  <w:style w:type="paragraph" w:styleId="BalloonText">
    <w:name w:val="Balloon Text"/>
    <w:basedOn w:val="Normal"/>
    <w:link w:val="BalloonTextChar"/>
    <w:uiPriority w:val="99"/>
    <w:semiHidden/>
    <w:unhideWhenUsed/>
    <w:rsid w:val="007D3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0F8"/>
    <w:rPr>
      <w:rFonts w:ascii="Segoe UI" w:hAnsi="Segoe UI" w:cs="Segoe UI"/>
      <w:sz w:val="18"/>
      <w:szCs w:val="18"/>
    </w:rPr>
  </w:style>
  <w:style w:type="paragraph" w:styleId="TOC1">
    <w:name w:val="toc 1"/>
    <w:basedOn w:val="Normal"/>
    <w:next w:val="Normal"/>
    <w:autoRedefine/>
    <w:uiPriority w:val="39"/>
    <w:unhideWhenUsed/>
    <w:rsid w:val="000518D1"/>
    <w:pPr>
      <w:spacing w:after="100"/>
    </w:pPr>
  </w:style>
  <w:style w:type="paragraph" w:styleId="TOC2">
    <w:name w:val="toc 2"/>
    <w:basedOn w:val="Normal"/>
    <w:next w:val="Normal"/>
    <w:autoRedefine/>
    <w:uiPriority w:val="39"/>
    <w:unhideWhenUsed/>
    <w:rsid w:val="000518D1"/>
    <w:pPr>
      <w:spacing w:after="100"/>
      <w:ind w:left="220"/>
    </w:pPr>
  </w:style>
  <w:style w:type="paragraph" w:styleId="TOC3">
    <w:name w:val="toc 3"/>
    <w:basedOn w:val="Normal"/>
    <w:next w:val="Normal"/>
    <w:autoRedefine/>
    <w:uiPriority w:val="39"/>
    <w:unhideWhenUsed/>
    <w:rsid w:val="000518D1"/>
    <w:pPr>
      <w:spacing w:after="100"/>
      <w:ind w:left="440"/>
    </w:pPr>
  </w:style>
  <w:style w:type="paragraph" w:styleId="ListParagraph">
    <w:name w:val="List Paragraph"/>
    <w:basedOn w:val="Normal"/>
    <w:uiPriority w:val="34"/>
    <w:qFormat/>
    <w:rsid w:val="00B0058C"/>
    <w:pPr>
      <w:numPr>
        <w:numId w:val="6"/>
      </w:numPr>
      <w:spacing w:before="160"/>
    </w:pPr>
  </w:style>
  <w:style w:type="paragraph" w:styleId="Revision">
    <w:name w:val="Revision"/>
    <w:hidden/>
    <w:uiPriority w:val="99"/>
    <w:semiHidden/>
    <w:rsid w:val="00B22B9B"/>
    <w:pPr>
      <w:spacing w:after="0" w:line="240" w:lineRule="auto"/>
    </w:pPr>
  </w:style>
  <w:style w:type="paragraph" w:styleId="NormalWeb">
    <w:name w:val="Normal (Web)"/>
    <w:basedOn w:val="Normal"/>
    <w:uiPriority w:val="99"/>
    <w:semiHidden/>
    <w:unhideWhenUsed/>
    <w:rsid w:val="00517FFB"/>
    <w:pPr>
      <w:spacing w:before="100" w:beforeAutospacing="1" w:after="100" w:afterAutospacing="1" w:line="240" w:lineRule="auto"/>
      <w:jc w:val="left"/>
    </w:pPr>
    <w:rPr>
      <w:rFonts w:ascii="Times New Roman" w:eastAsia="Times New Roman" w:hAnsi="Times New Roman" w:cs="Times New Roman"/>
      <w:sz w:val="24"/>
      <w:szCs w:val="24"/>
      <w:lang w:eastAsia="fr-FR" w:bidi="ar-SA"/>
    </w:rPr>
  </w:style>
  <w:style w:type="character" w:customStyle="1" w:styleId="Heading4Char">
    <w:name w:val="Heading 4 Char"/>
    <w:basedOn w:val="DefaultParagraphFont"/>
    <w:link w:val="Heading4"/>
    <w:uiPriority w:val="9"/>
    <w:rsid w:val="00B64F22"/>
    <w:rPr>
      <w:rFonts w:ascii="Liberation Serif" w:eastAsia="SimSun" w:hAnsi="Liberation Serif" w:cs="Mangal"/>
      <w:b/>
      <w:smallCaps/>
      <w:sz w:val="28"/>
      <w:szCs w:val="24"/>
      <w:lang w:eastAsia="zh-CN" w:bidi="hi-IN"/>
    </w:rPr>
  </w:style>
  <w:style w:type="paragraph" w:styleId="Header">
    <w:name w:val="header"/>
    <w:basedOn w:val="Normal"/>
    <w:link w:val="HeaderChar"/>
    <w:uiPriority w:val="99"/>
    <w:unhideWhenUsed/>
    <w:rsid w:val="003230A3"/>
    <w:pPr>
      <w:tabs>
        <w:tab w:val="center" w:pos="4536"/>
        <w:tab w:val="right" w:pos="9072"/>
      </w:tabs>
      <w:spacing w:after="0" w:line="240" w:lineRule="auto"/>
    </w:pPr>
    <w:rPr>
      <w:rFonts w:cs="Mangal"/>
      <w:szCs w:val="20"/>
    </w:rPr>
  </w:style>
  <w:style w:type="character" w:customStyle="1" w:styleId="HeaderChar">
    <w:name w:val="Header Char"/>
    <w:basedOn w:val="DefaultParagraphFont"/>
    <w:link w:val="Header"/>
    <w:uiPriority w:val="99"/>
    <w:rsid w:val="003230A3"/>
    <w:rPr>
      <w:rFonts w:cs="Mangal"/>
      <w:szCs w:val="20"/>
      <w:lang w:eastAsia="zh-CN" w:bidi="hi-IN"/>
    </w:rPr>
  </w:style>
  <w:style w:type="paragraph" w:styleId="Footer">
    <w:name w:val="footer"/>
    <w:basedOn w:val="Normal"/>
    <w:link w:val="FooterChar"/>
    <w:uiPriority w:val="99"/>
    <w:unhideWhenUsed/>
    <w:rsid w:val="003230A3"/>
    <w:pPr>
      <w:tabs>
        <w:tab w:val="center" w:pos="4536"/>
        <w:tab w:val="right" w:pos="9072"/>
      </w:tabs>
      <w:spacing w:after="0" w:line="240" w:lineRule="auto"/>
    </w:pPr>
    <w:rPr>
      <w:rFonts w:cs="Mangal"/>
      <w:szCs w:val="20"/>
    </w:rPr>
  </w:style>
  <w:style w:type="character" w:customStyle="1" w:styleId="FooterChar">
    <w:name w:val="Footer Char"/>
    <w:basedOn w:val="DefaultParagraphFont"/>
    <w:link w:val="Footer"/>
    <w:uiPriority w:val="99"/>
    <w:rsid w:val="003230A3"/>
    <w:rPr>
      <w:rFonts w:cs="Mangal"/>
      <w:szCs w:val="20"/>
      <w:lang w:eastAsia="zh-CN" w:bidi="hi-IN"/>
    </w:rPr>
  </w:style>
  <w:style w:type="table" w:styleId="TableGrid">
    <w:name w:val="Table Grid"/>
    <w:basedOn w:val="TableNormal"/>
    <w:uiPriority w:val="39"/>
    <w:rsid w:val="00713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
    <w:name w:val="pa"/>
    <w:link w:val="paCar1"/>
    <w:qFormat/>
    <w:rsid w:val="00603D80"/>
    <w:pPr>
      <w:spacing w:after="240" w:line="240" w:lineRule="auto"/>
      <w:jc w:val="both"/>
    </w:pPr>
    <w:rPr>
      <w:rFonts w:ascii="Arial" w:eastAsia="Times New Roman" w:hAnsi="Arial" w:cs="Arial"/>
      <w:lang w:eastAsia="fr-FR"/>
    </w:rPr>
  </w:style>
  <w:style w:type="character" w:customStyle="1" w:styleId="paCar1">
    <w:name w:val="pa Car1"/>
    <w:link w:val="pa"/>
    <w:locked/>
    <w:rsid w:val="00603D80"/>
    <w:rPr>
      <w:rFonts w:ascii="Arial" w:eastAsia="Times New Roman" w:hAnsi="Arial" w:cs="Arial"/>
      <w:lang w:eastAsia="fr-FR"/>
    </w:rPr>
  </w:style>
  <w:style w:type="paragraph" w:customStyle="1" w:styleId="Tableau">
    <w:name w:val="Tableau"/>
    <w:basedOn w:val="pa"/>
    <w:rsid w:val="00603D80"/>
    <w:pPr>
      <w:spacing w:before="20" w:after="20"/>
    </w:pPr>
    <w:rPr>
      <w:rFonts w:ascii="Verdana" w:hAnsi="Verdana" w:cs="Times New Roman"/>
      <w:sz w:val="18"/>
      <w:szCs w:val="20"/>
    </w:rPr>
  </w:style>
  <w:style w:type="character" w:customStyle="1" w:styleId="Heading5Char">
    <w:name w:val="Heading 5 Char"/>
    <w:basedOn w:val="DefaultParagraphFont"/>
    <w:link w:val="Heading5"/>
    <w:uiPriority w:val="9"/>
    <w:rsid w:val="00B42CF3"/>
    <w:rPr>
      <w:b/>
      <w:lang w:eastAsia="zh-CN" w:bidi="hi-IN"/>
      <w14:scene3d>
        <w14:camera w14:prst="orthographicFront"/>
        <w14:lightRig w14:rig="threePt" w14:dir="t">
          <w14:rot w14:lat="0" w14:lon="0" w14:rev="0"/>
        </w14:lightRig>
      </w14:scene3d>
    </w:rPr>
  </w:style>
  <w:style w:type="character" w:customStyle="1" w:styleId="Heading6Char">
    <w:name w:val="Heading 6 Char"/>
    <w:basedOn w:val="DefaultParagraphFont"/>
    <w:link w:val="Heading6"/>
    <w:uiPriority w:val="9"/>
    <w:rsid w:val="00A02594"/>
    <w:rPr>
      <w:rFonts w:eastAsiaTheme="majorEastAsia" w:cstheme="minorHAnsi"/>
      <w:szCs w:val="20"/>
      <w:u w:val="single"/>
      <w:lang w:eastAsia="zh-CN" w:bidi="hi-IN"/>
    </w:rPr>
  </w:style>
  <w:style w:type="numbering" w:customStyle="1" w:styleId="Style1">
    <w:name w:val="Style1"/>
    <w:uiPriority w:val="99"/>
    <w:rsid w:val="007B643E"/>
    <w:pPr>
      <w:numPr>
        <w:numId w:val="14"/>
      </w:numPr>
    </w:pPr>
  </w:style>
  <w:style w:type="character" w:customStyle="1" w:styleId="Heading7Char">
    <w:name w:val="Heading 7 Char"/>
    <w:basedOn w:val="DefaultParagraphFont"/>
    <w:link w:val="Heading7"/>
    <w:uiPriority w:val="9"/>
    <w:rsid w:val="00A02594"/>
    <w:rPr>
      <w:rFonts w:eastAsiaTheme="majorEastAsia" w:cstheme="minorHAnsi"/>
      <w:i/>
      <w:szCs w:val="20"/>
      <w:u w:val="single"/>
      <w:lang w:eastAsia="zh-CN" w:bidi="hi-IN"/>
    </w:rPr>
  </w:style>
  <w:style w:type="character" w:styleId="PlaceholderText">
    <w:name w:val="Placeholder Text"/>
    <w:basedOn w:val="DefaultParagraphFont"/>
    <w:uiPriority w:val="99"/>
    <w:semiHidden/>
    <w:rsid w:val="006C7734"/>
    <w:rPr>
      <w:color w:val="808080"/>
    </w:rPr>
  </w:style>
  <w:style w:type="paragraph" w:styleId="Caption">
    <w:name w:val="caption"/>
    <w:basedOn w:val="Normal"/>
    <w:next w:val="Normal"/>
    <w:uiPriority w:val="35"/>
    <w:unhideWhenUsed/>
    <w:qFormat/>
    <w:rsid w:val="005376F7"/>
    <w:pPr>
      <w:spacing w:after="200" w:line="240" w:lineRule="auto"/>
    </w:pPr>
    <w:rPr>
      <w:rFonts w:cs="Mangal"/>
      <w:i/>
      <w:iCs/>
      <w:color w:val="44546A" w:themeColor="text2"/>
      <w:sz w:val="18"/>
      <w:szCs w:val="16"/>
    </w:rPr>
  </w:style>
  <w:style w:type="table" w:customStyle="1" w:styleId="Grilledutableau1">
    <w:name w:val="Grille du tableau1"/>
    <w:basedOn w:val="TableNormal"/>
    <w:next w:val="TableGrid"/>
    <w:uiPriority w:val="39"/>
    <w:rsid w:val="00C75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7BD6"/>
    <w:rPr>
      <w:color w:val="0563C1" w:themeColor="hyperlink"/>
      <w:u w:val="single"/>
    </w:rPr>
  </w:style>
  <w:style w:type="paragraph" w:customStyle="1" w:styleId="SNNORCentr">
    <w:name w:val="SNNOR+Centré"/>
    <w:next w:val="Normal"/>
    <w:rsid w:val="00CA4953"/>
    <w:pPr>
      <w:suppressAutoHyphens/>
      <w:spacing w:after="0" w:line="240" w:lineRule="auto"/>
      <w:jc w:val="center"/>
    </w:pPr>
    <w:rPr>
      <w:rFonts w:ascii="Times New Roman" w:eastAsia="Times New Roman" w:hAnsi="Times New Roman" w:cs="Times New Roman"/>
      <w:bCs/>
      <w:kern w:val="2"/>
      <w:sz w:val="24"/>
      <w:szCs w:val="20"/>
      <w:lang w:eastAsia="zh-CN"/>
    </w:rPr>
  </w:style>
  <w:style w:type="paragraph" w:customStyle="1" w:styleId="western">
    <w:name w:val="western"/>
    <w:basedOn w:val="Normal"/>
    <w:rsid w:val="00CA4953"/>
    <w:pPr>
      <w:suppressAutoHyphens/>
      <w:spacing w:before="100" w:after="119" w:line="240" w:lineRule="auto"/>
    </w:pPr>
    <w:rPr>
      <w:rFonts w:ascii="Times New Roman" w:eastAsia="Times New Roman" w:hAnsi="Times New Roman" w:cs="Times New Roman"/>
      <w:kern w:val="2"/>
      <w:sz w:val="24"/>
      <w:szCs w:val="24"/>
      <w:lang w:bidi="ar-SA"/>
    </w:rPr>
  </w:style>
  <w:style w:type="paragraph" w:customStyle="1" w:styleId="SNREPUBLIQUE">
    <w:name w:val="SNREPUBLIQUE"/>
    <w:basedOn w:val="Normal"/>
    <w:rsid w:val="00CA4953"/>
    <w:pPr>
      <w:suppressAutoHyphens/>
      <w:spacing w:after="0" w:line="240" w:lineRule="auto"/>
      <w:jc w:val="center"/>
    </w:pPr>
    <w:rPr>
      <w:rFonts w:ascii="Times New Roman" w:eastAsia="Times New Roman" w:hAnsi="Times New Roman" w:cs="Times New Roman"/>
      <w:b/>
      <w:bCs/>
      <w:kern w:val="2"/>
      <w:sz w:val="24"/>
      <w:szCs w:val="20"/>
      <w:lang w:bidi="ar-SA"/>
    </w:rPr>
  </w:style>
  <w:style w:type="paragraph" w:customStyle="1" w:styleId="SNTimbre">
    <w:name w:val="SNTimbre"/>
    <w:basedOn w:val="Normal"/>
    <w:rsid w:val="00CA4953"/>
    <w:pPr>
      <w:widowControl w:val="0"/>
      <w:suppressAutoHyphens/>
      <w:snapToGrid w:val="0"/>
      <w:spacing w:before="120" w:after="0" w:line="240" w:lineRule="auto"/>
      <w:jc w:val="center"/>
    </w:pPr>
    <w:rPr>
      <w:rFonts w:ascii="Times New Roman" w:eastAsia="Lucida Sans Unicode" w:hAnsi="Times New Roman" w:cs="Times New Roman"/>
      <w:kern w:val="2"/>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1504">
      <w:bodyDiv w:val="1"/>
      <w:marLeft w:val="0"/>
      <w:marRight w:val="0"/>
      <w:marTop w:val="0"/>
      <w:marBottom w:val="0"/>
      <w:divBdr>
        <w:top w:val="none" w:sz="0" w:space="0" w:color="auto"/>
        <w:left w:val="none" w:sz="0" w:space="0" w:color="auto"/>
        <w:bottom w:val="none" w:sz="0" w:space="0" w:color="auto"/>
        <w:right w:val="none" w:sz="0" w:space="0" w:color="auto"/>
      </w:divBdr>
    </w:div>
    <w:div w:id="63722293">
      <w:bodyDiv w:val="1"/>
      <w:marLeft w:val="0"/>
      <w:marRight w:val="0"/>
      <w:marTop w:val="0"/>
      <w:marBottom w:val="0"/>
      <w:divBdr>
        <w:top w:val="none" w:sz="0" w:space="0" w:color="auto"/>
        <w:left w:val="none" w:sz="0" w:space="0" w:color="auto"/>
        <w:bottom w:val="none" w:sz="0" w:space="0" w:color="auto"/>
        <w:right w:val="none" w:sz="0" w:space="0" w:color="auto"/>
      </w:divBdr>
    </w:div>
    <w:div w:id="165753306">
      <w:bodyDiv w:val="1"/>
      <w:marLeft w:val="0"/>
      <w:marRight w:val="0"/>
      <w:marTop w:val="0"/>
      <w:marBottom w:val="0"/>
      <w:divBdr>
        <w:top w:val="none" w:sz="0" w:space="0" w:color="auto"/>
        <w:left w:val="none" w:sz="0" w:space="0" w:color="auto"/>
        <w:bottom w:val="none" w:sz="0" w:space="0" w:color="auto"/>
        <w:right w:val="none" w:sz="0" w:space="0" w:color="auto"/>
      </w:divBdr>
    </w:div>
    <w:div w:id="168327725">
      <w:bodyDiv w:val="1"/>
      <w:marLeft w:val="0"/>
      <w:marRight w:val="0"/>
      <w:marTop w:val="0"/>
      <w:marBottom w:val="0"/>
      <w:divBdr>
        <w:top w:val="none" w:sz="0" w:space="0" w:color="auto"/>
        <w:left w:val="none" w:sz="0" w:space="0" w:color="auto"/>
        <w:bottom w:val="none" w:sz="0" w:space="0" w:color="auto"/>
        <w:right w:val="none" w:sz="0" w:space="0" w:color="auto"/>
      </w:divBdr>
    </w:div>
    <w:div w:id="177937965">
      <w:bodyDiv w:val="1"/>
      <w:marLeft w:val="0"/>
      <w:marRight w:val="0"/>
      <w:marTop w:val="0"/>
      <w:marBottom w:val="0"/>
      <w:divBdr>
        <w:top w:val="none" w:sz="0" w:space="0" w:color="auto"/>
        <w:left w:val="none" w:sz="0" w:space="0" w:color="auto"/>
        <w:bottom w:val="none" w:sz="0" w:space="0" w:color="auto"/>
        <w:right w:val="none" w:sz="0" w:space="0" w:color="auto"/>
      </w:divBdr>
    </w:div>
    <w:div w:id="178785221">
      <w:bodyDiv w:val="1"/>
      <w:marLeft w:val="0"/>
      <w:marRight w:val="0"/>
      <w:marTop w:val="0"/>
      <w:marBottom w:val="0"/>
      <w:divBdr>
        <w:top w:val="none" w:sz="0" w:space="0" w:color="auto"/>
        <w:left w:val="none" w:sz="0" w:space="0" w:color="auto"/>
        <w:bottom w:val="none" w:sz="0" w:space="0" w:color="auto"/>
        <w:right w:val="none" w:sz="0" w:space="0" w:color="auto"/>
      </w:divBdr>
    </w:div>
    <w:div w:id="195001606">
      <w:bodyDiv w:val="1"/>
      <w:marLeft w:val="0"/>
      <w:marRight w:val="0"/>
      <w:marTop w:val="0"/>
      <w:marBottom w:val="0"/>
      <w:divBdr>
        <w:top w:val="none" w:sz="0" w:space="0" w:color="auto"/>
        <w:left w:val="none" w:sz="0" w:space="0" w:color="auto"/>
        <w:bottom w:val="none" w:sz="0" w:space="0" w:color="auto"/>
        <w:right w:val="none" w:sz="0" w:space="0" w:color="auto"/>
      </w:divBdr>
      <w:divsChild>
        <w:div w:id="1643340684">
          <w:marLeft w:val="0"/>
          <w:marRight w:val="0"/>
          <w:marTop w:val="0"/>
          <w:marBottom w:val="0"/>
          <w:divBdr>
            <w:top w:val="none" w:sz="0" w:space="0" w:color="auto"/>
            <w:left w:val="none" w:sz="0" w:space="0" w:color="auto"/>
            <w:bottom w:val="none" w:sz="0" w:space="0" w:color="auto"/>
            <w:right w:val="none" w:sz="0" w:space="0" w:color="auto"/>
          </w:divBdr>
        </w:div>
      </w:divsChild>
    </w:div>
    <w:div w:id="206375475">
      <w:bodyDiv w:val="1"/>
      <w:marLeft w:val="0"/>
      <w:marRight w:val="0"/>
      <w:marTop w:val="0"/>
      <w:marBottom w:val="0"/>
      <w:divBdr>
        <w:top w:val="none" w:sz="0" w:space="0" w:color="auto"/>
        <w:left w:val="none" w:sz="0" w:space="0" w:color="auto"/>
        <w:bottom w:val="none" w:sz="0" w:space="0" w:color="auto"/>
        <w:right w:val="none" w:sz="0" w:space="0" w:color="auto"/>
      </w:divBdr>
    </w:div>
    <w:div w:id="228196865">
      <w:bodyDiv w:val="1"/>
      <w:marLeft w:val="0"/>
      <w:marRight w:val="0"/>
      <w:marTop w:val="0"/>
      <w:marBottom w:val="0"/>
      <w:divBdr>
        <w:top w:val="none" w:sz="0" w:space="0" w:color="auto"/>
        <w:left w:val="none" w:sz="0" w:space="0" w:color="auto"/>
        <w:bottom w:val="none" w:sz="0" w:space="0" w:color="auto"/>
        <w:right w:val="none" w:sz="0" w:space="0" w:color="auto"/>
      </w:divBdr>
    </w:div>
    <w:div w:id="245502577">
      <w:bodyDiv w:val="1"/>
      <w:marLeft w:val="0"/>
      <w:marRight w:val="0"/>
      <w:marTop w:val="0"/>
      <w:marBottom w:val="0"/>
      <w:divBdr>
        <w:top w:val="none" w:sz="0" w:space="0" w:color="auto"/>
        <w:left w:val="none" w:sz="0" w:space="0" w:color="auto"/>
        <w:bottom w:val="none" w:sz="0" w:space="0" w:color="auto"/>
        <w:right w:val="none" w:sz="0" w:space="0" w:color="auto"/>
      </w:divBdr>
    </w:div>
    <w:div w:id="273832869">
      <w:bodyDiv w:val="1"/>
      <w:marLeft w:val="0"/>
      <w:marRight w:val="0"/>
      <w:marTop w:val="0"/>
      <w:marBottom w:val="0"/>
      <w:divBdr>
        <w:top w:val="none" w:sz="0" w:space="0" w:color="auto"/>
        <w:left w:val="none" w:sz="0" w:space="0" w:color="auto"/>
        <w:bottom w:val="none" w:sz="0" w:space="0" w:color="auto"/>
        <w:right w:val="none" w:sz="0" w:space="0" w:color="auto"/>
      </w:divBdr>
      <w:divsChild>
        <w:div w:id="1709379745">
          <w:marLeft w:val="0"/>
          <w:marRight w:val="0"/>
          <w:marTop w:val="0"/>
          <w:marBottom w:val="0"/>
          <w:divBdr>
            <w:top w:val="none" w:sz="0" w:space="0" w:color="auto"/>
            <w:left w:val="none" w:sz="0" w:space="0" w:color="auto"/>
            <w:bottom w:val="none" w:sz="0" w:space="0" w:color="auto"/>
            <w:right w:val="none" w:sz="0" w:space="0" w:color="auto"/>
          </w:divBdr>
        </w:div>
      </w:divsChild>
    </w:div>
    <w:div w:id="275717669">
      <w:bodyDiv w:val="1"/>
      <w:marLeft w:val="0"/>
      <w:marRight w:val="0"/>
      <w:marTop w:val="0"/>
      <w:marBottom w:val="0"/>
      <w:divBdr>
        <w:top w:val="none" w:sz="0" w:space="0" w:color="auto"/>
        <w:left w:val="none" w:sz="0" w:space="0" w:color="auto"/>
        <w:bottom w:val="none" w:sz="0" w:space="0" w:color="auto"/>
        <w:right w:val="none" w:sz="0" w:space="0" w:color="auto"/>
      </w:divBdr>
    </w:div>
    <w:div w:id="293215098">
      <w:bodyDiv w:val="1"/>
      <w:marLeft w:val="0"/>
      <w:marRight w:val="0"/>
      <w:marTop w:val="0"/>
      <w:marBottom w:val="0"/>
      <w:divBdr>
        <w:top w:val="none" w:sz="0" w:space="0" w:color="auto"/>
        <w:left w:val="none" w:sz="0" w:space="0" w:color="auto"/>
        <w:bottom w:val="none" w:sz="0" w:space="0" w:color="auto"/>
        <w:right w:val="none" w:sz="0" w:space="0" w:color="auto"/>
      </w:divBdr>
    </w:div>
    <w:div w:id="298263077">
      <w:bodyDiv w:val="1"/>
      <w:marLeft w:val="0"/>
      <w:marRight w:val="0"/>
      <w:marTop w:val="0"/>
      <w:marBottom w:val="0"/>
      <w:divBdr>
        <w:top w:val="none" w:sz="0" w:space="0" w:color="auto"/>
        <w:left w:val="none" w:sz="0" w:space="0" w:color="auto"/>
        <w:bottom w:val="none" w:sz="0" w:space="0" w:color="auto"/>
        <w:right w:val="none" w:sz="0" w:space="0" w:color="auto"/>
      </w:divBdr>
    </w:div>
    <w:div w:id="298613802">
      <w:bodyDiv w:val="1"/>
      <w:marLeft w:val="0"/>
      <w:marRight w:val="0"/>
      <w:marTop w:val="0"/>
      <w:marBottom w:val="0"/>
      <w:divBdr>
        <w:top w:val="none" w:sz="0" w:space="0" w:color="auto"/>
        <w:left w:val="none" w:sz="0" w:space="0" w:color="auto"/>
        <w:bottom w:val="none" w:sz="0" w:space="0" w:color="auto"/>
        <w:right w:val="none" w:sz="0" w:space="0" w:color="auto"/>
      </w:divBdr>
    </w:div>
    <w:div w:id="392390920">
      <w:bodyDiv w:val="1"/>
      <w:marLeft w:val="0"/>
      <w:marRight w:val="0"/>
      <w:marTop w:val="0"/>
      <w:marBottom w:val="0"/>
      <w:divBdr>
        <w:top w:val="none" w:sz="0" w:space="0" w:color="auto"/>
        <w:left w:val="none" w:sz="0" w:space="0" w:color="auto"/>
        <w:bottom w:val="none" w:sz="0" w:space="0" w:color="auto"/>
        <w:right w:val="none" w:sz="0" w:space="0" w:color="auto"/>
      </w:divBdr>
    </w:div>
    <w:div w:id="413747150">
      <w:bodyDiv w:val="1"/>
      <w:marLeft w:val="0"/>
      <w:marRight w:val="0"/>
      <w:marTop w:val="0"/>
      <w:marBottom w:val="0"/>
      <w:divBdr>
        <w:top w:val="none" w:sz="0" w:space="0" w:color="auto"/>
        <w:left w:val="none" w:sz="0" w:space="0" w:color="auto"/>
        <w:bottom w:val="none" w:sz="0" w:space="0" w:color="auto"/>
        <w:right w:val="none" w:sz="0" w:space="0" w:color="auto"/>
      </w:divBdr>
      <w:divsChild>
        <w:div w:id="39519897">
          <w:marLeft w:val="0"/>
          <w:marRight w:val="0"/>
          <w:marTop w:val="0"/>
          <w:marBottom w:val="0"/>
          <w:divBdr>
            <w:top w:val="none" w:sz="0" w:space="0" w:color="auto"/>
            <w:left w:val="none" w:sz="0" w:space="0" w:color="auto"/>
            <w:bottom w:val="none" w:sz="0" w:space="0" w:color="auto"/>
            <w:right w:val="none" w:sz="0" w:space="0" w:color="auto"/>
          </w:divBdr>
        </w:div>
      </w:divsChild>
    </w:div>
    <w:div w:id="442774256">
      <w:bodyDiv w:val="1"/>
      <w:marLeft w:val="0"/>
      <w:marRight w:val="0"/>
      <w:marTop w:val="0"/>
      <w:marBottom w:val="0"/>
      <w:divBdr>
        <w:top w:val="none" w:sz="0" w:space="0" w:color="auto"/>
        <w:left w:val="none" w:sz="0" w:space="0" w:color="auto"/>
        <w:bottom w:val="none" w:sz="0" w:space="0" w:color="auto"/>
        <w:right w:val="none" w:sz="0" w:space="0" w:color="auto"/>
      </w:divBdr>
    </w:div>
    <w:div w:id="480848326">
      <w:bodyDiv w:val="1"/>
      <w:marLeft w:val="0"/>
      <w:marRight w:val="0"/>
      <w:marTop w:val="0"/>
      <w:marBottom w:val="0"/>
      <w:divBdr>
        <w:top w:val="none" w:sz="0" w:space="0" w:color="auto"/>
        <w:left w:val="none" w:sz="0" w:space="0" w:color="auto"/>
        <w:bottom w:val="none" w:sz="0" w:space="0" w:color="auto"/>
        <w:right w:val="none" w:sz="0" w:space="0" w:color="auto"/>
      </w:divBdr>
    </w:div>
    <w:div w:id="484511478">
      <w:bodyDiv w:val="1"/>
      <w:marLeft w:val="0"/>
      <w:marRight w:val="0"/>
      <w:marTop w:val="0"/>
      <w:marBottom w:val="0"/>
      <w:divBdr>
        <w:top w:val="none" w:sz="0" w:space="0" w:color="auto"/>
        <w:left w:val="none" w:sz="0" w:space="0" w:color="auto"/>
        <w:bottom w:val="none" w:sz="0" w:space="0" w:color="auto"/>
        <w:right w:val="none" w:sz="0" w:space="0" w:color="auto"/>
      </w:divBdr>
    </w:div>
    <w:div w:id="543951098">
      <w:bodyDiv w:val="1"/>
      <w:marLeft w:val="0"/>
      <w:marRight w:val="0"/>
      <w:marTop w:val="0"/>
      <w:marBottom w:val="0"/>
      <w:divBdr>
        <w:top w:val="none" w:sz="0" w:space="0" w:color="auto"/>
        <w:left w:val="none" w:sz="0" w:space="0" w:color="auto"/>
        <w:bottom w:val="none" w:sz="0" w:space="0" w:color="auto"/>
        <w:right w:val="none" w:sz="0" w:space="0" w:color="auto"/>
      </w:divBdr>
    </w:div>
    <w:div w:id="546989626">
      <w:bodyDiv w:val="1"/>
      <w:marLeft w:val="0"/>
      <w:marRight w:val="0"/>
      <w:marTop w:val="0"/>
      <w:marBottom w:val="0"/>
      <w:divBdr>
        <w:top w:val="none" w:sz="0" w:space="0" w:color="auto"/>
        <w:left w:val="none" w:sz="0" w:space="0" w:color="auto"/>
        <w:bottom w:val="none" w:sz="0" w:space="0" w:color="auto"/>
        <w:right w:val="none" w:sz="0" w:space="0" w:color="auto"/>
      </w:divBdr>
    </w:div>
    <w:div w:id="583606444">
      <w:bodyDiv w:val="1"/>
      <w:marLeft w:val="0"/>
      <w:marRight w:val="0"/>
      <w:marTop w:val="0"/>
      <w:marBottom w:val="0"/>
      <w:divBdr>
        <w:top w:val="none" w:sz="0" w:space="0" w:color="auto"/>
        <w:left w:val="none" w:sz="0" w:space="0" w:color="auto"/>
        <w:bottom w:val="none" w:sz="0" w:space="0" w:color="auto"/>
        <w:right w:val="none" w:sz="0" w:space="0" w:color="auto"/>
      </w:divBdr>
    </w:div>
    <w:div w:id="588391427">
      <w:bodyDiv w:val="1"/>
      <w:marLeft w:val="0"/>
      <w:marRight w:val="0"/>
      <w:marTop w:val="0"/>
      <w:marBottom w:val="0"/>
      <w:divBdr>
        <w:top w:val="none" w:sz="0" w:space="0" w:color="auto"/>
        <w:left w:val="none" w:sz="0" w:space="0" w:color="auto"/>
        <w:bottom w:val="none" w:sz="0" w:space="0" w:color="auto"/>
        <w:right w:val="none" w:sz="0" w:space="0" w:color="auto"/>
      </w:divBdr>
      <w:divsChild>
        <w:div w:id="1475366258">
          <w:marLeft w:val="0"/>
          <w:marRight w:val="0"/>
          <w:marTop w:val="0"/>
          <w:marBottom w:val="0"/>
          <w:divBdr>
            <w:top w:val="none" w:sz="0" w:space="0" w:color="auto"/>
            <w:left w:val="none" w:sz="0" w:space="0" w:color="auto"/>
            <w:bottom w:val="none" w:sz="0" w:space="0" w:color="auto"/>
            <w:right w:val="none" w:sz="0" w:space="0" w:color="auto"/>
          </w:divBdr>
        </w:div>
      </w:divsChild>
    </w:div>
    <w:div w:id="654801414">
      <w:bodyDiv w:val="1"/>
      <w:marLeft w:val="0"/>
      <w:marRight w:val="0"/>
      <w:marTop w:val="0"/>
      <w:marBottom w:val="0"/>
      <w:divBdr>
        <w:top w:val="none" w:sz="0" w:space="0" w:color="auto"/>
        <w:left w:val="none" w:sz="0" w:space="0" w:color="auto"/>
        <w:bottom w:val="none" w:sz="0" w:space="0" w:color="auto"/>
        <w:right w:val="none" w:sz="0" w:space="0" w:color="auto"/>
      </w:divBdr>
    </w:div>
    <w:div w:id="713576702">
      <w:bodyDiv w:val="1"/>
      <w:marLeft w:val="0"/>
      <w:marRight w:val="0"/>
      <w:marTop w:val="0"/>
      <w:marBottom w:val="0"/>
      <w:divBdr>
        <w:top w:val="none" w:sz="0" w:space="0" w:color="auto"/>
        <w:left w:val="none" w:sz="0" w:space="0" w:color="auto"/>
        <w:bottom w:val="none" w:sz="0" w:space="0" w:color="auto"/>
        <w:right w:val="none" w:sz="0" w:space="0" w:color="auto"/>
      </w:divBdr>
    </w:div>
    <w:div w:id="716399394">
      <w:bodyDiv w:val="1"/>
      <w:marLeft w:val="0"/>
      <w:marRight w:val="0"/>
      <w:marTop w:val="0"/>
      <w:marBottom w:val="0"/>
      <w:divBdr>
        <w:top w:val="none" w:sz="0" w:space="0" w:color="auto"/>
        <w:left w:val="none" w:sz="0" w:space="0" w:color="auto"/>
        <w:bottom w:val="none" w:sz="0" w:space="0" w:color="auto"/>
        <w:right w:val="none" w:sz="0" w:space="0" w:color="auto"/>
      </w:divBdr>
    </w:div>
    <w:div w:id="724597268">
      <w:bodyDiv w:val="1"/>
      <w:marLeft w:val="0"/>
      <w:marRight w:val="0"/>
      <w:marTop w:val="0"/>
      <w:marBottom w:val="0"/>
      <w:divBdr>
        <w:top w:val="none" w:sz="0" w:space="0" w:color="auto"/>
        <w:left w:val="none" w:sz="0" w:space="0" w:color="auto"/>
        <w:bottom w:val="none" w:sz="0" w:space="0" w:color="auto"/>
        <w:right w:val="none" w:sz="0" w:space="0" w:color="auto"/>
      </w:divBdr>
    </w:div>
    <w:div w:id="743457943">
      <w:bodyDiv w:val="1"/>
      <w:marLeft w:val="0"/>
      <w:marRight w:val="0"/>
      <w:marTop w:val="0"/>
      <w:marBottom w:val="0"/>
      <w:divBdr>
        <w:top w:val="none" w:sz="0" w:space="0" w:color="auto"/>
        <w:left w:val="none" w:sz="0" w:space="0" w:color="auto"/>
        <w:bottom w:val="none" w:sz="0" w:space="0" w:color="auto"/>
        <w:right w:val="none" w:sz="0" w:space="0" w:color="auto"/>
      </w:divBdr>
    </w:div>
    <w:div w:id="763920239">
      <w:bodyDiv w:val="1"/>
      <w:marLeft w:val="0"/>
      <w:marRight w:val="0"/>
      <w:marTop w:val="0"/>
      <w:marBottom w:val="0"/>
      <w:divBdr>
        <w:top w:val="none" w:sz="0" w:space="0" w:color="auto"/>
        <w:left w:val="none" w:sz="0" w:space="0" w:color="auto"/>
        <w:bottom w:val="none" w:sz="0" w:space="0" w:color="auto"/>
        <w:right w:val="none" w:sz="0" w:space="0" w:color="auto"/>
      </w:divBdr>
      <w:divsChild>
        <w:div w:id="283082195">
          <w:marLeft w:val="0"/>
          <w:marRight w:val="0"/>
          <w:marTop w:val="0"/>
          <w:marBottom w:val="0"/>
          <w:divBdr>
            <w:top w:val="none" w:sz="0" w:space="0" w:color="auto"/>
            <w:left w:val="none" w:sz="0" w:space="0" w:color="auto"/>
            <w:bottom w:val="none" w:sz="0" w:space="0" w:color="auto"/>
            <w:right w:val="none" w:sz="0" w:space="0" w:color="auto"/>
          </w:divBdr>
        </w:div>
      </w:divsChild>
    </w:div>
    <w:div w:id="799615228">
      <w:bodyDiv w:val="1"/>
      <w:marLeft w:val="0"/>
      <w:marRight w:val="0"/>
      <w:marTop w:val="0"/>
      <w:marBottom w:val="0"/>
      <w:divBdr>
        <w:top w:val="none" w:sz="0" w:space="0" w:color="auto"/>
        <w:left w:val="none" w:sz="0" w:space="0" w:color="auto"/>
        <w:bottom w:val="none" w:sz="0" w:space="0" w:color="auto"/>
        <w:right w:val="none" w:sz="0" w:space="0" w:color="auto"/>
      </w:divBdr>
    </w:div>
    <w:div w:id="814297970">
      <w:bodyDiv w:val="1"/>
      <w:marLeft w:val="0"/>
      <w:marRight w:val="0"/>
      <w:marTop w:val="0"/>
      <w:marBottom w:val="0"/>
      <w:divBdr>
        <w:top w:val="none" w:sz="0" w:space="0" w:color="auto"/>
        <w:left w:val="none" w:sz="0" w:space="0" w:color="auto"/>
        <w:bottom w:val="none" w:sz="0" w:space="0" w:color="auto"/>
        <w:right w:val="none" w:sz="0" w:space="0" w:color="auto"/>
      </w:divBdr>
    </w:div>
    <w:div w:id="898520444">
      <w:bodyDiv w:val="1"/>
      <w:marLeft w:val="0"/>
      <w:marRight w:val="0"/>
      <w:marTop w:val="0"/>
      <w:marBottom w:val="0"/>
      <w:divBdr>
        <w:top w:val="none" w:sz="0" w:space="0" w:color="auto"/>
        <w:left w:val="none" w:sz="0" w:space="0" w:color="auto"/>
        <w:bottom w:val="none" w:sz="0" w:space="0" w:color="auto"/>
        <w:right w:val="none" w:sz="0" w:space="0" w:color="auto"/>
      </w:divBdr>
    </w:div>
    <w:div w:id="941838528">
      <w:bodyDiv w:val="1"/>
      <w:marLeft w:val="0"/>
      <w:marRight w:val="0"/>
      <w:marTop w:val="0"/>
      <w:marBottom w:val="0"/>
      <w:divBdr>
        <w:top w:val="none" w:sz="0" w:space="0" w:color="auto"/>
        <w:left w:val="none" w:sz="0" w:space="0" w:color="auto"/>
        <w:bottom w:val="none" w:sz="0" w:space="0" w:color="auto"/>
        <w:right w:val="none" w:sz="0" w:space="0" w:color="auto"/>
      </w:divBdr>
    </w:div>
    <w:div w:id="994724503">
      <w:bodyDiv w:val="1"/>
      <w:marLeft w:val="0"/>
      <w:marRight w:val="0"/>
      <w:marTop w:val="0"/>
      <w:marBottom w:val="0"/>
      <w:divBdr>
        <w:top w:val="none" w:sz="0" w:space="0" w:color="auto"/>
        <w:left w:val="none" w:sz="0" w:space="0" w:color="auto"/>
        <w:bottom w:val="none" w:sz="0" w:space="0" w:color="auto"/>
        <w:right w:val="none" w:sz="0" w:space="0" w:color="auto"/>
      </w:divBdr>
    </w:div>
    <w:div w:id="1012299021">
      <w:bodyDiv w:val="1"/>
      <w:marLeft w:val="0"/>
      <w:marRight w:val="0"/>
      <w:marTop w:val="0"/>
      <w:marBottom w:val="0"/>
      <w:divBdr>
        <w:top w:val="none" w:sz="0" w:space="0" w:color="auto"/>
        <w:left w:val="none" w:sz="0" w:space="0" w:color="auto"/>
        <w:bottom w:val="none" w:sz="0" w:space="0" w:color="auto"/>
        <w:right w:val="none" w:sz="0" w:space="0" w:color="auto"/>
      </w:divBdr>
      <w:divsChild>
        <w:div w:id="629744150">
          <w:marLeft w:val="0"/>
          <w:marRight w:val="0"/>
          <w:marTop w:val="0"/>
          <w:marBottom w:val="0"/>
          <w:divBdr>
            <w:top w:val="none" w:sz="0" w:space="0" w:color="auto"/>
            <w:left w:val="none" w:sz="0" w:space="0" w:color="auto"/>
            <w:bottom w:val="none" w:sz="0" w:space="0" w:color="auto"/>
            <w:right w:val="none" w:sz="0" w:space="0" w:color="auto"/>
          </w:divBdr>
          <w:divsChild>
            <w:div w:id="16461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51011">
      <w:bodyDiv w:val="1"/>
      <w:marLeft w:val="0"/>
      <w:marRight w:val="0"/>
      <w:marTop w:val="0"/>
      <w:marBottom w:val="0"/>
      <w:divBdr>
        <w:top w:val="none" w:sz="0" w:space="0" w:color="auto"/>
        <w:left w:val="none" w:sz="0" w:space="0" w:color="auto"/>
        <w:bottom w:val="none" w:sz="0" w:space="0" w:color="auto"/>
        <w:right w:val="none" w:sz="0" w:space="0" w:color="auto"/>
      </w:divBdr>
    </w:div>
    <w:div w:id="1214539141">
      <w:bodyDiv w:val="1"/>
      <w:marLeft w:val="0"/>
      <w:marRight w:val="0"/>
      <w:marTop w:val="0"/>
      <w:marBottom w:val="0"/>
      <w:divBdr>
        <w:top w:val="none" w:sz="0" w:space="0" w:color="auto"/>
        <w:left w:val="none" w:sz="0" w:space="0" w:color="auto"/>
        <w:bottom w:val="none" w:sz="0" w:space="0" w:color="auto"/>
        <w:right w:val="none" w:sz="0" w:space="0" w:color="auto"/>
      </w:divBdr>
    </w:div>
    <w:div w:id="1295330070">
      <w:bodyDiv w:val="1"/>
      <w:marLeft w:val="0"/>
      <w:marRight w:val="0"/>
      <w:marTop w:val="0"/>
      <w:marBottom w:val="0"/>
      <w:divBdr>
        <w:top w:val="none" w:sz="0" w:space="0" w:color="auto"/>
        <w:left w:val="none" w:sz="0" w:space="0" w:color="auto"/>
        <w:bottom w:val="none" w:sz="0" w:space="0" w:color="auto"/>
        <w:right w:val="none" w:sz="0" w:space="0" w:color="auto"/>
      </w:divBdr>
    </w:div>
    <w:div w:id="1323192831">
      <w:bodyDiv w:val="1"/>
      <w:marLeft w:val="0"/>
      <w:marRight w:val="0"/>
      <w:marTop w:val="0"/>
      <w:marBottom w:val="0"/>
      <w:divBdr>
        <w:top w:val="none" w:sz="0" w:space="0" w:color="auto"/>
        <w:left w:val="none" w:sz="0" w:space="0" w:color="auto"/>
        <w:bottom w:val="none" w:sz="0" w:space="0" w:color="auto"/>
        <w:right w:val="none" w:sz="0" w:space="0" w:color="auto"/>
      </w:divBdr>
    </w:div>
    <w:div w:id="1329095261">
      <w:bodyDiv w:val="1"/>
      <w:marLeft w:val="0"/>
      <w:marRight w:val="0"/>
      <w:marTop w:val="0"/>
      <w:marBottom w:val="0"/>
      <w:divBdr>
        <w:top w:val="none" w:sz="0" w:space="0" w:color="auto"/>
        <w:left w:val="none" w:sz="0" w:space="0" w:color="auto"/>
        <w:bottom w:val="none" w:sz="0" w:space="0" w:color="auto"/>
        <w:right w:val="none" w:sz="0" w:space="0" w:color="auto"/>
      </w:divBdr>
    </w:div>
    <w:div w:id="1340277933">
      <w:bodyDiv w:val="1"/>
      <w:marLeft w:val="0"/>
      <w:marRight w:val="0"/>
      <w:marTop w:val="0"/>
      <w:marBottom w:val="0"/>
      <w:divBdr>
        <w:top w:val="none" w:sz="0" w:space="0" w:color="auto"/>
        <w:left w:val="none" w:sz="0" w:space="0" w:color="auto"/>
        <w:bottom w:val="none" w:sz="0" w:space="0" w:color="auto"/>
        <w:right w:val="none" w:sz="0" w:space="0" w:color="auto"/>
      </w:divBdr>
    </w:div>
    <w:div w:id="1409576997">
      <w:bodyDiv w:val="1"/>
      <w:marLeft w:val="0"/>
      <w:marRight w:val="0"/>
      <w:marTop w:val="0"/>
      <w:marBottom w:val="0"/>
      <w:divBdr>
        <w:top w:val="none" w:sz="0" w:space="0" w:color="auto"/>
        <w:left w:val="none" w:sz="0" w:space="0" w:color="auto"/>
        <w:bottom w:val="none" w:sz="0" w:space="0" w:color="auto"/>
        <w:right w:val="none" w:sz="0" w:space="0" w:color="auto"/>
      </w:divBdr>
    </w:div>
    <w:div w:id="1471290175">
      <w:bodyDiv w:val="1"/>
      <w:marLeft w:val="0"/>
      <w:marRight w:val="0"/>
      <w:marTop w:val="0"/>
      <w:marBottom w:val="0"/>
      <w:divBdr>
        <w:top w:val="none" w:sz="0" w:space="0" w:color="auto"/>
        <w:left w:val="none" w:sz="0" w:space="0" w:color="auto"/>
        <w:bottom w:val="none" w:sz="0" w:space="0" w:color="auto"/>
        <w:right w:val="none" w:sz="0" w:space="0" w:color="auto"/>
      </w:divBdr>
      <w:divsChild>
        <w:div w:id="404571336">
          <w:marLeft w:val="0"/>
          <w:marRight w:val="0"/>
          <w:marTop w:val="0"/>
          <w:marBottom w:val="0"/>
          <w:divBdr>
            <w:top w:val="none" w:sz="0" w:space="0" w:color="auto"/>
            <w:left w:val="none" w:sz="0" w:space="0" w:color="auto"/>
            <w:bottom w:val="none" w:sz="0" w:space="0" w:color="auto"/>
            <w:right w:val="none" w:sz="0" w:space="0" w:color="auto"/>
          </w:divBdr>
        </w:div>
      </w:divsChild>
    </w:div>
    <w:div w:id="1475215688">
      <w:bodyDiv w:val="1"/>
      <w:marLeft w:val="0"/>
      <w:marRight w:val="0"/>
      <w:marTop w:val="0"/>
      <w:marBottom w:val="0"/>
      <w:divBdr>
        <w:top w:val="none" w:sz="0" w:space="0" w:color="auto"/>
        <w:left w:val="none" w:sz="0" w:space="0" w:color="auto"/>
        <w:bottom w:val="none" w:sz="0" w:space="0" w:color="auto"/>
        <w:right w:val="none" w:sz="0" w:space="0" w:color="auto"/>
      </w:divBdr>
      <w:divsChild>
        <w:div w:id="89325617">
          <w:marLeft w:val="0"/>
          <w:marRight w:val="0"/>
          <w:marTop w:val="0"/>
          <w:marBottom w:val="0"/>
          <w:divBdr>
            <w:top w:val="none" w:sz="0" w:space="0" w:color="auto"/>
            <w:left w:val="none" w:sz="0" w:space="0" w:color="auto"/>
            <w:bottom w:val="none" w:sz="0" w:space="0" w:color="auto"/>
            <w:right w:val="none" w:sz="0" w:space="0" w:color="auto"/>
          </w:divBdr>
        </w:div>
      </w:divsChild>
    </w:div>
    <w:div w:id="1481071302">
      <w:bodyDiv w:val="1"/>
      <w:marLeft w:val="0"/>
      <w:marRight w:val="0"/>
      <w:marTop w:val="0"/>
      <w:marBottom w:val="0"/>
      <w:divBdr>
        <w:top w:val="none" w:sz="0" w:space="0" w:color="auto"/>
        <w:left w:val="none" w:sz="0" w:space="0" w:color="auto"/>
        <w:bottom w:val="none" w:sz="0" w:space="0" w:color="auto"/>
        <w:right w:val="none" w:sz="0" w:space="0" w:color="auto"/>
      </w:divBdr>
    </w:div>
    <w:div w:id="1488476576">
      <w:bodyDiv w:val="1"/>
      <w:marLeft w:val="0"/>
      <w:marRight w:val="0"/>
      <w:marTop w:val="0"/>
      <w:marBottom w:val="0"/>
      <w:divBdr>
        <w:top w:val="none" w:sz="0" w:space="0" w:color="auto"/>
        <w:left w:val="none" w:sz="0" w:space="0" w:color="auto"/>
        <w:bottom w:val="none" w:sz="0" w:space="0" w:color="auto"/>
        <w:right w:val="none" w:sz="0" w:space="0" w:color="auto"/>
      </w:divBdr>
    </w:div>
    <w:div w:id="1497919727">
      <w:bodyDiv w:val="1"/>
      <w:marLeft w:val="0"/>
      <w:marRight w:val="0"/>
      <w:marTop w:val="0"/>
      <w:marBottom w:val="0"/>
      <w:divBdr>
        <w:top w:val="none" w:sz="0" w:space="0" w:color="auto"/>
        <w:left w:val="none" w:sz="0" w:space="0" w:color="auto"/>
        <w:bottom w:val="none" w:sz="0" w:space="0" w:color="auto"/>
        <w:right w:val="none" w:sz="0" w:space="0" w:color="auto"/>
      </w:divBdr>
    </w:div>
    <w:div w:id="1520847022">
      <w:bodyDiv w:val="1"/>
      <w:marLeft w:val="0"/>
      <w:marRight w:val="0"/>
      <w:marTop w:val="0"/>
      <w:marBottom w:val="0"/>
      <w:divBdr>
        <w:top w:val="none" w:sz="0" w:space="0" w:color="auto"/>
        <w:left w:val="none" w:sz="0" w:space="0" w:color="auto"/>
        <w:bottom w:val="none" w:sz="0" w:space="0" w:color="auto"/>
        <w:right w:val="none" w:sz="0" w:space="0" w:color="auto"/>
      </w:divBdr>
    </w:div>
    <w:div w:id="1525828894">
      <w:bodyDiv w:val="1"/>
      <w:marLeft w:val="0"/>
      <w:marRight w:val="0"/>
      <w:marTop w:val="0"/>
      <w:marBottom w:val="0"/>
      <w:divBdr>
        <w:top w:val="none" w:sz="0" w:space="0" w:color="auto"/>
        <w:left w:val="none" w:sz="0" w:space="0" w:color="auto"/>
        <w:bottom w:val="none" w:sz="0" w:space="0" w:color="auto"/>
        <w:right w:val="none" w:sz="0" w:space="0" w:color="auto"/>
      </w:divBdr>
    </w:div>
    <w:div w:id="1548760660">
      <w:bodyDiv w:val="1"/>
      <w:marLeft w:val="0"/>
      <w:marRight w:val="0"/>
      <w:marTop w:val="0"/>
      <w:marBottom w:val="0"/>
      <w:divBdr>
        <w:top w:val="none" w:sz="0" w:space="0" w:color="auto"/>
        <w:left w:val="none" w:sz="0" w:space="0" w:color="auto"/>
        <w:bottom w:val="none" w:sz="0" w:space="0" w:color="auto"/>
        <w:right w:val="none" w:sz="0" w:space="0" w:color="auto"/>
      </w:divBdr>
      <w:divsChild>
        <w:div w:id="1055859400">
          <w:marLeft w:val="0"/>
          <w:marRight w:val="0"/>
          <w:marTop w:val="0"/>
          <w:marBottom w:val="0"/>
          <w:divBdr>
            <w:top w:val="none" w:sz="0" w:space="0" w:color="auto"/>
            <w:left w:val="none" w:sz="0" w:space="0" w:color="auto"/>
            <w:bottom w:val="none" w:sz="0" w:space="0" w:color="auto"/>
            <w:right w:val="none" w:sz="0" w:space="0" w:color="auto"/>
          </w:divBdr>
        </w:div>
      </w:divsChild>
    </w:div>
    <w:div w:id="1591083363">
      <w:bodyDiv w:val="1"/>
      <w:marLeft w:val="0"/>
      <w:marRight w:val="0"/>
      <w:marTop w:val="0"/>
      <w:marBottom w:val="0"/>
      <w:divBdr>
        <w:top w:val="none" w:sz="0" w:space="0" w:color="auto"/>
        <w:left w:val="none" w:sz="0" w:space="0" w:color="auto"/>
        <w:bottom w:val="none" w:sz="0" w:space="0" w:color="auto"/>
        <w:right w:val="none" w:sz="0" w:space="0" w:color="auto"/>
      </w:divBdr>
    </w:div>
    <w:div w:id="1595163480">
      <w:bodyDiv w:val="1"/>
      <w:marLeft w:val="0"/>
      <w:marRight w:val="0"/>
      <w:marTop w:val="0"/>
      <w:marBottom w:val="0"/>
      <w:divBdr>
        <w:top w:val="none" w:sz="0" w:space="0" w:color="auto"/>
        <w:left w:val="none" w:sz="0" w:space="0" w:color="auto"/>
        <w:bottom w:val="none" w:sz="0" w:space="0" w:color="auto"/>
        <w:right w:val="none" w:sz="0" w:space="0" w:color="auto"/>
      </w:divBdr>
      <w:divsChild>
        <w:div w:id="942420915">
          <w:marLeft w:val="0"/>
          <w:marRight w:val="0"/>
          <w:marTop w:val="0"/>
          <w:marBottom w:val="0"/>
          <w:divBdr>
            <w:top w:val="none" w:sz="0" w:space="0" w:color="auto"/>
            <w:left w:val="none" w:sz="0" w:space="0" w:color="auto"/>
            <w:bottom w:val="none" w:sz="0" w:space="0" w:color="auto"/>
            <w:right w:val="none" w:sz="0" w:space="0" w:color="auto"/>
          </w:divBdr>
        </w:div>
      </w:divsChild>
    </w:div>
    <w:div w:id="1635869090">
      <w:bodyDiv w:val="1"/>
      <w:marLeft w:val="0"/>
      <w:marRight w:val="0"/>
      <w:marTop w:val="0"/>
      <w:marBottom w:val="0"/>
      <w:divBdr>
        <w:top w:val="none" w:sz="0" w:space="0" w:color="auto"/>
        <w:left w:val="none" w:sz="0" w:space="0" w:color="auto"/>
        <w:bottom w:val="none" w:sz="0" w:space="0" w:color="auto"/>
        <w:right w:val="none" w:sz="0" w:space="0" w:color="auto"/>
      </w:divBdr>
    </w:div>
    <w:div w:id="1694258862">
      <w:bodyDiv w:val="1"/>
      <w:marLeft w:val="0"/>
      <w:marRight w:val="0"/>
      <w:marTop w:val="0"/>
      <w:marBottom w:val="0"/>
      <w:divBdr>
        <w:top w:val="none" w:sz="0" w:space="0" w:color="auto"/>
        <w:left w:val="none" w:sz="0" w:space="0" w:color="auto"/>
        <w:bottom w:val="none" w:sz="0" w:space="0" w:color="auto"/>
        <w:right w:val="none" w:sz="0" w:space="0" w:color="auto"/>
      </w:divBdr>
    </w:div>
    <w:div w:id="1722365136">
      <w:bodyDiv w:val="1"/>
      <w:marLeft w:val="0"/>
      <w:marRight w:val="0"/>
      <w:marTop w:val="0"/>
      <w:marBottom w:val="0"/>
      <w:divBdr>
        <w:top w:val="none" w:sz="0" w:space="0" w:color="auto"/>
        <w:left w:val="none" w:sz="0" w:space="0" w:color="auto"/>
        <w:bottom w:val="none" w:sz="0" w:space="0" w:color="auto"/>
        <w:right w:val="none" w:sz="0" w:space="0" w:color="auto"/>
      </w:divBdr>
    </w:div>
    <w:div w:id="1749882264">
      <w:bodyDiv w:val="1"/>
      <w:marLeft w:val="0"/>
      <w:marRight w:val="0"/>
      <w:marTop w:val="0"/>
      <w:marBottom w:val="0"/>
      <w:divBdr>
        <w:top w:val="none" w:sz="0" w:space="0" w:color="auto"/>
        <w:left w:val="none" w:sz="0" w:space="0" w:color="auto"/>
        <w:bottom w:val="none" w:sz="0" w:space="0" w:color="auto"/>
        <w:right w:val="none" w:sz="0" w:space="0" w:color="auto"/>
      </w:divBdr>
    </w:div>
    <w:div w:id="1757898722">
      <w:bodyDiv w:val="1"/>
      <w:marLeft w:val="0"/>
      <w:marRight w:val="0"/>
      <w:marTop w:val="0"/>
      <w:marBottom w:val="0"/>
      <w:divBdr>
        <w:top w:val="none" w:sz="0" w:space="0" w:color="auto"/>
        <w:left w:val="none" w:sz="0" w:space="0" w:color="auto"/>
        <w:bottom w:val="none" w:sz="0" w:space="0" w:color="auto"/>
        <w:right w:val="none" w:sz="0" w:space="0" w:color="auto"/>
      </w:divBdr>
      <w:divsChild>
        <w:div w:id="1072656107">
          <w:marLeft w:val="0"/>
          <w:marRight w:val="0"/>
          <w:marTop w:val="0"/>
          <w:marBottom w:val="0"/>
          <w:divBdr>
            <w:top w:val="none" w:sz="0" w:space="0" w:color="auto"/>
            <w:left w:val="none" w:sz="0" w:space="0" w:color="auto"/>
            <w:bottom w:val="none" w:sz="0" w:space="0" w:color="auto"/>
            <w:right w:val="none" w:sz="0" w:space="0" w:color="auto"/>
          </w:divBdr>
        </w:div>
      </w:divsChild>
    </w:div>
    <w:div w:id="1771125546">
      <w:bodyDiv w:val="1"/>
      <w:marLeft w:val="0"/>
      <w:marRight w:val="0"/>
      <w:marTop w:val="0"/>
      <w:marBottom w:val="0"/>
      <w:divBdr>
        <w:top w:val="none" w:sz="0" w:space="0" w:color="auto"/>
        <w:left w:val="none" w:sz="0" w:space="0" w:color="auto"/>
        <w:bottom w:val="none" w:sz="0" w:space="0" w:color="auto"/>
        <w:right w:val="none" w:sz="0" w:space="0" w:color="auto"/>
      </w:divBdr>
    </w:div>
    <w:div w:id="1802116509">
      <w:bodyDiv w:val="1"/>
      <w:marLeft w:val="0"/>
      <w:marRight w:val="0"/>
      <w:marTop w:val="0"/>
      <w:marBottom w:val="0"/>
      <w:divBdr>
        <w:top w:val="none" w:sz="0" w:space="0" w:color="auto"/>
        <w:left w:val="none" w:sz="0" w:space="0" w:color="auto"/>
        <w:bottom w:val="none" w:sz="0" w:space="0" w:color="auto"/>
        <w:right w:val="none" w:sz="0" w:space="0" w:color="auto"/>
      </w:divBdr>
    </w:div>
    <w:div w:id="1823039028">
      <w:bodyDiv w:val="1"/>
      <w:marLeft w:val="0"/>
      <w:marRight w:val="0"/>
      <w:marTop w:val="0"/>
      <w:marBottom w:val="0"/>
      <w:divBdr>
        <w:top w:val="none" w:sz="0" w:space="0" w:color="auto"/>
        <w:left w:val="none" w:sz="0" w:space="0" w:color="auto"/>
        <w:bottom w:val="none" w:sz="0" w:space="0" w:color="auto"/>
        <w:right w:val="none" w:sz="0" w:space="0" w:color="auto"/>
      </w:divBdr>
    </w:div>
    <w:div w:id="1857189556">
      <w:bodyDiv w:val="1"/>
      <w:marLeft w:val="0"/>
      <w:marRight w:val="0"/>
      <w:marTop w:val="0"/>
      <w:marBottom w:val="0"/>
      <w:divBdr>
        <w:top w:val="none" w:sz="0" w:space="0" w:color="auto"/>
        <w:left w:val="none" w:sz="0" w:space="0" w:color="auto"/>
        <w:bottom w:val="none" w:sz="0" w:space="0" w:color="auto"/>
        <w:right w:val="none" w:sz="0" w:space="0" w:color="auto"/>
      </w:divBdr>
    </w:div>
    <w:div w:id="1868330413">
      <w:bodyDiv w:val="1"/>
      <w:marLeft w:val="0"/>
      <w:marRight w:val="0"/>
      <w:marTop w:val="0"/>
      <w:marBottom w:val="0"/>
      <w:divBdr>
        <w:top w:val="none" w:sz="0" w:space="0" w:color="auto"/>
        <w:left w:val="none" w:sz="0" w:space="0" w:color="auto"/>
        <w:bottom w:val="none" w:sz="0" w:space="0" w:color="auto"/>
        <w:right w:val="none" w:sz="0" w:space="0" w:color="auto"/>
      </w:divBdr>
      <w:divsChild>
        <w:div w:id="735982021">
          <w:marLeft w:val="0"/>
          <w:marRight w:val="0"/>
          <w:marTop w:val="0"/>
          <w:marBottom w:val="0"/>
          <w:divBdr>
            <w:top w:val="none" w:sz="0" w:space="0" w:color="auto"/>
            <w:left w:val="none" w:sz="0" w:space="0" w:color="auto"/>
            <w:bottom w:val="none" w:sz="0" w:space="0" w:color="auto"/>
            <w:right w:val="none" w:sz="0" w:space="0" w:color="auto"/>
          </w:divBdr>
          <w:divsChild>
            <w:div w:id="12270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4235">
      <w:bodyDiv w:val="1"/>
      <w:marLeft w:val="0"/>
      <w:marRight w:val="0"/>
      <w:marTop w:val="0"/>
      <w:marBottom w:val="0"/>
      <w:divBdr>
        <w:top w:val="none" w:sz="0" w:space="0" w:color="auto"/>
        <w:left w:val="none" w:sz="0" w:space="0" w:color="auto"/>
        <w:bottom w:val="none" w:sz="0" w:space="0" w:color="auto"/>
        <w:right w:val="none" w:sz="0" w:space="0" w:color="auto"/>
      </w:divBdr>
    </w:div>
    <w:div w:id="1903366822">
      <w:bodyDiv w:val="1"/>
      <w:marLeft w:val="0"/>
      <w:marRight w:val="0"/>
      <w:marTop w:val="0"/>
      <w:marBottom w:val="0"/>
      <w:divBdr>
        <w:top w:val="none" w:sz="0" w:space="0" w:color="auto"/>
        <w:left w:val="none" w:sz="0" w:space="0" w:color="auto"/>
        <w:bottom w:val="none" w:sz="0" w:space="0" w:color="auto"/>
        <w:right w:val="none" w:sz="0" w:space="0" w:color="auto"/>
      </w:divBdr>
    </w:div>
    <w:div w:id="1961494921">
      <w:bodyDiv w:val="1"/>
      <w:marLeft w:val="0"/>
      <w:marRight w:val="0"/>
      <w:marTop w:val="0"/>
      <w:marBottom w:val="0"/>
      <w:divBdr>
        <w:top w:val="none" w:sz="0" w:space="0" w:color="auto"/>
        <w:left w:val="none" w:sz="0" w:space="0" w:color="auto"/>
        <w:bottom w:val="none" w:sz="0" w:space="0" w:color="auto"/>
        <w:right w:val="none" w:sz="0" w:space="0" w:color="auto"/>
      </w:divBdr>
    </w:div>
    <w:div w:id="1965304512">
      <w:bodyDiv w:val="1"/>
      <w:marLeft w:val="0"/>
      <w:marRight w:val="0"/>
      <w:marTop w:val="0"/>
      <w:marBottom w:val="0"/>
      <w:divBdr>
        <w:top w:val="none" w:sz="0" w:space="0" w:color="auto"/>
        <w:left w:val="none" w:sz="0" w:space="0" w:color="auto"/>
        <w:bottom w:val="none" w:sz="0" w:space="0" w:color="auto"/>
        <w:right w:val="none" w:sz="0" w:space="0" w:color="auto"/>
      </w:divBdr>
    </w:div>
    <w:div w:id="2010860661">
      <w:bodyDiv w:val="1"/>
      <w:marLeft w:val="0"/>
      <w:marRight w:val="0"/>
      <w:marTop w:val="0"/>
      <w:marBottom w:val="0"/>
      <w:divBdr>
        <w:top w:val="none" w:sz="0" w:space="0" w:color="auto"/>
        <w:left w:val="none" w:sz="0" w:space="0" w:color="auto"/>
        <w:bottom w:val="none" w:sz="0" w:space="0" w:color="auto"/>
        <w:right w:val="none" w:sz="0" w:space="0" w:color="auto"/>
      </w:divBdr>
      <w:divsChild>
        <w:div w:id="1994215770">
          <w:marLeft w:val="0"/>
          <w:marRight w:val="0"/>
          <w:marTop w:val="0"/>
          <w:marBottom w:val="0"/>
          <w:divBdr>
            <w:top w:val="none" w:sz="0" w:space="0" w:color="auto"/>
            <w:left w:val="none" w:sz="0" w:space="0" w:color="auto"/>
            <w:bottom w:val="none" w:sz="0" w:space="0" w:color="auto"/>
            <w:right w:val="none" w:sz="0" w:space="0" w:color="auto"/>
          </w:divBdr>
          <w:divsChild>
            <w:div w:id="4702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0821">
      <w:bodyDiv w:val="1"/>
      <w:marLeft w:val="0"/>
      <w:marRight w:val="0"/>
      <w:marTop w:val="0"/>
      <w:marBottom w:val="0"/>
      <w:divBdr>
        <w:top w:val="none" w:sz="0" w:space="0" w:color="auto"/>
        <w:left w:val="none" w:sz="0" w:space="0" w:color="auto"/>
        <w:bottom w:val="none" w:sz="0" w:space="0" w:color="auto"/>
        <w:right w:val="none" w:sz="0" w:space="0" w:color="auto"/>
      </w:divBdr>
    </w:div>
    <w:div w:id="2077119632">
      <w:bodyDiv w:val="1"/>
      <w:marLeft w:val="0"/>
      <w:marRight w:val="0"/>
      <w:marTop w:val="0"/>
      <w:marBottom w:val="0"/>
      <w:divBdr>
        <w:top w:val="none" w:sz="0" w:space="0" w:color="auto"/>
        <w:left w:val="none" w:sz="0" w:space="0" w:color="auto"/>
        <w:bottom w:val="none" w:sz="0" w:space="0" w:color="auto"/>
        <w:right w:val="none" w:sz="0" w:space="0" w:color="auto"/>
      </w:divBdr>
    </w:div>
    <w:div w:id="2102986880">
      <w:bodyDiv w:val="1"/>
      <w:marLeft w:val="0"/>
      <w:marRight w:val="0"/>
      <w:marTop w:val="0"/>
      <w:marBottom w:val="0"/>
      <w:divBdr>
        <w:top w:val="none" w:sz="0" w:space="0" w:color="auto"/>
        <w:left w:val="none" w:sz="0" w:space="0" w:color="auto"/>
        <w:bottom w:val="none" w:sz="0" w:space="0" w:color="auto"/>
        <w:right w:val="none" w:sz="0" w:space="0" w:color="auto"/>
      </w:divBdr>
    </w:div>
    <w:div w:id="211277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EE394-6B3A-4403-B516-29D15A96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14976</Words>
  <Characters>85364</Characters>
  <Application>Microsoft Office Word</Application>
  <DocSecurity>0</DocSecurity>
  <Lines>711</Lines>
  <Paragraphs>200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THIEBAUT</dc:creator>
  <cp:keywords/>
  <dc:description/>
  <cp:lastModifiedBy>Ke, Tingting</cp:lastModifiedBy>
  <cp:revision>33</cp:revision>
  <cp:lastPrinted>2020-11-28T18:07:00Z</cp:lastPrinted>
  <dcterms:created xsi:type="dcterms:W3CDTF">2020-12-11T13:38:00Z</dcterms:created>
  <dcterms:modified xsi:type="dcterms:W3CDTF">2021-01-11T02:37:00Z</dcterms:modified>
</cp:coreProperties>
</file>