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60E0C" w14:textId="0594FFE0" w:rsidR="00782A56" w:rsidRPr="004A110B" w:rsidRDefault="00782A56" w:rsidP="00782A56">
      <w:pPr>
        <w:ind w:right="29"/>
        <w:jc w:val="center"/>
        <w:rPr>
          <w:rFonts w:ascii="Courier New" w:hAnsi="Courier New"/>
          <w:sz w:val="20"/>
        </w:rPr>
      </w:pPr>
      <w:r>
        <w:rPr>
          <w:rFonts w:ascii="Courier New" w:hAnsi="Courier New"/>
          <w:sz w:val="20"/>
        </w:rPr>
        <w:t>1. ------IND- 2020 0839 D-- EN- ------ 20210121 --- --- PROJET</w:t>
      </w:r>
    </w:p>
    <w:p w14:paraId="4ABF62ED" w14:textId="135CE121" w:rsidR="005A3AF0" w:rsidRPr="00BE5BA6" w:rsidRDefault="000316CF" w:rsidP="005A7A63">
      <w:pPr>
        <w:pStyle w:val="VorblattDokumentstatus"/>
      </w:pPr>
      <w:r>
        <w:t xml:space="preserve">Government Draft Bill </w:t>
      </w:r>
    </w:p>
    <w:p w14:paraId="04BFC66D" w14:textId="3CB18437" w:rsidR="003B4A04" w:rsidRPr="00BE5BA6" w:rsidRDefault="008C6327" w:rsidP="002140DF">
      <w:pPr>
        <w:pStyle w:val="VorblattBezeichnung"/>
      </w:pPr>
      <w:r>
        <w:t>Act transposing requirements under the Single-Use Plastics Directive and the Waste Framework Directive into the Packaging Act and other acts</w:t>
      </w:r>
    </w:p>
    <w:p w14:paraId="772D79F2" w14:textId="5BADCB99" w:rsidR="008C6327" w:rsidRPr="00BE5BA6" w:rsidRDefault="008C6327">
      <w:pPr>
        <w:pStyle w:val="VorblattTitelProblemundZiel"/>
      </w:pPr>
      <w:r>
        <w:t>A. Problem and objective</w:t>
      </w:r>
    </w:p>
    <w:p w14:paraId="26AC3F30" w14:textId="114FB079" w:rsidR="008C6327" w:rsidRPr="00BE5BA6" w:rsidRDefault="00EF2715">
      <w:pPr>
        <w:pStyle w:val="Text"/>
      </w:pPr>
      <w:r>
        <w:t xml:space="preserve">Directive (EU) 2019/904 on the reduction of the impact of certain plastic products on the environment (Directive (EU) 2019/904) entered into force on 2 July 2019. The Directive aims to reduce the impact of plastic products found particularly frequently as litter on European beaches. This should protect the environment and the oceans from the negative impacts of plastics and, in particular, microplastics. At the same time, the overall consumption of limited primary resources is to be reduced and cycle-oriented management of plastics is to be achieved. Furthermore, Directive (EU) 2018/851 amending Directive 2008/98/EC on waste entered into force on 4 July 2018. Among other things, it contains various additions regarding extended producer responsibility in Article 8a. </w:t>
      </w:r>
    </w:p>
    <w:p w14:paraId="3BB9BD2A" w14:textId="3529D60E" w:rsidR="00810D74" w:rsidRPr="00BE5BA6" w:rsidRDefault="00EF2715">
      <w:pPr>
        <w:pStyle w:val="Text"/>
      </w:pPr>
      <w:r>
        <w:t xml:space="preserve">The aim of the draft Act is to transpose certain requirements from Directive (EU) 2019/904 as well as Article 8a of Directive 2008/98/EC, as amended, in conjunction with Article 7(2) of Directive 94/62/EC into German law with regard to packaging. </w:t>
      </w:r>
    </w:p>
    <w:p w14:paraId="3BEF312F" w14:textId="2105ADDB" w:rsidR="00D30175" w:rsidRPr="00BE5BA6" w:rsidRDefault="00D30175">
      <w:pPr>
        <w:pStyle w:val="Text"/>
      </w:pPr>
      <w:r>
        <w:t xml:space="preserve">In addition, individual provisions will be updated and adapted, in particular to further simplify and improve enforcement of the Packaging Act, which came into force on 1 January 2019. </w:t>
      </w:r>
    </w:p>
    <w:p w14:paraId="353FA5C8" w14:textId="1C869D22" w:rsidR="00406E9D" w:rsidRPr="00BE5BA6" w:rsidRDefault="00406E9D">
      <w:pPr>
        <w:pStyle w:val="Text"/>
      </w:pPr>
      <w:r>
        <w:t>The draft Act aims to advance the ecological development of the Packaging Act. The amendment is also intended to further improve resource management and resource efficiency in Germany. The aim of the draft Act is to integrate the new requirements of the EU Directives into in national law while maintaining German environmental protection and resource conservation standards, which in part go beyond existing EU law, as directly as possible in a ‘one-to-one’ manner.</w:t>
      </w:r>
    </w:p>
    <w:p w14:paraId="3900DB18" w14:textId="77777777" w:rsidR="008C6327" w:rsidRPr="00BE5BA6" w:rsidRDefault="008C6327">
      <w:pPr>
        <w:pStyle w:val="VorblattTitelLsung"/>
      </w:pPr>
      <w:r>
        <w:t>B. Solution</w:t>
      </w:r>
    </w:p>
    <w:p w14:paraId="70E20C92" w14:textId="3B5E6AE4" w:rsidR="008C6327" w:rsidRPr="00BE5BA6" w:rsidRDefault="001C44FA">
      <w:pPr>
        <w:pStyle w:val="Text"/>
      </w:pPr>
      <w:r>
        <w:t>The present draft Act transposes certain requirements of Directive (EU) 2019/904 into German law (to the extent that these have not been or will not be transposed in particular in the Single-Use Plastics Prohibition Ordinance, the Single-Use Plastics Labelling Ordinance or in the Environmental Statistics Act for reporting obligations). They are mainly transposed into the Packaging Act; in addition, individual requirements are also transposed into the Circular Economy Act and the Water Resources Act.</w:t>
      </w:r>
    </w:p>
    <w:p w14:paraId="67C54FF1" w14:textId="5A5C00A4" w:rsidR="00810D74" w:rsidRPr="00BE5BA6" w:rsidRDefault="00927662">
      <w:pPr>
        <w:pStyle w:val="Text"/>
      </w:pPr>
      <w:r>
        <w:t>In addition, the provisions on extended producer responsibility pursuant to Article 8a of Directive 2008/98/EC are implemented in the Packaging Act insofar as they relate to the producers of packaging.</w:t>
      </w:r>
    </w:p>
    <w:p w14:paraId="22F12A96" w14:textId="65B1E16F" w:rsidR="003075E3" w:rsidRPr="00BE5BA6" w:rsidRDefault="00CC2382">
      <w:pPr>
        <w:pStyle w:val="Text"/>
      </w:pPr>
      <w:r>
        <w:t xml:space="preserve">Furthermore, some updates, adaptations and amendments will be made to the Packaging Act, in particular in order to simplify and improve its enforcement. </w:t>
      </w:r>
    </w:p>
    <w:p w14:paraId="6352EE8A" w14:textId="4C697FDD" w:rsidR="00CC2382" w:rsidRPr="00BE5BA6" w:rsidRDefault="00CC2382" w:rsidP="0078139F">
      <w:pPr>
        <w:pStyle w:val="Text"/>
        <w:keepNext/>
      </w:pPr>
      <w:r>
        <w:lastRenderedPageBreak/>
        <w:t xml:space="preserve">The draft Act strengthens the prevention of waste and serves to promote a functioning circular economy in the long term. The following elements should be highlighted: </w:t>
      </w:r>
    </w:p>
    <w:p w14:paraId="45EB1FEC" w14:textId="011A2FC7" w:rsidR="00CC2382" w:rsidRPr="00BE5BA6" w:rsidRDefault="00CC2382">
      <w:pPr>
        <w:pStyle w:val="Text"/>
      </w:pPr>
      <w:r>
        <w:t xml:space="preserve">- Tying in with the new EU requirements, the separate collection of certain packaging waste streams will be improved. </w:t>
      </w:r>
    </w:p>
    <w:p w14:paraId="64A79C4A" w14:textId="74225D93" w:rsidR="00DB31FF" w:rsidRPr="00BE5BA6" w:rsidRDefault="00DB31FF">
      <w:pPr>
        <w:pStyle w:val="Text"/>
      </w:pPr>
      <w:r>
        <w:t xml:space="preserve">- In order to strengthen the circular economy and a functioning recyclate market, a mandatory (minimum) recyclate content for certain packaging is prescribed for the first time in accordance with Directive (EU) 2019/904. </w:t>
      </w:r>
    </w:p>
    <w:p w14:paraId="6C2ADDC6" w14:textId="656CD313" w:rsidR="00684046" w:rsidRPr="00BE5BA6" w:rsidRDefault="00684046">
      <w:pPr>
        <w:pStyle w:val="Text"/>
      </w:pPr>
      <w:r>
        <w:t xml:space="preserve">- In order to support the pre-existing and well-functioning collection systems for packaging waste, the information obligations towards the final consumers of packaged products will be expanded. In addition, further measures are being taken to improve the transparency of waste management. </w:t>
      </w:r>
    </w:p>
    <w:p w14:paraId="49D44794" w14:textId="67B7BF9B" w:rsidR="00684046" w:rsidRPr="00BE5BA6" w:rsidRDefault="00684046">
      <w:pPr>
        <w:pStyle w:val="Text"/>
      </w:pPr>
      <w:r>
        <w:t>- The enforcement of the obligations under the extended producer responsibility standardised in the Packaging Act and extended by this draft Act will be improved in the area of mail order business, especially from abroad. For the first time, operators of electronic marketplaces and fulfilment service providers are also included as addressees of such obligations.</w:t>
      </w:r>
    </w:p>
    <w:p w14:paraId="5EE51393" w14:textId="6D3F3E03" w:rsidR="00684046" w:rsidRPr="00BE5BA6" w:rsidRDefault="00684046">
      <w:pPr>
        <w:pStyle w:val="Text"/>
      </w:pPr>
      <w:r>
        <w:t xml:space="preserve">- Waste prevention as the first step of the waste hierarchy will be strengthened, especially in the area of single-use plastic packaging in the food sector. </w:t>
      </w:r>
    </w:p>
    <w:p w14:paraId="49B9F7C1" w14:textId="1AEA77B7" w:rsidR="00684046" w:rsidRPr="00BE5BA6" w:rsidRDefault="00684046">
      <w:pPr>
        <w:pStyle w:val="Text"/>
      </w:pPr>
      <w:r>
        <w:t xml:space="preserve">The draft Act aims to further develop the Packaging Act in accordance with the requirements of the EU Directives in an ecologically sensible manner by improving resource management and increasing resource efficiency in the area of packaging. </w:t>
      </w:r>
    </w:p>
    <w:p w14:paraId="2B09299D" w14:textId="2CB414CD" w:rsidR="008C6327" w:rsidRPr="00BE5BA6" w:rsidRDefault="008C6327">
      <w:pPr>
        <w:pStyle w:val="VorblattTitelAlternativen"/>
      </w:pPr>
      <w:r>
        <w:t>C. Alternatives</w:t>
      </w:r>
    </w:p>
    <w:p w14:paraId="138ED7D0" w14:textId="2FFF6BF7" w:rsidR="00713581" w:rsidRPr="00BE5BA6" w:rsidRDefault="00713581" w:rsidP="004F29AD">
      <w:pPr>
        <w:pStyle w:val="Text"/>
      </w:pPr>
      <w:r>
        <w:t xml:space="preserve">None. The implementation of European directives is mandatory. In addition, the new regulations serve to achieve the federal government’s goals in the area of environmental protection and resource conservation. The draft Act also supports the effective and successful continuation of the path taken to date by the Packaging Act towards reducing the use of resources for packaging and towards a functioning circular economy with closed material cycles. </w:t>
      </w:r>
    </w:p>
    <w:p w14:paraId="3D534CEC" w14:textId="14D2C7E0" w:rsidR="00713581" w:rsidRPr="00BE5BA6" w:rsidRDefault="00713581" w:rsidP="004F29AD">
      <w:pPr>
        <w:pStyle w:val="Text"/>
      </w:pPr>
      <w:r>
        <w:t xml:space="preserve">There is no other way to achieve an equivalent further development of environmental and resource protection. </w:t>
      </w:r>
    </w:p>
    <w:p w14:paraId="557A3293" w14:textId="6916D776" w:rsidR="008C6327" w:rsidRPr="00BE5BA6" w:rsidRDefault="008C6327" w:rsidP="004F29AD">
      <w:pPr>
        <w:pStyle w:val="VorblattTitelHaushaltsausgabenohneErfllungsaufwand"/>
      </w:pPr>
      <w:r>
        <w:t>D. Budgetary expenditure exclusive of compliance costs</w:t>
      </w:r>
    </w:p>
    <w:p w14:paraId="4BF325EA" w14:textId="11C6DB38" w:rsidR="008C6327" w:rsidRPr="00BE5BA6" w:rsidRDefault="00E167F3" w:rsidP="00444DB1">
      <w:pPr>
        <w:pStyle w:val="Text"/>
      </w:pPr>
      <w:r>
        <w:t>No additional budgetary expenditure exclusive of compliance costs is anticipated.</w:t>
      </w:r>
    </w:p>
    <w:p w14:paraId="4A026D28" w14:textId="77777777" w:rsidR="008C6327" w:rsidRPr="00BE5BA6" w:rsidRDefault="008C6327" w:rsidP="00444DB1">
      <w:pPr>
        <w:pStyle w:val="VorblattTitelErfllungsaufwand"/>
      </w:pPr>
      <w:r>
        <w:t>E. Compliance costs</w:t>
      </w:r>
    </w:p>
    <w:p w14:paraId="74EE6BFE" w14:textId="77777777" w:rsidR="008C6327" w:rsidRPr="00BE5BA6" w:rsidRDefault="008C6327" w:rsidP="00444DB1">
      <w:pPr>
        <w:pStyle w:val="VorblattTitelErfllungsaufwandBrgerinnenundBrger"/>
      </w:pPr>
      <w:r>
        <w:t>E.1 Compliance costs for citizens</w:t>
      </w:r>
    </w:p>
    <w:p w14:paraId="79B1EDAD" w14:textId="4B9D334B" w:rsidR="008C6327" w:rsidRPr="00BE5BA6" w:rsidRDefault="00E167F3" w:rsidP="00444DB1">
      <w:pPr>
        <w:pStyle w:val="Text"/>
      </w:pPr>
      <w:r>
        <w:t>There are no compliance costs for citizens.</w:t>
      </w:r>
    </w:p>
    <w:p w14:paraId="39F7F02C" w14:textId="77777777" w:rsidR="008C6327" w:rsidRPr="00BE5BA6" w:rsidRDefault="008C6327" w:rsidP="00444DB1">
      <w:pPr>
        <w:pStyle w:val="VorblattTitelErfllungsaufwandWirtschaft"/>
      </w:pPr>
      <w:r>
        <w:lastRenderedPageBreak/>
        <w:t>E.2 Compliance costs for businesses</w:t>
      </w:r>
    </w:p>
    <w:p w14:paraId="19500A5F" w14:textId="60A6E440" w:rsidR="00CA5A29" w:rsidRPr="00BE5BA6" w:rsidRDefault="00982060" w:rsidP="00E167F3">
      <w:pPr>
        <w:pStyle w:val="Text"/>
      </w:pPr>
      <w:r>
        <w:t xml:space="preserve">This draft Act will result in a change in the compliance costs for businesses amounting to a total of around EUR 30 million per year. This will result in additional annual burdens of around EUR 65.8 million and annual relief for the economy totalling around EUR -35.8 million. </w:t>
      </w:r>
    </w:p>
    <w:p w14:paraId="7AFD3B5E" w14:textId="6D5B1F85" w:rsidR="00E167F3" w:rsidRPr="00BE5BA6" w:rsidRDefault="00CA5A29" w:rsidP="00E167F3">
      <w:pPr>
        <w:pStyle w:val="Text"/>
      </w:pPr>
      <w:r>
        <w:t xml:space="preserve">The draft Act largely transposes the requirements under Union law of Directive (EU) 2019/904 and Directive 2008/98/EC into national law on a ‘one-to-one’ basis. As such, no scenario in which the ‘one-in, one-out’ rule is applied to the Federal Government’s planned regulatory arrangement is justified for the compliance costs incurred (refer to the cabinet decision of 25 March 2015). </w:t>
      </w:r>
    </w:p>
    <w:p w14:paraId="3D443931" w14:textId="1BFA98EA" w:rsidR="00CA5A29" w:rsidRPr="00BE5BA6" w:rsidRDefault="00E167F3" w:rsidP="00E167F3">
      <w:pPr>
        <w:pStyle w:val="Text"/>
      </w:pPr>
      <w:r>
        <w:t xml:space="preserve">Insofar as the ‘one-to-one’ implementation is exceeded, there are no additional compliance costs, meaning that the ‘one in, one out’ rule is not applied here. </w:t>
      </w:r>
    </w:p>
    <w:p w14:paraId="00B170B1" w14:textId="76E0D6E0" w:rsidR="008C6327" w:rsidRPr="00BE5BA6" w:rsidRDefault="008C6327" w:rsidP="00444DB1">
      <w:pPr>
        <w:pStyle w:val="VorblattTitelBrokratiekostenausInformationspflichten"/>
      </w:pPr>
      <w:r>
        <w:t>Administrative costs associated with information obligations</w:t>
      </w:r>
    </w:p>
    <w:p w14:paraId="323CE296" w14:textId="74AD712A" w:rsidR="008C6327" w:rsidRPr="00BE5BA6" w:rsidRDefault="00E167F3" w:rsidP="00E167F3">
      <w:pPr>
        <w:pStyle w:val="Text"/>
      </w:pPr>
      <w:r>
        <w:t>Due to amended and newly introduced information obligations, administrative costs as part of the compliance costs are expected to amount to EUR 55.2 million.</w:t>
      </w:r>
    </w:p>
    <w:p w14:paraId="087502D8" w14:textId="44288C46" w:rsidR="00014F0D" w:rsidRPr="00BE5BA6" w:rsidRDefault="00014F0D" w:rsidP="00E167F3">
      <w:pPr>
        <w:pStyle w:val="Text"/>
      </w:pPr>
      <w:r>
        <w:t xml:space="preserve">In total, there will be a one-off compliance cost of around EUR 13.1 million. </w:t>
      </w:r>
    </w:p>
    <w:p w14:paraId="34515B1E" w14:textId="3A56C879" w:rsidR="008C6327" w:rsidRPr="00BE5BA6" w:rsidRDefault="008C6327" w:rsidP="004F29AD">
      <w:pPr>
        <w:pStyle w:val="VorblattTitelErfllungsaufwandVerwaltung"/>
      </w:pPr>
      <w:r>
        <w:t>E.3 Administrative compliance costs</w:t>
      </w:r>
    </w:p>
    <w:p w14:paraId="30216D35" w14:textId="69809FD6" w:rsidR="008C6327" w:rsidRPr="00BE5BA6" w:rsidRDefault="00E167F3" w:rsidP="00E167F3">
      <w:pPr>
        <w:pStyle w:val="Text"/>
      </w:pPr>
      <w:r>
        <w:t>On the whole, administration will incur additional compliance costs amounting to approximately EUR 283 thousand. Annual compliance costs of EUR 38 thousand are incurred for the federal administration, predominantly for the Central Authority pursuant to § 3(18). The federal states incur annual costs of approx. EUR 245 thousand. At the federal level, there will also be a one-off compliance cost of EUR 331 thousand.</w:t>
      </w:r>
    </w:p>
    <w:p w14:paraId="0D6765E5" w14:textId="77777777" w:rsidR="008C6327" w:rsidRPr="00BE5BA6" w:rsidRDefault="008C6327" w:rsidP="00444DB1">
      <w:pPr>
        <w:pStyle w:val="VorblattTitelWeitereKosten"/>
      </w:pPr>
      <w:r>
        <w:t>F. Additional costs</w:t>
      </w:r>
    </w:p>
    <w:p w14:paraId="0AD36308" w14:textId="0680B747" w:rsidR="00741382" w:rsidRPr="00BE5BA6" w:rsidRDefault="00384630" w:rsidP="00603511">
      <w:pPr>
        <w:pStyle w:val="Text"/>
        <w:rPr>
          <w:highlight w:val="yellow"/>
        </w:rPr>
      </w:pPr>
      <w:r>
        <w:t>The Act will not result in any additional burdens or relief apart from the compliance costs. Effects on individual prices and the price level on the whole, in particular the consumer price level, are not anticipated.</w:t>
      </w:r>
    </w:p>
    <w:p w14:paraId="2D69C918" w14:textId="3A05C7EB" w:rsidR="008C6327" w:rsidRPr="00BE5BA6" w:rsidRDefault="008C6327" w:rsidP="00741382">
      <w:pPr>
        <w:sectPr w:rsidR="008C6327" w:rsidRPr="00BE5BA6" w:rsidSect="00645471">
          <w:headerReference w:type="default" r:id="rId8"/>
          <w:headerReference w:type="first" r:id="rId9"/>
          <w:pgSz w:w="11907" w:h="16839"/>
          <w:pgMar w:top="1134" w:right="1417" w:bottom="1134" w:left="1701" w:header="709" w:footer="709" w:gutter="0"/>
          <w:pgNumType w:start="1"/>
          <w:cols w:space="708"/>
          <w:titlePg/>
          <w:docGrid w:linePitch="360"/>
        </w:sectPr>
      </w:pPr>
    </w:p>
    <w:p w14:paraId="4E5474EF" w14:textId="26B12C80" w:rsidR="008C6327" w:rsidRPr="00BE5BA6" w:rsidRDefault="000316CF">
      <w:pPr>
        <w:pStyle w:val="Dokumentstatus"/>
      </w:pPr>
      <w:r>
        <w:lastRenderedPageBreak/>
        <w:t xml:space="preserve">Government Draft Bill </w:t>
      </w:r>
    </w:p>
    <w:p w14:paraId="1916DF26" w14:textId="7686B8A4" w:rsidR="008C6327" w:rsidRPr="00BE5BA6" w:rsidRDefault="008C6327">
      <w:pPr>
        <w:pStyle w:val="Bezeichnungnderungsdokument"/>
      </w:pPr>
      <w:r>
        <w:t>Act transposing requirements under the Single-Use Plastics Directive and the Waste Framework Directive into the Packaging Act and other acts</w:t>
      </w:r>
      <w:r w:rsidRPr="00BE5BA6">
        <w:rPr>
          <w:rStyle w:val="FootnoteReference"/>
        </w:rPr>
        <w:footnoteReference w:id="1"/>
      </w:r>
      <w:r w:rsidRPr="00BE5BA6">
        <w:rPr>
          <w:rStyle w:val="FootnoteReference"/>
        </w:rPr>
        <w:t>)</w:t>
      </w:r>
      <w:r>
        <w:rPr>
          <w:rStyle w:val="FootnoteReference"/>
        </w:rPr>
        <w:t>)</w:t>
      </w:r>
      <w:r w:rsidR="00E167F3" w:rsidRPr="00BE5BA6">
        <w:rPr>
          <w:rStyle w:val="FootnoteReference"/>
        </w:rPr>
        <w:footnoteReference w:id="2"/>
      </w:r>
      <w:r w:rsidR="00E167F3" w:rsidRPr="00BE5BA6">
        <w:rPr>
          <w:rStyle w:val="FootnoteReference"/>
        </w:rPr>
        <w:t>)</w:t>
      </w:r>
      <w:r>
        <w:rPr>
          <w:rStyle w:val="FootnoteReference"/>
        </w:rPr>
        <w:t>)</w:t>
      </w:r>
      <w:r>
        <w:t xml:space="preserve"> </w:t>
      </w:r>
    </w:p>
    <w:p w14:paraId="1D7B84FB" w14:textId="77777777" w:rsidR="008C6327" w:rsidRPr="00BE5BA6" w:rsidRDefault="008C6327">
      <w:pPr>
        <w:pStyle w:val="Ausfertigungsdatumnderungsdokument"/>
      </w:pPr>
      <w:r>
        <w:t>Dated ...</w:t>
      </w:r>
    </w:p>
    <w:p w14:paraId="26A9524C" w14:textId="77777777" w:rsidR="008C6327" w:rsidRPr="00BE5BA6" w:rsidRDefault="008C6327">
      <w:pPr>
        <w:pStyle w:val="EingangsformelStandardnderungsdokument"/>
      </w:pPr>
      <w:r>
        <w:t>The German Bundestag has adopted the following Act:</w:t>
      </w:r>
    </w:p>
    <w:p w14:paraId="48C70187" w14:textId="77C1B3AB" w:rsidR="008C6327" w:rsidRPr="00BE5BA6" w:rsidRDefault="00E8714D" w:rsidP="00E8714D">
      <w:pPr>
        <w:pStyle w:val="ArtikelBezeichner"/>
        <w:numPr>
          <w:ilvl w:val="0"/>
          <w:numId w:val="0"/>
        </w:numPr>
      </w:pPr>
      <w:r>
        <w:t>Article 1</w:t>
      </w:r>
    </w:p>
    <w:p w14:paraId="159282AB" w14:textId="77777777" w:rsidR="008C6327" w:rsidRPr="00BE5BA6" w:rsidRDefault="00603511">
      <w:pPr>
        <w:pStyle w:val="Artikelberschrift"/>
      </w:pPr>
      <w:r>
        <w:t>Amendment to the Packaging Act</w:t>
      </w:r>
    </w:p>
    <w:p w14:paraId="30AB9FCE" w14:textId="17853A62" w:rsidR="008C6327" w:rsidRPr="00BE5BA6" w:rsidRDefault="00603511" w:rsidP="00603511">
      <w:pPr>
        <w:pStyle w:val="JuristischerAbsatznichtnummeriert"/>
      </w:pPr>
      <w:r>
        <w:t xml:space="preserve">The Packaging Act of 5 July 2017 (Federal Law Gazette I p. 2234), most recently amended by Article 1 of the Act of </w:t>
      </w:r>
      <w:r>
        <w:rPr>
          <w:highlight w:val="yellow"/>
        </w:rPr>
        <w:t>[insert: date of and reference to the First Act amending the Packaging Act]</w:t>
      </w:r>
      <w:r>
        <w:t>, has been amended as follows:</w:t>
      </w:r>
    </w:p>
    <w:p w14:paraId="52A673E7" w14:textId="6D1D7141" w:rsidR="00161113" w:rsidRPr="00BE5BA6" w:rsidRDefault="00161113" w:rsidP="00161113">
      <w:pPr>
        <w:pStyle w:val="NummerierungStufe1"/>
      </w:pPr>
      <w:r>
        <w:t>Section 1 is preceded by the following overview of contents:</w:t>
      </w:r>
    </w:p>
    <w:p w14:paraId="0C1B1A7C" w14:textId="0B340D26" w:rsidR="00D340A7" w:rsidRPr="00BE5BA6" w:rsidRDefault="00D340A7" w:rsidP="00932640">
      <w:pPr>
        <w:pStyle w:val="RevisionVerzeichnis7"/>
        <w:ind w:left="425"/>
      </w:pPr>
      <w:r>
        <w:t>‘Overview of contents</w:t>
      </w:r>
    </w:p>
    <w:p w14:paraId="62B1A687" w14:textId="1D8EB889" w:rsidR="00D340A7" w:rsidRPr="00BE5BA6" w:rsidRDefault="00D340A7" w:rsidP="00932640">
      <w:pPr>
        <w:pStyle w:val="RevisionVerzeichnis5"/>
        <w:ind w:left="425"/>
      </w:pPr>
      <w:r>
        <w:t>Section 1</w:t>
      </w:r>
      <w:r>
        <w:br/>
        <w:t>General provisions</w:t>
      </w:r>
    </w:p>
    <w:p w14:paraId="47115259" w14:textId="77777777" w:rsidR="00D340A7" w:rsidRPr="00BE5BA6" w:rsidRDefault="00D340A7" w:rsidP="00932640">
      <w:pPr>
        <w:pStyle w:val="RevisionVerzeichnis9"/>
        <w:tabs>
          <w:tab w:val="clear" w:pos="624"/>
          <w:tab w:val="left" w:pos="1049"/>
        </w:tabs>
        <w:ind w:left="1049"/>
      </w:pPr>
      <w:r>
        <w:t>§ 1 Waste management objectives</w:t>
      </w:r>
    </w:p>
    <w:p w14:paraId="7E90F333" w14:textId="77777777" w:rsidR="00D340A7" w:rsidRPr="00BE5BA6" w:rsidRDefault="00D340A7" w:rsidP="00932640">
      <w:pPr>
        <w:pStyle w:val="RevisionVerzeichnis9"/>
        <w:tabs>
          <w:tab w:val="clear" w:pos="624"/>
          <w:tab w:val="left" w:pos="1049"/>
        </w:tabs>
        <w:ind w:left="1049"/>
      </w:pPr>
      <w:r>
        <w:t>§ 2 Scope</w:t>
      </w:r>
    </w:p>
    <w:p w14:paraId="19CEE7B0" w14:textId="77777777" w:rsidR="00D340A7" w:rsidRPr="00BE5BA6" w:rsidRDefault="00D340A7" w:rsidP="00932640">
      <w:pPr>
        <w:pStyle w:val="RevisionVerzeichnis9"/>
        <w:tabs>
          <w:tab w:val="clear" w:pos="624"/>
          <w:tab w:val="left" w:pos="1049"/>
        </w:tabs>
        <w:ind w:left="1049"/>
      </w:pPr>
      <w:r>
        <w:t>§ 3 Definitions</w:t>
      </w:r>
    </w:p>
    <w:p w14:paraId="319AFDAA" w14:textId="77777777" w:rsidR="00D340A7" w:rsidRPr="00BE5BA6" w:rsidRDefault="00D340A7" w:rsidP="00932640">
      <w:pPr>
        <w:pStyle w:val="RevisionVerzeichnis9"/>
        <w:tabs>
          <w:tab w:val="clear" w:pos="624"/>
          <w:tab w:val="left" w:pos="1049"/>
        </w:tabs>
        <w:ind w:left="1049"/>
      </w:pPr>
      <w:r>
        <w:t xml:space="preserve">§ 4 General requirements pertaining to packaging </w:t>
      </w:r>
    </w:p>
    <w:p w14:paraId="22023B7A" w14:textId="7A60A9B0" w:rsidR="00D340A7" w:rsidRPr="00BE5BA6" w:rsidRDefault="00D340A7" w:rsidP="00932640">
      <w:pPr>
        <w:pStyle w:val="RevisionVerzeichnis9"/>
        <w:tabs>
          <w:tab w:val="clear" w:pos="624"/>
          <w:tab w:val="left" w:pos="1049"/>
        </w:tabs>
        <w:ind w:left="1049"/>
      </w:pPr>
      <w:r>
        <w:t>§ 5 Limitation on placing on the market</w:t>
      </w:r>
    </w:p>
    <w:p w14:paraId="55BD3ED9" w14:textId="4AB06D32" w:rsidR="00D340A7" w:rsidRPr="00BE5BA6" w:rsidRDefault="00D340A7" w:rsidP="00932640">
      <w:pPr>
        <w:pStyle w:val="RevisionVerzeichnis9"/>
        <w:tabs>
          <w:tab w:val="clear" w:pos="624"/>
          <w:tab w:val="left" w:pos="1049"/>
        </w:tabs>
        <w:ind w:left="1049"/>
      </w:pPr>
      <w:r>
        <w:t>§ 6 Labelling for identifying the packaging material</w:t>
      </w:r>
    </w:p>
    <w:p w14:paraId="39CBEED1" w14:textId="42830A85" w:rsidR="00D340A7" w:rsidRPr="00BE5BA6" w:rsidRDefault="00D340A7" w:rsidP="00932640">
      <w:pPr>
        <w:pStyle w:val="RevisionVerzeichnis5"/>
        <w:ind w:left="425"/>
      </w:pPr>
      <w:r>
        <w:t>Section 2</w:t>
      </w:r>
      <w:r>
        <w:br/>
        <w:t>Placement on the market of packaging which is subject to the scheme participation obligation</w:t>
      </w:r>
    </w:p>
    <w:p w14:paraId="29E9FEB2" w14:textId="77777777" w:rsidR="00D6552C" w:rsidRPr="00BE5BA6" w:rsidRDefault="00D6552C" w:rsidP="00932640">
      <w:pPr>
        <w:pStyle w:val="RevisionVerzeichnis9"/>
        <w:tabs>
          <w:tab w:val="clear" w:pos="624"/>
          <w:tab w:val="left" w:pos="1049"/>
        </w:tabs>
        <w:ind w:left="1049"/>
      </w:pPr>
      <w:r>
        <w:t xml:space="preserve">§ 7 System participation obligation </w:t>
      </w:r>
    </w:p>
    <w:p w14:paraId="10DCC65D" w14:textId="77777777" w:rsidR="00D6552C" w:rsidRPr="00BE5BA6" w:rsidRDefault="00D6552C" w:rsidP="00932640">
      <w:pPr>
        <w:pStyle w:val="RevisionVerzeichnis9"/>
        <w:tabs>
          <w:tab w:val="clear" w:pos="624"/>
          <w:tab w:val="left" w:pos="1049"/>
        </w:tabs>
        <w:ind w:left="1049"/>
      </w:pPr>
      <w:r>
        <w:t xml:space="preserve">§ 8 Industry solution </w:t>
      </w:r>
    </w:p>
    <w:p w14:paraId="00B28D25" w14:textId="77777777" w:rsidR="00D6552C" w:rsidRPr="00BE5BA6" w:rsidRDefault="00D6552C" w:rsidP="00932640">
      <w:pPr>
        <w:pStyle w:val="RevisionVerzeichnis9"/>
        <w:tabs>
          <w:tab w:val="clear" w:pos="624"/>
          <w:tab w:val="left" w:pos="1049"/>
        </w:tabs>
        <w:ind w:left="1049"/>
      </w:pPr>
      <w:r>
        <w:t xml:space="preserve">§ 9 Registration </w:t>
      </w:r>
    </w:p>
    <w:p w14:paraId="5CDD7020" w14:textId="77777777" w:rsidR="00D6552C" w:rsidRPr="00BE5BA6" w:rsidRDefault="00D6552C" w:rsidP="00932640">
      <w:pPr>
        <w:pStyle w:val="RevisionVerzeichnis9"/>
        <w:tabs>
          <w:tab w:val="clear" w:pos="624"/>
          <w:tab w:val="left" w:pos="1049"/>
        </w:tabs>
        <w:ind w:left="1049"/>
      </w:pPr>
      <w:r>
        <w:lastRenderedPageBreak/>
        <w:t xml:space="preserve">§ 10 Data reporting </w:t>
      </w:r>
    </w:p>
    <w:p w14:paraId="3623517F" w14:textId="77777777" w:rsidR="00D6552C" w:rsidRPr="00BE5BA6" w:rsidRDefault="00D6552C" w:rsidP="00932640">
      <w:pPr>
        <w:pStyle w:val="RevisionVerzeichnis9"/>
        <w:tabs>
          <w:tab w:val="clear" w:pos="624"/>
          <w:tab w:val="left" w:pos="1049"/>
        </w:tabs>
        <w:ind w:left="1049"/>
      </w:pPr>
      <w:r>
        <w:t xml:space="preserve">§ 11 Statement of completeness </w:t>
      </w:r>
    </w:p>
    <w:p w14:paraId="0D18C4F9" w14:textId="03FA3A39" w:rsidR="00D340A7" w:rsidRPr="00BE5BA6" w:rsidRDefault="00D6552C" w:rsidP="00932640">
      <w:pPr>
        <w:pStyle w:val="RevisionVerzeichnis9"/>
        <w:tabs>
          <w:tab w:val="clear" w:pos="624"/>
          <w:tab w:val="left" w:pos="1049"/>
        </w:tabs>
        <w:ind w:left="1049"/>
      </w:pPr>
      <w:r>
        <w:t>§ 12 Exemptions</w:t>
      </w:r>
    </w:p>
    <w:p w14:paraId="078B6CFA" w14:textId="38377219" w:rsidR="00D340A7" w:rsidRPr="00BE5BA6" w:rsidRDefault="00D340A7" w:rsidP="00932640">
      <w:pPr>
        <w:pStyle w:val="RevisionVerzeichnis5"/>
        <w:ind w:left="425"/>
      </w:pPr>
      <w:r>
        <w:t>Section 3</w:t>
      </w:r>
      <w:r>
        <w:br/>
        <w:t>Collection, take-back and recovery</w:t>
      </w:r>
    </w:p>
    <w:p w14:paraId="10A275EA" w14:textId="77777777" w:rsidR="00D6552C" w:rsidRPr="00BE5BA6" w:rsidRDefault="00D6552C" w:rsidP="00932640">
      <w:pPr>
        <w:pStyle w:val="RevisionVerzeichnis9"/>
        <w:tabs>
          <w:tab w:val="clear" w:pos="624"/>
          <w:tab w:val="left" w:pos="1049"/>
        </w:tabs>
        <w:ind w:left="1049"/>
      </w:pPr>
      <w:r>
        <w:t xml:space="preserve">§ 13 Separate collection </w:t>
      </w:r>
    </w:p>
    <w:p w14:paraId="4392408A" w14:textId="77777777" w:rsidR="00D6552C" w:rsidRPr="00BE5BA6" w:rsidRDefault="00D6552C" w:rsidP="00932640">
      <w:pPr>
        <w:pStyle w:val="RevisionVerzeichnis9"/>
        <w:tabs>
          <w:tab w:val="clear" w:pos="624"/>
          <w:tab w:val="left" w:pos="1049"/>
        </w:tabs>
        <w:ind w:left="1049"/>
      </w:pPr>
      <w:r>
        <w:t xml:space="preserve">§ 14 Obligations for collection, recovery and information systems </w:t>
      </w:r>
    </w:p>
    <w:p w14:paraId="5CC2C041" w14:textId="07B646B2" w:rsidR="00D6552C" w:rsidRPr="00BE5BA6" w:rsidRDefault="00D6552C" w:rsidP="00932640">
      <w:pPr>
        <w:pStyle w:val="RevisionVerzeichnis9"/>
        <w:tabs>
          <w:tab w:val="clear" w:pos="624"/>
          <w:tab w:val="left" w:pos="1049"/>
        </w:tabs>
        <w:ind w:left="1049"/>
      </w:pPr>
      <w:r>
        <w:t>§ 15 Obligations incumbent upon manufacturers and distributors concerning take-back and recovery</w:t>
      </w:r>
    </w:p>
    <w:p w14:paraId="36565A73" w14:textId="77777777" w:rsidR="00D6552C" w:rsidRPr="00BE5BA6" w:rsidRDefault="00D6552C" w:rsidP="00932640">
      <w:pPr>
        <w:pStyle w:val="RevisionVerzeichnis9"/>
        <w:tabs>
          <w:tab w:val="clear" w:pos="624"/>
          <w:tab w:val="left" w:pos="1049"/>
        </w:tabs>
        <w:ind w:left="1049"/>
      </w:pPr>
      <w:r>
        <w:t xml:space="preserve">§ 16 Requirements pertaining to recovery </w:t>
      </w:r>
    </w:p>
    <w:p w14:paraId="35AC5597" w14:textId="29D8C9A4" w:rsidR="00D6552C" w:rsidRPr="00BE5BA6" w:rsidRDefault="00D6552C" w:rsidP="00932640">
      <w:pPr>
        <w:pStyle w:val="RevisionVerzeichnis9"/>
        <w:tabs>
          <w:tab w:val="clear" w:pos="624"/>
          <w:tab w:val="left" w:pos="1049"/>
        </w:tabs>
        <w:ind w:left="1049"/>
      </w:pPr>
      <w:r>
        <w:t>§ 17 Obligations to furnish proof</w:t>
      </w:r>
    </w:p>
    <w:p w14:paraId="63882DA8" w14:textId="28E13E78" w:rsidR="00D340A7" w:rsidRPr="00BE5BA6" w:rsidRDefault="00D340A7" w:rsidP="00932640">
      <w:pPr>
        <w:pStyle w:val="RevisionVerzeichnis5"/>
        <w:ind w:left="425"/>
      </w:pPr>
      <w:r>
        <w:t>Section 4</w:t>
      </w:r>
      <w:r>
        <w:br/>
        <w:t>Schemes</w:t>
      </w:r>
    </w:p>
    <w:p w14:paraId="72B14191" w14:textId="4FEEF2B0" w:rsidR="00D6552C" w:rsidRPr="00BE5BA6" w:rsidRDefault="00D6552C" w:rsidP="00932640">
      <w:pPr>
        <w:pStyle w:val="RevisionVerzeichnis9"/>
        <w:tabs>
          <w:tab w:val="clear" w:pos="624"/>
          <w:tab w:val="left" w:pos="1049"/>
        </w:tabs>
        <w:ind w:left="1049"/>
      </w:pPr>
      <w:r>
        <w:t>§ 18 Approval and organisation</w:t>
      </w:r>
    </w:p>
    <w:p w14:paraId="152D490C" w14:textId="77777777" w:rsidR="00D6552C" w:rsidRPr="00BE5BA6" w:rsidRDefault="00D6552C" w:rsidP="00932640">
      <w:pPr>
        <w:pStyle w:val="RevisionVerzeichnis9"/>
        <w:tabs>
          <w:tab w:val="clear" w:pos="624"/>
          <w:tab w:val="left" w:pos="1049"/>
        </w:tabs>
        <w:ind w:left="1049"/>
      </w:pPr>
      <w:r>
        <w:t xml:space="preserve">§ 19 Joint body </w:t>
      </w:r>
    </w:p>
    <w:p w14:paraId="0557FE18" w14:textId="64265031" w:rsidR="00D6552C" w:rsidRPr="00BE5BA6" w:rsidRDefault="00D6552C" w:rsidP="00932640">
      <w:pPr>
        <w:pStyle w:val="RevisionVerzeichnis9"/>
        <w:tabs>
          <w:tab w:val="clear" w:pos="624"/>
          <w:tab w:val="left" w:pos="1049"/>
        </w:tabs>
        <w:ind w:left="1049"/>
      </w:pPr>
      <w:r>
        <w:t>§ 20 Reporting obligations</w:t>
      </w:r>
    </w:p>
    <w:p w14:paraId="1BBBA30E" w14:textId="77777777" w:rsidR="00D6552C" w:rsidRPr="00BE5BA6" w:rsidRDefault="00D6552C" w:rsidP="00932640">
      <w:pPr>
        <w:pStyle w:val="RevisionVerzeichnis9"/>
        <w:tabs>
          <w:tab w:val="clear" w:pos="624"/>
          <w:tab w:val="left" w:pos="1049"/>
        </w:tabs>
        <w:ind w:left="1049"/>
      </w:pPr>
      <w:r>
        <w:t>§ 21 Ecological design of participation fees</w:t>
      </w:r>
    </w:p>
    <w:p w14:paraId="086B1CBE" w14:textId="77777777" w:rsidR="00D6552C" w:rsidRPr="00BE5BA6" w:rsidRDefault="00D6552C" w:rsidP="00932640">
      <w:pPr>
        <w:pStyle w:val="RevisionVerzeichnis9"/>
        <w:tabs>
          <w:tab w:val="clear" w:pos="624"/>
          <w:tab w:val="left" w:pos="1049"/>
        </w:tabs>
        <w:ind w:left="1049"/>
      </w:pPr>
      <w:r>
        <w:t xml:space="preserve">§ 22 Coordination </w:t>
      </w:r>
    </w:p>
    <w:p w14:paraId="6C6C7495" w14:textId="103A5189" w:rsidR="00D6552C" w:rsidRPr="00BE5BA6" w:rsidRDefault="00D6552C" w:rsidP="00932640">
      <w:pPr>
        <w:pStyle w:val="RevisionVerzeichnis9"/>
        <w:tabs>
          <w:tab w:val="clear" w:pos="624"/>
          <w:tab w:val="left" w:pos="1049"/>
        </w:tabs>
        <w:ind w:left="1049"/>
      </w:pPr>
      <w:r>
        <w:t>§ 23 Awarding of collection services</w:t>
      </w:r>
    </w:p>
    <w:p w14:paraId="6E9D4DF7" w14:textId="0F023E6E" w:rsidR="00D340A7" w:rsidRPr="00BE5BA6" w:rsidRDefault="00D340A7" w:rsidP="00932640">
      <w:pPr>
        <w:pStyle w:val="RevisionVerzeichnis5"/>
        <w:ind w:left="425"/>
      </w:pPr>
      <w:r>
        <w:t>Section 5</w:t>
      </w:r>
      <w:r>
        <w:br/>
        <w:t>Central Authority</w:t>
      </w:r>
    </w:p>
    <w:p w14:paraId="6196F0E4" w14:textId="77777777" w:rsidR="00D6552C" w:rsidRPr="00BE5BA6" w:rsidRDefault="00D6552C" w:rsidP="00932640">
      <w:pPr>
        <w:pStyle w:val="RevisionVerzeichnis9"/>
        <w:tabs>
          <w:tab w:val="clear" w:pos="624"/>
          <w:tab w:val="left" w:pos="1049"/>
        </w:tabs>
        <w:ind w:left="1049"/>
      </w:pPr>
      <w:r>
        <w:t xml:space="preserve">§ 24 Establishment and legal form; foundation statutes </w:t>
      </w:r>
    </w:p>
    <w:p w14:paraId="76A441B4" w14:textId="77777777" w:rsidR="00D6552C" w:rsidRPr="00BE5BA6" w:rsidRDefault="00D6552C" w:rsidP="00932640">
      <w:pPr>
        <w:pStyle w:val="RevisionVerzeichnis9"/>
        <w:tabs>
          <w:tab w:val="clear" w:pos="624"/>
          <w:tab w:val="left" w:pos="1049"/>
        </w:tabs>
        <w:ind w:left="1049"/>
      </w:pPr>
      <w:r>
        <w:t xml:space="preserve">§ 25 Financing </w:t>
      </w:r>
    </w:p>
    <w:p w14:paraId="16797F4B" w14:textId="6421BE5A" w:rsidR="00D6552C" w:rsidRPr="00BE5BA6" w:rsidRDefault="00D6552C" w:rsidP="00932640">
      <w:pPr>
        <w:pStyle w:val="RevisionVerzeichnis9"/>
        <w:tabs>
          <w:tab w:val="clear" w:pos="624"/>
          <w:tab w:val="left" w:pos="1049"/>
        </w:tabs>
        <w:ind w:left="1049"/>
      </w:pPr>
      <w:r>
        <w:t xml:space="preserve">§ 26 Duties </w:t>
      </w:r>
    </w:p>
    <w:p w14:paraId="4E151F1C" w14:textId="77777777" w:rsidR="00D6552C" w:rsidRPr="00BE5BA6" w:rsidRDefault="00D6552C" w:rsidP="00932640">
      <w:pPr>
        <w:pStyle w:val="RevisionVerzeichnis9"/>
        <w:tabs>
          <w:tab w:val="clear" w:pos="624"/>
          <w:tab w:val="left" w:pos="1049"/>
        </w:tabs>
        <w:ind w:left="1049"/>
      </w:pPr>
      <w:r>
        <w:t>§ 27 Registration of experts and other inspectors</w:t>
      </w:r>
    </w:p>
    <w:p w14:paraId="1B575E39" w14:textId="77777777" w:rsidR="00D6552C" w:rsidRPr="00BE5BA6" w:rsidRDefault="00D6552C" w:rsidP="00932640">
      <w:pPr>
        <w:pStyle w:val="RevisionVerzeichnis9"/>
        <w:tabs>
          <w:tab w:val="clear" w:pos="624"/>
          <w:tab w:val="left" w:pos="1049"/>
        </w:tabs>
        <w:ind w:left="1049"/>
      </w:pPr>
      <w:r>
        <w:t>§ 28 Organisation</w:t>
      </w:r>
    </w:p>
    <w:p w14:paraId="01C67D83" w14:textId="77777777" w:rsidR="00D6552C" w:rsidRPr="00BE5BA6" w:rsidRDefault="00D6552C" w:rsidP="00932640">
      <w:pPr>
        <w:pStyle w:val="RevisionVerzeichnis9"/>
        <w:tabs>
          <w:tab w:val="clear" w:pos="624"/>
          <w:tab w:val="left" w:pos="1049"/>
        </w:tabs>
        <w:ind w:left="1049"/>
      </w:pPr>
      <w:r>
        <w:t>§ 29 Supervision and financial control</w:t>
      </w:r>
    </w:p>
    <w:p w14:paraId="183880A2" w14:textId="288AEACD" w:rsidR="00D6552C" w:rsidRPr="00BE5BA6" w:rsidRDefault="00D6552C" w:rsidP="00932640">
      <w:pPr>
        <w:pStyle w:val="RevisionVerzeichnis9"/>
        <w:tabs>
          <w:tab w:val="clear" w:pos="624"/>
          <w:tab w:val="left" w:pos="1049"/>
        </w:tabs>
        <w:ind w:left="1049"/>
      </w:pPr>
      <w:r>
        <w:t>§ 30 Partial suspension of objection proceedings and suspensive effect of action for annulment; appeal board</w:t>
      </w:r>
    </w:p>
    <w:p w14:paraId="65796175" w14:textId="6A9D9C0B" w:rsidR="00D340A7" w:rsidRPr="00BE5BA6" w:rsidRDefault="00D340A7" w:rsidP="00932640">
      <w:pPr>
        <w:pStyle w:val="RevisionVerzeichnis5"/>
        <w:ind w:left="425"/>
      </w:pPr>
      <w:r>
        <w:t>Section 6</w:t>
      </w:r>
      <w:r>
        <w:br/>
        <w:t>Drinks packaging</w:t>
      </w:r>
    </w:p>
    <w:p w14:paraId="6FA1E3C4" w14:textId="7A53402E" w:rsidR="00C134F0" w:rsidRPr="00BE5BA6" w:rsidRDefault="00D6552C" w:rsidP="00932640">
      <w:pPr>
        <w:pStyle w:val="RevisionVerzeichnis9"/>
        <w:tabs>
          <w:tab w:val="clear" w:pos="624"/>
          <w:tab w:val="left" w:pos="1049"/>
        </w:tabs>
        <w:ind w:left="1049"/>
      </w:pPr>
      <w:r>
        <w:t>§ 30a Minimum recyclate content for certain single-use plastic beverage bottles</w:t>
      </w:r>
    </w:p>
    <w:p w14:paraId="6FAD639B" w14:textId="3B7847B6" w:rsidR="00D6552C" w:rsidRPr="00BE5BA6" w:rsidRDefault="00C134F0" w:rsidP="00932640">
      <w:pPr>
        <w:pStyle w:val="RevisionVerzeichnis9"/>
        <w:tabs>
          <w:tab w:val="clear" w:pos="624"/>
          <w:tab w:val="left" w:pos="1049"/>
        </w:tabs>
        <w:ind w:left="1049"/>
      </w:pPr>
      <w:r>
        <w:t xml:space="preserve">§ 31 Deposit-refund and take-back obligations for single-use drinks packaging </w:t>
      </w:r>
    </w:p>
    <w:p w14:paraId="759660A4" w14:textId="1063D24F" w:rsidR="00D6552C" w:rsidRPr="00BE5BA6" w:rsidRDefault="00D6552C" w:rsidP="00932640">
      <w:pPr>
        <w:pStyle w:val="RevisionVerzeichnis9"/>
        <w:tabs>
          <w:tab w:val="clear" w:pos="624"/>
          <w:tab w:val="left" w:pos="1049"/>
        </w:tabs>
        <w:ind w:left="1049"/>
      </w:pPr>
      <w:r>
        <w:t>§ 32 Notification requirements</w:t>
      </w:r>
    </w:p>
    <w:p w14:paraId="5A5057A0" w14:textId="6087D539" w:rsidR="00C134F0" w:rsidRPr="00BE5BA6" w:rsidRDefault="00C134F0" w:rsidP="00932640">
      <w:pPr>
        <w:pStyle w:val="RevisionVerzeichnis5"/>
        <w:ind w:left="425"/>
      </w:pPr>
      <w:r>
        <w:lastRenderedPageBreak/>
        <w:t>Section 7</w:t>
      </w:r>
      <w:r>
        <w:br/>
        <w:t>Reduction of the consumption of certain single-use packaging materials</w:t>
      </w:r>
    </w:p>
    <w:p w14:paraId="625A67BE" w14:textId="5C6D3037" w:rsidR="00C134F0" w:rsidRPr="00BE5BA6" w:rsidRDefault="00C134F0" w:rsidP="00932640">
      <w:pPr>
        <w:pStyle w:val="RevisionVerzeichnis9"/>
        <w:tabs>
          <w:tab w:val="clear" w:pos="624"/>
          <w:tab w:val="left" w:pos="1049"/>
        </w:tabs>
        <w:ind w:left="1049"/>
      </w:pPr>
      <w:r>
        <w:t>§ 33 Reusable alternatives to single-use plastic food packaging and single-use cups for beverages</w:t>
      </w:r>
    </w:p>
    <w:p w14:paraId="2FD91D0A" w14:textId="5EF3C248" w:rsidR="00C134F0" w:rsidRPr="00BE5BA6" w:rsidRDefault="00C134F0" w:rsidP="00932640">
      <w:pPr>
        <w:pStyle w:val="RevisionVerzeichnis9"/>
        <w:tabs>
          <w:tab w:val="clear" w:pos="624"/>
          <w:tab w:val="left" w:pos="1049"/>
        </w:tabs>
        <w:ind w:left="1049"/>
      </w:pPr>
      <w:r>
        <w:t>§ 34 Simplifications for small businesses and vending machines</w:t>
      </w:r>
    </w:p>
    <w:p w14:paraId="1E2E86F6" w14:textId="560BD235" w:rsidR="00D6552C" w:rsidRPr="00BE5BA6" w:rsidRDefault="00C134F0" w:rsidP="00932640">
      <w:pPr>
        <w:pStyle w:val="RevisionVerzeichnis5"/>
        <w:ind w:left="425"/>
      </w:pPr>
      <w:r>
        <w:t>Section 8</w:t>
      </w:r>
      <w:r>
        <w:br/>
        <w:t>Concluding provisions</w:t>
      </w:r>
    </w:p>
    <w:p w14:paraId="05D382D0" w14:textId="3262690C" w:rsidR="00D6552C" w:rsidRPr="00BE5BA6" w:rsidRDefault="00C134F0" w:rsidP="00932640">
      <w:pPr>
        <w:pStyle w:val="RevisionVerzeichnis9"/>
        <w:tabs>
          <w:tab w:val="clear" w:pos="624"/>
          <w:tab w:val="left" w:pos="1049"/>
        </w:tabs>
        <w:ind w:left="1049"/>
      </w:pPr>
      <w:r>
        <w:t>§ 35 Commissioning of third parties and delegation of authority</w:t>
      </w:r>
    </w:p>
    <w:p w14:paraId="1E4E08B5" w14:textId="4AB4A8C6" w:rsidR="00D6552C" w:rsidRPr="00BE5BA6" w:rsidRDefault="00C134F0" w:rsidP="00932640">
      <w:pPr>
        <w:pStyle w:val="RevisionVerzeichnis9"/>
        <w:tabs>
          <w:tab w:val="clear" w:pos="624"/>
          <w:tab w:val="left" w:pos="1049"/>
        </w:tabs>
        <w:ind w:left="1049"/>
      </w:pPr>
      <w:r>
        <w:t>§ 36 Provisions on administrative fines</w:t>
      </w:r>
    </w:p>
    <w:p w14:paraId="0FBB9A6F" w14:textId="17D096A1" w:rsidR="0003451B" w:rsidRPr="00BE5BA6" w:rsidRDefault="0003451B" w:rsidP="00932640">
      <w:pPr>
        <w:pStyle w:val="RevisionVerzeichnis9"/>
        <w:tabs>
          <w:tab w:val="clear" w:pos="624"/>
          <w:tab w:val="left" w:pos="1049"/>
        </w:tabs>
        <w:ind w:left="1049"/>
      </w:pPr>
      <w:r>
        <w:t>§ 37 Confiscation</w:t>
      </w:r>
    </w:p>
    <w:p w14:paraId="32B0C280" w14:textId="3688BBD6" w:rsidR="00D6552C" w:rsidRPr="00BE5BA6" w:rsidRDefault="00D6552C" w:rsidP="00932640">
      <w:pPr>
        <w:pStyle w:val="RevisionVerzeichnis9"/>
        <w:tabs>
          <w:tab w:val="clear" w:pos="624"/>
          <w:tab w:val="left" w:pos="1049"/>
        </w:tabs>
        <w:ind w:left="1049"/>
      </w:pPr>
      <w:r>
        <w:t>§ 38 Transitional provisions</w:t>
      </w:r>
    </w:p>
    <w:p w14:paraId="17E03A91" w14:textId="1E8C27AD" w:rsidR="00E30F20" w:rsidRPr="00BE5BA6" w:rsidRDefault="00D6552C" w:rsidP="00932640">
      <w:pPr>
        <w:pStyle w:val="RevisionVerzeichnis9"/>
        <w:tabs>
          <w:tab w:val="clear" w:pos="624"/>
          <w:tab w:val="left" w:pos="1332"/>
        </w:tabs>
        <w:ind w:left="1332" w:hanging="907"/>
      </w:pPr>
      <w:r>
        <w:t>Annex 1 (re § 3(1)) Packaging criteria and examples</w:t>
      </w:r>
    </w:p>
    <w:p w14:paraId="3D853C98" w14:textId="01DAEB52" w:rsidR="00D6552C" w:rsidRPr="00BE5BA6" w:rsidRDefault="00D6552C" w:rsidP="00932640">
      <w:pPr>
        <w:pStyle w:val="RevisionVerzeichnis9"/>
        <w:tabs>
          <w:tab w:val="clear" w:pos="624"/>
          <w:tab w:val="left" w:pos="1332"/>
        </w:tabs>
        <w:ind w:left="1332" w:hanging="907"/>
      </w:pPr>
      <w:r>
        <w:t>Annex 2 (re § 3(7)) Filling materials containing hazardous substances as defined by § 3(7))</w:t>
      </w:r>
    </w:p>
    <w:p w14:paraId="3B725F6C" w14:textId="141A175C" w:rsidR="00D6552C" w:rsidRPr="00BE5BA6" w:rsidRDefault="00D6552C" w:rsidP="00932640">
      <w:pPr>
        <w:pStyle w:val="RevisionVerzeichnis9"/>
        <w:tabs>
          <w:tab w:val="clear" w:pos="624"/>
          <w:tab w:val="left" w:pos="1332"/>
        </w:tabs>
        <w:ind w:left="1332" w:hanging="907"/>
      </w:pPr>
      <w:r>
        <w:t>Annex 3 (re § 5(1)(2)(2)) Requirements under which the limit for heavy metals laid down in § 5(1) sentence 1 does not apply to plastic crates and plastic pallets</w:t>
      </w:r>
    </w:p>
    <w:p w14:paraId="2DC381A9" w14:textId="195C6552" w:rsidR="00D6552C" w:rsidRPr="00BE5BA6" w:rsidRDefault="00D6552C" w:rsidP="00932640">
      <w:pPr>
        <w:pStyle w:val="RevisionVerzeichnis9"/>
        <w:tabs>
          <w:tab w:val="clear" w:pos="624"/>
          <w:tab w:val="left" w:pos="1332"/>
        </w:tabs>
        <w:ind w:left="1332" w:hanging="907"/>
      </w:pPr>
      <w:r>
        <w:t>Annex 4 (re § 5(1)(2)(4)) Requirements under which the limit for heavy metals laid down in § 5(1) sentence 1 does not apply to glass packaging</w:t>
      </w:r>
    </w:p>
    <w:p w14:paraId="48BD7F04" w14:textId="25A4038E" w:rsidR="00D340A7" w:rsidRPr="00BE5BA6" w:rsidRDefault="00D6552C" w:rsidP="00320A2C">
      <w:pPr>
        <w:pStyle w:val="RevisionVerzeichnis9"/>
        <w:tabs>
          <w:tab w:val="clear" w:pos="624"/>
          <w:tab w:val="left" w:pos="1332"/>
        </w:tabs>
        <w:ind w:left="1332" w:hanging="907"/>
      </w:pPr>
      <w:r>
        <w:t>Annex 5 (re § 6) Marking of packaging’</w:t>
      </w:r>
      <w:r>
        <w:rPr>
          <w:color w:val="auto"/>
        </w:rPr>
        <w:t>.</w:t>
      </w:r>
    </w:p>
    <w:p w14:paraId="7C298B8A" w14:textId="5135E330" w:rsidR="00F444D6" w:rsidRPr="00BE5BA6" w:rsidRDefault="00F444D6" w:rsidP="0078139F">
      <w:pPr>
        <w:pStyle w:val="NummerierungStufe1"/>
        <w:keepNext/>
      </w:pPr>
      <w:r>
        <w:t>The following sentence is added to § 1(3):</w:t>
      </w:r>
    </w:p>
    <w:p w14:paraId="121D7020" w14:textId="0954359B" w:rsidR="00F444D6" w:rsidRPr="00BE5BA6" w:rsidRDefault="00F444D6" w:rsidP="00932640">
      <w:pPr>
        <w:pStyle w:val="RevisionJuristischerAbsatzFolgeabsatz"/>
        <w:ind w:left="425"/>
      </w:pPr>
      <w:r>
        <w:t>‘Of the single-use plastic beverage bottles placed on the market for the first time each calendar year, at least 77 % by mass shall be collected separately for recycling beginning 1 January 2025, and at least 90 % by mass shall be collected for recycling beginning 1 January 2029, with the exception of single-use plastic beverage bottles under § 30a(3).’</w:t>
      </w:r>
    </w:p>
    <w:p w14:paraId="2EADB810" w14:textId="7E9942A3" w:rsidR="00BF6632" w:rsidRPr="00BE5BA6" w:rsidRDefault="00BF6632" w:rsidP="00BF6632">
      <w:pPr>
        <w:pStyle w:val="NummerierungStufe1"/>
      </w:pPr>
      <w:r>
        <w:t xml:space="preserve">In § 2(2) sentence 2, the entry </w:t>
      </w:r>
      <w:r>
        <w:rPr>
          <w:rStyle w:val="RevisionText"/>
        </w:rPr>
        <w:t>‘§ 19(2),’</w:t>
      </w:r>
      <w:r>
        <w:t xml:space="preserve"> is inserted after the words</w:t>
      </w:r>
      <w:r>
        <w:rPr>
          <w:rStyle w:val="RevisionText"/>
        </w:rPr>
        <w:t xml:space="preserve"> ‘§ 17(2) and (3),’</w:t>
      </w:r>
      <w:r>
        <w:t>.</w:t>
      </w:r>
    </w:p>
    <w:p w14:paraId="59F50A52" w14:textId="1E1BE1AF" w:rsidR="00F444D6" w:rsidRPr="00BE5BA6" w:rsidRDefault="00F444D6" w:rsidP="0078139F">
      <w:pPr>
        <w:pStyle w:val="NummerierungStufe1"/>
        <w:keepNext/>
      </w:pPr>
      <w:r>
        <w:t>§ 3 is amended as follows:</w:t>
      </w:r>
    </w:p>
    <w:p w14:paraId="0D85B5EF" w14:textId="5890AB21" w:rsidR="00C81D86" w:rsidRPr="00BE5BA6" w:rsidRDefault="00C81D86" w:rsidP="00F444D6">
      <w:pPr>
        <w:pStyle w:val="NummerierungStufe2"/>
      </w:pPr>
      <w:r>
        <w:t xml:space="preserve">In paragraph 2 the entry </w:t>
      </w:r>
      <w:r>
        <w:rPr>
          <w:rStyle w:val="RevisionText"/>
        </w:rPr>
        <w:t xml:space="preserve">‘652/2014 (OJ L 189 of 27.6.2014’ </w:t>
      </w:r>
      <w:r>
        <w:t xml:space="preserve">is replaced by the entry </w:t>
      </w:r>
      <w:r>
        <w:rPr>
          <w:rStyle w:val="RevisionText"/>
        </w:rPr>
        <w:t>‘2019/1381 (OJ L 231 of 6.9.2019</w:t>
      </w:r>
      <w:r>
        <w:t>’.</w:t>
      </w:r>
    </w:p>
    <w:p w14:paraId="4B6861B3" w14:textId="0497364A" w:rsidR="00F444D6" w:rsidRPr="00BE5BA6" w:rsidRDefault="00F444D6" w:rsidP="0078139F">
      <w:pPr>
        <w:pStyle w:val="NummerierungStufe2"/>
        <w:keepNext/>
      </w:pPr>
      <w:r>
        <w:t>The following paragraphs 4a to 4c are inserted after paragraph 4:</w:t>
      </w:r>
    </w:p>
    <w:p w14:paraId="4B6B4F4A" w14:textId="04B3C7AE" w:rsidR="002D2D71" w:rsidRPr="00BE5BA6" w:rsidRDefault="00F444D6" w:rsidP="00932640">
      <w:pPr>
        <w:pStyle w:val="RevisionJuristischerAbsatzmanuell"/>
        <w:tabs>
          <w:tab w:val="clear" w:pos="850"/>
          <w:tab w:val="left" w:pos="1700"/>
        </w:tabs>
        <w:ind w:left="850" w:firstLine="350"/>
      </w:pPr>
      <w:r>
        <w:t>‘(4a)</w:t>
      </w:r>
      <w:r>
        <w:tab/>
        <w:t>Single-use plastic packaging means single-use packaging that is made wholly or partly from plastic.</w:t>
      </w:r>
    </w:p>
    <w:p w14:paraId="4E657A61" w14:textId="22D99821" w:rsidR="002D2D71" w:rsidRPr="00BE5BA6" w:rsidRDefault="002D2D71" w:rsidP="0078139F">
      <w:pPr>
        <w:pStyle w:val="RevisionJuristischerAbsatzmanuell"/>
        <w:keepNext/>
        <w:tabs>
          <w:tab w:val="clear" w:pos="850"/>
          <w:tab w:val="left" w:pos="1700"/>
        </w:tabs>
        <w:ind w:left="850" w:firstLine="350"/>
      </w:pPr>
      <w:r>
        <w:t>(4b)</w:t>
      </w:r>
      <w:r>
        <w:tab/>
        <w:t xml:space="preserve">Single-use plastic food packaging means single-use plastic packaging, i.e. receptacles such as boxes, with or without a cover, used to contain food which: </w:t>
      </w:r>
    </w:p>
    <w:p w14:paraId="4228AC66" w14:textId="3CDCBA2A" w:rsidR="002D2D71" w:rsidRPr="00BE5BA6" w:rsidRDefault="002D2D71" w:rsidP="00A60F50">
      <w:pPr>
        <w:pStyle w:val="RevisionNummerierungStufe1"/>
        <w:tabs>
          <w:tab w:val="clear" w:pos="851"/>
          <w:tab w:val="num" w:pos="1275"/>
        </w:tabs>
        <w:ind w:left="1275"/>
      </w:pPr>
      <w:r>
        <w:t xml:space="preserve">is intended for immediate consumption, either on-the-spot or take-away, </w:t>
      </w:r>
    </w:p>
    <w:p w14:paraId="3168CA0D" w14:textId="1B026B1C" w:rsidR="001B3D87" w:rsidRPr="00BE5BA6" w:rsidRDefault="001B3D87" w:rsidP="00A60F50">
      <w:pPr>
        <w:pStyle w:val="RevisionNummerierungStufe1"/>
        <w:tabs>
          <w:tab w:val="clear" w:pos="851"/>
          <w:tab w:val="num" w:pos="1275"/>
        </w:tabs>
        <w:ind w:left="1275"/>
      </w:pPr>
      <w:r>
        <w:t>is typically consumed from the receptacle, and</w:t>
      </w:r>
    </w:p>
    <w:p w14:paraId="4C12086B" w14:textId="46D3CDCA" w:rsidR="001B3D87" w:rsidRPr="00BE5BA6" w:rsidRDefault="001B3D87" w:rsidP="00A60F50">
      <w:pPr>
        <w:pStyle w:val="RevisionNummerierungStufe1"/>
        <w:tabs>
          <w:tab w:val="clear" w:pos="851"/>
          <w:tab w:val="num" w:pos="1275"/>
        </w:tabs>
        <w:ind w:left="1275"/>
      </w:pPr>
      <w:r>
        <w:t>is ready to be consumed without any further preparation, such as cooking, boiling or heating;</w:t>
      </w:r>
    </w:p>
    <w:p w14:paraId="163298BF" w14:textId="47BD473D" w:rsidR="00F13F19" w:rsidRPr="00BE5BA6" w:rsidRDefault="002D2D71" w:rsidP="00932640">
      <w:pPr>
        <w:pStyle w:val="RevisionJuristischerAbsatzmanuell"/>
        <w:tabs>
          <w:tab w:val="clear" w:pos="850"/>
          <w:tab w:val="left" w:pos="1700"/>
        </w:tabs>
        <w:ind w:left="850"/>
      </w:pPr>
      <w:r>
        <w:lastRenderedPageBreak/>
        <w:t xml:space="preserve"> single-use plastic food packaging in this sense does not include beverage containers, beverage cups, plates and packets and wrappers containing food.</w:t>
      </w:r>
    </w:p>
    <w:p w14:paraId="268BD918" w14:textId="3B210429" w:rsidR="00F444D6" w:rsidRPr="00BE5BA6" w:rsidRDefault="000B7C1A" w:rsidP="00410FA3">
      <w:pPr>
        <w:pStyle w:val="RevisionJuristischerAbsatzmanuell"/>
        <w:tabs>
          <w:tab w:val="clear" w:pos="850"/>
          <w:tab w:val="left" w:pos="1700"/>
        </w:tabs>
        <w:ind w:left="850" w:firstLine="350"/>
      </w:pPr>
      <w:r>
        <w:t>(4c)</w:t>
      </w:r>
      <w:r>
        <w:tab/>
        <w:t>Single-use plastic beverage bottles means drinks packaging in bottle form, including their caps and lids, with a fill volume of up to 3.0 litres that also meet the characteristics of single-use plastic packaging.’</w:t>
      </w:r>
    </w:p>
    <w:p w14:paraId="73FB2650" w14:textId="368F1FD0" w:rsidR="001E50F8" w:rsidRPr="00BE5BA6" w:rsidRDefault="001E50F8" w:rsidP="0078139F">
      <w:pPr>
        <w:pStyle w:val="NummerierungStufe2"/>
        <w:keepNext/>
      </w:pPr>
      <w:r>
        <w:t>The following paragraph 14a is inserted after paragraph 14:</w:t>
      </w:r>
    </w:p>
    <w:p w14:paraId="5983456A" w14:textId="13920AE5" w:rsidR="001E50F8" w:rsidRPr="00BE5BA6" w:rsidRDefault="001E50F8" w:rsidP="00932640">
      <w:pPr>
        <w:pStyle w:val="RevisionJuristischerAbsatzmanuell"/>
        <w:tabs>
          <w:tab w:val="clear" w:pos="850"/>
          <w:tab w:val="left" w:pos="1700"/>
        </w:tabs>
        <w:ind w:left="850" w:firstLine="350"/>
      </w:pPr>
      <w:r>
        <w:t>‘(14a)</w:t>
      </w:r>
      <w:r>
        <w:tab/>
        <w:t>An authorised representative is any natural person or legal person or partnership having legal capacity established within the area of application of this Act whom a producer without an establishment within the scope of this Act has appointed to perform on its behalf any functions for the purpose of fulfilling the producer’s obligations under this Act.’</w:t>
      </w:r>
    </w:p>
    <w:p w14:paraId="6567FCE1" w14:textId="58590A05" w:rsidR="004F364B" w:rsidRPr="00BE5BA6" w:rsidRDefault="004F364B" w:rsidP="0078139F">
      <w:pPr>
        <w:pStyle w:val="NummerierungStufe2"/>
        <w:keepNext/>
      </w:pPr>
      <w:r>
        <w:t>The following paragraphs 14b and 14c are inserted after paragraph 14a:</w:t>
      </w:r>
    </w:p>
    <w:p w14:paraId="1F6F7C48" w14:textId="2C9BD0EF" w:rsidR="004F364B" w:rsidRPr="00BE5BA6" w:rsidRDefault="004F364B" w:rsidP="00932640">
      <w:pPr>
        <w:pStyle w:val="RevisionJuristischerAbsatzmanuell"/>
        <w:tabs>
          <w:tab w:val="clear" w:pos="850"/>
          <w:tab w:val="left" w:pos="1700"/>
        </w:tabs>
        <w:ind w:left="850" w:firstLine="350"/>
      </w:pPr>
      <w:r>
        <w:t>‘(14b)</w:t>
      </w:r>
      <w:r>
        <w:tab/>
        <w:t>Electronic marketplace means a website or any other instrument through which information is made available via the Internet, and that enables distributors who are not operators of the marketplace to market goods in their own name. An operator of an electronic marketplace is any natural or legal person or partnership having legal capacity that maintains an electronic marketplace and enables distributors to place goods on the market via this marketplace.</w:t>
      </w:r>
    </w:p>
    <w:p w14:paraId="508918DD" w14:textId="0333725E" w:rsidR="004F364B" w:rsidRPr="00BE5BA6" w:rsidRDefault="004F364B" w:rsidP="00932640">
      <w:pPr>
        <w:pStyle w:val="RevisionJuristischerAbsatzmanuell"/>
        <w:tabs>
          <w:tab w:val="clear" w:pos="850"/>
          <w:tab w:val="left" w:pos="1700"/>
        </w:tabs>
        <w:ind w:left="850"/>
      </w:pPr>
      <w:r>
        <w:t>(14c)</w:t>
      </w:r>
      <w:r>
        <w:tab/>
        <w:t>Fulfilment service provider means any natural or legal person or partnership having legal capacity that provides at least two of the following services to distributors in the context of a business activity within the scope of this Act: stocking, packing, addressing and shipping goods which are not its property. postal, package delivery, or other freight transportation service providers are not considered to be fulfilment service providers.’</w:t>
      </w:r>
    </w:p>
    <w:p w14:paraId="0D82E6FA" w14:textId="6D28399A" w:rsidR="00F444D6" w:rsidRPr="00BE5BA6" w:rsidRDefault="00F444D6" w:rsidP="0078139F">
      <w:pPr>
        <w:pStyle w:val="NummerierungStufe2"/>
        <w:keepNext/>
      </w:pPr>
      <w:r>
        <w:t>The following paragraph 21 is added:</w:t>
      </w:r>
    </w:p>
    <w:p w14:paraId="1E06A87F" w14:textId="1ECB7B8D" w:rsidR="00F444D6" w:rsidRPr="00BE5BA6" w:rsidRDefault="00F444D6" w:rsidP="00F36378">
      <w:pPr>
        <w:pStyle w:val="RevisionJuristischerAbsatzmanuell"/>
        <w:tabs>
          <w:tab w:val="clear" w:pos="850"/>
          <w:tab w:val="left" w:pos="1700"/>
        </w:tabs>
        <w:ind w:left="850" w:firstLine="350"/>
      </w:pPr>
      <w:r>
        <w:t>‘(21)</w:t>
      </w:r>
      <w:r>
        <w:tab/>
        <w:t>Plastic means a material consisting of a polymer as defined in Article 3(5) of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EU L 396, 30.12.2006, p. 1), as last amended by Regulation (EU) 2020/507 (OJ EU L 110, 8.4.2020, p. 1), as amended, to which additives or other substances may have been added, and which is capable of functioning as a main structural component of finished products, except for materials made from natural polymers that have not been chemically modified.’</w:t>
      </w:r>
    </w:p>
    <w:p w14:paraId="6ED9B93D" w14:textId="2BF7539C" w:rsidR="001E50F8" w:rsidRPr="00BE5BA6" w:rsidRDefault="001E50F8" w:rsidP="001E50F8">
      <w:pPr>
        <w:pStyle w:val="NummerierungStufe1"/>
      </w:pPr>
      <w:r>
        <w:t xml:space="preserve">In § 4, the words </w:t>
      </w:r>
      <w:r>
        <w:rPr>
          <w:rStyle w:val="RevisionText"/>
        </w:rPr>
        <w:t>‘to be developed,’</w:t>
      </w:r>
      <w:r>
        <w:t xml:space="preserve"> are inserted after the word </w:t>
      </w:r>
      <w:r>
        <w:rPr>
          <w:rStyle w:val="RevisionText"/>
        </w:rPr>
        <w:t>‘such’</w:t>
      </w:r>
      <w:r>
        <w:t xml:space="preserve"> in the part of the sentence before subparagraph 1.</w:t>
      </w:r>
    </w:p>
    <w:p w14:paraId="72EAEA14" w14:textId="26E797CA" w:rsidR="00BF6632" w:rsidRPr="00BE5BA6" w:rsidRDefault="00BF6632" w:rsidP="0078139F">
      <w:pPr>
        <w:pStyle w:val="NummerierungStufe1"/>
        <w:keepNext/>
      </w:pPr>
      <w:r>
        <w:t>The following paragraph 3 is added to § 5:</w:t>
      </w:r>
    </w:p>
    <w:p w14:paraId="7B7BB9B2" w14:textId="6090C4F4" w:rsidR="00BF6632" w:rsidRPr="00BE5BA6" w:rsidRDefault="00BF6632" w:rsidP="00932640">
      <w:pPr>
        <w:pStyle w:val="RevisionJuristischerAbsatzmanuell"/>
        <w:tabs>
          <w:tab w:val="clear" w:pos="850"/>
          <w:tab w:val="left" w:pos="1275"/>
        </w:tabs>
        <w:ind w:left="425" w:firstLine="350"/>
      </w:pPr>
      <w:r>
        <w:t xml:space="preserve">‘(3) Restrictions on the placing on the market of packaging under § 3 of the Single-Use Plastics Prohibition Ordinance of </w:t>
      </w:r>
      <w:r>
        <w:rPr>
          <w:highlight w:val="yellow"/>
        </w:rPr>
        <w:t>[insert: date of issue and reference of this statutory instrument]</w:t>
      </w:r>
      <w:r>
        <w:t>, as amended, shall remain unaffected.’</w:t>
      </w:r>
    </w:p>
    <w:p w14:paraId="5F02FE53" w14:textId="792D6017" w:rsidR="001E50F8" w:rsidRPr="00BE5BA6" w:rsidRDefault="001E50F8" w:rsidP="0078139F">
      <w:pPr>
        <w:pStyle w:val="NummerierungStufe1"/>
        <w:keepNext/>
      </w:pPr>
      <w:r>
        <w:lastRenderedPageBreak/>
        <w:t>§ 7 is amended as follows:</w:t>
      </w:r>
    </w:p>
    <w:p w14:paraId="2C8A4EB9" w14:textId="5D75F02F" w:rsidR="00B56EFE" w:rsidRPr="00BE5BA6" w:rsidRDefault="00B56EFE" w:rsidP="0078139F">
      <w:pPr>
        <w:pStyle w:val="NummerierungStufe2"/>
        <w:keepNext/>
      </w:pPr>
      <w:r>
        <w:t>Paragraph 1 is amended as follows:</w:t>
      </w:r>
    </w:p>
    <w:p w14:paraId="0A636992" w14:textId="108C2D0B" w:rsidR="00B56EFE" w:rsidRPr="00BE5BA6" w:rsidRDefault="00B56EFE" w:rsidP="00B56EFE">
      <w:pPr>
        <w:pStyle w:val="NummerierungStufe3"/>
      </w:pPr>
      <w:r>
        <w:t xml:space="preserve">In sentence 1, the words </w:t>
      </w:r>
      <w:r>
        <w:rPr>
          <w:rStyle w:val="RevisionText"/>
        </w:rPr>
        <w:t>‘prior to placement on the market’</w:t>
      </w:r>
      <w:r>
        <w:t xml:space="preserve"> are inserted after the word </w:t>
      </w:r>
      <w:r>
        <w:rPr>
          <w:rStyle w:val="RevisionText"/>
        </w:rPr>
        <w:t>‘take-back’</w:t>
      </w:r>
      <w:r>
        <w:t>.</w:t>
      </w:r>
    </w:p>
    <w:p w14:paraId="511E9904" w14:textId="412F5AB7" w:rsidR="001E50F8" w:rsidRPr="00BE5BA6" w:rsidRDefault="001E50F8" w:rsidP="00B56EFE">
      <w:pPr>
        <w:pStyle w:val="NummerierungStufe3"/>
      </w:pPr>
      <w:r>
        <w:t>Sentence 4 is repealed.</w:t>
      </w:r>
    </w:p>
    <w:p w14:paraId="3A51094C" w14:textId="494856D7" w:rsidR="00E027C4" w:rsidRPr="00BE5BA6" w:rsidRDefault="00E027C4" w:rsidP="00E027C4">
      <w:pPr>
        <w:pStyle w:val="NummerierungStufe2"/>
      </w:pPr>
      <w:r>
        <w:t xml:space="preserve">In paragraph 2, sentence 3, the words </w:t>
      </w:r>
      <w:r>
        <w:rPr>
          <w:rStyle w:val="RevisionText"/>
        </w:rPr>
        <w:t xml:space="preserve">‘; however, the producer in accordance with paragraph 1, sentence 1 shall remain additionally obliged to register itself in accordance with § 9’ </w:t>
      </w:r>
      <w:r>
        <w:t xml:space="preserve">are inserted after the word </w:t>
      </w:r>
      <w:r>
        <w:rPr>
          <w:rStyle w:val="RevisionText"/>
        </w:rPr>
        <w:t>‘over’</w:t>
      </w:r>
      <w:r>
        <w:t>.</w:t>
      </w:r>
    </w:p>
    <w:p w14:paraId="464F58FE" w14:textId="0B3EFA43" w:rsidR="001E50F8" w:rsidRPr="00BE5BA6" w:rsidRDefault="001E50F8" w:rsidP="0078139F">
      <w:pPr>
        <w:pStyle w:val="NummerierungStufe2"/>
        <w:keepNext/>
      </w:pPr>
      <w:r>
        <w:t>The following paragraph 7 is added:</w:t>
      </w:r>
    </w:p>
    <w:p w14:paraId="165BAF0C" w14:textId="60A74C45" w:rsidR="001E50F8" w:rsidRPr="00BE5BA6" w:rsidRDefault="001E50F8" w:rsidP="00932640">
      <w:pPr>
        <w:pStyle w:val="RevisionJuristischerAbsatzmanuell"/>
        <w:tabs>
          <w:tab w:val="clear" w:pos="850"/>
          <w:tab w:val="left" w:pos="1700"/>
        </w:tabs>
        <w:ind w:left="850" w:firstLine="350"/>
      </w:pPr>
      <w:r>
        <w:t>‘(7) Producers may not place packaging subject to the scheme participation obligation on the market if they have not participated in a scheme with this packaging in accordance with paragraph 1, sentence 1. Subsequent distributors may not offer for sale packaging subject to the scheme participation obligation and operators of an electronic marketplace may not enable packaging subject to the scheme participation obligation to be offered for sale if the producers have not participated in a scheme with this packaging in accordance with paragraph 1, sentence 1. Fulfilment service providers may not perform any of the activities specified in § 3(14c), sentence 1 in respect of packaging subject to the scheme participation obligation if the producers have not participated in a scheme with this packaging in accordance with paragraph 1, sentence 1; if a fulfilment service provider’s activity includes the packaging of goods in shipping packaging subject to the scheme participation obligation, the distributor of the goods for whom the fulfilment service provider is acting shall be deemed to be the producer in accordance with paragraph 1, sentence 1 in respect of the shipping packaging.’</w:t>
      </w:r>
    </w:p>
    <w:p w14:paraId="3F2218A2" w14:textId="4508CBFB" w:rsidR="001E50F8" w:rsidRPr="00BE5BA6" w:rsidRDefault="001E50F8" w:rsidP="0078139F">
      <w:pPr>
        <w:pStyle w:val="NummerierungStufe1"/>
        <w:keepNext/>
      </w:pPr>
      <w:r>
        <w:t>§ 8 is amended as follows:</w:t>
      </w:r>
    </w:p>
    <w:p w14:paraId="57D275D9" w14:textId="68957864" w:rsidR="00B9622D" w:rsidRPr="00BE5BA6" w:rsidRDefault="00B9622D" w:rsidP="00D14A92">
      <w:pPr>
        <w:pStyle w:val="NummerierungStufe2"/>
      </w:pPr>
      <w:r>
        <w:t xml:space="preserve">In paragraph 3, sentence 3, the words </w:t>
      </w:r>
      <w:r>
        <w:rPr>
          <w:rStyle w:val="RevisionText"/>
        </w:rPr>
        <w:t>‘to be submitted to the Central Authority’</w:t>
      </w:r>
      <w:r>
        <w:t xml:space="preserve"> are replaced by the words </w:t>
      </w:r>
      <w:r>
        <w:rPr>
          <w:rStyle w:val="RevisionText"/>
        </w:rPr>
        <w:t>‘to be deposited with the Central Authority’</w:t>
      </w:r>
      <w:r>
        <w:t>.</w:t>
      </w:r>
    </w:p>
    <w:p w14:paraId="7D863126" w14:textId="5303E76F" w:rsidR="001E50F8" w:rsidRPr="00BE5BA6" w:rsidRDefault="009677C5" w:rsidP="0078139F">
      <w:pPr>
        <w:pStyle w:val="NummerierungStufe2"/>
        <w:keepNext/>
      </w:pPr>
      <w:r>
        <w:t>The following paragraph 4 is inserted after paragraph 3:</w:t>
      </w:r>
    </w:p>
    <w:p w14:paraId="287B8210" w14:textId="15AD905F" w:rsidR="001E50F8" w:rsidRPr="00BE5BA6" w:rsidRDefault="001E50F8" w:rsidP="00932640">
      <w:pPr>
        <w:pStyle w:val="RevisionJuristischerAbsatzFolgeabsatz"/>
        <w:ind w:left="850"/>
      </w:pPr>
      <w:r>
        <w:t>‘(4) The obligations under § 15(4) apply accordingly to producers operating an industry solution.’</w:t>
      </w:r>
    </w:p>
    <w:p w14:paraId="39AE558A" w14:textId="6E591E8E" w:rsidR="009677C5" w:rsidRPr="00BE5BA6" w:rsidRDefault="009677C5" w:rsidP="009677C5">
      <w:pPr>
        <w:pStyle w:val="NummerierungStufe2"/>
      </w:pPr>
      <w:r>
        <w:t>The previous paragraph 4 becomes paragraph 5.</w:t>
      </w:r>
    </w:p>
    <w:p w14:paraId="6C34E96B" w14:textId="77777777" w:rsidR="00E027C4" w:rsidRPr="00BE5BA6" w:rsidRDefault="001E50F8" w:rsidP="0078139F">
      <w:pPr>
        <w:pStyle w:val="NummerierungStufe1"/>
        <w:keepNext/>
      </w:pPr>
      <w:r>
        <w:t>§ 9 is amended as follows:</w:t>
      </w:r>
    </w:p>
    <w:p w14:paraId="652F188A" w14:textId="71287E82" w:rsidR="002F61BC" w:rsidRPr="00BE5BA6" w:rsidRDefault="002F61BC" w:rsidP="00855C03">
      <w:pPr>
        <w:pStyle w:val="NummerierungStufe2"/>
      </w:pPr>
      <w:r>
        <w:t xml:space="preserve">In paragraph 1, sentence 1, the words </w:t>
      </w:r>
      <w:r>
        <w:rPr>
          <w:rStyle w:val="RevisionText"/>
        </w:rPr>
        <w:t>‘in accordance with § 7(1), sentence 1’</w:t>
      </w:r>
      <w:r>
        <w:t xml:space="preserve"> are replaced by the words </w:t>
      </w:r>
      <w:r>
        <w:rPr>
          <w:rStyle w:val="RevisionText"/>
        </w:rPr>
        <w:t>‘of packaging filled with goods’</w:t>
      </w:r>
      <w:r>
        <w:t xml:space="preserve"> and the words </w:t>
      </w:r>
      <w:r>
        <w:rPr>
          <w:rStyle w:val="RevisionText"/>
        </w:rPr>
        <w:t>‘of packaging subject to the scheme participation obligation’</w:t>
      </w:r>
      <w:r>
        <w:t xml:space="preserve"> are replaced by the word </w:t>
      </w:r>
      <w:r>
        <w:rPr>
          <w:rStyle w:val="RevisionText"/>
        </w:rPr>
        <w:t>‘of’</w:t>
      </w:r>
      <w:r>
        <w:t>.</w:t>
      </w:r>
    </w:p>
    <w:p w14:paraId="5D6CA4B5" w14:textId="1C3C86A4" w:rsidR="002F61BC" w:rsidRPr="00BE5BA6" w:rsidRDefault="002F61BC" w:rsidP="0078139F">
      <w:pPr>
        <w:pStyle w:val="NummerierungStufe2"/>
        <w:keepNext/>
      </w:pPr>
      <w:r>
        <w:t>Paragraph 2 is amended as follows:</w:t>
      </w:r>
    </w:p>
    <w:p w14:paraId="590601DE" w14:textId="1C8C329B" w:rsidR="002F61BC" w:rsidRPr="00BE5BA6" w:rsidRDefault="002F61BC" w:rsidP="00855C03">
      <w:pPr>
        <w:pStyle w:val="NummerierungStufe3"/>
      </w:pPr>
      <w:r>
        <w:t xml:space="preserve">In subparagraph 1, the words </w:t>
      </w:r>
      <w:r>
        <w:rPr>
          <w:rStyle w:val="RevisionText"/>
        </w:rPr>
        <w:t>‘telephone and fax numbers and e-mail address’</w:t>
      </w:r>
      <w:r>
        <w:t xml:space="preserve"> are replaced by the words </w:t>
      </w:r>
      <w:r>
        <w:rPr>
          <w:rStyle w:val="RevisionText"/>
        </w:rPr>
        <w:t>‘telephone number and European or national tax identification number’</w:t>
      </w:r>
      <w:r>
        <w:t>.</w:t>
      </w:r>
    </w:p>
    <w:p w14:paraId="549E2E5E" w14:textId="58CF25BF" w:rsidR="004D757A" w:rsidRPr="00BE5BA6" w:rsidRDefault="004D757A" w:rsidP="0078139F">
      <w:pPr>
        <w:pStyle w:val="NummerierungStufe3"/>
        <w:keepNext/>
      </w:pPr>
      <w:r>
        <w:lastRenderedPageBreak/>
        <w:t>The following subparagraph 2 is inserted after subparagraph 1:</w:t>
      </w:r>
    </w:p>
    <w:p w14:paraId="106E75AF" w14:textId="497E1D1B" w:rsidR="0072093D" w:rsidRPr="00BE5BA6" w:rsidRDefault="004D757A" w:rsidP="0078139F">
      <w:pPr>
        <w:pStyle w:val="RevisionNummerierungStufe1manuell"/>
        <w:keepNext/>
        <w:tabs>
          <w:tab w:val="clear" w:pos="425"/>
          <w:tab w:val="left" w:pos="1776"/>
        </w:tabs>
        <w:ind w:left="1776" w:hanging="500"/>
      </w:pPr>
      <w:r>
        <w:t>‘2.</w:t>
      </w:r>
      <w:r>
        <w:tab/>
        <w:t>in the case of a delegation of authority under § 35(2):</w:t>
      </w:r>
    </w:p>
    <w:p w14:paraId="6F7ACA00" w14:textId="062F6283" w:rsidR="004D757A" w:rsidRPr="00BE5BA6" w:rsidRDefault="004D757A" w:rsidP="00EB0DE0">
      <w:pPr>
        <w:pStyle w:val="RevisionNummerierungStufe2"/>
        <w:numPr>
          <w:ilvl w:val="4"/>
          <w:numId w:val="61"/>
        </w:numPr>
        <w:tabs>
          <w:tab w:val="clear" w:pos="850"/>
          <w:tab w:val="left" w:pos="1776"/>
          <w:tab w:val="num" w:pos="2201"/>
        </w:tabs>
        <w:ind w:left="1776" w:hanging="500"/>
      </w:pPr>
      <w:r>
        <w:t>The name, address and contact details of the authorised representative as specified in subparagraph 1, as well as</w:t>
      </w:r>
    </w:p>
    <w:p w14:paraId="3A8CEAB7" w14:textId="62E2FCED" w:rsidR="004D757A" w:rsidRPr="00BE5BA6" w:rsidRDefault="004D757A" w:rsidP="00EB0DE0">
      <w:pPr>
        <w:pStyle w:val="RevisionNummerierungStufe2"/>
        <w:numPr>
          <w:ilvl w:val="4"/>
          <w:numId w:val="61"/>
        </w:numPr>
        <w:tabs>
          <w:tab w:val="clear" w:pos="850"/>
          <w:tab w:val="left" w:pos="1776"/>
          <w:tab w:val="num" w:pos="2201"/>
        </w:tabs>
        <w:ind w:left="1776" w:hanging="500"/>
      </w:pPr>
      <w:r>
        <w:t>the written mandate from the producer;’.</w:t>
      </w:r>
    </w:p>
    <w:p w14:paraId="3546269E" w14:textId="05033A1D" w:rsidR="004D757A" w:rsidRPr="00BE5BA6" w:rsidRDefault="004D757A" w:rsidP="004D757A">
      <w:pPr>
        <w:pStyle w:val="NummerierungStufe3"/>
      </w:pPr>
      <w:r>
        <w:t>The previous subparagraph 2 becomes subparagraph 3.</w:t>
      </w:r>
    </w:p>
    <w:p w14:paraId="2134A1ED" w14:textId="3C960ADA" w:rsidR="00E54991" w:rsidRPr="00BE5BA6" w:rsidRDefault="005A2496" w:rsidP="005A2496">
      <w:pPr>
        <w:pStyle w:val="NummerierungStufe3"/>
      </w:pPr>
      <w:r>
        <w:t xml:space="preserve">The current subparagraph 3 becomes subparagraph 4 and the words </w:t>
      </w:r>
      <w:r>
        <w:rPr>
          <w:rStyle w:val="RevisionText"/>
        </w:rPr>
        <w:t>‘and e-mail address’</w:t>
      </w:r>
      <w:r>
        <w:t xml:space="preserve"> are inserted after the words </w:t>
      </w:r>
      <w:r>
        <w:rPr>
          <w:rStyle w:val="RevisionText"/>
        </w:rPr>
        <w:t>‘identification number’</w:t>
      </w:r>
      <w:r>
        <w:t xml:space="preserve"> and the words </w:t>
      </w:r>
      <w:r>
        <w:rPr>
          <w:rStyle w:val="RevisionText"/>
        </w:rPr>
        <w:t>‘, including the producer’s European or national tax number’</w:t>
      </w:r>
      <w:r>
        <w:t xml:space="preserve"> are replaced by the words </w:t>
      </w:r>
      <w:r>
        <w:rPr>
          <w:rStyle w:val="RevisionText"/>
        </w:rPr>
        <w:t>‘; in the case of an authorisation, the same information concerning the authorised representative’</w:t>
      </w:r>
      <w:r>
        <w:t>.</w:t>
      </w:r>
    </w:p>
    <w:p w14:paraId="125F09C8" w14:textId="2ED8A1BB" w:rsidR="008E44AD" w:rsidRPr="00BE5BA6" w:rsidRDefault="00637424" w:rsidP="002F61BC">
      <w:pPr>
        <w:pStyle w:val="NummerierungStufe3"/>
      </w:pPr>
      <w:r>
        <w:t>The previous subparagraph 4 becomes subparagraph 5.</w:t>
      </w:r>
    </w:p>
    <w:p w14:paraId="73E2353D" w14:textId="05DC401B" w:rsidR="002F61BC" w:rsidRPr="00BE5BA6" w:rsidRDefault="008E44AD" w:rsidP="002F61BC">
      <w:pPr>
        <w:pStyle w:val="NummerierungStufe3"/>
      </w:pPr>
      <w:r>
        <w:t xml:space="preserve">The word </w:t>
      </w:r>
      <w:r>
        <w:rPr>
          <w:rStyle w:val="RevisionText"/>
        </w:rPr>
        <w:t>‘subject to the scheme participation obligation’</w:t>
      </w:r>
      <w:r>
        <w:t xml:space="preserve"> in the new subparagraph 5 is deleted.</w:t>
      </w:r>
    </w:p>
    <w:p w14:paraId="148D4D8C" w14:textId="2A16D3C4" w:rsidR="008E44AD" w:rsidRPr="00BE5BA6" w:rsidRDefault="00637424" w:rsidP="002F61BC">
      <w:pPr>
        <w:pStyle w:val="NummerierungStufe3"/>
      </w:pPr>
      <w:r>
        <w:t>The previous subparagraphs 5 and 6 become the new subparagraphs 6 and 7.</w:t>
      </w:r>
    </w:p>
    <w:p w14:paraId="5531314E" w14:textId="48C6D614" w:rsidR="002F61BC" w:rsidRPr="00BE5BA6" w:rsidRDefault="008E44AD" w:rsidP="0078139F">
      <w:pPr>
        <w:pStyle w:val="NummerierungStufe3"/>
        <w:keepNext/>
      </w:pPr>
      <w:r>
        <w:t>The new subparagraphs 6 and 7 are worded as follows:</w:t>
      </w:r>
    </w:p>
    <w:p w14:paraId="75981666" w14:textId="03B028AA" w:rsidR="002F61BC" w:rsidRPr="00BE5BA6" w:rsidRDefault="002F61BC" w:rsidP="00932640">
      <w:pPr>
        <w:pStyle w:val="RevisionNummerierungStufe1manuell"/>
        <w:tabs>
          <w:tab w:val="clear" w:pos="425"/>
          <w:tab w:val="left" w:pos="1776"/>
        </w:tabs>
        <w:ind w:left="1776" w:hanging="500"/>
      </w:pPr>
      <w:r>
        <w:t>‘6.</w:t>
      </w:r>
      <w:r>
        <w:tab/>
        <w:t>Information on the packaging placed on the market by the producer, broken down into packaging subject to the scheme participation obligation pursuant to § 3(8), the respective packaging pursuant to § 15(1), sentence 1, subparagraphs 1 to 5 and single-use drinks packaging subject to the deposit-refund obligation pursuant to § 31;</w:t>
      </w:r>
    </w:p>
    <w:p w14:paraId="543F31FF" w14:textId="288F94AD" w:rsidR="002F61BC" w:rsidRPr="00BE5BA6" w:rsidRDefault="00320A2C" w:rsidP="00932640">
      <w:pPr>
        <w:pStyle w:val="RevisionNummerierungStufe1manuell"/>
        <w:tabs>
          <w:tab w:val="clear" w:pos="425"/>
          <w:tab w:val="left" w:pos="1776"/>
        </w:tabs>
        <w:ind w:left="1776"/>
      </w:pPr>
      <w:r>
        <w:t>7.</w:t>
      </w:r>
      <w:r>
        <w:tab/>
        <w:t>A declaration stating that all the information provided under this paragraph is truthful.’</w:t>
      </w:r>
    </w:p>
    <w:p w14:paraId="3B93D13F" w14:textId="0A0E2342" w:rsidR="002F61BC" w:rsidRPr="00BE5BA6" w:rsidRDefault="0064305F" w:rsidP="0078139F">
      <w:pPr>
        <w:pStyle w:val="NummerierungStufe3"/>
        <w:keepNext/>
      </w:pPr>
      <w:r>
        <w:t xml:space="preserve">The following sentence is added: </w:t>
      </w:r>
    </w:p>
    <w:p w14:paraId="3BF095F0" w14:textId="720C3775" w:rsidR="0064305F" w:rsidRPr="00BE5BA6" w:rsidRDefault="0064305F" w:rsidP="00932640">
      <w:pPr>
        <w:pStyle w:val="RevisionJuristischerAbsatzFolgeabsatz"/>
        <w:ind w:left="1276"/>
      </w:pPr>
      <w:r>
        <w:t>‘Producers pursuant to § 7(1) sentence 1 shall also submit a declaration that they fulfil their take-back obligations by participating in one or more schemes or through one or more sector solutions; in the event of a complete transfer of the scheme participation obligation pursuant to § 7(2) to one or more upstream distributors, they shall instead declare that they are only placing service packaging which is already involved in a scheme on the market.’</w:t>
      </w:r>
    </w:p>
    <w:p w14:paraId="34627F49" w14:textId="59B88534" w:rsidR="00A74DA8" w:rsidRPr="00BE5BA6" w:rsidRDefault="0064305F" w:rsidP="0078139F">
      <w:pPr>
        <w:pStyle w:val="NummerierungStufe2"/>
        <w:keepNext/>
      </w:pPr>
      <w:r>
        <w:t>Paragraph 4, sentence 1 is amended as follows:</w:t>
      </w:r>
    </w:p>
    <w:p w14:paraId="41665E0E" w14:textId="168DC104" w:rsidR="0051628C" w:rsidRPr="00BE5BA6" w:rsidRDefault="00E90D96" w:rsidP="00E90D96">
      <w:pPr>
        <w:pStyle w:val="NummerierungStufe3"/>
      </w:pPr>
      <w:r>
        <w:t xml:space="preserve">The words </w:t>
      </w:r>
      <w:r>
        <w:rPr>
          <w:rStyle w:val="RevisionText"/>
        </w:rPr>
        <w:t>‘and 4’</w:t>
      </w:r>
      <w:r>
        <w:t xml:space="preserve"> are replaced by the words </w:t>
      </w:r>
      <w:r>
        <w:rPr>
          <w:rStyle w:val="RevisionText"/>
        </w:rPr>
        <w:t>‘, 2(a) and subparagraph 5’</w:t>
      </w:r>
      <w:r>
        <w:t>.</w:t>
      </w:r>
    </w:p>
    <w:p w14:paraId="379D52CF" w14:textId="757B833F" w:rsidR="00E90D96" w:rsidRPr="00BE5BA6" w:rsidRDefault="00E90D96" w:rsidP="0072093D">
      <w:pPr>
        <w:pStyle w:val="NummerierungStufe3"/>
      </w:pPr>
      <w:r>
        <w:t xml:space="preserve">The new entry </w:t>
      </w:r>
      <w:r>
        <w:rPr>
          <w:rStyle w:val="RevisionText"/>
        </w:rPr>
        <w:t xml:space="preserve">‘subparagraph 5’ </w:t>
      </w:r>
      <w:r>
        <w:t xml:space="preserve">is replaced by the words </w:t>
      </w:r>
      <w:r>
        <w:rPr>
          <w:rStyle w:val="RevisionText"/>
        </w:rPr>
        <w:t>‘subparagraphs 5 and 6’</w:t>
      </w:r>
      <w:r>
        <w:t>.</w:t>
      </w:r>
    </w:p>
    <w:p w14:paraId="62A38A44" w14:textId="7DB67CE2" w:rsidR="001E50F8" w:rsidRPr="00BE5BA6" w:rsidRDefault="001E50F8" w:rsidP="0078139F">
      <w:pPr>
        <w:pStyle w:val="NummerierungStufe2"/>
        <w:keepNext/>
      </w:pPr>
      <w:r>
        <w:t>Paragraph 5 is amended as follows:</w:t>
      </w:r>
    </w:p>
    <w:p w14:paraId="0F9E8D92" w14:textId="38634126" w:rsidR="001E50F8" w:rsidRPr="00BE5BA6" w:rsidRDefault="001E50F8" w:rsidP="00E027C4">
      <w:pPr>
        <w:pStyle w:val="NummerierungStufe3"/>
      </w:pPr>
      <w:r>
        <w:t xml:space="preserve">In sentences 1 and 2, the words </w:t>
      </w:r>
      <w:r>
        <w:rPr>
          <w:rStyle w:val="RevisionText"/>
        </w:rPr>
        <w:t>‘subject to the scheme participation obligation’</w:t>
      </w:r>
      <w:r>
        <w:t xml:space="preserve"> are deleted.</w:t>
      </w:r>
    </w:p>
    <w:p w14:paraId="46FC4216" w14:textId="0B755AD7" w:rsidR="001E50F8" w:rsidRPr="00BE5BA6" w:rsidRDefault="001E50F8" w:rsidP="00E027C4">
      <w:pPr>
        <w:pStyle w:val="NummerierungStufe3"/>
      </w:pPr>
      <w:r>
        <w:lastRenderedPageBreak/>
        <w:t xml:space="preserve">In sentence 2, the words </w:t>
      </w:r>
      <w:r>
        <w:rPr>
          <w:rStyle w:val="RevisionText"/>
        </w:rPr>
        <w:t>‘and operators of an electronic marketplace may not enable packaging to be offered for sale’</w:t>
      </w:r>
      <w:r>
        <w:t xml:space="preserve"> are inserted after the word </w:t>
      </w:r>
      <w:r>
        <w:rPr>
          <w:rStyle w:val="RevisionText"/>
        </w:rPr>
        <w:t>‘offer’</w:t>
      </w:r>
      <w:r>
        <w:t xml:space="preserve">, the words </w:t>
      </w:r>
      <w:r>
        <w:rPr>
          <w:rStyle w:val="RevisionText"/>
        </w:rPr>
        <w:t>‘in accordance with paragraph 1’</w:t>
      </w:r>
      <w:r>
        <w:t xml:space="preserve"> are inserted after the word </w:t>
      </w:r>
      <w:r>
        <w:rPr>
          <w:rStyle w:val="RevisionText"/>
        </w:rPr>
        <w:t>‘properly’</w:t>
      </w:r>
      <w:r>
        <w:t xml:space="preserve"> and the words </w:t>
      </w:r>
      <w:r>
        <w:rPr>
          <w:rStyle w:val="RevisionText"/>
        </w:rPr>
        <w:t>‘contrary to paragraph 1’</w:t>
      </w:r>
      <w:r>
        <w:t xml:space="preserve"> are deleted.</w:t>
      </w:r>
    </w:p>
    <w:p w14:paraId="13D57CCD" w14:textId="302AA5E6" w:rsidR="001E50F8" w:rsidRPr="00BE5BA6" w:rsidRDefault="001E50F8" w:rsidP="00E027C4">
      <w:pPr>
        <w:pStyle w:val="NummerierungStufe3"/>
      </w:pPr>
      <w:r>
        <w:t>The following sentence is added:</w:t>
      </w:r>
    </w:p>
    <w:p w14:paraId="57E46697" w14:textId="15264690" w:rsidR="0075479D" w:rsidRPr="00BE5BA6" w:rsidRDefault="0075479D" w:rsidP="00932640">
      <w:pPr>
        <w:pStyle w:val="RevisionJuristischerAbsatzFolgeabsatz"/>
        <w:ind w:left="1276"/>
      </w:pPr>
      <w:r>
        <w:t>‘Fulfilment service providers may not provide any of the activities referred to in § 3(14c), sentence 1 in relation to packaging if the producers of said packaging are not, or are not properly, registered in accordance with paragraph 1.’</w:t>
      </w:r>
    </w:p>
    <w:p w14:paraId="6B779BB1" w14:textId="3080FDEF" w:rsidR="00F607A3" w:rsidRPr="00BE5BA6" w:rsidRDefault="00F607A3" w:rsidP="0078139F">
      <w:pPr>
        <w:pStyle w:val="NummerierungStufe1"/>
        <w:keepNext/>
      </w:pPr>
      <w:r>
        <w:t>The following sentences are added to § 10(1):</w:t>
      </w:r>
    </w:p>
    <w:p w14:paraId="5F9A788A" w14:textId="323EB767" w:rsidR="00F607A3" w:rsidRPr="00BE5BA6" w:rsidRDefault="00F607A3" w:rsidP="00932640">
      <w:pPr>
        <w:pStyle w:val="RevisionJuristischerAbsatzFolgeabsatz"/>
        <w:ind w:left="425"/>
        <w:rPr>
          <w:rStyle w:val="Marker"/>
        </w:rPr>
      </w:pPr>
      <w:r>
        <w:t>The information as per sentence 1(2) must be itemised according to the material types mentioned in § 16(2) sentences 1 and 2. Other materials are each to be consolidated into a single statement. Composite packaging that is recovered in accordance with § 16(3) sentence 4 shall be allocated to the corresponding main material type.’</w:t>
      </w:r>
    </w:p>
    <w:p w14:paraId="7A03D2C8" w14:textId="3EDA7542" w:rsidR="002050FC" w:rsidRPr="00BE5BA6" w:rsidRDefault="006238D1" w:rsidP="0078139F">
      <w:pPr>
        <w:pStyle w:val="NummerierungStufe1"/>
        <w:keepNext/>
      </w:pPr>
      <w:r>
        <w:t>§ 11 is amended as follows:</w:t>
      </w:r>
    </w:p>
    <w:p w14:paraId="0072C6E3" w14:textId="233E8E2C" w:rsidR="00DA0B57" w:rsidRPr="00BE5BA6" w:rsidRDefault="00DA0B57" w:rsidP="0078139F">
      <w:pPr>
        <w:pStyle w:val="NummerierungStufe2"/>
        <w:keepNext/>
      </w:pPr>
      <w:r>
        <w:t>Paragraph 2 is amended as follows:</w:t>
      </w:r>
    </w:p>
    <w:p w14:paraId="327A1AB3" w14:textId="03539E94" w:rsidR="00DA0B57" w:rsidRPr="00BE5BA6" w:rsidRDefault="00DA0B57" w:rsidP="00410FA3">
      <w:pPr>
        <w:pStyle w:val="NummerierungStufe3"/>
      </w:pPr>
      <w:r>
        <w:t xml:space="preserve">In sentence 2, the words </w:t>
      </w:r>
      <w:r>
        <w:rPr>
          <w:rStyle w:val="RevisionText"/>
        </w:rPr>
        <w:t>‘sentences 1 and 2</w:t>
      </w:r>
      <w:r>
        <w:t xml:space="preserve">’ are inserted after </w:t>
      </w:r>
      <w:r>
        <w:rPr>
          <w:rStyle w:val="RevisionText"/>
        </w:rPr>
        <w:t>‘paragraph 2’</w:t>
      </w:r>
      <w:r>
        <w:t>.</w:t>
      </w:r>
    </w:p>
    <w:p w14:paraId="642111CD" w14:textId="39F738B5" w:rsidR="002050FC" w:rsidRPr="00BE5BA6" w:rsidRDefault="00DA0B57" w:rsidP="00410FA3">
      <w:pPr>
        <w:pStyle w:val="NummerierungStufe3"/>
      </w:pPr>
      <w:r>
        <w:t>The following sentence is added:</w:t>
      </w:r>
    </w:p>
    <w:p w14:paraId="475B1D84" w14:textId="4B61C0C5" w:rsidR="002050FC" w:rsidRPr="00BE5BA6" w:rsidRDefault="002050FC" w:rsidP="00932640">
      <w:pPr>
        <w:pStyle w:val="RevisionJuristischerAbsatzFolgeabsatz"/>
        <w:ind w:left="850"/>
        <w:rPr>
          <w:rStyle w:val="Marker"/>
        </w:rPr>
      </w:pPr>
      <w:r>
        <w:t>‘Composite packaging that has been recovered in accordance with § 16(3) sentence 4 shall be allocated to the appropriate main material type.’</w:t>
      </w:r>
    </w:p>
    <w:p w14:paraId="0FD1D818" w14:textId="67F66712" w:rsidR="0070132A" w:rsidRPr="00BE5BA6" w:rsidRDefault="002050FC" w:rsidP="0070132A">
      <w:pPr>
        <w:pStyle w:val="NummerierungStufe2"/>
      </w:pPr>
      <w:r>
        <w:t xml:space="preserve">In paragraph 3, sentence 2, the words </w:t>
      </w:r>
      <w:r>
        <w:rPr>
          <w:rStyle w:val="RevisionText"/>
        </w:rPr>
        <w:t>‘in accordance with § 2 of the Electronic Signature Act’</w:t>
      </w:r>
      <w:r>
        <w:t xml:space="preserve"> are deleted. </w:t>
      </w:r>
    </w:p>
    <w:p w14:paraId="017C0628" w14:textId="4697DE2D" w:rsidR="005A2496" w:rsidRPr="00BE5BA6" w:rsidRDefault="005A2496" w:rsidP="0078139F">
      <w:pPr>
        <w:pStyle w:val="NummerierungStufe1"/>
        <w:keepNext/>
      </w:pPr>
      <w:r>
        <w:t xml:space="preserve">§ 12 is worded as follows: </w:t>
      </w:r>
    </w:p>
    <w:p w14:paraId="290C35D9" w14:textId="61C8E696" w:rsidR="008C7E75" w:rsidRPr="00BE5BA6" w:rsidRDefault="008C7E75" w:rsidP="0072093D">
      <w:pPr>
        <w:pStyle w:val="RevisionParagraphBezeichnermanuell"/>
        <w:ind w:left="425" w:hanging="75"/>
      </w:pPr>
      <w:r>
        <w:t>‘§ 12</w:t>
      </w:r>
    </w:p>
    <w:p w14:paraId="284BACE8" w14:textId="7298F6DD" w:rsidR="008C7E75" w:rsidRPr="00BE5BA6" w:rsidRDefault="008C7E75" w:rsidP="0072093D">
      <w:pPr>
        <w:pStyle w:val="RevisionParagraphberschrift"/>
        <w:ind w:left="425"/>
      </w:pPr>
      <w:r>
        <w:t>Exemptions</w:t>
      </w:r>
    </w:p>
    <w:p w14:paraId="053714D4" w14:textId="72DD1439" w:rsidR="008C7E75" w:rsidRPr="00BE5BA6" w:rsidRDefault="008C7E75" w:rsidP="0072093D">
      <w:pPr>
        <w:pStyle w:val="RevisionJuristischerAbsatz"/>
        <w:numPr>
          <w:ilvl w:val="2"/>
          <w:numId w:val="59"/>
        </w:numPr>
        <w:tabs>
          <w:tab w:val="clear" w:pos="850"/>
          <w:tab w:val="num" w:pos="1275"/>
        </w:tabs>
        <w:ind w:left="425"/>
      </w:pPr>
      <w:r>
        <w:t>The provisions of this section do not apply to packaging subject to the scheme participation obligation that is demonstrably not supplied to final consumers within the area covered by this Act.</w:t>
      </w:r>
    </w:p>
    <w:p w14:paraId="3EBE3EF5" w14:textId="265DC41F" w:rsidR="002D0B16" w:rsidRPr="00BE5BA6" w:rsidRDefault="008C7E75" w:rsidP="0078139F">
      <w:pPr>
        <w:pStyle w:val="RevisionJuristischerAbsatz"/>
        <w:keepNext/>
        <w:tabs>
          <w:tab w:val="clear" w:pos="850"/>
          <w:tab w:val="num" w:pos="1275"/>
        </w:tabs>
        <w:ind w:left="425"/>
      </w:pPr>
      <w:r>
        <w:t>The provisions of this Section, with the exception of § 9, do not apply to</w:t>
      </w:r>
    </w:p>
    <w:p w14:paraId="5FC2CFAC" w14:textId="0D17248F" w:rsidR="008C7E75" w:rsidRPr="00BE5BA6" w:rsidRDefault="008C7E75" w:rsidP="0072093D">
      <w:pPr>
        <w:pStyle w:val="RevisionNummerierungStufe1"/>
        <w:tabs>
          <w:tab w:val="clear" w:pos="851"/>
          <w:tab w:val="num" w:pos="1276"/>
        </w:tabs>
        <w:ind w:left="1276"/>
      </w:pPr>
      <w:r>
        <w:t>reusable packaging,</w:t>
      </w:r>
    </w:p>
    <w:p w14:paraId="2A1E6C81" w14:textId="3FF1C784" w:rsidR="008C7E75" w:rsidRPr="00BE5BA6" w:rsidRDefault="008C7E75" w:rsidP="0072093D">
      <w:pPr>
        <w:pStyle w:val="RevisionNummerierungStufe1"/>
        <w:tabs>
          <w:tab w:val="clear" w:pos="851"/>
          <w:tab w:val="num" w:pos="1276"/>
        </w:tabs>
        <w:ind w:left="1276"/>
      </w:pPr>
      <w:r>
        <w:t>single-use packaging which is subject to the deposit-refund obligation as per § 31,</w:t>
      </w:r>
    </w:p>
    <w:p w14:paraId="0B56F556" w14:textId="2786371A" w:rsidR="008C7E75" w:rsidRPr="00BE5BA6" w:rsidRDefault="008C7E75" w:rsidP="0072093D">
      <w:pPr>
        <w:pStyle w:val="RevisionNummerierungStufe1"/>
        <w:tabs>
          <w:tab w:val="clear" w:pos="851"/>
          <w:tab w:val="num" w:pos="1276"/>
        </w:tabs>
        <w:ind w:left="1276"/>
      </w:pPr>
      <w:r>
        <w:t>sales packaging holding filling materials containing hazardous substances.’</w:t>
      </w:r>
    </w:p>
    <w:p w14:paraId="2258AB09" w14:textId="012F6EF4" w:rsidR="00320A2C" w:rsidRPr="00BE5BA6" w:rsidRDefault="00BE2C27" w:rsidP="0078139F">
      <w:pPr>
        <w:pStyle w:val="NummerierungStufe1"/>
        <w:keepNext/>
      </w:pPr>
      <w:r>
        <w:lastRenderedPageBreak/>
        <w:t>§ 14 is amended as follows:</w:t>
      </w:r>
    </w:p>
    <w:p w14:paraId="3CF67C1B" w14:textId="7639A503" w:rsidR="00320A2C" w:rsidRPr="00BE5BA6" w:rsidRDefault="00BE2C27" w:rsidP="0078139F">
      <w:pPr>
        <w:pStyle w:val="NummerierungStufe2"/>
        <w:keepNext/>
      </w:pPr>
      <w:r>
        <w:t>The following sentence is inserted after paragraph 3, sentence 1:</w:t>
      </w:r>
    </w:p>
    <w:p w14:paraId="5329C68F" w14:textId="690C9AFE" w:rsidR="00191E82" w:rsidRPr="00BE5BA6" w:rsidRDefault="00FB77A7" w:rsidP="0078139F">
      <w:pPr>
        <w:pStyle w:val="RevisionJuristischerAbsatzFolgeabsatz"/>
        <w:keepNext/>
        <w:ind w:left="850"/>
      </w:pPr>
      <w:r>
        <w:t xml:space="preserve">‘Schemes must also provide information on the following with regard to single-use plastic packaging: </w:t>
      </w:r>
    </w:p>
    <w:p w14:paraId="3F8779D5" w14:textId="23A2E4BB" w:rsidR="00B446F9" w:rsidRPr="00BE5BA6" w:rsidRDefault="00B446F9" w:rsidP="00B446F9">
      <w:pPr>
        <w:pStyle w:val="RevisionNummerierungStufe1"/>
        <w:numPr>
          <w:ilvl w:val="3"/>
          <w:numId w:val="50"/>
        </w:numPr>
      </w:pPr>
      <w:r>
        <w:t>on the impact of littering on the environment, in particular on the marine environment, and</w:t>
      </w:r>
    </w:p>
    <w:p w14:paraId="0D2C4BCB" w14:textId="3F753D95" w:rsidR="00FB77A7" w:rsidRPr="00BE5BA6" w:rsidRDefault="00FB77A7" w:rsidP="00B446F9">
      <w:pPr>
        <w:pStyle w:val="RevisionNummerierungStufe1"/>
        <w:tabs>
          <w:tab w:val="clear" w:pos="851"/>
          <w:tab w:val="num" w:pos="850"/>
        </w:tabs>
        <w:ind w:left="850"/>
      </w:pPr>
      <w:r>
        <w:t>on measures to prevent such littering, in particular on the availability of reusable packaging as an alternative to the single-use plastic packaging referred to in Part G of the Annex to Directive (EU) 2019/904 of the European Parliament and of the Council of 5 June 2019 on the reduction of the impact of certain plastic products on the environment (OJ L 155, 12.6.2019, p. 1).’</w:t>
      </w:r>
    </w:p>
    <w:p w14:paraId="1DBB46A7" w14:textId="6DCB9AE3" w:rsidR="00F51693" w:rsidRPr="00BE5BA6" w:rsidRDefault="009B5A17" w:rsidP="0078139F">
      <w:pPr>
        <w:pStyle w:val="NummerierungStufe2"/>
        <w:keepNext/>
      </w:pPr>
      <w:r>
        <w:t>The following paragraph 4 is added:</w:t>
      </w:r>
    </w:p>
    <w:p w14:paraId="338E81F8" w14:textId="117E53A2" w:rsidR="00F51693" w:rsidRPr="00BE5BA6" w:rsidRDefault="00F51693" w:rsidP="0078139F">
      <w:pPr>
        <w:pStyle w:val="RevisionJuristischerAbsatzFolgeabsatz"/>
        <w:keepNext/>
        <w:ind w:left="850"/>
      </w:pPr>
      <w:r>
        <w:t>‘(4) Schemes shall publish and regularly update the following information on their websites:</w:t>
      </w:r>
    </w:p>
    <w:p w14:paraId="7D1CE713" w14:textId="4B947282" w:rsidR="00F51693" w:rsidRPr="00BE5BA6" w:rsidRDefault="00FB77A7" w:rsidP="00932640">
      <w:pPr>
        <w:pStyle w:val="RevisionNummerierungStufe1"/>
        <w:numPr>
          <w:ilvl w:val="3"/>
          <w:numId w:val="31"/>
        </w:numPr>
        <w:tabs>
          <w:tab w:val="num" w:pos="1275"/>
        </w:tabs>
        <w:ind w:left="1275"/>
      </w:pPr>
      <w:r>
        <w:t>their ownership and membership situations,</w:t>
      </w:r>
    </w:p>
    <w:p w14:paraId="58D9B7E4" w14:textId="365B3376" w:rsidR="00F51693" w:rsidRPr="00BE5BA6" w:rsidRDefault="00F51693" w:rsidP="005733DF">
      <w:pPr>
        <w:pStyle w:val="RevisionNummerierungStufe1"/>
        <w:tabs>
          <w:tab w:val="num" w:pos="1275"/>
        </w:tabs>
        <w:ind w:left="1275"/>
      </w:pPr>
      <w:r>
        <w:t>the fees paid by the participating producers per unit of packaging or mass subject to the scheme participation obligation on the market, and</w:t>
      </w:r>
    </w:p>
    <w:p w14:paraId="605D5C1E" w14:textId="79B8BC18" w:rsidR="00FB77A7" w:rsidRPr="00BE5BA6" w:rsidRDefault="00F51693" w:rsidP="00932640">
      <w:pPr>
        <w:pStyle w:val="RevisionNummerierungStufe1"/>
        <w:tabs>
          <w:tab w:val="num" w:pos="1275"/>
        </w:tabs>
        <w:ind w:left="1275"/>
      </w:pPr>
      <w:r>
        <w:t>the procedure they use to select waste management facilities, unless they are selected in accordance with the requirements of § 23.</w:t>
      </w:r>
    </w:p>
    <w:p w14:paraId="5A0F7E9B" w14:textId="0B38D55F" w:rsidR="00F51693" w:rsidRPr="00BE5BA6" w:rsidRDefault="00EF2385" w:rsidP="00932640">
      <w:pPr>
        <w:pStyle w:val="RevisionJuristischerAbsatzFolgeabsatz"/>
        <w:ind w:left="850"/>
      </w:pPr>
      <w:r>
        <w:t xml:space="preserve">This does not apply if the information is a trade secret. If there is any doubt as to whether a trade secret is at hand, the Central Authority may require schemes to provide a justification in text form as to why the undisclosed information constitutes a trade secret.’ </w:t>
      </w:r>
    </w:p>
    <w:p w14:paraId="770F8081" w14:textId="1FDC7FB4" w:rsidR="00FE5B2E" w:rsidRPr="00BE5BA6" w:rsidRDefault="00FE5B2E" w:rsidP="0078139F">
      <w:pPr>
        <w:pStyle w:val="NummerierungStufe1"/>
        <w:keepNext/>
      </w:pPr>
      <w:r>
        <w:t>§ 15 is amended as follows:</w:t>
      </w:r>
    </w:p>
    <w:p w14:paraId="5F9CED6F" w14:textId="14BB597A" w:rsidR="009B1AAB" w:rsidRPr="00BE5BA6" w:rsidRDefault="00A3203C" w:rsidP="0078139F">
      <w:pPr>
        <w:pStyle w:val="NummerierungStufe2"/>
        <w:keepNext/>
      </w:pPr>
      <w:r>
        <w:t>Paragraph 1 is amended as follows:</w:t>
      </w:r>
    </w:p>
    <w:p w14:paraId="7264499A" w14:textId="764BD5D5" w:rsidR="00A3203C" w:rsidRPr="00BE5BA6" w:rsidRDefault="00A3203C" w:rsidP="0078139F">
      <w:pPr>
        <w:pStyle w:val="NummerierungStufe3"/>
        <w:keepNext/>
      </w:pPr>
      <w:r>
        <w:t>Sentence 1 is amended as follows:</w:t>
      </w:r>
    </w:p>
    <w:p w14:paraId="56574C6E" w14:textId="200F2ED4" w:rsidR="00A3203C" w:rsidRPr="00BE5BA6" w:rsidRDefault="00A3203C" w:rsidP="00A3203C">
      <w:pPr>
        <w:pStyle w:val="NummerierungStufe4"/>
      </w:pPr>
      <w:r>
        <w:t xml:space="preserve">In subparagraph 3, the word </w:t>
      </w:r>
      <w:r>
        <w:rPr>
          <w:rStyle w:val="RevisionText"/>
        </w:rPr>
        <w:t>‘and’</w:t>
      </w:r>
      <w:r>
        <w:t xml:space="preserve"> after the word </w:t>
      </w:r>
      <w:r>
        <w:rPr>
          <w:rStyle w:val="RevisionText"/>
        </w:rPr>
        <w:t>‘is,’</w:t>
      </w:r>
      <w:r>
        <w:t xml:space="preserve"> is deleted.</w:t>
      </w:r>
    </w:p>
    <w:p w14:paraId="1F9FE21B" w14:textId="5BCAC5BE" w:rsidR="00A3203C" w:rsidRPr="00BE5BA6" w:rsidRDefault="00A3203C" w:rsidP="00A3203C">
      <w:pPr>
        <w:pStyle w:val="NummerierungStufe4"/>
      </w:pPr>
      <w:r>
        <w:t xml:space="preserve">The word </w:t>
      </w:r>
      <w:r>
        <w:rPr>
          <w:rStyle w:val="RevisionText"/>
        </w:rPr>
        <w:t>‘or’</w:t>
      </w:r>
      <w:r>
        <w:t xml:space="preserve"> is added to subparagraph 4.</w:t>
      </w:r>
    </w:p>
    <w:p w14:paraId="7D6538D4" w14:textId="7BAFD166" w:rsidR="00A3203C" w:rsidRPr="00BE5BA6" w:rsidRDefault="00A3203C" w:rsidP="0078139F">
      <w:pPr>
        <w:pStyle w:val="NummerierungStufe4"/>
        <w:keepNext/>
      </w:pPr>
      <w:r>
        <w:t>The following subparagraph 5 is inserted after subparagraph 4:</w:t>
      </w:r>
    </w:p>
    <w:p w14:paraId="13D57A7D" w14:textId="110E508F" w:rsidR="00A3203C" w:rsidRPr="00BE5BA6" w:rsidRDefault="00A3203C" w:rsidP="00932640">
      <w:pPr>
        <w:pStyle w:val="RevisionNummerierungStufe1manuell"/>
        <w:tabs>
          <w:tab w:val="clear" w:pos="425"/>
          <w:tab w:val="left" w:pos="2484"/>
        </w:tabs>
        <w:ind w:left="2484" w:hanging="500"/>
      </w:pPr>
      <w:r>
        <w:t>‘5. reusable packaging’</w:t>
      </w:r>
      <w:r>
        <w:rPr>
          <w:color w:val="auto"/>
        </w:rPr>
        <w:t>.</w:t>
      </w:r>
    </w:p>
    <w:p w14:paraId="292926C9" w14:textId="51557A33" w:rsidR="00FE5B2E" w:rsidRPr="00BE5BA6" w:rsidRDefault="00A3203C" w:rsidP="0078139F">
      <w:pPr>
        <w:pStyle w:val="NummerierungStufe3"/>
        <w:keepNext/>
      </w:pPr>
      <w:r>
        <w:t>The following sentence is added:</w:t>
      </w:r>
    </w:p>
    <w:p w14:paraId="0E922DAF" w14:textId="4F942438" w:rsidR="00FE5B2E" w:rsidRPr="00BE5BA6" w:rsidRDefault="00FE5B2E" w:rsidP="00932640">
      <w:pPr>
        <w:pStyle w:val="RevisionJuristischerAbsatzFolgeabsatz"/>
        <w:ind w:left="1276"/>
      </w:pPr>
      <w:r>
        <w:t>‘Final distributors of packaging pursuant to sentence 1 shall inform the final consumers by appropriate measures to an adequate extent about the return option and its meaning and purpose.’</w:t>
      </w:r>
    </w:p>
    <w:p w14:paraId="161C0719" w14:textId="76F05B57" w:rsidR="00191E82" w:rsidRPr="00BE5BA6" w:rsidRDefault="00FE5B2E" w:rsidP="0078139F">
      <w:pPr>
        <w:pStyle w:val="NummerierungStufe2"/>
        <w:keepNext/>
      </w:pPr>
      <w:r>
        <w:lastRenderedPageBreak/>
        <w:t>Paragraph 3 is amended as follows:</w:t>
      </w:r>
    </w:p>
    <w:p w14:paraId="1E88C0D1" w14:textId="1B2C4FC8" w:rsidR="00FE5B2E" w:rsidRPr="00BE5BA6" w:rsidRDefault="00FE5B2E" w:rsidP="0078139F">
      <w:pPr>
        <w:pStyle w:val="NummerierungStufe3"/>
        <w:keepNext/>
      </w:pPr>
      <w:r>
        <w:t>Sentence 3 is worded as follows:</w:t>
      </w:r>
    </w:p>
    <w:p w14:paraId="6CD08FC1" w14:textId="50EECF35" w:rsidR="00867A5D" w:rsidRPr="00BE5BA6" w:rsidRDefault="00867A5D" w:rsidP="00932640">
      <w:pPr>
        <w:pStyle w:val="RevisionJuristischerAbsatzFolgeabsatz"/>
        <w:ind w:left="1276"/>
      </w:pPr>
      <w:r>
        <w:t>‘Evidence of compliance with the take-back and recovery requirements shall be provided.’</w:t>
      </w:r>
    </w:p>
    <w:p w14:paraId="198F92D4" w14:textId="147EC6C4" w:rsidR="00867A5D" w:rsidRPr="00BE5BA6" w:rsidRDefault="00867A5D" w:rsidP="0078139F">
      <w:pPr>
        <w:pStyle w:val="NummerierungStufe3"/>
        <w:keepNext/>
      </w:pPr>
      <w:r>
        <w:t>The following sentence is inserted after sentence 5:</w:t>
      </w:r>
    </w:p>
    <w:p w14:paraId="0DBC2A68" w14:textId="55979EE2" w:rsidR="00867A5D" w:rsidRPr="00BE5BA6" w:rsidRDefault="00867A5D" w:rsidP="00932640">
      <w:pPr>
        <w:pStyle w:val="RevisionJuristischerAbsatzFolgeabsatz"/>
        <w:ind w:left="1276"/>
      </w:pPr>
      <w:r>
        <w:t>‘Appropriate self-monitoring mechanisms shall be established to assess the accuracy and completeness of documentation.’</w:t>
      </w:r>
    </w:p>
    <w:p w14:paraId="477D43E5" w14:textId="247B6401" w:rsidR="00867A5D" w:rsidRPr="00BE5BA6" w:rsidRDefault="00867A5D" w:rsidP="005733DF">
      <w:pPr>
        <w:pStyle w:val="NummerierungStufe3"/>
      </w:pPr>
      <w:r>
        <w:t xml:space="preserve">In the new sentence 7, the word </w:t>
      </w:r>
      <w:r>
        <w:rPr>
          <w:rStyle w:val="RevisionText"/>
        </w:rPr>
        <w:t>‘It’</w:t>
      </w:r>
      <w:r>
        <w:t xml:space="preserve"> is replaced by the words </w:t>
      </w:r>
      <w:r>
        <w:rPr>
          <w:rStyle w:val="RevisionText"/>
        </w:rPr>
        <w:t>‘The documentation’</w:t>
      </w:r>
      <w:r>
        <w:t>.</w:t>
      </w:r>
    </w:p>
    <w:p w14:paraId="28B67965" w14:textId="05AF6C0F" w:rsidR="00867A5D" w:rsidRPr="00BE5BA6" w:rsidRDefault="001277BC" w:rsidP="0078139F">
      <w:pPr>
        <w:pStyle w:val="NummerierungStufe2"/>
        <w:keepNext/>
      </w:pPr>
      <w:r>
        <w:t>The following paragraph 4 is inserted after paragraph 3:</w:t>
      </w:r>
    </w:p>
    <w:p w14:paraId="35D12662" w14:textId="02D260DF" w:rsidR="001277BC" w:rsidRPr="00BE5BA6" w:rsidRDefault="001277BC" w:rsidP="00932640">
      <w:pPr>
        <w:pStyle w:val="RevisionJuristischerAbsatzmanuell"/>
        <w:tabs>
          <w:tab w:val="clear" w:pos="850"/>
          <w:tab w:val="left" w:pos="1700"/>
        </w:tabs>
        <w:ind w:left="850" w:firstLine="350"/>
      </w:pPr>
      <w:r>
        <w:t>‘(4) Producers and subsequent distributors of packaging in the supply chain pursuant to paragraph 1, sentence 1 shall be obliged to maintain the financial and organisational means to fulfil their obligations under this provision. They shall establish appropriate self-monitoring mechanisms to evaluate their financial management.’</w:t>
      </w:r>
    </w:p>
    <w:p w14:paraId="7174DF64" w14:textId="74972DF3" w:rsidR="001277BC" w:rsidRPr="00BE5BA6" w:rsidRDefault="001277BC" w:rsidP="0078139F">
      <w:pPr>
        <w:pStyle w:val="NummerierungStufe2"/>
        <w:keepNext/>
      </w:pPr>
      <w:r>
        <w:t>The previous paragraph 4 becomes paragraph 5 and is amended as follows:</w:t>
      </w:r>
    </w:p>
    <w:p w14:paraId="651286B4" w14:textId="116B5BC4" w:rsidR="006F633D" w:rsidRPr="00BE5BA6" w:rsidRDefault="006F633D" w:rsidP="006F633D">
      <w:pPr>
        <w:pStyle w:val="NummerierungStufe3"/>
      </w:pPr>
      <w:r>
        <w:t xml:space="preserve">In sentence 1, the word </w:t>
      </w:r>
      <w:r>
        <w:rPr>
          <w:rStyle w:val="RevisionText"/>
        </w:rPr>
        <w:t>‘and’</w:t>
      </w:r>
      <w:r>
        <w:t xml:space="preserve"> is replaced by a comma and the words </w:t>
      </w:r>
      <w:r>
        <w:rPr>
          <w:rStyle w:val="RevisionText"/>
        </w:rPr>
        <w:t>‘and the obligations under paragraph 4’</w:t>
      </w:r>
      <w:r>
        <w:t xml:space="preserve"> are inserted after the entry </w:t>
      </w:r>
      <w:r>
        <w:rPr>
          <w:rStyle w:val="RevisionText"/>
        </w:rPr>
        <w:t>‘sentence 2’</w:t>
      </w:r>
      <w:r>
        <w:t>.</w:t>
      </w:r>
    </w:p>
    <w:p w14:paraId="12C688BA" w14:textId="40391DCA" w:rsidR="006F633D" w:rsidRPr="00BE5BA6" w:rsidRDefault="006F633D" w:rsidP="006F633D">
      <w:pPr>
        <w:pStyle w:val="NummerierungStufe3"/>
      </w:pPr>
      <w:r>
        <w:t xml:space="preserve">In sentence 5, the number </w:t>
      </w:r>
      <w:r>
        <w:rPr>
          <w:rStyle w:val="RevisionText"/>
        </w:rPr>
        <w:t>‘5’</w:t>
      </w:r>
      <w:r>
        <w:t xml:space="preserve"> is replaced by the number </w:t>
      </w:r>
      <w:r>
        <w:rPr>
          <w:rStyle w:val="RevisionText"/>
        </w:rPr>
        <w:t>‘6’</w:t>
      </w:r>
      <w:r>
        <w:t>.</w:t>
      </w:r>
    </w:p>
    <w:p w14:paraId="3EDB383B" w14:textId="60439A22" w:rsidR="00B769BA" w:rsidRPr="00BE5BA6" w:rsidRDefault="00B769BA" w:rsidP="0078139F">
      <w:pPr>
        <w:pStyle w:val="NummerierungStufe1"/>
        <w:keepNext/>
      </w:pPr>
      <w:r>
        <w:t>§ 16 is amended as follows:</w:t>
      </w:r>
    </w:p>
    <w:p w14:paraId="1073D1AC" w14:textId="672DF89A" w:rsidR="00B769BA" w:rsidRPr="00BE5BA6" w:rsidRDefault="00F849EB" w:rsidP="00D56402">
      <w:pPr>
        <w:pStyle w:val="NummerierungStufe2"/>
      </w:pPr>
      <w:r>
        <w:t xml:space="preserve">In paragraph 3(4), the word </w:t>
      </w:r>
      <w:r>
        <w:rPr>
          <w:rStyle w:val="RevisionText"/>
        </w:rPr>
        <w:t>‘can’</w:t>
      </w:r>
      <w:r>
        <w:t xml:space="preserve"> is replaced by the word </w:t>
      </w:r>
      <w:r>
        <w:rPr>
          <w:rStyle w:val="RevisionText"/>
        </w:rPr>
        <w:t>‘is’</w:t>
      </w:r>
      <w:r>
        <w:t xml:space="preserve"> and the words </w:t>
      </w:r>
      <w:r>
        <w:rPr>
          <w:rStyle w:val="RevisionText"/>
        </w:rPr>
        <w:t>‘will be credited’</w:t>
      </w:r>
      <w:r>
        <w:t xml:space="preserve"> are replaced by the words </w:t>
      </w:r>
      <w:r>
        <w:rPr>
          <w:rStyle w:val="RevisionText"/>
        </w:rPr>
        <w:t>‘is to be credited’</w:t>
      </w:r>
      <w:r>
        <w:t>.</w:t>
      </w:r>
    </w:p>
    <w:p w14:paraId="1C010AEC" w14:textId="2D72BBE9" w:rsidR="003305CA" w:rsidRPr="00BE5BA6" w:rsidRDefault="003305CA" w:rsidP="00D56402">
      <w:pPr>
        <w:pStyle w:val="NummerierungStufe2"/>
      </w:pPr>
      <w:r>
        <w:t xml:space="preserve">In paragraph 6, the words </w:t>
      </w:r>
      <w:r>
        <w:rPr>
          <w:rStyle w:val="RevisionText"/>
        </w:rPr>
        <w:t>‘Regulation (EC) No 1013/2006 of the European Parliament and of the Council of 14 June 2006 on shipments of waste (OJ L 190, 12.7.2006, p. 1), Council Regulation (EC) No 1420/1999 of 29 April 1999 establishing common rules and procedures to apply to shipments to certain non-OECD countries of certain types of waste (OJ L 166, 1.7.1999, p. 6) and Commission Regulation (EC) No 1547/1999 of 12 July 1999 determining the control procedures under Council Regulation (EEC) No 259/93 to apply to shipments of certain types of waste to certain countries to which OECD Decision C(92)39 final does not apply (OJ L 185, 17.7.1999, p. 1)’</w:t>
      </w:r>
      <w:r>
        <w:t xml:space="preserve"> are replaced by the words </w:t>
      </w:r>
      <w:r>
        <w:rPr>
          <w:rStyle w:val="RevisionText"/>
        </w:rPr>
        <w:t>‘Regulation (EC) No 1013/2006 of the European Parliament and of the Council of 14 June 2006 on shipments of waste (OJ L 190, 12.7.2006, p. 1), as last amended by Regulation (EU) 2015/2002 (OJ L 294, 11.11.2015, p. 1), as amended, and by Commission Regulation (EC) No 1418/2007 of 29 November 2007 concerning the export for recovery of certain waste listed in Annex III or IIIA to Regulation (EC) No 1013/2006 of the European Parliament and of the Council to certain countries to which the OECD Decision on the control of transboundary movements of wastes does not apply (OJ L 316, 4.12.2007, p. 6), as last amended by Regulation (EU) No 733/2014 (OJ L 197, 4.7.2014, p. 10), as amended’</w:t>
      </w:r>
      <w:r>
        <w:t>.</w:t>
      </w:r>
    </w:p>
    <w:p w14:paraId="645B970F" w14:textId="77777777" w:rsidR="0003451B" w:rsidRPr="00BE5BA6" w:rsidRDefault="0003451B" w:rsidP="0078139F">
      <w:pPr>
        <w:pStyle w:val="NummerierungStufe1"/>
        <w:keepNext/>
      </w:pPr>
      <w:r>
        <w:lastRenderedPageBreak/>
        <w:t>§ 17 is amended as follows:</w:t>
      </w:r>
    </w:p>
    <w:p w14:paraId="7100FE62" w14:textId="4BD9FC82" w:rsidR="00F607A3" w:rsidRPr="00BE5BA6" w:rsidRDefault="00145624" w:rsidP="0078139F">
      <w:pPr>
        <w:pStyle w:val="NummerierungStufe2"/>
        <w:keepNext/>
      </w:pPr>
      <w:r>
        <w:t>Paragraph 1 is amended as follows:</w:t>
      </w:r>
    </w:p>
    <w:p w14:paraId="530C066F" w14:textId="10248555" w:rsidR="00F607A3" w:rsidRPr="00BE5BA6" w:rsidRDefault="00F607A3" w:rsidP="0078139F">
      <w:pPr>
        <w:pStyle w:val="NummerierungStufe3"/>
        <w:keepNext/>
      </w:pPr>
      <w:r>
        <w:t>After sentence 4, the following sentence is inserted:</w:t>
      </w:r>
    </w:p>
    <w:p w14:paraId="641BCF37" w14:textId="70879EE8" w:rsidR="00F607A3" w:rsidRPr="00BE5BA6" w:rsidRDefault="00F607A3" w:rsidP="00932640">
      <w:pPr>
        <w:pStyle w:val="RevisionJuristischerAbsatzFolgeabsatz"/>
        <w:ind w:left="1276"/>
      </w:pPr>
      <w:r>
        <w:t>‘Composite packaging that has been recovered in accordance with § 16(3) sentence 4 shall be allocated to the appropriate main material type.’</w:t>
      </w:r>
    </w:p>
    <w:p w14:paraId="0F86FC44" w14:textId="0647D9E1" w:rsidR="005733DF" w:rsidRPr="00BE5BA6" w:rsidRDefault="005733DF" w:rsidP="00076EAE">
      <w:pPr>
        <w:pStyle w:val="NummerierungStufe3"/>
        <w:rPr>
          <w:rStyle w:val="Marker"/>
        </w:rPr>
      </w:pPr>
      <w:r>
        <w:t>In the new sentence 6, the words ‘</w:t>
      </w:r>
      <w:r>
        <w:rPr>
          <w:rStyle w:val="RevisionText"/>
        </w:rPr>
        <w:t>In the process</w:t>
      </w:r>
      <w:r>
        <w:t>’ are replaced by the words ‘</w:t>
      </w:r>
      <w:r>
        <w:rPr>
          <w:rStyle w:val="RevisionText"/>
        </w:rPr>
        <w:t>In the volume flow record</w:t>
      </w:r>
      <w:r>
        <w:t>’.</w:t>
      </w:r>
    </w:p>
    <w:p w14:paraId="1EF62CBA" w14:textId="24A66100" w:rsidR="00145624" w:rsidRPr="00BE5BA6" w:rsidRDefault="00F607A3" w:rsidP="0078139F">
      <w:pPr>
        <w:pStyle w:val="NummerierungStufe3"/>
        <w:keepNext/>
      </w:pPr>
      <w:r>
        <w:t>The following sentence is added:</w:t>
      </w:r>
    </w:p>
    <w:p w14:paraId="50542108" w14:textId="6E0798DB" w:rsidR="00F607A3" w:rsidRPr="00BE5BA6" w:rsidRDefault="00F607A3" w:rsidP="00932640">
      <w:pPr>
        <w:pStyle w:val="RevisionJuristischerAbsatzFolgeabsatz"/>
        <w:ind w:left="1276"/>
      </w:pPr>
      <w:r>
        <w:t>‘To assess the accuracy and completeness of the volume flow record, schemes shall establish appropriate self-monitoring mechanisms.’</w:t>
      </w:r>
    </w:p>
    <w:p w14:paraId="759D7E09" w14:textId="22E072C9" w:rsidR="0003451B" w:rsidRPr="00BE5BA6" w:rsidRDefault="0003451B" w:rsidP="0078139F">
      <w:pPr>
        <w:pStyle w:val="NummerierungStufe2"/>
        <w:keepNext/>
      </w:pPr>
      <w:r>
        <w:t>Paragraph 3 is amended as follows:</w:t>
      </w:r>
    </w:p>
    <w:p w14:paraId="17A04604" w14:textId="2F4C8218" w:rsidR="0003451B" w:rsidRPr="00BE5BA6" w:rsidRDefault="0003451B" w:rsidP="0003451B">
      <w:pPr>
        <w:pStyle w:val="NummerierungStufe3"/>
      </w:pPr>
      <w:r>
        <w:t xml:space="preserve">In sentence 1, the words </w:t>
      </w:r>
      <w:r>
        <w:rPr>
          <w:rStyle w:val="RevisionText"/>
        </w:rPr>
        <w:t>‘to the Central Authority’</w:t>
      </w:r>
      <w:r>
        <w:t xml:space="preserve"> are deleted and the words </w:t>
      </w:r>
      <w:r>
        <w:rPr>
          <w:rStyle w:val="RevisionText"/>
        </w:rPr>
        <w:t>‘to be submitted in written form’</w:t>
      </w:r>
      <w:r>
        <w:t xml:space="preserve"> are replaced by the words </w:t>
      </w:r>
      <w:r>
        <w:rPr>
          <w:rStyle w:val="RevisionText"/>
        </w:rPr>
        <w:t>‘to be filed with the Central Authority in electronic form’</w:t>
      </w:r>
      <w:r>
        <w:t>.</w:t>
      </w:r>
    </w:p>
    <w:p w14:paraId="681C09D4" w14:textId="3F917D54" w:rsidR="0003451B" w:rsidRPr="00BE5BA6" w:rsidRDefault="0003451B" w:rsidP="0003451B">
      <w:pPr>
        <w:pStyle w:val="NummerierungStufe3"/>
      </w:pPr>
      <w:r>
        <w:t>The following sentences are inserted after sentence 1:</w:t>
      </w:r>
    </w:p>
    <w:p w14:paraId="3D2AD2A9" w14:textId="7DB20004" w:rsidR="0003451B" w:rsidRPr="00BE5BA6" w:rsidRDefault="0003451B" w:rsidP="00932640">
      <w:pPr>
        <w:pStyle w:val="RevisionJuristischerAbsatzFolgeabsatz"/>
        <w:ind w:left="1276"/>
      </w:pPr>
      <w:r>
        <w:t>‘The corroboration as per paragraph 2, sentence 1 must be provided with a qualified electronic signature. The Central Authority may prescribe the use of specific electronic forms and input templates as well as a particular means of encryption for forwarding.’</w:t>
      </w:r>
    </w:p>
    <w:p w14:paraId="547958A4" w14:textId="6136261E" w:rsidR="00145624" w:rsidRPr="00BE5BA6" w:rsidRDefault="00145624" w:rsidP="0078139F">
      <w:pPr>
        <w:pStyle w:val="NummerierungStufe1"/>
        <w:keepNext/>
      </w:pPr>
      <w:r>
        <w:t>§ 18 is amended as follows:</w:t>
      </w:r>
    </w:p>
    <w:p w14:paraId="75614382" w14:textId="2DB53540" w:rsidR="00145624" w:rsidRPr="00BE5BA6" w:rsidRDefault="002F2C42" w:rsidP="0078139F">
      <w:pPr>
        <w:pStyle w:val="NummerierungStufe2"/>
        <w:keepNext/>
      </w:pPr>
      <w:r>
        <w:t>The heading is worded as follows:</w:t>
      </w:r>
    </w:p>
    <w:p w14:paraId="39AA4778" w14:textId="09EF45BC" w:rsidR="00827B81" w:rsidRPr="00BE5BA6" w:rsidRDefault="00827B81" w:rsidP="00827B81">
      <w:pPr>
        <w:pStyle w:val="RevisionParagraphBezeichnermanuell"/>
        <w:ind w:left="850" w:hanging="75"/>
      </w:pPr>
      <w:r>
        <w:t>‘§ 18</w:t>
      </w:r>
    </w:p>
    <w:p w14:paraId="14A74380" w14:textId="76667D7C" w:rsidR="00827B81" w:rsidRPr="00BE5BA6" w:rsidRDefault="00827B81" w:rsidP="00827B81">
      <w:pPr>
        <w:pStyle w:val="RevisionParagraphberschrift"/>
        <w:ind w:left="850"/>
        <w:rPr>
          <w:rStyle w:val="Marker"/>
        </w:rPr>
      </w:pPr>
      <w:r>
        <w:t>Approval and organisation’</w:t>
      </w:r>
      <w:r>
        <w:rPr>
          <w:color w:val="auto"/>
        </w:rPr>
        <w:t>.</w:t>
      </w:r>
    </w:p>
    <w:p w14:paraId="30991D3D" w14:textId="30B78BDF" w:rsidR="00827B81" w:rsidRPr="00BE5BA6" w:rsidRDefault="00827B81" w:rsidP="0078139F">
      <w:pPr>
        <w:pStyle w:val="NummerierungStufe2"/>
        <w:keepNext/>
      </w:pPr>
      <w:r>
        <w:t>Paragraph 1, sentence 2 is amended as follows:</w:t>
      </w:r>
    </w:p>
    <w:p w14:paraId="3868725E" w14:textId="453B167E" w:rsidR="00145624" w:rsidRPr="00BE5BA6" w:rsidRDefault="00145624" w:rsidP="00145624">
      <w:pPr>
        <w:pStyle w:val="NummerierungStufe3"/>
      </w:pPr>
      <w:r>
        <w:t xml:space="preserve">In subparagraph 3, the words </w:t>
      </w:r>
      <w:r>
        <w:rPr>
          <w:rStyle w:val="RevisionText"/>
        </w:rPr>
        <w:t>‘capacities and’</w:t>
      </w:r>
      <w:r>
        <w:t xml:space="preserve"> are replaced by the word </w:t>
      </w:r>
      <w:r>
        <w:rPr>
          <w:rStyle w:val="RevisionText"/>
        </w:rPr>
        <w:t>‘capacities,’</w:t>
      </w:r>
      <w:r>
        <w:t>.</w:t>
      </w:r>
    </w:p>
    <w:p w14:paraId="6D62C0F1" w14:textId="06DAA935" w:rsidR="00145624" w:rsidRPr="00BE5BA6" w:rsidRDefault="008A0BD5" w:rsidP="0078139F">
      <w:pPr>
        <w:pStyle w:val="NummerierungStufe3"/>
        <w:keepNext/>
      </w:pPr>
      <w:r>
        <w:t>The following subparagraph 4 is inserted after subparagraph 3:</w:t>
      </w:r>
    </w:p>
    <w:p w14:paraId="3930FB75" w14:textId="697F9C16" w:rsidR="00145624" w:rsidRPr="00BE5BA6" w:rsidRDefault="00145624" w:rsidP="00932640">
      <w:pPr>
        <w:pStyle w:val="RevisionNummerierungStufe1manuell"/>
        <w:tabs>
          <w:tab w:val="clear" w:pos="425"/>
          <w:tab w:val="left" w:pos="1776"/>
        </w:tabs>
        <w:ind w:left="1776" w:hanging="500"/>
      </w:pPr>
      <w:r>
        <w:t>‘4. is in good financial standing and’</w:t>
      </w:r>
    </w:p>
    <w:p w14:paraId="2AF9EB9C" w14:textId="218ADF39" w:rsidR="00145624" w:rsidRPr="00BE5BA6" w:rsidRDefault="00145624" w:rsidP="00145624">
      <w:pPr>
        <w:pStyle w:val="NummerierungStufe3"/>
      </w:pPr>
      <w:r>
        <w:t>The previous subparagraph 4 becomes subparagraph 5.</w:t>
      </w:r>
    </w:p>
    <w:p w14:paraId="67A24560" w14:textId="124DB690" w:rsidR="00145624" w:rsidRPr="00BE5BA6" w:rsidRDefault="00145624" w:rsidP="0078139F">
      <w:pPr>
        <w:pStyle w:val="NummerierungStufe2"/>
        <w:keepNext/>
      </w:pPr>
      <w:r>
        <w:t>The following paragraph 1a is inserted after paragraph 1:</w:t>
      </w:r>
    </w:p>
    <w:p w14:paraId="5109FCAD" w14:textId="2BB0303E" w:rsidR="005A2496" w:rsidRPr="00BE5BA6" w:rsidRDefault="00145624" w:rsidP="0078139F">
      <w:pPr>
        <w:pStyle w:val="RevisionJuristischerAbsatzmanuell"/>
        <w:keepNext/>
        <w:tabs>
          <w:tab w:val="clear" w:pos="850"/>
          <w:tab w:val="left" w:pos="1700"/>
        </w:tabs>
        <w:ind w:left="850" w:firstLine="350"/>
      </w:pPr>
      <w:r>
        <w:t xml:space="preserve">‘(1a) The financial standing requirements in paragraph 1, sentence 2, subparagraph 4 are met if the scheme demonstrates that it can meet all existing and projected obligations under realistic assumptions over a twelve-month period. A scheme is not deemed to be in good financial standing if insolvency proceedings have been opened against it or if there are substantial or recurrent arrears of tax or social security contributions arising from the company’s activities. The authority </w:t>
      </w:r>
      <w:r>
        <w:lastRenderedPageBreak/>
        <w:t>pursuant to paragraph 1, sentence 1 shall verify financial standing on the basis of the annual financial statements under commercial law in particular or, if a scheme cannot submit annual financial statements under commercial law, on the basis of a balance sheet and, in both cases, additionally on the basis of an audit report under commercial law. Each scheme shall provide at least the following information:</w:t>
      </w:r>
    </w:p>
    <w:p w14:paraId="738AAF00" w14:textId="77777777" w:rsidR="005A2496" w:rsidRPr="00BE5BA6" w:rsidRDefault="005A2496" w:rsidP="005A2496">
      <w:pPr>
        <w:pStyle w:val="RevisionJuristischerAbsatzmanuell"/>
        <w:tabs>
          <w:tab w:val="left" w:pos="1700"/>
        </w:tabs>
        <w:ind w:left="850" w:firstLine="350"/>
      </w:pPr>
      <w:r>
        <w:t>1. available financial resources including bank balances and committed overdrafts and loans,</w:t>
      </w:r>
    </w:p>
    <w:p w14:paraId="2A687D06" w14:textId="77777777" w:rsidR="005A2496" w:rsidRPr="00BE5BA6" w:rsidRDefault="005A2496" w:rsidP="005A2496">
      <w:pPr>
        <w:pStyle w:val="RevisionJuristischerAbsatzmanuell"/>
        <w:tabs>
          <w:tab w:val="left" w:pos="1700"/>
        </w:tabs>
        <w:ind w:left="850" w:firstLine="350"/>
      </w:pPr>
      <w:r>
        <w:t>2. funds and assets available as collateral,</w:t>
      </w:r>
    </w:p>
    <w:p w14:paraId="059129EC" w14:textId="77777777" w:rsidR="005A2496" w:rsidRPr="00BE5BA6" w:rsidRDefault="005A2496" w:rsidP="005A2496">
      <w:pPr>
        <w:pStyle w:val="RevisionJuristischerAbsatzmanuell"/>
        <w:tabs>
          <w:tab w:val="left" w:pos="1700"/>
        </w:tabs>
        <w:ind w:left="850" w:firstLine="350"/>
      </w:pPr>
      <w:r>
        <w:t>3. working capital,</w:t>
      </w:r>
    </w:p>
    <w:p w14:paraId="2D01F4F0" w14:textId="77777777" w:rsidR="005A2496" w:rsidRPr="00BE5BA6" w:rsidRDefault="005A2496" w:rsidP="005A2496">
      <w:pPr>
        <w:pStyle w:val="RevisionJuristischerAbsatzmanuell"/>
        <w:tabs>
          <w:tab w:val="left" w:pos="1700"/>
        </w:tabs>
        <w:ind w:left="850" w:firstLine="350"/>
      </w:pPr>
      <w:r>
        <w:t>4. encumbrances on business assets,</w:t>
      </w:r>
    </w:p>
    <w:p w14:paraId="38D58765" w14:textId="77777777" w:rsidR="005A2496" w:rsidRPr="00BE5BA6" w:rsidRDefault="005A2496" w:rsidP="005A2496">
      <w:pPr>
        <w:pStyle w:val="RevisionJuristischerAbsatzmanuell"/>
        <w:tabs>
          <w:tab w:val="clear" w:pos="850"/>
          <w:tab w:val="left" w:pos="1700"/>
        </w:tabs>
        <w:ind w:left="850" w:firstLine="350"/>
      </w:pPr>
      <w:r>
        <w:t xml:space="preserve">5. taxes and social security contributions. </w:t>
      </w:r>
    </w:p>
    <w:p w14:paraId="0FEF4458" w14:textId="529839AF" w:rsidR="00145624" w:rsidRPr="00BE5BA6" w:rsidRDefault="00145624" w:rsidP="00410FA3">
      <w:pPr>
        <w:pStyle w:val="RevisionJuristischerAbsatzmanuell"/>
        <w:tabs>
          <w:tab w:val="clear" w:pos="850"/>
          <w:tab w:val="left" w:pos="1700"/>
        </w:tabs>
        <w:ind w:left="850" w:firstLine="0"/>
      </w:pPr>
      <w:r>
        <w:t>The authority pursuant to paragraph 1, sentence 1 may require the scheme to submit further documents necessary to verify the individual case, in particular the submission of suitable documents from a bank, a public savings bank, an auditor or a certified accountant. The authority referred to in paragraph 1, sentence 1 shall provide the Central Authority with the notifications as per sentence 1.’</w:t>
      </w:r>
    </w:p>
    <w:p w14:paraId="1838C3B3" w14:textId="7BA692A7" w:rsidR="00145624" w:rsidRPr="00BE5BA6" w:rsidRDefault="00145624" w:rsidP="0078139F">
      <w:pPr>
        <w:pStyle w:val="NummerierungStufe2"/>
        <w:keepNext/>
      </w:pPr>
      <w:r>
        <w:t>The following paragraph 5 is added:</w:t>
      </w:r>
    </w:p>
    <w:p w14:paraId="6C338988" w14:textId="2E8C176C" w:rsidR="00145624" w:rsidRPr="00BE5BA6" w:rsidRDefault="00145624" w:rsidP="00932640">
      <w:pPr>
        <w:pStyle w:val="RevisionJuristischerAbsatzmanuell"/>
        <w:tabs>
          <w:tab w:val="clear" w:pos="850"/>
          <w:tab w:val="left" w:pos="1700"/>
        </w:tabs>
        <w:ind w:left="850" w:firstLine="350"/>
      </w:pPr>
      <w:r>
        <w:t>‘(5) Schemes shall be required to maintain the organisational means to comply with their obligations under this Act. They shall establish appropriate self-monitoring mechanisms to evaluate their financial management.’</w:t>
      </w:r>
    </w:p>
    <w:p w14:paraId="1EAEC1D2" w14:textId="45A76371" w:rsidR="00F607A3" w:rsidRPr="00BE5BA6" w:rsidRDefault="00145624" w:rsidP="0078139F">
      <w:pPr>
        <w:pStyle w:val="NummerierungStufe1"/>
        <w:keepNext/>
      </w:pPr>
      <w:r>
        <w:t>§ 20 is amended as follows:</w:t>
      </w:r>
    </w:p>
    <w:p w14:paraId="29CCF690" w14:textId="77777777" w:rsidR="00F607A3" w:rsidRPr="00BE5BA6" w:rsidRDefault="00F607A3" w:rsidP="0078139F">
      <w:pPr>
        <w:pStyle w:val="NummerierungStufe2"/>
        <w:keepNext/>
      </w:pPr>
      <w:r>
        <w:t>Paragraph 1 is amended as follows:</w:t>
      </w:r>
    </w:p>
    <w:p w14:paraId="319D870D" w14:textId="1BA3F1D0" w:rsidR="00F607A3" w:rsidRPr="00BE5BA6" w:rsidRDefault="00F607A3" w:rsidP="00D56402">
      <w:pPr>
        <w:pStyle w:val="NummerierungStufe3"/>
      </w:pPr>
      <w:r>
        <w:t xml:space="preserve">The words </w:t>
      </w:r>
      <w:r>
        <w:rPr>
          <w:rStyle w:val="RevisionText"/>
        </w:rPr>
        <w:t>‘type of material and’</w:t>
      </w:r>
      <w:r>
        <w:t xml:space="preserve"> are replaced by the words</w:t>
      </w:r>
      <w:r>
        <w:rPr>
          <w:rStyle w:val="RevisionText"/>
        </w:rPr>
        <w:t xml:space="preserve"> ‘the types of material specified in § 16(2) sentence 1 and 2 and the’</w:t>
      </w:r>
      <w:r>
        <w:t>.</w:t>
      </w:r>
    </w:p>
    <w:p w14:paraId="4DFE2AFB" w14:textId="163C5851" w:rsidR="00F607A3" w:rsidRPr="00BE5BA6" w:rsidRDefault="00F607A3" w:rsidP="00D56402">
      <w:pPr>
        <w:pStyle w:val="NummerierungStufe3"/>
      </w:pPr>
      <w:r>
        <w:t>The following sentence is added:</w:t>
      </w:r>
    </w:p>
    <w:p w14:paraId="2414DA4B" w14:textId="272EA0F5" w:rsidR="00F607A3" w:rsidRPr="00BE5BA6" w:rsidRDefault="00F607A3" w:rsidP="00932640">
      <w:pPr>
        <w:pStyle w:val="RevisionJuristischerAbsatzFolgeabsatz"/>
        <w:ind w:left="1276"/>
      </w:pPr>
      <w:r>
        <w:t>‘Composite packaging that is recovered in accordance with § 16(3) sentence 4 shall be allocated to the appropriate main material type.’</w:t>
      </w:r>
    </w:p>
    <w:p w14:paraId="608BF45B" w14:textId="26DCE650" w:rsidR="00145624" w:rsidRPr="00BE5BA6" w:rsidRDefault="00F607A3" w:rsidP="0078139F">
      <w:pPr>
        <w:pStyle w:val="NummerierungStufe2"/>
        <w:keepNext/>
      </w:pPr>
      <w:r>
        <w:t xml:space="preserve">The following paragraph 5 is added: </w:t>
      </w:r>
    </w:p>
    <w:p w14:paraId="4A22C1B6" w14:textId="6B0EDF99" w:rsidR="00145624" w:rsidRPr="00BE5BA6" w:rsidRDefault="00145624" w:rsidP="00410FA3">
      <w:pPr>
        <w:pStyle w:val="RevisionJuristischerAbsatzmanuell"/>
        <w:tabs>
          <w:tab w:val="clear" w:pos="850"/>
          <w:tab w:val="left" w:pos="1275"/>
          <w:tab w:val="left" w:pos="1700"/>
        </w:tabs>
        <w:ind w:left="850" w:firstLine="350"/>
      </w:pPr>
      <w:r>
        <w:t>‘(5) Each scheme shall be required to report electronically to the Central Authority, by 1 July of the calendar year following each fiscal year, its annual financial statements under commercial law or, if a scheme is unable to submit annual financial statements under commercial law, a balance sheet and, in both cases, an additional audit report under commercial law. Each scheme shall provide at least the information specified in § 18(1a) sentence 4. § 18(1a) sentence 1 and 2 apply accordingly. If there are indications of poor financial standing or that the reports submitted are incomplete, the Central Authority may require the schemes concerned to electronically submit further documents necessary for the examination in the individual case, in particular the necessary documents from a bank, a public savings bank, an auditor or a certified accountant.’</w:t>
      </w:r>
    </w:p>
    <w:p w14:paraId="47856463" w14:textId="75CCDBD2" w:rsidR="004C0EA8" w:rsidRPr="00BE5BA6" w:rsidRDefault="00B56EFE" w:rsidP="0078139F">
      <w:pPr>
        <w:pStyle w:val="NummerierungStufe1"/>
        <w:keepNext/>
      </w:pPr>
      <w:r>
        <w:lastRenderedPageBreak/>
        <w:t>§ 21 is amended as follows:</w:t>
      </w:r>
    </w:p>
    <w:p w14:paraId="645B4399" w14:textId="4F703CC5" w:rsidR="004C0EA8" w:rsidRPr="00BE5BA6" w:rsidRDefault="004C0EA8" w:rsidP="004C0EA8">
      <w:pPr>
        <w:pStyle w:val="NummerierungStufe2"/>
      </w:pPr>
      <w:r>
        <w:t xml:space="preserve">In paragraph 1(2) and paragraph 4, every occurrence of the words </w:t>
      </w:r>
      <w:r>
        <w:rPr>
          <w:rStyle w:val="RevisionText"/>
        </w:rPr>
        <w:t>‘recyclates’</w:t>
      </w:r>
      <w:r>
        <w:t xml:space="preserve"> [Recyclaten] is replaced by the words </w:t>
      </w:r>
      <w:r>
        <w:rPr>
          <w:rStyle w:val="RevisionText"/>
        </w:rPr>
        <w:t>‘recyclates’</w:t>
      </w:r>
      <w:r>
        <w:t xml:space="preserve"> [Rezyklaten].</w:t>
      </w:r>
    </w:p>
    <w:p w14:paraId="5470DF5C" w14:textId="3ACCF838" w:rsidR="00AB7688" w:rsidRPr="00BE5BA6" w:rsidRDefault="00B56EFE" w:rsidP="0078139F">
      <w:pPr>
        <w:pStyle w:val="NummerierungStufe2"/>
        <w:keepNext/>
      </w:pPr>
      <w:r>
        <w:t>Paragraph 2 is amended as follows:</w:t>
      </w:r>
    </w:p>
    <w:p w14:paraId="6660B25E" w14:textId="77777777" w:rsidR="00AB7688" w:rsidRPr="00BE5BA6" w:rsidRDefault="00AB7688" w:rsidP="004C0EA8">
      <w:pPr>
        <w:pStyle w:val="NummerierungStufe3"/>
      </w:pPr>
      <w:r>
        <w:t xml:space="preserve">In sentence 1, the words </w:t>
      </w:r>
      <w:r>
        <w:rPr>
          <w:rStyle w:val="RevisionText"/>
        </w:rPr>
        <w:t>‘in the previous calendar year’</w:t>
      </w:r>
      <w:r>
        <w:t xml:space="preserve"> are inserted after the words </w:t>
      </w:r>
      <w:r>
        <w:rPr>
          <w:rStyle w:val="RevisionText"/>
        </w:rPr>
        <w:t>‘participation fees’</w:t>
      </w:r>
      <w:r>
        <w:t>.</w:t>
      </w:r>
    </w:p>
    <w:p w14:paraId="75446A47" w14:textId="096D6166" w:rsidR="00AB7688" w:rsidRPr="00BE5BA6" w:rsidRDefault="00AB7688" w:rsidP="0078139F">
      <w:pPr>
        <w:pStyle w:val="NummerierungStufe3"/>
        <w:keepNext/>
      </w:pPr>
      <w:r>
        <w:t>The following sentence is inserted after sentence 3:</w:t>
      </w:r>
    </w:p>
    <w:p w14:paraId="69CF3B68" w14:textId="439E5F99" w:rsidR="00AB7688" w:rsidRPr="00BE5BA6" w:rsidRDefault="00AB7688" w:rsidP="00932640">
      <w:pPr>
        <w:pStyle w:val="RevisionJuristischerAbsatzFolgeabsatz"/>
        <w:ind w:left="1276"/>
      </w:pPr>
      <w:r>
        <w:t>‘It may, in agreement with the Federal Environment Agency, adopt and publish binding specifications regarding the form of the reports.’</w:t>
      </w:r>
    </w:p>
    <w:p w14:paraId="71FA6DCE" w14:textId="7F3A5F0C" w:rsidR="00BB0170" w:rsidRPr="00BE5BA6" w:rsidRDefault="00BB0170" w:rsidP="0078139F">
      <w:pPr>
        <w:pStyle w:val="NummerierungStufe1"/>
        <w:keepNext/>
      </w:pPr>
      <w:r>
        <w:t>The following paragraph 4 is added to § 24:</w:t>
      </w:r>
    </w:p>
    <w:p w14:paraId="02041B6E" w14:textId="18A97040" w:rsidR="00BB0170" w:rsidRPr="00BE5BA6" w:rsidRDefault="00BB0170" w:rsidP="00932640">
      <w:pPr>
        <w:pStyle w:val="RevisionJuristischerAbsatzmanuell"/>
        <w:tabs>
          <w:tab w:val="clear" w:pos="850"/>
          <w:tab w:val="left" w:pos="1275"/>
        </w:tabs>
        <w:ind w:left="425" w:firstLine="350"/>
      </w:pPr>
      <w:r>
        <w:t>‘(4)</w:t>
      </w:r>
      <w:r>
        <w:tab/>
        <w:t>The Federal Ministry for the Environment, Nature Conservation and Nuclear Safety may revoke the consent pursuant to paragraph 2, sentence 11 and the approval pursuant to paragraph 3, sentence 3 with effect for the future, even after they have become incontestable if the actual circumstances no longer meet the requirements of paragraph 2, sentence 2, subparagraphs 2 to 5. It shall be irrefutably presumed that the actual circumstances no longer meet the requirements of paragraph 2, sentence 2, subparagraph 3 if the proportion of packaging taken back in a calendar year by the member companies of the associations represented on the board of trustees participating in schemes or via industry solutions falls below 75 % of the total packaging taken back in the same calendar year through participation in schemes or via industry solutions.’</w:t>
      </w:r>
    </w:p>
    <w:p w14:paraId="4E78FC9A" w14:textId="25214E2E" w:rsidR="00A3203C" w:rsidRPr="00BE5BA6" w:rsidRDefault="00A3203C" w:rsidP="0078139F">
      <w:pPr>
        <w:pStyle w:val="NummerierungStufe1"/>
        <w:keepNext/>
      </w:pPr>
      <w:r>
        <w:t>The following sentence is added to § 25(5):</w:t>
      </w:r>
    </w:p>
    <w:p w14:paraId="09C10C29" w14:textId="2047F182" w:rsidR="00A3203C" w:rsidRPr="00BE5BA6" w:rsidRDefault="00A3203C" w:rsidP="00932640">
      <w:pPr>
        <w:pStyle w:val="RevisionJuristischerAbsatzFolgeabsatz"/>
        <w:ind w:left="425"/>
      </w:pPr>
      <w:r>
        <w:t>‘The Federal Environment Agency may request information and the submission of further documents and other data from the Central Authority if necessary to verify the certificates pursuant to sentence 2, the documentation of the underlying method of assessment of the levy revenue, the performance of the recalculation or its application by the Central Authority or to verify the appropriateness of the amount of the levy revenue, including the recalculation.’</w:t>
      </w:r>
    </w:p>
    <w:p w14:paraId="7B9A6786" w14:textId="0462D40B" w:rsidR="00145624" w:rsidRPr="00BE5BA6" w:rsidRDefault="00EE2530" w:rsidP="0078139F">
      <w:pPr>
        <w:pStyle w:val="NummerierungStufe1"/>
        <w:keepNext/>
      </w:pPr>
      <w:r>
        <w:t>§ 26(1) sentence 2 is amended as follows:</w:t>
      </w:r>
    </w:p>
    <w:p w14:paraId="0F705F2E" w14:textId="594886D3" w:rsidR="0069317C" w:rsidRPr="00BE5BA6" w:rsidRDefault="0069317C" w:rsidP="00EE2530">
      <w:pPr>
        <w:pStyle w:val="NummerierungStufe2"/>
      </w:pPr>
      <w:r>
        <w:t xml:space="preserve">In subparagraph 4, the words </w:t>
      </w:r>
      <w:r>
        <w:rPr>
          <w:rStyle w:val="RevisionText"/>
        </w:rPr>
        <w:t>‘(register information as per § 9,)’</w:t>
      </w:r>
      <w:r>
        <w:t xml:space="preserve"> are inserted after the word </w:t>
      </w:r>
      <w:r>
        <w:rPr>
          <w:rStyle w:val="RevisionText"/>
        </w:rPr>
        <w:t>‘with’</w:t>
      </w:r>
      <w:r>
        <w:t>.</w:t>
      </w:r>
    </w:p>
    <w:p w14:paraId="4F9095A4" w14:textId="328C263B" w:rsidR="00EE2530" w:rsidRPr="00BE5BA6" w:rsidRDefault="00EE2530" w:rsidP="0078139F">
      <w:pPr>
        <w:pStyle w:val="NummerierungStufe2"/>
        <w:keepNext/>
      </w:pPr>
      <w:r>
        <w:t>The following subparagraph 6a is inserted after subparagraph 6:</w:t>
      </w:r>
    </w:p>
    <w:p w14:paraId="3F271948" w14:textId="5DD5741D" w:rsidR="00EE2530" w:rsidRPr="00BE5BA6" w:rsidRDefault="00EE2530" w:rsidP="00932640">
      <w:pPr>
        <w:pStyle w:val="RevisionNummerierungStufe1manuell"/>
        <w:tabs>
          <w:tab w:val="clear" w:pos="425"/>
          <w:tab w:val="left" w:pos="1350"/>
        </w:tabs>
        <w:ind w:left="1350" w:hanging="500"/>
      </w:pPr>
      <w:r>
        <w:t>‘6a.</w:t>
      </w:r>
      <w:r>
        <w:tab/>
        <w:t>may require systems to provide a statement of reasons in accordance with § 14(4) sentence 3, shall verify the statement of reasons provided and, in the event of continuing doubts as to the existence of trade secrets, shall immediately inform the competent federal state authority of the result of the verification,’.</w:t>
      </w:r>
    </w:p>
    <w:p w14:paraId="2AA1F903" w14:textId="01DF55C9" w:rsidR="003F26E3" w:rsidRPr="00BE5BA6" w:rsidRDefault="003F26E3" w:rsidP="00D96DD6">
      <w:pPr>
        <w:pStyle w:val="NummerierungStufe2"/>
      </w:pPr>
      <w:r>
        <w:t xml:space="preserve">In subparagraph 7, the word </w:t>
      </w:r>
      <w:r>
        <w:rPr>
          <w:rStyle w:val="RevisionText"/>
        </w:rPr>
        <w:t>‘submitted’</w:t>
      </w:r>
      <w:r>
        <w:t xml:space="preserve"> is replaced by the word </w:t>
      </w:r>
      <w:r>
        <w:rPr>
          <w:rStyle w:val="RevisionText"/>
        </w:rPr>
        <w:t>‘filed’</w:t>
      </w:r>
      <w:r>
        <w:t xml:space="preserve"> and the entry </w:t>
      </w:r>
      <w:r>
        <w:rPr>
          <w:rStyle w:val="RevisionText"/>
        </w:rPr>
        <w:t>‘2’</w:t>
      </w:r>
      <w:r>
        <w:t xml:space="preserve"> is replaced by the entry </w:t>
      </w:r>
      <w:r>
        <w:rPr>
          <w:rStyle w:val="RevisionText"/>
        </w:rPr>
        <w:t>‘4’</w:t>
      </w:r>
      <w:r>
        <w:t>.</w:t>
      </w:r>
    </w:p>
    <w:p w14:paraId="2B188E12" w14:textId="186DF267" w:rsidR="00EE2530" w:rsidRPr="00BE5BA6" w:rsidRDefault="00EE2530" w:rsidP="0078139F">
      <w:pPr>
        <w:pStyle w:val="NummerierungStufe2"/>
        <w:keepNext/>
        <w:ind w:hanging="432"/>
      </w:pPr>
      <w:r>
        <w:t>The following subparagraph 8a is inserted after subparagraph 8:</w:t>
      </w:r>
    </w:p>
    <w:p w14:paraId="75981A81" w14:textId="652DA7D2" w:rsidR="00EE2530" w:rsidRPr="00BE5BA6" w:rsidRDefault="00EE2530" w:rsidP="00932640">
      <w:pPr>
        <w:pStyle w:val="RevisionNummerierungStufe1manuell"/>
        <w:tabs>
          <w:tab w:val="clear" w:pos="425"/>
          <w:tab w:val="left" w:pos="1350"/>
        </w:tabs>
        <w:ind w:left="1350" w:hanging="500"/>
      </w:pPr>
      <w:r>
        <w:t>‘8a.</w:t>
      </w:r>
      <w:r>
        <w:tab/>
        <w:t xml:space="preserve">shall examine the reports submitted by the schemes in accordance with § 20(5) sentence 1, may, if necessary, issue orders in accordance with </w:t>
      </w:r>
      <w:r>
        <w:lastRenderedPageBreak/>
        <w:t>§ 20(5) sentence 4, and shall inform the competent federal state authorities without delay if a scheme has not submitted a report in accordance with § 20(5) sentence 1 or cannot dispel the indications in accordance with § 20(5) sentence 4 to the satisfaction of the Central Authority,’.</w:t>
      </w:r>
    </w:p>
    <w:p w14:paraId="2B5C3056" w14:textId="4F746A63" w:rsidR="004C0EA8" w:rsidRPr="00BE5BA6" w:rsidRDefault="004C0EA8" w:rsidP="0078139F">
      <w:pPr>
        <w:pStyle w:val="NummerierungStufe2"/>
        <w:keepNext/>
        <w:ind w:hanging="432"/>
      </w:pPr>
      <w:r>
        <w:t>The following subparagraph 10a is inserted after subparagraph 10:</w:t>
      </w:r>
    </w:p>
    <w:p w14:paraId="5EB01F25" w14:textId="7322CAC2" w:rsidR="004C0EA8" w:rsidRPr="00BE5BA6" w:rsidRDefault="004C0EA8" w:rsidP="00932640">
      <w:pPr>
        <w:pStyle w:val="RevisionNummerierungStufe1manuell"/>
        <w:tabs>
          <w:tab w:val="clear" w:pos="425"/>
          <w:tab w:val="left" w:pos="1350"/>
        </w:tabs>
        <w:ind w:left="1350" w:hanging="500"/>
      </w:pPr>
      <w:r>
        <w:t>‘10a.</w:t>
      </w:r>
      <w:r>
        <w:tab/>
        <w:t>may, in accordance with § 21(2) sentence 3 in agreement with the Federal Environment Agency, adopt and publish binding requirements with regard to the form of the reports pursuant to § 21(2) sentence 1,’.</w:t>
      </w:r>
    </w:p>
    <w:p w14:paraId="689A24A8" w14:textId="5A4A654B" w:rsidR="009677C5" w:rsidRPr="00BE5BA6" w:rsidRDefault="009677C5" w:rsidP="005D544F">
      <w:pPr>
        <w:pStyle w:val="NummerierungStufe2"/>
      </w:pPr>
      <w:r>
        <w:t xml:space="preserve">In subparagraph 19, the entry </w:t>
      </w:r>
      <w:r>
        <w:rPr>
          <w:rStyle w:val="RevisionText"/>
        </w:rPr>
        <w:t>‘4’</w:t>
      </w:r>
      <w:r>
        <w:t xml:space="preserve"> is replaced by the entry </w:t>
      </w:r>
      <w:r>
        <w:rPr>
          <w:rStyle w:val="RevisionText"/>
        </w:rPr>
        <w:t>‘5’</w:t>
      </w:r>
      <w:r>
        <w:t>.</w:t>
      </w:r>
    </w:p>
    <w:p w14:paraId="5541C4A1" w14:textId="18C97967" w:rsidR="005D544F" w:rsidRPr="00BE5BA6" w:rsidRDefault="005D544F" w:rsidP="005D544F">
      <w:pPr>
        <w:pStyle w:val="NummerierungStufe2"/>
      </w:pPr>
      <w:r>
        <w:t xml:space="preserve">In subparagraph 21, the entry </w:t>
      </w:r>
      <w:r>
        <w:rPr>
          <w:rStyle w:val="RevisionText"/>
        </w:rPr>
        <w:t>‘34’</w:t>
      </w:r>
      <w:r>
        <w:t xml:space="preserve"> is replaced by the entry ‘</w:t>
      </w:r>
      <w:r>
        <w:rPr>
          <w:rStyle w:val="RevisionText"/>
        </w:rPr>
        <w:t>36’</w:t>
      </w:r>
      <w:r>
        <w:t>.</w:t>
      </w:r>
    </w:p>
    <w:p w14:paraId="5E7F24CB" w14:textId="044320E4" w:rsidR="00A3203C" w:rsidRPr="00BE5BA6" w:rsidRDefault="00A3203C" w:rsidP="00A3203C">
      <w:pPr>
        <w:pStyle w:val="NummerierungStufe2"/>
      </w:pPr>
      <w:r>
        <w:t xml:space="preserve">In subparagraph 23, the comma at the end is replaced by the words </w:t>
      </w:r>
      <w:r>
        <w:rPr>
          <w:rStyle w:val="RevisionText"/>
        </w:rPr>
        <w:t>‘; it may adopt administrative provisions to that effect,’</w:t>
      </w:r>
      <w:r>
        <w:t>.</w:t>
      </w:r>
    </w:p>
    <w:p w14:paraId="0C3D6184" w14:textId="6F67148A" w:rsidR="00F444D6" w:rsidRPr="00BE5BA6" w:rsidRDefault="00F444D6" w:rsidP="0078139F">
      <w:pPr>
        <w:pStyle w:val="NummerierungStufe1"/>
        <w:keepNext/>
        <w:ind w:hanging="432"/>
      </w:pPr>
      <w:r>
        <w:t>The following § 30a is inserted before § 31:</w:t>
      </w:r>
    </w:p>
    <w:p w14:paraId="5B68EA16" w14:textId="0F88493C" w:rsidR="00F444D6" w:rsidRPr="00BE5BA6" w:rsidRDefault="00F444D6" w:rsidP="00932640">
      <w:pPr>
        <w:pStyle w:val="RevisionParagraphBezeichnermanuell"/>
        <w:ind w:left="425" w:hanging="75"/>
      </w:pPr>
      <w:r>
        <w:t>‘§ 30a</w:t>
      </w:r>
    </w:p>
    <w:p w14:paraId="1B76AA10" w14:textId="63670F51" w:rsidR="00F444D6" w:rsidRPr="00BE5BA6" w:rsidRDefault="00BB0170" w:rsidP="00932640">
      <w:pPr>
        <w:pStyle w:val="RevisionParagraphberschrift"/>
        <w:ind w:left="425"/>
      </w:pPr>
      <w:r>
        <w:t>Minimum recyclate content for certain single-use plastic beverage bottles</w:t>
      </w:r>
    </w:p>
    <w:p w14:paraId="492A843E" w14:textId="1C3CE7F0" w:rsidR="002D0B16" w:rsidRPr="00BE5BA6" w:rsidRDefault="000B7C1A" w:rsidP="002D0B16">
      <w:pPr>
        <w:pStyle w:val="RevisionJuristischerAbsatz"/>
        <w:numPr>
          <w:ilvl w:val="2"/>
          <w:numId w:val="42"/>
        </w:numPr>
        <w:tabs>
          <w:tab w:val="clear" w:pos="850"/>
          <w:tab w:val="num" w:pos="1275"/>
        </w:tabs>
        <w:ind w:left="425"/>
      </w:pPr>
      <w:r>
        <w:t>Producers of single-use plastic beverage bottles made primarily of polyethylene terephthalate will only be allowed to place these bottles on the market after 1 January 2025 if they each contain at least 25 % by mass of plastic recyclates. From 1 January 2030, producers of all single-use plastic beverage bottles will only be allowed to place these bottles on the market if they consist of at least 30 % by mass of plastic recyclates.</w:t>
      </w:r>
    </w:p>
    <w:p w14:paraId="6177FBBA" w14:textId="57AFD08A" w:rsidR="002D0B16" w:rsidRPr="00BE5BA6" w:rsidRDefault="00146B17" w:rsidP="00410FA3">
      <w:pPr>
        <w:pStyle w:val="RevisionJuristischerAbsatz"/>
        <w:numPr>
          <w:ilvl w:val="2"/>
          <w:numId w:val="42"/>
        </w:numPr>
        <w:tabs>
          <w:tab w:val="clear" w:pos="850"/>
          <w:tab w:val="num" w:pos="1275"/>
        </w:tabs>
        <w:ind w:left="425"/>
      </w:pPr>
      <w:r>
        <w:t>A producer of single-use plastic beverage bottles may also comply with the requirements set out in paragraph 1 by ensuring that the total mass of single-use plastic beverage bottles placed on the market by the producer in a calendar year contains a corresponding proportion of plastic recyclate. In this case, it shall document in a verifiable form the type and mass of the plastic recyclates it used for bottle production as well as the total plastics used for bottle production. The documentation shall be submitted on request to the competent federal state authority where the producer is located.</w:t>
      </w:r>
    </w:p>
    <w:p w14:paraId="17B3F38D" w14:textId="0EE02F81" w:rsidR="00F444D6" w:rsidRPr="00BE5BA6" w:rsidRDefault="00146B17" w:rsidP="0078139F">
      <w:pPr>
        <w:pStyle w:val="RevisionJuristischerAbsatz"/>
        <w:keepNext/>
        <w:tabs>
          <w:tab w:val="clear" w:pos="850"/>
          <w:tab w:val="num" w:pos="1275"/>
        </w:tabs>
        <w:ind w:left="425"/>
      </w:pPr>
      <w:r>
        <w:t>Paragraphs 1 to 2 shall not apply to single-use plastic beverage bottles</w:t>
      </w:r>
    </w:p>
    <w:p w14:paraId="6D93224A" w14:textId="33C98561" w:rsidR="00F444D6" w:rsidRPr="00BE5BA6" w:rsidRDefault="00F444D6" w:rsidP="00932640">
      <w:pPr>
        <w:pStyle w:val="RevisionNummerierungStufe1"/>
        <w:tabs>
          <w:tab w:val="clear" w:pos="851"/>
          <w:tab w:val="num" w:pos="850"/>
        </w:tabs>
        <w:ind w:left="850"/>
      </w:pPr>
      <w:r>
        <w:t>in which the body of the bottle is made of glass or metal and only the caps or lids are made of plastic;</w:t>
      </w:r>
    </w:p>
    <w:p w14:paraId="26612E83" w14:textId="7AFB144E" w:rsidR="00F444D6" w:rsidRPr="00BE5BA6" w:rsidRDefault="00F444D6" w:rsidP="00932640">
      <w:pPr>
        <w:pStyle w:val="RevisionNummerierungStufe1"/>
        <w:tabs>
          <w:tab w:val="clear" w:pos="851"/>
          <w:tab w:val="num" w:pos="850"/>
        </w:tabs>
        <w:ind w:left="850"/>
      </w:pPr>
      <w:r>
        <w:t>intended and used for liquid foods for special medical purposes referred to in Article 2(2)(g) of Regulation (EU) No 609/2013 of the European Parliament and of the Council of 12 June 2013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Regulations (EC) No 41/2009 and (EC) No 953/2009 of the Council and of the Commission (OJ L 181, 29.6.2013, p. 35), as last amended by Regulation (EU) 2017/1091 (OJ L 158, 21.6.2017, p. 5).’</w:t>
      </w:r>
    </w:p>
    <w:p w14:paraId="5B6DBEA1" w14:textId="11121633" w:rsidR="00EE2530" w:rsidRPr="00BE5BA6" w:rsidRDefault="00EE2530" w:rsidP="0078139F">
      <w:pPr>
        <w:pStyle w:val="NummerierungStufe1"/>
        <w:keepNext/>
      </w:pPr>
      <w:r>
        <w:lastRenderedPageBreak/>
        <w:t>§ 31 is amended as follows:</w:t>
      </w:r>
    </w:p>
    <w:p w14:paraId="5F6992A1" w14:textId="336B0702" w:rsidR="00EE2530" w:rsidRPr="00BE5BA6" w:rsidRDefault="00EE2530" w:rsidP="00EE2530">
      <w:pPr>
        <w:pStyle w:val="NummerierungStufe2"/>
      </w:pPr>
      <w:r>
        <w:t xml:space="preserve">In the paragraph 1, sentence 4, the words </w:t>
      </w:r>
      <w:r>
        <w:rPr>
          <w:rStyle w:val="RevisionText"/>
        </w:rPr>
        <w:t>‘and shall publish a suitable scope of information for the final consumer on the take-back and collection system for single-use drinks packaging subject to a deposit and on the recovery of the packaging taken back on an Internet site’</w:t>
      </w:r>
      <w:r>
        <w:t xml:space="preserve"> shall be inserted after the word </w:t>
      </w:r>
      <w:r>
        <w:rPr>
          <w:rStyle w:val="RevisionText"/>
        </w:rPr>
        <w:t>‘enables’</w:t>
      </w:r>
      <w:r>
        <w:t>.</w:t>
      </w:r>
    </w:p>
    <w:p w14:paraId="372D3CFB" w14:textId="05A96FA0" w:rsidR="00EE2530" w:rsidRPr="00BE5BA6" w:rsidRDefault="00141651" w:rsidP="00903507">
      <w:pPr>
        <w:pStyle w:val="NummerierungStufe2"/>
      </w:pPr>
      <w:r>
        <w:t xml:space="preserve">In paragraph 3, sentence 3, the word </w:t>
      </w:r>
      <w:r>
        <w:rPr>
          <w:rStyle w:val="RevisionText"/>
        </w:rPr>
        <w:t>‘applies’</w:t>
      </w:r>
      <w:r>
        <w:t xml:space="preserve"> is replaced by the words </w:t>
      </w:r>
      <w:r>
        <w:rPr>
          <w:rStyle w:val="RevisionText"/>
        </w:rPr>
        <w:t>‘and § 3 sentence 3 to 7 apply’</w:t>
      </w:r>
      <w:r>
        <w:t>.</w:t>
      </w:r>
    </w:p>
    <w:p w14:paraId="45B25F54" w14:textId="13AFF162" w:rsidR="00163F20" w:rsidRPr="00BE5BA6" w:rsidRDefault="00F444D6" w:rsidP="0078139F">
      <w:pPr>
        <w:pStyle w:val="NummerierungStufe2"/>
        <w:keepNext/>
      </w:pPr>
      <w:r>
        <w:t>Paragraph 4 is amended as follows:</w:t>
      </w:r>
    </w:p>
    <w:p w14:paraId="3CCA277D" w14:textId="089CE06D" w:rsidR="00163F20" w:rsidRPr="00BE5BA6" w:rsidRDefault="003026DA" w:rsidP="0078139F">
      <w:pPr>
        <w:pStyle w:val="NummerierungStufe3"/>
        <w:keepNext/>
      </w:pPr>
      <w:r>
        <w:t>Subparagraph 7(g) is amended as follows:</w:t>
      </w:r>
    </w:p>
    <w:p w14:paraId="3C1C4B86" w14:textId="7C039A13" w:rsidR="00163F20" w:rsidRPr="00BE5BA6" w:rsidRDefault="00163F20" w:rsidP="00932640">
      <w:pPr>
        <w:pStyle w:val="RevisionNummerierungStufe2manuell"/>
        <w:tabs>
          <w:tab w:val="clear" w:pos="850"/>
          <w:tab w:val="left" w:pos="1776"/>
        </w:tabs>
        <w:ind w:left="1776" w:hanging="500"/>
      </w:pPr>
      <w:r>
        <w:t>‘(g)</w:t>
      </w:r>
      <w:r>
        <w:tab/>
        <w:t>other drinkable dairy products as referred to in § 2(1)(2) of the Milk and Margarine Act of 25 July 1990 (Federal Law Gazette I p. 1471), last amended by Article 2 of the Act of 18 January 2019 (Federal Law Gazette I p. 33), as amended, in particular yoghurt and kefir, if no substance listed in Annex 8 to the Fruit Juice and Soft Drinks and Tea Ordinance of 24 May 2004 (Federal Law Gazette I p. 1016), as last amended by Article 1 of the Ordinance of 18 May 2020 (Federal Law Gazette I p. 1075), in its current version, is added to the other drinkable dairy products;’</w:t>
      </w:r>
      <w:r>
        <w:rPr>
          <w:color w:val="auto"/>
        </w:rPr>
        <w:t>.</w:t>
      </w:r>
    </w:p>
    <w:p w14:paraId="1FD4D433" w14:textId="7C39D634" w:rsidR="003026DA" w:rsidRPr="00BE5BA6" w:rsidRDefault="00F36378" w:rsidP="0078139F">
      <w:pPr>
        <w:pStyle w:val="NummerierungStufe3"/>
        <w:keepNext/>
      </w:pPr>
      <w:r>
        <w:t>The following sentences are added:</w:t>
      </w:r>
    </w:p>
    <w:p w14:paraId="10C9AF79" w14:textId="7E014F17" w:rsidR="00477F37" w:rsidRPr="00BE5BA6" w:rsidRDefault="00477F37" w:rsidP="00410FA3">
      <w:pPr>
        <w:pStyle w:val="RevisionJuristischerAbsatzFolgeabsatz"/>
        <w:ind w:left="1276"/>
      </w:pPr>
      <w:r>
        <w:t>‘The exemption under sentence 1 shall not apply if the drinks referred to in sentence 1(7)(a) to (e), (h) and (i), and, starting 1 January 2024, also the drinks referred to in (f) and (g), are filled in single-use plastic beverage bottles; § 30a(3) shall apply accordingly. Furthermore, the exemption under sentence 1 shall not apply if the beverages referred to in sentence 1(7) are filled in beverage cans.’</w:t>
      </w:r>
    </w:p>
    <w:p w14:paraId="7EB621F0" w14:textId="51DB7CCE" w:rsidR="00F35F97" w:rsidRPr="00BE5BA6" w:rsidRDefault="00F35F97" w:rsidP="0078139F">
      <w:pPr>
        <w:pStyle w:val="NummerierungStufe2"/>
        <w:keepNext/>
        <w:ind w:hanging="432"/>
      </w:pPr>
      <w:r>
        <w:t>The following paragraph 5 is added:</w:t>
      </w:r>
    </w:p>
    <w:p w14:paraId="28E9050B" w14:textId="16B37587" w:rsidR="00F35F97" w:rsidRPr="00BE5BA6" w:rsidRDefault="00F35F97" w:rsidP="00932640">
      <w:pPr>
        <w:pStyle w:val="RevisionJuristischerAbsatzmanuell"/>
        <w:tabs>
          <w:tab w:val="clear" w:pos="850"/>
          <w:tab w:val="left" w:pos="1700"/>
        </w:tabs>
        <w:ind w:left="850" w:firstLine="350"/>
      </w:pPr>
      <w:r>
        <w:t>‘(5) Producers pursuant to paragraph 1, sentence 1, and distributors pursuant to paragraph 2, sentence 1, shall be obliged to maintain the financial and organisational means to comply with their obligations under this Act. For the purpose of evaluating their financial management for the proper fulfilment of their duties under this Act, they shall establish appropriate self-monitoring mechanisms.’</w:t>
      </w:r>
    </w:p>
    <w:p w14:paraId="302E9E7F" w14:textId="34937C71" w:rsidR="00061617" w:rsidRPr="00BE5BA6" w:rsidRDefault="00061617" w:rsidP="00061617">
      <w:pPr>
        <w:pStyle w:val="NummerierungStufe1"/>
      </w:pPr>
      <w:r>
        <w:t xml:space="preserve">In § 32(5), the words </w:t>
      </w:r>
      <w:r>
        <w:rPr>
          <w:rStyle w:val="RevisionText"/>
        </w:rPr>
        <w:t xml:space="preserve">‘Article 11 of the Act of 11 March 2016 (Federal Law Gazette I p. 396)’ </w:t>
      </w:r>
      <w:r>
        <w:t xml:space="preserve">are replaced by the words </w:t>
      </w:r>
      <w:r>
        <w:rPr>
          <w:rStyle w:val="RevisionText"/>
        </w:rPr>
        <w:t>‘Article 5 of the Act of 17 July 2017 (Federal Law Gazette I, p. 2394)’</w:t>
      </w:r>
      <w:r>
        <w:t xml:space="preserve"> and the words ‘</w:t>
      </w:r>
      <w:r>
        <w:rPr>
          <w:rStyle w:val="RevisionText"/>
        </w:rPr>
        <w:t>as amended,</w:t>
      </w:r>
      <w:r>
        <w:t>’ are inserted after the words ‘</w:t>
      </w:r>
      <w:r>
        <w:rPr>
          <w:rStyle w:val="RevisionText"/>
        </w:rPr>
        <w:t>(Federal Law Gazette I, p. 2394),’</w:t>
      </w:r>
      <w:r>
        <w:t>.</w:t>
      </w:r>
    </w:p>
    <w:p w14:paraId="01009577" w14:textId="1919BF3D" w:rsidR="005D544F" w:rsidRPr="00BE5BA6" w:rsidRDefault="005D544F" w:rsidP="0078139F">
      <w:pPr>
        <w:pStyle w:val="NummerierungStufe1"/>
        <w:keepNext/>
        <w:ind w:hanging="432"/>
      </w:pPr>
      <w:r>
        <w:lastRenderedPageBreak/>
        <w:t>The following Section 7 is added after § 32:</w:t>
      </w:r>
    </w:p>
    <w:p w14:paraId="6489A8BB" w14:textId="7A9E16B9" w:rsidR="005D544F" w:rsidRPr="00BE5BA6" w:rsidRDefault="005D544F" w:rsidP="004346DF">
      <w:pPr>
        <w:pStyle w:val="RevisionAbschnittBezeichner"/>
        <w:ind w:left="425"/>
      </w:pPr>
      <w:r>
        <w:t>‘Section 7</w:t>
      </w:r>
    </w:p>
    <w:p w14:paraId="38A570AE" w14:textId="4B38F285" w:rsidR="005D544F" w:rsidRPr="00BE5BA6" w:rsidRDefault="00BF3FB9" w:rsidP="004346DF">
      <w:pPr>
        <w:pStyle w:val="RevisionAbschnittberschrift"/>
        <w:ind w:left="425"/>
      </w:pPr>
      <w:r>
        <w:t xml:space="preserve">Reduction of the consumption of certain single-use packaging materials </w:t>
      </w:r>
    </w:p>
    <w:p w14:paraId="1D91E68C" w14:textId="053152C3" w:rsidR="005D544F" w:rsidRPr="00BE5BA6" w:rsidRDefault="005D544F" w:rsidP="004346DF">
      <w:pPr>
        <w:pStyle w:val="RevisionParagraphBezeichner"/>
        <w:numPr>
          <w:ilvl w:val="1"/>
          <w:numId w:val="2"/>
        </w:numPr>
        <w:ind w:left="425"/>
      </w:pPr>
    </w:p>
    <w:p w14:paraId="0948B4CE" w14:textId="7BFFFAB8" w:rsidR="005D544F" w:rsidRPr="00BE5BA6" w:rsidRDefault="005D544F" w:rsidP="004346DF">
      <w:pPr>
        <w:pStyle w:val="RevisionParagraphberschrift"/>
        <w:ind w:left="425"/>
      </w:pPr>
      <w:r>
        <w:t>Reusable alternatives to single-use plastic food packaging and single-use cups for beverages</w:t>
      </w:r>
    </w:p>
    <w:p w14:paraId="3D87A9AE" w14:textId="69E77D7C" w:rsidR="005D544F" w:rsidRPr="00BE5BA6" w:rsidRDefault="005D544F" w:rsidP="004346DF">
      <w:pPr>
        <w:pStyle w:val="RevisionJuristischerAbsatz"/>
        <w:tabs>
          <w:tab w:val="clear" w:pos="850"/>
          <w:tab w:val="num" w:pos="1275"/>
        </w:tabs>
        <w:ind w:left="425"/>
      </w:pPr>
      <w:r>
        <w:t xml:space="preserve">Starting 1 January 2023, final distributors of single-use plastic food packaging and of single-use cups for beverages that are only filled with goods at the final distributor shall be obliged to offer the goods offered for sale in said single-use packaging in reusable packaging as well at the place of market placement. When doing so, final distributors may not offer the sales unit consisting of the product and reusable packaging at a higher price or on less favourable terms than the sales unit consisting of the same product and single-use packaging. Sentences 1 and 2 do not apply to distribution by means of vending machines which are set up in establishments for supplying employees and which are not accessible to the public. </w:t>
      </w:r>
    </w:p>
    <w:p w14:paraId="7297294F" w14:textId="75FFB732" w:rsidR="005D544F" w:rsidRPr="00BE5BA6" w:rsidRDefault="005D544F" w:rsidP="004346DF">
      <w:pPr>
        <w:pStyle w:val="RevisionJuristischerAbsatz"/>
        <w:tabs>
          <w:tab w:val="clear" w:pos="850"/>
          <w:tab w:val="num" w:pos="1275"/>
        </w:tabs>
        <w:ind w:left="425"/>
      </w:pPr>
      <w:r>
        <w:t>Final distributors pursuant to paragraph 1, sentence 1 shall be obliged to inform final consumers at the point of sale by means of clearly visible and legible information boards or signs of the possibility of obtaining the goods in reusable packaging. In the case of a delivery of goods, this reference is to be given accordingly in the respective presentation media used.</w:t>
      </w:r>
    </w:p>
    <w:p w14:paraId="5DED9324" w14:textId="779E7D0E" w:rsidR="005D544F" w:rsidRPr="00BE5BA6" w:rsidRDefault="005D544F" w:rsidP="004346DF">
      <w:pPr>
        <w:pStyle w:val="RevisionJuristischerAbsatz"/>
        <w:tabs>
          <w:tab w:val="clear" w:pos="850"/>
          <w:tab w:val="num" w:pos="1275"/>
        </w:tabs>
        <w:ind w:left="425"/>
      </w:pPr>
      <w:r>
        <w:t>In deviation from § 15(1) sentence 2, the take-back obligation for final distributors pursuant to paragraph 1, sentence 1 shall be limited to the reusable packaging they have placed on the market.</w:t>
      </w:r>
    </w:p>
    <w:p w14:paraId="26F0096A" w14:textId="0C785BC8" w:rsidR="005D544F" w:rsidRPr="00BE5BA6" w:rsidRDefault="005D544F" w:rsidP="004346DF">
      <w:pPr>
        <w:pStyle w:val="RevisionParagraphBezeichner"/>
        <w:numPr>
          <w:ilvl w:val="1"/>
          <w:numId w:val="2"/>
        </w:numPr>
        <w:ind w:left="425"/>
      </w:pPr>
    </w:p>
    <w:p w14:paraId="0065C507" w14:textId="481B2609" w:rsidR="005D544F" w:rsidRPr="00BE5BA6" w:rsidRDefault="005D544F" w:rsidP="004346DF">
      <w:pPr>
        <w:pStyle w:val="RevisionParagraphberschrift"/>
        <w:ind w:left="425"/>
      </w:pPr>
      <w:r>
        <w:t>Simplifications for small businesses and vending machines</w:t>
      </w:r>
    </w:p>
    <w:p w14:paraId="6F620AC0" w14:textId="2CDF8C4B" w:rsidR="00A721B8" w:rsidRPr="00BE5BA6" w:rsidRDefault="005D544F" w:rsidP="004346DF">
      <w:pPr>
        <w:pStyle w:val="RevisionJuristischerAbsatz"/>
        <w:tabs>
          <w:tab w:val="clear" w:pos="850"/>
          <w:tab w:val="num" w:pos="1275"/>
        </w:tabs>
        <w:ind w:left="425"/>
      </w:pPr>
      <w:r>
        <w:t>Final distributors pursuant to § 33(1) sentence 1 with a total of no more than five employees and whose sales area does not exceed 80 square metres may also fulfil the obligation pursuant to § 33(1) sentence 1 by offering to fill the goods into returnable containers provided by the final consumer; in the case of a delivery of goods, all storage and dispatch areas shall also be deemed to be sales areas. In determining the number of employees, part-time employees with a regular weekly working time of not more than 20 hours shall be taken into account at the rate of 0.5 and part-time employees with a regular weekly working time of not more than 30 hours shall be taken into account at the rate of 0.75. § 33(1) sentence 2 shall apply accordingly.</w:t>
      </w:r>
    </w:p>
    <w:p w14:paraId="2A38782B" w14:textId="3D3E65A5" w:rsidR="00C40E57" w:rsidRPr="00BE5BA6" w:rsidRDefault="00C40E57" w:rsidP="004346DF">
      <w:pPr>
        <w:pStyle w:val="RevisionJuristischerAbsatz"/>
        <w:tabs>
          <w:tab w:val="clear" w:pos="850"/>
          <w:tab w:val="num" w:pos="1275"/>
        </w:tabs>
        <w:ind w:left="425"/>
      </w:pPr>
      <w:r>
        <w:t>In the case of distribution through vending machines, final distributors may also fulfil the obligation under § 33(1) sentence 1 by offering to fill the goods into returnable containers provided by the final consumer. § 33(1) sentence 2 shall apply accordingly.</w:t>
      </w:r>
    </w:p>
    <w:p w14:paraId="4596D613" w14:textId="09A24754" w:rsidR="005D544F" w:rsidRPr="00BE5BA6" w:rsidRDefault="004346DF" w:rsidP="004346DF">
      <w:pPr>
        <w:pStyle w:val="RevisionJuristischerAbsatz"/>
        <w:tabs>
          <w:tab w:val="clear" w:pos="850"/>
          <w:tab w:val="num" w:pos="1275"/>
        </w:tabs>
        <w:ind w:left="425"/>
      </w:pPr>
      <w:r>
        <w:t xml:space="preserve">Final distributors who avail themselves of the facilities provided for in paragraphs 1 or 2 shall be obliged to inform the final consumer at the point of sale of the offer to fill the goods into reusable containers provided by the final consumer by </w:t>
      </w:r>
      <w:r>
        <w:lastRenderedPageBreak/>
        <w:t>means of clearly visible and legible information boards or signs. In the case of a delivery of goods, this reference shall be made accordingly in the respective presentation media used.’</w:t>
      </w:r>
    </w:p>
    <w:p w14:paraId="312D234C" w14:textId="0C49833C" w:rsidR="005D544F" w:rsidRPr="00BE5BA6" w:rsidRDefault="00DF1BAB" w:rsidP="005D544F">
      <w:pPr>
        <w:pStyle w:val="NummerierungStufe1"/>
      </w:pPr>
      <w:r>
        <w:t>The previous Section 7 becomes Section 8.</w:t>
      </w:r>
    </w:p>
    <w:p w14:paraId="51DC9D67" w14:textId="3BA8C0A8" w:rsidR="00764922" w:rsidRPr="00BE5BA6" w:rsidRDefault="00764922" w:rsidP="0078139F">
      <w:pPr>
        <w:pStyle w:val="NummerierungStufe1"/>
        <w:keepNext/>
      </w:pPr>
      <w:r>
        <w:t>The previous § 33 becomes § 35 and is worded as follows:</w:t>
      </w:r>
    </w:p>
    <w:p w14:paraId="53F3BC61" w14:textId="2289B219" w:rsidR="00743F93" w:rsidRPr="00BE5BA6" w:rsidRDefault="00743F93" w:rsidP="00932640">
      <w:pPr>
        <w:pStyle w:val="RevisionParagraphBezeichnermanuell"/>
        <w:ind w:left="425" w:hanging="75"/>
      </w:pPr>
      <w:r>
        <w:t>‘§ 35</w:t>
      </w:r>
    </w:p>
    <w:p w14:paraId="26BB6E45" w14:textId="62CEE69B" w:rsidR="00743F93" w:rsidRPr="00BE5BA6" w:rsidRDefault="00743F93" w:rsidP="00932640">
      <w:pPr>
        <w:pStyle w:val="RevisionParagraphberschrift"/>
        <w:ind w:left="425"/>
      </w:pPr>
      <w:r>
        <w:t>Commissioning of third parties and delegation of authority</w:t>
      </w:r>
    </w:p>
    <w:p w14:paraId="5AE5CAB8" w14:textId="6CAF490E" w:rsidR="00743F93" w:rsidRPr="00BE5BA6" w:rsidRDefault="00743F93" w:rsidP="00932640">
      <w:pPr>
        <w:pStyle w:val="RevisionJuristischerAbsatz"/>
        <w:numPr>
          <w:ilvl w:val="2"/>
          <w:numId w:val="3"/>
        </w:numPr>
        <w:tabs>
          <w:tab w:val="clear" w:pos="850"/>
          <w:tab w:val="num" w:pos="1275"/>
        </w:tabs>
        <w:ind w:left="425"/>
      </w:pPr>
      <w:r>
        <w:t>The parties obligated under this Act may delegate fulfilment of their obligations to third parties; § 22 sentences 2 and 3 of the Circular Economy Act shall apply accordingly. Sentence 1 shall not apply to registration under § 9 or to the submission of data reports as per § 10.</w:t>
      </w:r>
    </w:p>
    <w:p w14:paraId="5D9F84DA" w14:textId="6364C7E7" w:rsidR="008916E0" w:rsidRPr="00BE5BA6" w:rsidRDefault="00743F93" w:rsidP="00932640">
      <w:pPr>
        <w:pStyle w:val="RevisionJuristischerAbsatz"/>
        <w:numPr>
          <w:ilvl w:val="2"/>
          <w:numId w:val="3"/>
        </w:numPr>
        <w:tabs>
          <w:tab w:val="clear" w:pos="850"/>
          <w:tab w:val="num" w:pos="1275"/>
        </w:tabs>
        <w:ind w:left="425"/>
      </w:pPr>
      <w:r>
        <w:t>Producers who do not have an establishment within the area covered by this Act may appoint an authorised representative to fulfil their obligations under this Act, with the exception of registration under § 9. The authorised representative shall be considered a producer within the meaning of this Act for the purposes of these obligations. The performance of tasks by the authorised representative shall be in its own name. Each producer may only appoint one authorised representative. The assignment pursuant to sentence 1 shall be made in writing and in German.’</w:t>
      </w:r>
    </w:p>
    <w:p w14:paraId="62EE8E47" w14:textId="3716C1E4" w:rsidR="00DF1BAB" w:rsidRPr="00BE5BA6" w:rsidRDefault="00287B4B" w:rsidP="0078139F">
      <w:pPr>
        <w:pStyle w:val="NummerierungStufe1"/>
        <w:keepNext/>
      </w:pPr>
      <w:r>
        <w:t>The previous § 34 becomes § 36 and is amended as follows:</w:t>
      </w:r>
    </w:p>
    <w:p w14:paraId="09C6E929" w14:textId="3F16A617" w:rsidR="00F35F97" w:rsidRPr="00BE5BA6" w:rsidRDefault="00F35F97" w:rsidP="0078139F">
      <w:pPr>
        <w:pStyle w:val="NummerierungStufe2"/>
        <w:keepNext/>
      </w:pPr>
      <w:r>
        <w:t>Paragraph 1 is amended as follows:</w:t>
      </w:r>
    </w:p>
    <w:p w14:paraId="7FE57AB0" w14:textId="4286BFE0" w:rsidR="00F35F97" w:rsidRPr="00BE5BA6" w:rsidRDefault="00F35F97" w:rsidP="00F35F97">
      <w:pPr>
        <w:pStyle w:val="NummerierungStufe3"/>
      </w:pPr>
      <w:r>
        <w:t xml:space="preserve">In subparagraph 1, the words </w:t>
      </w:r>
      <w:r>
        <w:rPr>
          <w:rStyle w:val="RevisionText"/>
        </w:rPr>
        <w:t>‘paragraph 1, sentence 4’</w:t>
      </w:r>
      <w:r>
        <w:t xml:space="preserve"> are replaced by the words </w:t>
      </w:r>
      <w:r>
        <w:rPr>
          <w:rStyle w:val="RevisionText"/>
        </w:rPr>
        <w:t>‘paragraph 7, sentence 1’</w:t>
      </w:r>
      <w:r>
        <w:t>.</w:t>
      </w:r>
    </w:p>
    <w:p w14:paraId="0AB5037B" w14:textId="467BBFC1" w:rsidR="00F35F97" w:rsidRPr="00BE5BA6" w:rsidRDefault="00F35F97" w:rsidP="0078139F">
      <w:pPr>
        <w:pStyle w:val="NummerierungStufe3"/>
        <w:keepNext/>
      </w:pPr>
      <w:r>
        <w:t>The following subparagraphs 5 and 5a are inserted after subparagraph 4:</w:t>
      </w:r>
    </w:p>
    <w:p w14:paraId="0E02A449" w14:textId="7E7FC389" w:rsidR="00285654" w:rsidRPr="00BE5BA6" w:rsidRDefault="00F35F97" w:rsidP="001B3D87">
      <w:pPr>
        <w:pStyle w:val="RevisionNummerierungStufe1manuell"/>
        <w:tabs>
          <w:tab w:val="clear" w:pos="425"/>
          <w:tab w:val="left" w:pos="1776"/>
        </w:tabs>
        <w:ind w:left="1776"/>
      </w:pPr>
      <w:r>
        <w:t>‘5.</w:t>
      </w:r>
      <w:r>
        <w:tab/>
        <w:t>offers packaging for sale or enables packaging to be offered for sale in contravention of § 7(7) sentence 2 or § 9(5) sentence 2</w:t>
      </w:r>
    </w:p>
    <w:p w14:paraId="365A4D1E" w14:textId="06F6868B" w:rsidR="00F35F97" w:rsidRPr="00BE5BA6" w:rsidRDefault="00285654" w:rsidP="00932640">
      <w:pPr>
        <w:pStyle w:val="RevisionNummerierungStufe1manuell"/>
        <w:tabs>
          <w:tab w:val="clear" w:pos="425"/>
          <w:tab w:val="left" w:pos="1776"/>
        </w:tabs>
        <w:ind w:left="1776"/>
      </w:pPr>
      <w:r>
        <w:t>5a.</w:t>
      </w:r>
      <w:r>
        <w:tab/>
        <w:t>performs an activity referred to in § 3(14c) sentence 1 in contravention of the first half-sentence of § 7(7) sentence 3 or § 9(5) sentence 3,’.</w:t>
      </w:r>
    </w:p>
    <w:p w14:paraId="0F327463" w14:textId="3A943E70" w:rsidR="003F26E3" w:rsidRPr="00BE5BA6" w:rsidRDefault="003F26E3" w:rsidP="00285654">
      <w:pPr>
        <w:pStyle w:val="NummerierungStufe3"/>
      </w:pPr>
      <w:r>
        <w:t xml:space="preserve">In subparagraph 6, the word </w:t>
      </w:r>
      <w:r>
        <w:rPr>
          <w:rStyle w:val="RevisionText"/>
        </w:rPr>
        <w:t>‘submits’</w:t>
      </w:r>
      <w:r>
        <w:t xml:space="preserve"> is replaced by the word </w:t>
      </w:r>
      <w:r>
        <w:rPr>
          <w:rStyle w:val="RevisionText"/>
        </w:rPr>
        <w:t>‘files’</w:t>
      </w:r>
      <w:r>
        <w:t>.</w:t>
      </w:r>
    </w:p>
    <w:p w14:paraId="5C222254" w14:textId="68A93877" w:rsidR="007313B5" w:rsidRPr="00BE5BA6" w:rsidRDefault="007313B5" w:rsidP="00285654">
      <w:pPr>
        <w:pStyle w:val="NummerierungStufe3"/>
      </w:pPr>
      <w:r>
        <w:t>The previous subparagraphs 5 to 8 become subparagraphs 6 to 9.</w:t>
      </w:r>
    </w:p>
    <w:p w14:paraId="19003895" w14:textId="0EE78007" w:rsidR="00285654" w:rsidRPr="00BE5BA6" w:rsidRDefault="00903507" w:rsidP="00285654">
      <w:pPr>
        <w:pStyle w:val="NummerierungStufe3"/>
      </w:pPr>
      <w:r>
        <w:t>The previous subparagraph 9 is deleted.</w:t>
      </w:r>
    </w:p>
    <w:p w14:paraId="549E2396" w14:textId="62273860" w:rsidR="003300E7" w:rsidRPr="00BE5BA6" w:rsidRDefault="003300E7" w:rsidP="00285654">
      <w:pPr>
        <w:pStyle w:val="NummerierungStufe3"/>
      </w:pPr>
      <w:r>
        <w:t xml:space="preserve">In subparagraphs 14 to 16, each instance of the entry </w:t>
      </w:r>
      <w:r>
        <w:rPr>
          <w:rStyle w:val="RevisionText"/>
        </w:rPr>
        <w:t>‘4’</w:t>
      </w:r>
      <w:r>
        <w:t xml:space="preserve"> is replaced by the entry </w:t>
      </w:r>
      <w:r>
        <w:rPr>
          <w:rStyle w:val="RevisionText"/>
        </w:rPr>
        <w:t>‘5’</w:t>
      </w:r>
      <w:r>
        <w:t>.</w:t>
      </w:r>
    </w:p>
    <w:p w14:paraId="432118F3" w14:textId="15AA9EAF" w:rsidR="00434190" w:rsidRPr="00BE5BA6" w:rsidRDefault="007137CC" w:rsidP="0078139F">
      <w:pPr>
        <w:pStyle w:val="NummerierungStufe3"/>
        <w:keepNext/>
        <w:ind w:left="1282" w:hanging="432"/>
      </w:pPr>
      <w:r>
        <w:t>Subparagraph 17 is worded as follows:</w:t>
      </w:r>
    </w:p>
    <w:p w14:paraId="2E59E889" w14:textId="5A00C8FA" w:rsidR="001B3D87" w:rsidRPr="00BE5BA6" w:rsidRDefault="001B3D87" w:rsidP="001B3D87">
      <w:pPr>
        <w:pStyle w:val="RevisionNummerierungStufe1manuell"/>
        <w:tabs>
          <w:tab w:val="clear" w:pos="425"/>
          <w:tab w:val="left" w:pos="1776"/>
        </w:tabs>
        <w:ind w:left="1776" w:hanging="500"/>
      </w:pPr>
      <w:r>
        <w:t>‘17.</w:t>
      </w:r>
      <w:r>
        <w:tab/>
        <w:t>fails to keep a record or to keep it correctly, completely or in the prescribed manner, in contravention of § 15(3) sentence 3 including in conjunction with § 31(3) sentence 3, or § 15(5) sentence 5,’</w:t>
      </w:r>
      <w:r>
        <w:rPr>
          <w:color w:val="auto"/>
        </w:rPr>
        <w:t>.</w:t>
      </w:r>
    </w:p>
    <w:p w14:paraId="24008A2B" w14:textId="6E7A900F" w:rsidR="001B3D87" w:rsidRPr="00BE5BA6" w:rsidRDefault="001B3D87" w:rsidP="0078139F">
      <w:pPr>
        <w:pStyle w:val="NummerierungStufe3"/>
        <w:keepNext/>
        <w:ind w:left="1282" w:hanging="432"/>
      </w:pPr>
      <w:r>
        <w:lastRenderedPageBreak/>
        <w:t>The following subparagraph 20a is inserted after subparagraph 20:</w:t>
      </w:r>
    </w:p>
    <w:p w14:paraId="0BF159CE" w14:textId="5B55E547" w:rsidR="00F444D6" w:rsidRPr="00BE5BA6" w:rsidRDefault="00F444D6" w:rsidP="00932640">
      <w:pPr>
        <w:pStyle w:val="RevisionNummerierungStufe1manuell"/>
        <w:tabs>
          <w:tab w:val="clear" w:pos="425"/>
          <w:tab w:val="left" w:pos="1776"/>
        </w:tabs>
        <w:ind w:left="1776" w:hanging="500"/>
        <w:rPr>
          <w:color w:val="auto"/>
        </w:rPr>
      </w:pPr>
      <w:r>
        <w:t>‘20a.</w:t>
      </w:r>
      <w:r>
        <w:tab/>
        <w:t>places a single-use plastic beverage bottle on the market in contravention of § 30a(1),’.</w:t>
      </w:r>
    </w:p>
    <w:p w14:paraId="4736F123" w14:textId="0949C7D0" w:rsidR="00743F93" w:rsidRPr="00BE5BA6" w:rsidRDefault="00743F93" w:rsidP="00743F93">
      <w:pPr>
        <w:pStyle w:val="NummerierungStufe3"/>
      </w:pPr>
      <w:r>
        <w:t xml:space="preserve">In subparagraph 26, the word </w:t>
      </w:r>
      <w:r>
        <w:rPr>
          <w:rStyle w:val="RevisionText"/>
        </w:rPr>
        <w:t>‘or’</w:t>
      </w:r>
      <w:r>
        <w:t xml:space="preserve"> is replaced by a comma.</w:t>
      </w:r>
    </w:p>
    <w:p w14:paraId="034E68A4" w14:textId="6E832311" w:rsidR="006E46C7" w:rsidRPr="00BE5BA6" w:rsidRDefault="006E46C7" w:rsidP="00743F93">
      <w:pPr>
        <w:pStyle w:val="NummerierungStufe3"/>
      </w:pPr>
      <w:r>
        <w:t>In subparagraph 27, the full stop at the end is replaced by a comma.</w:t>
      </w:r>
    </w:p>
    <w:p w14:paraId="356F20AD" w14:textId="37E53F55" w:rsidR="00C134F0" w:rsidRPr="00BE5BA6" w:rsidRDefault="00743F93" w:rsidP="0078139F">
      <w:pPr>
        <w:pStyle w:val="NummerierungStufe3"/>
        <w:keepNext/>
      </w:pPr>
      <w:r>
        <w:t>The following subparagraphs 28 to 30 are added:</w:t>
      </w:r>
    </w:p>
    <w:p w14:paraId="09D77289" w14:textId="70BB78F7" w:rsidR="00C134F0" w:rsidRPr="00BE5BA6" w:rsidRDefault="00C134F0" w:rsidP="00932640">
      <w:pPr>
        <w:pStyle w:val="RevisionNummerierungStufe1manuell"/>
        <w:tabs>
          <w:tab w:val="clear" w:pos="425"/>
          <w:tab w:val="left" w:pos="1776"/>
        </w:tabs>
        <w:ind w:left="1776" w:hanging="500"/>
      </w:pPr>
      <w:r>
        <w:t>‘28.</w:t>
      </w:r>
      <w:r>
        <w:tab/>
        <w:t>fails to offer reusable packaging in contravention of § 33(1) sentence 1,</w:t>
      </w:r>
    </w:p>
    <w:p w14:paraId="29519B35" w14:textId="5B6BD36F" w:rsidR="00C134F0" w:rsidRPr="00BE5BA6" w:rsidRDefault="00C134F0" w:rsidP="00932640">
      <w:pPr>
        <w:pStyle w:val="RevisionNummerierungStufe1manuell"/>
        <w:tabs>
          <w:tab w:val="clear" w:pos="425"/>
          <w:tab w:val="left" w:pos="1776"/>
        </w:tabs>
        <w:ind w:left="1776"/>
      </w:pPr>
      <w:r>
        <w:t>29.</w:t>
      </w:r>
      <w:r>
        <w:tab/>
        <w:t>offers a sales unit at a higher price or at worse conditions in contravention of § 33(1) sentence 2, also in conjunction with § 34(1) sentence 2, or</w:t>
      </w:r>
    </w:p>
    <w:p w14:paraId="48E83B65" w14:textId="59443044" w:rsidR="00C134F0" w:rsidRPr="00BE5BA6" w:rsidRDefault="00C134F0" w:rsidP="00932640">
      <w:pPr>
        <w:pStyle w:val="RevisionNummerierungStufe1manuell"/>
        <w:tabs>
          <w:tab w:val="clear" w:pos="425"/>
          <w:tab w:val="left" w:pos="1776"/>
        </w:tabs>
        <w:ind w:left="1776"/>
      </w:pPr>
      <w:r>
        <w:t>30.</w:t>
      </w:r>
      <w:r>
        <w:tab/>
        <w:t>fails to provide an indication or to do so correctly, completely or as instructed in contravention of § 33(2) sentence 1, also in conjunction with sentence 2, in each case also in conjunction with § 34 sentence 2.’</w:t>
      </w:r>
    </w:p>
    <w:p w14:paraId="4C47F446" w14:textId="652B049C" w:rsidR="00CE49C5" w:rsidRPr="00BE5BA6" w:rsidRDefault="007137CC" w:rsidP="007137CC">
      <w:pPr>
        <w:pStyle w:val="NummerierungStufe2"/>
      </w:pPr>
      <w:r>
        <w:t xml:space="preserve">In paragraph 2, the entry </w:t>
      </w:r>
      <w:r>
        <w:rPr>
          <w:rStyle w:val="RevisionText"/>
        </w:rPr>
        <w:t>‘5a,’</w:t>
      </w:r>
      <w:r>
        <w:t xml:space="preserve"> is inserted after the entry </w:t>
      </w:r>
      <w:r>
        <w:rPr>
          <w:rStyle w:val="RevisionText"/>
        </w:rPr>
        <w:t>‘5,’</w:t>
      </w:r>
      <w:r>
        <w:t xml:space="preserve"> and the entry </w:t>
      </w:r>
      <w:r>
        <w:rPr>
          <w:rStyle w:val="RevisionText"/>
        </w:rPr>
        <w:t>‘9’</w:t>
      </w:r>
      <w:r>
        <w:t xml:space="preserve"> is replaced by the entry </w:t>
      </w:r>
      <w:r>
        <w:rPr>
          <w:rStyle w:val="RevisionText"/>
        </w:rPr>
        <w:t>‘8’</w:t>
      </w:r>
      <w:r>
        <w:t>.</w:t>
      </w:r>
    </w:p>
    <w:p w14:paraId="2C6FAA6A" w14:textId="0778C223" w:rsidR="003F26E3" w:rsidRPr="00BE5BA6" w:rsidRDefault="003F26E3" w:rsidP="0078139F">
      <w:pPr>
        <w:pStyle w:val="NummerierungStufe1"/>
        <w:keepNext/>
      </w:pPr>
      <w:r>
        <w:t>The following § 37 is inserted after § 36:</w:t>
      </w:r>
    </w:p>
    <w:p w14:paraId="3EBC6659" w14:textId="7411F014" w:rsidR="003F26E3" w:rsidRPr="00BE5BA6" w:rsidRDefault="003F26E3" w:rsidP="0072093D">
      <w:pPr>
        <w:pStyle w:val="RevisionParagraphBezeichnermanuell"/>
        <w:ind w:left="425" w:hanging="75"/>
      </w:pPr>
      <w:r>
        <w:t>‘§ 37</w:t>
      </w:r>
    </w:p>
    <w:p w14:paraId="769962EE" w14:textId="0201B149" w:rsidR="003F26E3" w:rsidRPr="00BE5BA6" w:rsidRDefault="003F26E3" w:rsidP="0072093D">
      <w:pPr>
        <w:pStyle w:val="RevisionParagraphberschrift"/>
        <w:ind w:left="425"/>
      </w:pPr>
      <w:r>
        <w:t>Confiscation</w:t>
      </w:r>
    </w:p>
    <w:p w14:paraId="67B0662D" w14:textId="7EAF49B2" w:rsidR="003861FD" w:rsidRPr="00BE5BA6" w:rsidRDefault="003F26E3" w:rsidP="0078139F">
      <w:pPr>
        <w:pStyle w:val="RevisionJuristischerAbsatz"/>
        <w:keepNext/>
        <w:numPr>
          <w:ilvl w:val="2"/>
          <w:numId w:val="0"/>
        </w:numPr>
        <w:tabs>
          <w:tab w:val="left" w:pos="1275"/>
        </w:tabs>
        <w:ind w:left="425" w:firstLine="425"/>
      </w:pPr>
      <w:r>
        <w:t>If an administrative offence as per § 36(1) has been committed,</w:t>
      </w:r>
    </w:p>
    <w:p w14:paraId="2F48329D" w14:textId="3E5CD027" w:rsidR="003861FD" w:rsidRPr="00BE5BA6" w:rsidRDefault="00713EB3" w:rsidP="0072093D">
      <w:pPr>
        <w:pStyle w:val="RevisionNummerierungStufe1"/>
        <w:tabs>
          <w:tab w:val="clear" w:pos="851"/>
          <w:tab w:val="num" w:pos="1276"/>
        </w:tabs>
        <w:ind w:left="1276"/>
      </w:pPr>
      <w:r>
        <w:t>objects to which the administrative offence relates; or</w:t>
      </w:r>
    </w:p>
    <w:p w14:paraId="50067380" w14:textId="25AB3FBB" w:rsidR="003861FD" w:rsidRPr="00BE5BA6" w:rsidRDefault="00713EB3" w:rsidP="0072093D">
      <w:pPr>
        <w:pStyle w:val="RevisionNummerierungStufe1"/>
        <w:tabs>
          <w:tab w:val="clear" w:pos="851"/>
          <w:tab w:val="num" w:pos="1276"/>
        </w:tabs>
        <w:ind w:left="1276"/>
      </w:pPr>
      <w:r>
        <w:t>objects that can be used to commit or prepare for it, or which were intended for it,</w:t>
      </w:r>
    </w:p>
    <w:p w14:paraId="4A618A77" w14:textId="31A1A2D1" w:rsidR="008916E0" w:rsidRPr="00BE5BA6" w:rsidRDefault="0070132A" w:rsidP="0072093D">
      <w:pPr>
        <w:pStyle w:val="RevisionJuristischerAbsatzFolgeabsatz"/>
        <w:ind w:left="425"/>
      </w:pPr>
      <w:r>
        <w:t>can be confiscated. § 23 of the Code of Administrative Offences.’</w:t>
      </w:r>
    </w:p>
    <w:p w14:paraId="7D6B8FD8" w14:textId="650A0204" w:rsidR="00C134F0" w:rsidRPr="00BE5BA6" w:rsidRDefault="00C134F0" w:rsidP="00F46506">
      <w:pPr>
        <w:pStyle w:val="NummerierungStufe1"/>
      </w:pPr>
      <w:r>
        <w:t>The current § 35 becomes § 38.</w:t>
      </w:r>
    </w:p>
    <w:p w14:paraId="36C0C612" w14:textId="4BFC42B9" w:rsidR="00F46506" w:rsidRPr="00BE5BA6" w:rsidRDefault="00F46506" w:rsidP="0078139F">
      <w:pPr>
        <w:pStyle w:val="NummerierungStufe1"/>
        <w:keepNext/>
      </w:pPr>
      <w:r>
        <w:t>The following paragraph 6 is added to § 38:</w:t>
      </w:r>
    </w:p>
    <w:p w14:paraId="5F8F09A2" w14:textId="55494D93" w:rsidR="00F46506" w:rsidRPr="00BE5BA6" w:rsidRDefault="00F46506" w:rsidP="00932640">
      <w:pPr>
        <w:pStyle w:val="RevisionJuristischerAbsatzmanuell"/>
        <w:tabs>
          <w:tab w:val="clear" w:pos="850"/>
          <w:tab w:val="left" w:pos="1275"/>
        </w:tabs>
        <w:ind w:left="425" w:firstLine="350"/>
      </w:pPr>
      <w:r>
        <w:t>‘(6) Schemes which, by the end of (</w:t>
      </w:r>
      <w:r>
        <w:rPr>
          <w:highlight w:val="yellow"/>
        </w:rPr>
        <w:t>insert: date of entry into force</w:t>
      </w:r>
      <w:r>
        <w:t xml:space="preserve"> </w:t>
      </w:r>
      <w:r>
        <w:rPr>
          <w:highlight w:val="yellow"/>
        </w:rPr>
        <w:t>pursuant to Article 4(1)</w:t>
      </w:r>
      <w:r>
        <w:t xml:space="preserve"> of this Act), have been granted an authorisation pursuant to § 18(1) sentence 1 shall be deemed to be in good financial standing pursuant to § 18(1) sentence 2, subparagraph 4 until the Central Authority pursuant to § 26(1) sentence 2, subparagraph 8a has examined the reports of the schemes to be submitted pursuant to § 20(5) sentence 1 by 1 July 2022. The Central Authority shall provide the competent federal state authority with the reports pursuant to sentence 1.’</w:t>
      </w:r>
    </w:p>
    <w:p w14:paraId="78EEF0CC" w14:textId="618C4072" w:rsidR="004669CE" w:rsidRPr="00BE5BA6" w:rsidRDefault="006B78B5" w:rsidP="0078139F">
      <w:pPr>
        <w:pStyle w:val="NummerierungStufe1"/>
        <w:keepNext/>
      </w:pPr>
      <w:r>
        <w:t>Annex 2 is amended as follows:</w:t>
      </w:r>
    </w:p>
    <w:p w14:paraId="26397381" w14:textId="7831F13E" w:rsidR="00BB0170" w:rsidRPr="00BE5BA6" w:rsidRDefault="00BB0170" w:rsidP="0078139F">
      <w:pPr>
        <w:pStyle w:val="NummerierungStufe2"/>
        <w:keepNext/>
      </w:pPr>
      <w:r>
        <w:t>Subparagraph 1 is worded as follows:</w:t>
      </w:r>
    </w:p>
    <w:p w14:paraId="68EF46F0" w14:textId="2F00C67E" w:rsidR="00BB0170" w:rsidRPr="00BE5BA6" w:rsidRDefault="00BB0170" w:rsidP="00932640">
      <w:pPr>
        <w:pStyle w:val="RevisionNummerierungStufe1manuell"/>
        <w:tabs>
          <w:tab w:val="clear" w:pos="425"/>
          <w:tab w:val="left" w:pos="1350"/>
        </w:tabs>
        <w:ind w:left="1350" w:hanging="500"/>
      </w:pPr>
      <w:r>
        <w:t>‘1.</w:t>
      </w:r>
      <w:r>
        <w:tab/>
        <w:t xml:space="preserve">Substances and mixtures which, if sold in the retail sector, would be subject to the prohibition of self-service pursuant to § 8(4) of the Chemicals Prohibition Ordinance of 20 January 2017 (Federal Law Gazette I p. 94, </w:t>
      </w:r>
      <w:r>
        <w:lastRenderedPageBreak/>
        <w:t>2018 I p. 1389), last amended by Article 300 of the Ordinance of 19 June 2020 (Federal Law Gazette I p. 1328),’.</w:t>
      </w:r>
    </w:p>
    <w:p w14:paraId="3D029116" w14:textId="2993A982" w:rsidR="00453D54" w:rsidRPr="00BE5BA6" w:rsidRDefault="00453D54" w:rsidP="00453D54">
      <w:pPr>
        <w:pStyle w:val="NummerierungStufe2"/>
      </w:pPr>
      <w:r>
        <w:t xml:space="preserve">In subparagraph 2, the words </w:t>
      </w:r>
      <w:r>
        <w:rPr>
          <w:color w:val="800000"/>
        </w:rPr>
        <w:t>‘Article 4(84) of the Act of 18 July 2016 (Federal Law Gazette I p. 1666)’</w:t>
      </w:r>
      <w:r>
        <w:t xml:space="preserve"> are replaced by the words </w:t>
      </w:r>
      <w:r>
        <w:rPr>
          <w:color w:val="800000"/>
        </w:rPr>
        <w:t>‘Article 278 of the Ordinance of 19 June 2020 (Federal Law Gazette I p. 1328)’</w:t>
      </w:r>
      <w:r>
        <w:t>.</w:t>
      </w:r>
    </w:p>
    <w:p w14:paraId="74B91DE0" w14:textId="0770CE59" w:rsidR="006B78B5" w:rsidRPr="00BE5BA6" w:rsidRDefault="009677C5" w:rsidP="000558C4">
      <w:pPr>
        <w:pStyle w:val="NummerierungStufe2"/>
      </w:pPr>
      <w:r>
        <w:t xml:space="preserve">In subparagraph 3, the entry </w:t>
      </w:r>
      <w:r>
        <w:rPr>
          <w:color w:val="800000"/>
        </w:rPr>
        <w:t>‘(EU) 2015/1221 (OJ L 197 of 25.7.2015, p. 10)’</w:t>
      </w:r>
      <w:r>
        <w:t xml:space="preserve"> is replaced by the entry </w:t>
      </w:r>
      <w:r>
        <w:rPr>
          <w:color w:val="800000"/>
        </w:rPr>
        <w:t>‘(EU) 2020/1677 (OJ L 379 of 14.11.2020, p. 3)’</w:t>
      </w:r>
      <w:r>
        <w:t>.</w:t>
      </w:r>
    </w:p>
    <w:p w14:paraId="155CEB53" w14:textId="22C9F7EF" w:rsidR="003033E8" w:rsidRPr="00BE5BA6" w:rsidRDefault="003033E8" w:rsidP="00410FA3">
      <w:pPr>
        <w:pStyle w:val="NummerierungStufe1"/>
      </w:pPr>
      <w:r>
        <w:t xml:space="preserve">In Annex 5, each instance of the words </w:t>
      </w:r>
      <w:r>
        <w:rPr>
          <w:color w:val="800000"/>
        </w:rPr>
        <w:t>‘polyethylene terephthalate’</w:t>
      </w:r>
      <w:r>
        <w:t xml:space="preserve"> [Polyethylenterephtalat] is replaced by the words </w:t>
      </w:r>
      <w:r>
        <w:rPr>
          <w:color w:val="800000"/>
        </w:rPr>
        <w:t>‘polyethylene terephthalate’</w:t>
      </w:r>
      <w:r>
        <w:t xml:space="preserve"> [Polyethylenterephthalat]. </w:t>
      </w:r>
    </w:p>
    <w:p w14:paraId="5CAFAA4D" w14:textId="57FD062B" w:rsidR="0061733F" w:rsidRPr="00BE5BA6" w:rsidRDefault="00E8714D" w:rsidP="00E8714D">
      <w:pPr>
        <w:pStyle w:val="ArtikelBezeichner"/>
        <w:numPr>
          <w:ilvl w:val="0"/>
          <w:numId w:val="0"/>
        </w:numPr>
      </w:pPr>
      <w:r>
        <w:t>Article 2</w:t>
      </w:r>
    </w:p>
    <w:p w14:paraId="24A0525D" w14:textId="3E9D40D2" w:rsidR="008C6327" w:rsidRPr="00BE5BA6" w:rsidRDefault="0061733F">
      <w:pPr>
        <w:pStyle w:val="Artikelberschrift"/>
      </w:pPr>
      <w:r>
        <w:t>Amendment of the Circular Economy Act</w:t>
      </w:r>
    </w:p>
    <w:p w14:paraId="358474FB" w14:textId="666905AF" w:rsidR="008C6327" w:rsidRPr="00BE5BA6" w:rsidRDefault="00C1597E">
      <w:pPr>
        <w:pStyle w:val="JuristischerAbsatznichtnummeriert"/>
      </w:pPr>
      <w:r>
        <w:t>The Circular Economy Act of 24 February 2012 (Federal Law Gazette I p. 212), last amended by Article 1 of the Act of 23 October 2020 (Federal Law Gazette I p. 2232), is amended as follows:</w:t>
      </w:r>
    </w:p>
    <w:p w14:paraId="56CB1271" w14:textId="592035AE" w:rsidR="00C1597E" w:rsidRPr="00BE5BA6" w:rsidRDefault="00C1597E" w:rsidP="0078139F">
      <w:pPr>
        <w:pStyle w:val="NummerierungStufe1"/>
        <w:keepNext/>
        <w:ind w:hanging="432"/>
      </w:pPr>
      <w:r>
        <w:t>§ 30(6) is amended as follows:</w:t>
      </w:r>
    </w:p>
    <w:p w14:paraId="43B842E1" w14:textId="660BEE3A" w:rsidR="00C1597E" w:rsidRPr="00BE5BA6" w:rsidRDefault="00C1597E" w:rsidP="00C1597E">
      <w:pPr>
        <w:pStyle w:val="NummerierungStufe2"/>
      </w:pPr>
      <w:r>
        <w:t>In subparagraph 9(b), the full stop at the end is replaced by a comma.</w:t>
      </w:r>
    </w:p>
    <w:p w14:paraId="58FF9C4A" w14:textId="509E31E0" w:rsidR="00C1597E" w:rsidRPr="00BE5BA6" w:rsidRDefault="00C1597E" w:rsidP="0078139F">
      <w:pPr>
        <w:pStyle w:val="NummerierungStufe2"/>
        <w:keepNext/>
        <w:ind w:hanging="432"/>
      </w:pPr>
      <w:r>
        <w:t>The following subparagraph 10 is added:</w:t>
      </w:r>
    </w:p>
    <w:p w14:paraId="6F3D6962" w14:textId="27EB55C7" w:rsidR="00C1597E" w:rsidRPr="00BE5BA6" w:rsidRDefault="00C1597E" w:rsidP="00932640">
      <w:pPr>
        <w:pStyle w:val="RevisionNummerierungStufe1manuell"/>
        <w:tabs>
          <w:tab w:val="clear" w:pos="425"/>
          <w:tab w:val="left" w:pos="1350"/>
        </w:tabs>
        <w:ind w:left="1350" w:hanging="500"/>
      </w:pPr>
      <w:r>
        <w:t>‘10.</w:t>
      </w:r>
      <w:r>
        <w:tab/>
        <w:t>Measures taken on the basis of Articles 4 to 10 of Directive (EU) 2019/904.’</w:t>
      </w:r>
    </w:p>
    <w:p w14:paraId="2A5114B1" w14:textId="768B3C72" w:rsidR="00C1597E" w:rsidRPr="00BE5BA6" w:rsidRDefault="00C1597E" w:rsidP="0078139F">
      <w:pPr>
        <w:pStyle w:val="NummerierungStufe1"/>
        <w:keepNext/>
        <w:ind w:hanging="432"/>
      </w:pPr>
      <w:r>
        <w:t>§ 33(3)(2) is amended as follows:</w:t>
      </w:r>
    </w:p>
    <w:p w14:paraId="569AE895" w14:textId="49D8FC44" w:rsidR="00C1597E" w:rsidRPr="00BE5BA6" w:rsidRDefault="00C1597E" w:rsidP="00C1597E">
      <w:pPr>
        <w:pStyle w:val="NummerierungStufe2"/>
      </w:pPr>
      <w:r>
        <w:t xml:space="preserve">In point (l), the word </w:t>
      </w:r>
      <w:r>
        <w:rPr>
          <w:rStyle w:val="RevisionText"/>
        </w:rPr>
        <w:t>‘and’</w:t>
      </w:r>
      <w:r>
        <w:t xml:space="preserve"> is replaced by a comma.</w:t>
      </w:r>
    </w:p>
    <w:p w14:paraId="2F01766D" w14:textId="2ABE67D6" w:rsidR="00C1597E" w:rsidRPr="00BE5BA6" w:rsidRDefault="00C1597E" w:rsidP="00C1597E">
      <w:pPr>
        <w:pStyle w:val="NummerierungStufe2"/>
      </w:pPr>
      <w:r>
        <w:t xml:space="preserve">In point (m), the word </w:t>
      </w:r>
      <w:r>
        <w:rPr>
          <w:rStyle w:val="RevisionText"/>
        </w:rPr>
        <w:t>‘and’</w:t>
      </w:r>
      <w:r>
        <w:t xml:space="preserve"> is inserted after the comma at the end.</w:t>
      </w:r>
    </w:p>
    <w:p w14:paraId="40CFD938" w14:textId="29595563" w:rsidR="00C1597E" w:rsidRPr="00BE5BA6" w:rsidRDefault="00C1597E" w:rsidP="0078139F">
      <w:pPr>
        <w:pStyle w:val="NummerierungStufe2"/>
        <w:keepNext/>
        <w:ind w:hanging="432"/>
      </w:pPr>
      <w:r>
        <w:t>The following point (n) is added:</w:t>
      </w:r>
    </w:p>
    <w:p w14:paraId="5148C9D6" w14:textId="6B42CAD4" w:rsidR="00C1597E" w:rsidRPr="00BE5BA6" w:rsidRDefault="00C1597E" w:rsidP="00932640">
      <w:pPr>
        <w:pStyle w:val="RevisionNummerierungStufe2manuell"/>
        <w:tabs>
          <w:tab w:val="clear" w:pos="850"/>
          <w:tab w:val="left" w:pos="1350"/>
        </w:tabs>
        <w:ind w:left="1350" w:hanging="500"/>
      </w:pPr>
      <w:r>
        <w:t>‘n)</w:t>
      </w:r>
      <w:r>
        <w:tab/>
        <w:t>measures taken pursuant to Articles 4 to 10 of Directive (EU) 2019/904,’.</w:t>
      </w:r>
    </w:p>
    <w:p w14:paraId="4807F632" w14:textId="2995EF90" w:rsidR="00C1597E" w:rsidRPr="00BE5BA6" w:rsidRDefault="00C1597E" w:rsidP="00A869CC">
      <w:pPr>
        <w:pStyle w:val="NummerierungStufe1"/>
        <w:keepNext/>
        <w:ind w:hanging="432"/>
      </w:pPr>
      <w:r>
        <w:t>§ 46 is amended as follows:</w:t>
      </w:r>
    </w:p>
    <w:p w14:paraId="642E511C" w14:textId="13442629" w:rsidR="0061733F" w:rsidRPr="00BE5BA6" w:rsidRDefault="0061733F" w:rsidP="00A869CC">
      <w:pPr>
        <w:pStyle w:val="NummerierungStufe2"/>
        <w:keepNext/>
        <w:ind w:hanging="432"/>
      </w:pPr>
      <w:r>
        <w:t>Paragraph 2</w:t>
      </w:r>
      <w:r w:rsidR="00C059FB">
        <w:t>,</w:t>
      </w:r>
      <w:r>
        <w:t xml:space="preserve"> sentence 2 is worded as follows:</w:t>
      </w:r>
    </w:p>
    <w:p w14:paraId="0A59227E" w14:textId="7C6C1D06" w:rsidR="0061733F" w:rsidRPr="00BE5BA6" w:rsidRDefault="0061733F" w:rsidP="001E5FAD">
      <w:pPr>
        <w:pStyle w:val="RevisionJuristischerAbsatzFolgeabsatz"/>
        <w:keepNext/>
        <w:ind w:left="850"/>
      </w:pPr>
      <w:r>
        <w:t>‘In giving advice, particular reference should be made to</w:t>
      </w:r>
    </w:p>
    <w:p w14:paraId="188CF792" w14:textId="25164EA9" w:rsidR="0061733F" w:rsidRPr="00BE5BA6" w:rsidRDefault="0061733F" w:rsidP="00932640">
      <w:pPr>
        <w:pStyle w:val="RevisionNummerierungStufe1manuell"/>
        <w:tabs>
          <w:tab w:val="clear" w:pos="425"/>
          <w:tab w:val="left" w:pos="1275"/>
          <w:tab w:val="left" w:pos="1350"/>
        </w:tabs>
        <w:ind w:left="1275"/>
      </w:pPr>
      <w:r>
        <w:t>1.</w:t>
      </w:r>
      <w:r>
        <w:tab/>
        <w:t xml:space="preserve">the facilities of the public waste management authority and, as far as possible, the facilities of other natural persons or legal entities which collect and reuse non-waste products, and </w:t>
      </w:r>
    </w:p>
    <w:p w14:paraId="21A232FA" w14:textId="1E5961FC" w:rsidR="0061733F" w:rsidRPr="00BE5BA6" w:rsidRDefault="0061733F" w:rsidP="00932640">
      <w:pPr>
        <w:pStyle w:val="RevisionNummerierungStufe1manuell"/>
        <w:tabs>
          <w:tab w:val="clear" w:pos="425"/>
          <w:tab w:val="left" w:pos="1275"/>
          <w:tab w:val="left" w:pos="1350"/>
        </w:tabs>
        <w:ind w:left="1275"/>
      </w:pPr>
      <w:r>
        <w:t>2.</w:t>
      </w:r>
      <w:r>
        <w:tab/>
        <w:t>the availability of reusable products, in particular as an alternative to the single-use plastic products as defined in Article 3(2) of Directive (EU) 2019/904.’</w:t>
      </w:r>
    </w:p>
    <w:p w14:paraId="1AD1380D" w14:textId="6610D297" w:rsidR="0061733F" w:rsidRPr="00BE5BA6" w:rsidRDefault="0061733F" w:rsidP="001E5FAD">
      <w:pPr>
        <w:pStyle w:val="NummerierungStufe2"/>
        <w:keepNext/>
      </w:pPr>
      <w:r>
        <w:lastRenderedPageBreak/>
        <w:t>Paragraph 3, sentence 2 is worded as follows:</w:t>
      </w:r>
    </w:p>
    <w:p w14:paraId="468C37F5" w14:textId="2E6BE717" w:rsidR="0061733F" w:rsidRPr="00BE5BA6" w:rsidRDefault="0061733F" w:rsidP="001E5FAD">
      <w:pPr>
        <w:pStyle w:val="RevisionJuristischerAbsatzFolgeabsatz"/>
        <w:keepNext/>
        <w:ind w:left="850"/>
      </w:pPr>
      <w:r>
        <w:t xml:space="preserve">‘The advice also includes </w:t>
      </w:r>
    </w:p>
    <w:p w14:paraId="0C4B8E18" w14:textId="1E2841F8" w:rsidR="0061733F" w:rsidRPr="00BE5BA6" w:rsidRDefault="0061733F" w:rsidP="00932640">
      <w:pPr>
        <w:pStyle w:val="RevisionNummerierungStufe1manuell"/>
        <w:tabs>
          <w:tab w:val="clear" w:pos="425"/>
          <w:tab w:val="left" w:pos="1275"/>
          <w:tab w:val="left" w:pos="1350"/>
        </w:tabs>
        <w:ind w:left="1275"/>
      </w:pPr>
      <w:r>
        <w:t>1.</w:t>
      </w:r>
      <w:r>
        <w:tab/>
        <w:t xml:space="preserve">the provision of advice on how to make bulky waste available in the most resource-efficient way possible, </w:t>
      </w:r>
    </w:p>
    <w:p w14:paraId="4996EB43" w14:textId="7C8D16F9" w:rsidR="0061733F" w:rsidRPr="00BE5BA6" w:rsidRDefault="0061733F" w:rsidP="00932640">
      <w:pPr>
        <w:pStyle w:val="RevisionNummerierungStufe1manuell"/>
        <w:tabs>
          <w:tab w:val="clear" w:pos="425"/>
          <w:tab w:val="left" w:pos="1275"/>
          <w:tab w:val="left" w:pos="1350"/>
        </w:tabs>
        <w:ind w:left="1275"/>
      </w:pPr>
      <w:r>
        <w:t>2.</w:t>
      </w:r>
      <w:r>
        <w:tab/>
        <w:t>providing information on the impact of littering or other improper recovery and disposal of waste on the environment, in particular on the marine environment, and advice on measures to prevent such littering; and</w:t>
      </w:r>
    </w:p>
    <w:p w14:paraId="22BCFD95" w14:textId="3878AFAA" w:rsidR="0061733F" w:rsidRPr="00BE5BA6" w:rsidRDefault="0061733F" w:rsidP="00932640">
      <w:pPr>
        <w:pStyle w:val="RevisionNummerierungStufe1manuell"/>
        <w:tabs>
          <w:tab w:val="clear" w:pos="425"/>
          <w:tab w:val="left" w:pos="1275"/>
          <w:tab w:val="left" w:pos="1350"/>
        </w:tabs>
        <w:ind w:left="1275"/>
      </w:pPr>
      <w:r>
        <w:t>3.</w:t>
      </w:r>
      <w:r>
        <w:tab/>
        <w:t>information on the effects of improper recovery and disposal of waste on wastewater facilities.’</w:t>
      </w:r>
    </w:p>
    <w:p w14:paraId="1EE66874" w14:textId="13CA5B02" w:rsidR="00C1597E" w:rsidRPr="00BE5BA6" w:rsidRDefault="00C1597E" w:rsidP="001E5FAD">
      <w:pPr>
        <w:pStyle w:val="NummerierungStufe1"/>
        <w:keepNext/>
      </w:pPr>
      <w:r>
        <w:t>The following sentence is added to § 72(2):</w:t>
      </w:r>
    </w:p>
    <w:p w14:paraId="1B49E448" w14:textId="5A9549B6" w:rsidR="00C86B7E" w:rsidRPr="00BE5BA6" w:rsidRDefault="00C86B7E" w:rsidP="00932640">
      <w:pPr>
        <w:pStyle w:val="RevisionJuristischerAbsatzFolgeabsatz"/>
        <w:ind w:left="425"/>
      </w:pPr>
      <w:r>
        <w:t xml:space="preserve">‘§ 30 of the Circular Economy Act of 24 February 2012 (Federal Law Gazette I p. 212) in the version valid until the expiry of </w:t>
      </w:r>
      <w:r>
        <w:rPr>
          <w:highlight w:val="yellow"/>
        </w:rPr>
        <w:t>(insert: date of entry into force in accordance with Article 4(1) of this Act)</w:t>
      </w:r>
      <w:r>
        <w:t xml:space="preserve"> shall apply to procedures for the preparation of waste management plans initiated by the end of 3 July 2021.’</w:t>
      </w:r>
    </w:p>
    <w:p w14:paraId="0BEF8533" w14:textId="23211559" w:rsidR="00F46506" w:rsidRPr="00BE5BA6" w:rsidRDefault="00E8714D" w:rsidP="00E8714D">
      <w:pPr>
        <w:pStyle w:val="ArtikelBezeichner"/>
        <w:numPr>
          <w:ilvl w:val="0"/>
          <w:numId w:val="0"/>
        </w:numPr>
      </w:pPr>
      <w:r>
        <w:t>Article 3</w:t>
      </w:r>
    </w:p>
    <w:p w14:paraId="3DFAD75C" w14:textId="491EAB8F" w:rsidR="00A66F32" w:rsidRPr="00BE5BA6" w:rsidRDefault="00A66F32" w:rsidP="00A66F32">
      <w:pPr>
        <w:pStyle w:val="Artikelberschrift"/>
      </w:pPr>
      <w:r>
        <w:t>Amendment of the Water Resources Act</w:t>
      </w:r>
    </w:p>
    <w:p w14:paraId="38A8594D" w14:textId="2C39ADA6" w:rsidR="00A66F32" w:rsidRPr="00BE5BA6" w:rsidRDefault="00A66F32" w:rsidP="001E5FAD">
      <w:pPr>
        <w:pStyle w:val="JuristischerAbsatznichtnummeriert"/>
        <w:keepNext/>
      </w:pPr>
      <w:r>
        <w:t>The Water Resources Act of 31 July 2009 (Federal Law Gazette I p. 2585), last amended by Article 1 of the Act of 19 June 2020 (Federal Law Gazette I p. 1408), is amended as follows:</w:t>
      </w:r>
    </w:p>
    <w:p w14:paraId="6BBE798A" w14:textId="3BC78DAD" w:rsidR="00A66F32" w:rsidRPr="00BE5BA6" w:rsidRDefault="00A66F32" w:rsidP="001E5FAD">
      <w:pPr>
        <w:pStyle w:val="NummerierungStufe1"/>
        <w:keepNext/>
      </w:pPr>
      <w:r>
        <w:t>§ 45h(1) sentence 4 is amended as follows:</w:t>
      </w:r>
    </w:p>
    <w:p w14:paraId="01DF4C20" w14:textId="1A3D5FBD" w:rsidR="00A66F32" w:rsidRPr="00BE5BA6" w:rsidRDefault="00A66F32" w:rsidP="00A66F32">
      <w:pPr>
        <w:pStyle w:val="NummerierungStufe2"/>
      </w:pPr>
      <w:r>
        <w:t xml:space="preserve">In subparagraph 3, the word </w:t>
      </w:r>
      <w:r>
        <w:rPr>
          <w:rStyle w:val="RevisionText"/>
        </w:rPr>
        <w:t>‘and’</w:t>
      </w:r>
      <w:r>
        <w:t xml:space="preserve"> after the word </w:t>
      </w:r>
      <w:r>
        <w:rPr>
          <w:rStyle w:val="RevisionText"/>
        </w:rPr>
        <w:t>‘justification’</w:t>
      </w:r>
      <w:r>
        <w:t xml:space="preserve"> is deleted.</w:t>
      </w:r>
    </w:p>
    <w:p w14:paraId="0799B2FB" w14:textId="7192ED8D" w:rsidR="00A66F32" w:rsidRPr="00BE5BA6" w:rsidRDefault="00A66F32" w:rsidP="00A66F32">
      <w:pPr>
        <w:pStyle w:val="NummerierungStufe2"/>
      </w:pPr>
      <w:r>
        <w:t xml:space="preserve">In subparagraph 4, the full stop at the end is replaced by the word </w:t>
      </w:r>
      <w:r>
        <w:rPr>
          <w:rStyle w:val="RevisionText"/>
        </w:rPr>
        <w:t>‘and’</w:t>
      </w:r>
      <w:r>
        <w:t>.</w:t>
      </w:r>
    </w:p>
    <w:p w14:paraId="7087B982" w14:textId="6B2C996B" w:rsidR="00A66F32" w:rsidRPr="00BE5BA6" w:rsidRDefault="00A66F32" w:rsidP="001E5FAD">
      <w:pPr>
        <w:pStyle w:val="NummerierungStufe2"/>
        <w:keepNext/>
      </w:pPr>
      <w:r>
        <w:t>The following subparagraph 5 is added:</w:t>
      </w:r>
    </w:p>
    <w:p w14:paraId="29069E4D" w14:textId="4C4C2ED6" w:rsidR="00A66F32" w:rsidRPr="00BE5BA6" w:rsidRDefault="00A66F32" w:rsidP="00932640">
      <w:pPr>
        <w:pStyle w:val="RevisionNummerierungStufe1manuell"/>
        <w:tabs>
          <w:tab w:val="clear" w:pos="425"/>
          <w:tab w:val="left" w:pos="1350"/>
        </w:tabs>
        <w:ind w:left="1350" w:hanging="500"/>
      </w:pPr>
      <w:r>
        <w:t>‘5.</w:t>
      </w:r>
      <w:r>
        <w:tab/>
        <w:t>Measures referred to in Articles 4 to 10 of Directive (EU) 2019/904 of the European Parliament and of the Council of 5 June 2019 on the reduction of the impact of certain plastic products on the environment (OJ L 155, 12.6.2019, p. 1).’</w:t>
      </w:r>
    </w:p>
    <w:p w14:paraId="5B6FBA25" w14:textId="0477E7CC" w:rsidR="00A66F32" w:rsidRPr="00BE5BA6" w:rsidRDefault="00A66F32" w:rsidP="001E5FAD">
      <w:pPr>
        <w:pStyle w:val="NummerierungStufe1"/>
        <w:keepNext/>
      </w:pPr>
      <w:r>
        <w:t>The following sentence is added to § 82(2):</w:t>
      </w:r>
    </w:p>
    <w:p w14:paraId="02354CA4" w14:textId="1CDD65A6" w:rsidR="00A66F32" w:rsidRPr="00BE5BA6" w:rsidRDefault="00A66F32" w:rsidP="00932640">
      <w:pPr>
        <w:pStyle w:val="RevisionJuristischerAbsatzFolgeabsatz"/>
        <w:ind w:left="425"/>
      </w:pPr>
      <w:r>
        <w:t>‘The programme of measures shall also include measures under Articles 4 to 10 of Directive (EU) 2019/904.’</w:t>
      </w:r>
    </w:p>
    <w:p w14:paraId="7360AE56" w14:textId="24E12F83" w:rsidR="00444DB1" w:rsidRPr="00BE5BA6" w:rsidRDefault="00E8714D" w:rsidP="00E8714D">
      <w:pPr>
        <w:pStyle w:val="ArtikelBezeichner"/>
        <w:numPr>
          <w:ilvl w:val="0"/>
          <w:numId w:val="0"/>
        </w:numPr>
      </w:pPr>
      <w:r>
        <w:t>Article 4</w:t>
      </w:r>
    </w:p>
    <w:p w14:paraId="60E5FB09" w14:textId="244A7CE6" w:rsidR="00444DB1" w:rsidRPr="00BE5BA6" w:rsidRDefault="00741382" w:rsidP="00444DB1">
      <w:pPr>
        <w:pStyle w:val="Artikelberschrift"/>
      </w:pPr>
      <w:r>
        <w:t>Entry into force</w:t>
      </w:r>
    </w:p>
    <w:p w14:paraId="7FF25911" w14:textId="74915244" w:rsidR="00444DB1" w:rsidRPr="00BE5BA6" w:rsidRDefault="002507C2" w:rsidP="001C3712">
      <w:pPr>
        <w:pStyle w:val="JuristischerAbsatznummeriert"/>
        <w:numPr>
          <w:ilvl w:val="2"/>
          <w:numId w:val="64"/>
        </w:numPr>
      </w:pPr>
      <w:r>
        <w:t>Subject to paragraphs 2 and 4, this Act shall enter into force on 3 July 2021.</w:t>
      </w:r>
    </w:p>
    <w:p w14:paraId="762CBDBC" w14:textId="7D45F7BE" w:rsidR="002507C2" w:rsidRPr="00BE5BA6" w:rsidRDefault="002507C2" w:rsidP="002507C2">
      <w:pPr>
        <w:pStyle w:val="JuristischerAbsatznummeriert"/>
      </w:pPr>
      <w:r>
        <w:lastRenderedPageBreak/>
        <w:t>Article 1(13)(b), (14)(b)(aa) and (bb), (22)(b), (24)(b) and (c) and (33)(a) shall enter into force on 1 January 2022.</w:t>
      </w:r>
    </w:p>
    <w:p w14:paraId="6D6545B8" w14:textId="49A8EA30" w:rsidR="008E44AD" w:rsidRPr="00BE5BA6" w:rsidRDefault="008E44AD" w:rsidP="002507C2">
      <w:pPr>
        <w:pStyle w:val="JuristischerAbsatznummeriert"/>
      </w:pPr>
      <w:r>
        <w:t>Article 1(4)(d), (7)(a)(bb) and (c), (9)(a), (b)(ff), (hh) and (ii), (c)(bb) and (d) and (29)(a)(aa), (bb), (dd) and (ee) and (b) shall enter into force on 1 July 2022.</w:t>
      </w:r>
    </w:p>
    <w:p w14:paraId="61D23816" w14:textId="0DE71180" w:rsidR="00346982" w:rsidRPr="00BE5BA6" w:rsidRDefault="00346982" w:rsidP="00346982">
      <w:pPr>
        <w:pStyle w:val="JuristischerAbsatznummeriert"/>
      </w:pPr>
      <w:r>
        <w:t xml:space="preserve">Article 3 shall enter into force on … </w:t>
      </w:r>
      <w:r>
        <w:rPr>
          <w:highlight w:val="yellow"/>
        </w:rPr>
        <w:t>[insert: the date of that day of the sixth calendar month following the month of promulgation whose number corresponds to the day of promulgation or, if such a calendar day does not exist, the date of the first day of the following calendar month].</w:t>
      </w:r>
    </w:p>
    <w:p w14:paraId="358887B1" w14:textId="3F4F09E4" w:rsidR="008C6327" w:rsidRPr="00BE5BA6" w:rsidRDefault="008C6327" w:rsidP="008C6327">
      <w:pPr>
        <w:sectPr w:rsidR="008C6327" w:rsidRPr="00BE5BA6" w:rsidSect="00645471">
          <w:pgSz w:w="11907" w:h="16839"/>
          <w:pgMar w:top="1134" w:right="1417" w:bottom="1134" w:left="1701" w:header="709" w:footer="709" w:gutter="0"/>
          <w:cols w:space="708"/>
          <w:docGrid w:linePitch="360"/>
        </w:sectPr>
      </w:pPr>
    </w:p>
    <w:p w14:paraId="51CA6838" w14:textId="77777777" w:rsidR="008C6327" w:rsidRPr="00BE5BA6" w:rsidRDefault="008C6327">
      <w:pPr>
        <w:pStyle w:val="BegrndungTitel"/>
      </w:pPr>
      <w:r>
        <w:lastRenderedPageBreak/>
        <w:t>Explanatory statement</w:t>
      </w:r>
    </w:p>
    <w:p w14:paraId="5D0CFACB" w14:textId="77777777" w:rsidR="008C6327" w:rsidRPr="00BE5BA6" w:rsidRDefault="008C6327">
      <w:pPr>
        <w:pStyle w:val="BegrndungAllgemeinerTeil"/>
      </w:pPr>
      <w:r>
        <w:t>A. General part</w:t>
      </w:r>
    </w:p>
    <w:p w14:paraId="10E13B66" w14:textId="77777777" w:rsidR="008C6327" w:rsidRPr="00BE5BA6" w:rsidRDefault="008C6327">
      <w:pPr>
        <w:pStyle w:val="berschriftrmischBegrndung"/>
      </w:pPr>
      <w:r>
        <w:t>Objective of and need for the provisions</w:t>
      </w:r>
    </w:p>
    <w:p w14:paraId="69A417EF" w14:textId="7FAD8B9D" w:rsidR="00E167F3" w:rsidRPr="00BE5BA6" w:rsidRDefault="00E167F3" w:rsidP="00E167F3">
      <w:pPr>
        <w:pStyle w:val="Text"/>
      </w:pPr>
      <w:r>
        <w:t xml:space="preserve">Directive (EU) 2019/904 on the reduction of the impact of certain plastic products on the environment (Directive (EU) 2019/904) entered into force on 2 July 2019. The Directive aims to reduce the impact of such single-use plastic products found particularly frequently as litter on European beaches. This should protect the environment, in particular the marine environment, and human health from the negative impacts of certain single-use plastic products and, in particular, microplastics. At the same time, the overall consumption of limited primary resources is to be reduced and cycle-oriented management of plastics is to be achieved. Directive (EU) 2018/851 amending Directive 2008/98/EC on waste entered into force on 4 July 2018. Among other things, it contains various additions regarding extended producer responsibility in Article 8a. </w:t>
      </w:r>
    </w:p>
    <w:p w14:paraId="41B1AA39" w14:textId="30565C5E" w:rsidR="00870FA0" w:rsidRPr="00BE5BA6" w:rsidRDefault="00E167F3" w:rsidP="00E167F3">
      <w:pPr>
        <w:pStyle w:val="Text"/>
      </w:pPr>
      <w:r>
        <w:t xml:space="preserve">The aim of the draft Act is to transpose certain requirements from Directive (EU) 2019/904 as well as Article 8a of Directive 2008/98/EC, as amended, in conjunction with Article 7(2) of Directive 94/62/EC into German law with regard to packaging. </w:t>
      </w:r>
    </w:p>
    <w:p w14:paraId="76B88738" w14:textId="7C225025" w:rsidR="00E167F3" w:rsidRPr="00BE5BA6" w:rsidRDefault="00E167F3" w:rsidP="00E167F3">
      <w:pPr>
        <w:pStyle w:val="Text"/>
      </w:pPr>
      <w:r>
        <w:t xml:space="preserve">In addition, individual provisions will be updated and adapted, in particular to further simplify and improve enforcement of the Packaging Act, which came into force on 1 January 2019. </w:t>
      </w:r>
    </w:p>
    <w:p w14:paraId="2B5363FC" w14:textId="6A3F46F2" w:rsidR="008C6327" w:rsidRPr="00BE5BA6" w:rsidRDefault="00E167F3" w:rsidP="00E167F3">
      <w:pPr>
        <w:pStyle w:val="Text"/>
      </w:pPr>
      <w:r>
        <w:t>The draft Act aims to advance the ecological development of the Packaging Act. The amendment is also intended to further improve resource management and resource efficiency in Germany. The aim of the draft Act is to integrate the new requirements of the EU Directives into in national law while maintaining German environmental protection and resource conservation standards, which in part go beyond existing EU law, as directly as possible in a ‘one-to-one’ manner.</w:t>
      </w:r>
    </w:p>
    <w:p w14:paraId="392F78BD" w14:textId="18919F03" w:rsidR="008C6327" w:rsidRPr="00BE5BA6" w:rsidRDefault="008C6327">
      <w:pPr>
        <w:pStyle w:val="berschriftrmischBegrndung"/>
      </w:pPr>
      <w:r>
        <w:t>Main content of the draft</w:t>
      </w:r>
    </w:p>
    <w:p w14:paraId="5B5BA737" w14:textId="52F8124F" w:rsidR="0017539E" w:rsidRPr="00BE5BA6" w:rsidRDefault="0017539E">
      <w:pPr>
        <w:pStyle w:val="Text"/>
      </w:pPr>
      <w:r>
        <w:t xml:space="preserve">This draft Act transposes the provisions of Directive (EU) 2019/904 and Directive 2008/98/EC into German law. In addition, individual updates, adjustments and clarifications of the existing legal situation will be made, in particular in order to simplify and improve enforcement of the Packaging Act. </w:t>
      </w:r>
    </w:p>
    <w:p w14:paraId="79281056" w14:textId="6C3DCC79" w:rsidR="00870FA0" w:rsidRPr="00BE5BA6" w:rsidRDefault="007F14AF">
      <w:pPr>
        <w:pStyle w:val="Text"/>
      </w:pPr>
      <w:r>
        <w:t xml:space="preserve">With regard to the Packaging Act, the draft Act retains its structures and elements and only supplements individual provisions that become necessary due to the new requirements of the aforementioned EU Directives. Where possible, the new requirements of Union law will be adopted on the basis of a ‘one-to-one’ transposition. In particular, with regard to the requirements for extended producer responsibility schemes under the new Article 8a of Directive 2008/98/EC, the vast majority of these requirements have already been implemented by the existing Packaging Act, so only a few adjustments and additions need to be made in order to fully comply with these requirements. </w:t>
      </w:r>
    </w:p>
    <w:p w14:paraId="72BDBDF9" w14:textId="719B9821" w:rsidR="0017539E" w:rsidRPr="00BE5BA6" w:rsidRDefault="0017539E" w:rsidP="00B70C9C">
      <w:pPr>
        <w:pStyle w:val="Text"/>
        <w:keepNext/>
      </w:pPr>
      <w:r>
        <w:t>The following elements of the draft Act are to be highlighted:</w:t>
      </w:r>
    </w:p>
    <w:p w14:paraId="25BDD035" w14:textId="11FA4534" w:rsidR="00DF6F1F" w:rsidRPr="00BE5BA6" w:rsidRDefault="00DF6F1F">
      <w:pPr>
        <w:pStyle w:val="Text"/>
      </w:pPr>
      <w:r>
        <w:t xml:space="preserve">The composition and structure of the Act are largely retained. The new EU arrangements are integrated into the existing provisions and supplemented in individual places by new provisions in the existing structure. </w:t>
      </w:r>
    </w:p>
    <w:p w14:paraId="14D1499F" w14:textId="4E4CEAC8" w:rsidR="00DF6F1F" w:rsidRPr="00BE5BA6" w:rsidRDefault="00DF6F1F">
      <w:pPr>
        <w:pStyle w:val="Text"/>
      </w:pPr>
      <w:r>
        <w:lastRenderedPageBreak/>
        <w:t xml:space="preserve">§ 3 of the Packaging Act (VerpackG) contains a number of new definitions in order to clarify the addressees and definitions of the supplementary provisions. </w:t>
      </w:r>
    </w:p>
    <w:p w14:paraId="40291709" w14:textId="1B8A630C" w:rsidR="00A61388" w:rsidRPr="00BE5BA6" w:rsidRDefault="00A61388">
      <w:pPr>
        <w:pStyle w:val="Text"/>
      </w:pPr>
      <w:r>
        <w:t xml:space="preserve">For the first time, a mandatory minimum recyclate content is set for a specific type of packaging. The separate collection of these and other types of packaging will also be improved to enable even better recycling of certain material fractions. This expansion of separate collection also serves to prevent waste from being thrown away carelessly, i.e. littering. </w:t>
      </w:r>
    </w:p>
    <w:p w14:paraId="5ACBBC5B" w14:textId="6C931C9C" w:rsidR="00A61388" w:rsidRPr="00BE5BA6" w:rsidRDefault="00A61388">
      <w:pPr>
        <w:pStyle w:val="Text"/>
      </w:pPr>
      <w:r>
        <w:t xml:space="preserve">For the first time, electronic marketplaces and fulfilment service providers are included in the group of addressees for certain obligations of extended producer responsibility, and the assumption of obligations of extended producer responsibility concerning foreign producers by domestic authorised representatives is made possible. Both measures are designed to ensure that mail-order businesses, especially those from abroad, also contribute to the cause-related obligations and costs of ecologically sound design, collection and recycling of packaging. </w:t>
      </w:r>
    </w:p>
    <w:p w14:paraId="6B7C6083" w14:textId="19DA32D9" w:rsidR="007608E3" w:rsidRPr="00BE5BA6" w:rsidRDefault="007608E3">
      <w:pPr>
        <w:pStyle w:val="Text"/>
      </w:pPr>
      <w:r>
        <w:t xml:space="preserve">In order to reduce the consumption of single-use plastic packaging and other single-use packaging in the area of foodstuffs and beverages for immediate consumption, the obligation is established to offer reusable alternatives in addition to such single-use packaging (§§ 33, 34 Packaging Act). Firstly, this implements the corresponding requirement to reduce the consumption of such packaging from Directive (EU) 2019/904 and secondly, it takes into account the need of consumers to be able to do without packaging and choose more environmentally friendly alternatives. </w:t>
      </w:r>
    </w:p>
    <w:p w14:paraId="7182450B" w14:textId="62DD7018" w:rsidR="007608E3" w:rsidRPr="00BE5BA6" w:rsidRDefault="004F29AD" w:rsidP="007608E3">
      <w:pPr>
        <w:pStyle w:val="Text"/>
      </w:pPr>
      <w:r>
        <w:t xml:space="preserve">The improvement of the transparency of collection and recovery systems for consumers is served by the addition of various reference obligations to the possibility of taking back waste resulting from packaging free of charge and the obligation to refer to the offer of reusable packaging in the area of single-use plastic packaging for foodstuffs for immediate consumption. It also improves the transparency of certain procurement procedures. </w:t>
      </w:r>
    </w:p>
    <w:p w14:paraId="2475B88F" w14:textId="64222A93" w:rsidR="00D030BD" w:rsidRPr="00BE5BA6" w:rsidRDefault="007608E3">
      <w:pPr>
        <w:pStyle w:val="Text"/>
      </w:pPr>
      <w:r>
        <w:t xml:space="preserve">The performance of the entire scheme for the take-back, collection and recovery of packaging waste is ensured by obligations regarding the financial and organisational resilience of the individual players. The provisions are precisely adapted to the functioning of the respective extended producer responsibility schemes. </w:t>
      </w:r>
    </w:p>
    <w:p w14:paraId="0B1CFE4E" w14:textId="0DC82BC9" w:rsidR="00192A81" w:rsidRPr="00BE5BA6" w:rsidRDefault="00192A81">
      <w:pPr>
        <w:pStyle w:val="Text"/>
      </w:pPr>
      <w:r>
        <w:t xml:space="preserve">The registration obligation from § 9 Packaging Act is expanded in order to improve and support the effective monitoring and enforcement framework of the existing and newly added obligations of extended producer responsibility. In addition, provisions on the deposit-refund obligation (§ 31 Packaging Act) are specified and expanded, and specifications on packaging holding filling materials containing hazardous substances (Annex 2 to the Packaging Act) are updated. </w:t>
      </w:r>
    </w:p>
    <w:p w14:paraId="0E1B83F4" w14:textId="60C817DE" w:rsidR="008C6327" w:rsidRPr="00BE5BA6" w:rsidRDefault="002C2539">
      <w:pPr>
        <w:pStyle w:val="Text"/>
      </w:pPr>
      <w:r>
        <w:t xml:space="preserve">In order to improve the reporting required by Union law and to create reporting systems, the obligations within the framework of extended producer responsibility are expanded to include the creation of suitable self-monitoring mechanisms to check the quality of the data, as well as the expansion of the registration obligation to all producers of packaging. Both serve to facilitate the data collection predominately implemented in the amendment to the Environmental Statistics Act of </w:t>
      </w:r>
      <w:r>
        <w:rPr>
          <w:highlight w:val="yellow"/>
        </w:rPr>
        <w:t>[insert: date of enactment of the Act amending the Environmental Statistics Act]</w:t>
      </w:r>
      <w:r>
        <w:t xml:space="preserve"> </w:t>
      </w:r>
      <w:r>
        <w:rPr>
          <w:highlight w:val="yellow"/>
        </w:rPr>
        <w:t>[insert: reference in Federal Law Gazette]</w:t>
      </w:r>
      <w:r>
        <w:t>.</w:t>
      </w:r>
    </w:p>
    <w:p w14:paraId="50A1DEB6" w14:textId="77777777" w:rsidR="008C6327" w:rsidRPr="00BE5BA6" w:rsidRDefault="008C6327">
      <w:pPr>
        <w:pStyle w:val="berschriftrmischBegrndung"/>
      </w:pPr>
      <w:r>
        <w:t>Alternatives</w:t>
      </w:r>
    </w:p>
    <w:p w14:paraId="640C62D7" w14:textId="069A2618" w:rsidR="004F29AD" w:rsidRPr="00BE5BA6" w:rsidRDefault="004F29AD" w:rsidP="004F29AD">
      <w:pPr>
        <w:pStyle w:val="Text"/>
      </w:pPr>
      <w:r>
        <w:t xml:space="preserve">None. The implementation of European directives is mandatory. In addition, the new regulations serve to achieve the Federal Government’s goals in the area of environmental protection and resource conservation. The draft Act also supports the effective and successful continuation of the path taken to date by the Packaging Act towards reducing </w:t>
      </w:r>
      <w:r>
        <w:lastRenderedPageBreak/>
        <w:t xml:space="preserve">the use of resources for packaging and towards a functioning circular economy with closed material cycles. </w:t>
      </w:r>
    </w:p>
    <w:p w14:paraId="6244982E" w14:textId="47303EAA" w:rsidR="008C6327" w:rsidRPr="00BE5BA6" w:rsidRDefault="00CC1E2B" w:rsidP="004F29AD">
      <w:pPr>
        <w:pStyle w:val="Text"/>
      </w:pPr>
      <w:r>
        <w:t xml:space="preserve">There is no other way to achieve an equivalent further development of environmental and resource protection. </w:t>
      </w:r>
    </w:p>
    <w:p w14:paraId="7C8EFCFE" w14:textId="77777777" w:rsidR="008C6327" w:rsidRPr="00BE5BA6" w:rsidRDefault="008C6327">
      <w:pPr>
        <w:pStyle w:val="berschriftrmischBegrndung"/>
      </w:pPr>
      <w:r>
        <w:t>Legislative competence</w:t>
      </w:r>
    </w:p>
    <w:p w14:paraId="4170CEA5" w14:textId="0933E8BE" w:rsidR="00713581" w:rsidRPr="00BE5BA6" w:rsidRDefault="00713581" w:rsidP="00203A99">
      <w:pPr>
        <w:pStyle w:val="Text"/>
      </w:pPr>
      <w:r>
        <w:t xml:space="preserve">The provisions of the draft Act concern waste management and criminal law. In accordance with Article 74(1)(1), (24) and (32) of the Basic Law, the fields of waste management, water management and criminal law, and in accordance with Article 72(2) sentence 1, subparagraph 5 of the Basic Law, fall within the concurrent legislative competence of the Federal Government. </w:t>
      </w:r>
    </w:p>
    <w:p w14:paraId="637025CA" w14:textId="77777777" w:rsidR="008C6327" w:rsidRPr="00BE5BA6" w:rsidRDefault="008C6327">
      <w:pPr>
        <w:pStyle w:val="berschriftrmischBegrndung"/>
      </w:pPr>
      <w:r>
        <w:t>Compatibility with European Union law and international treaties</w:t>
      </w:r>
    </w:p>
    <w:p w14:paraId="51382F9D" w14:textId="30DB3BF8" w:rsidR="003075E3" w:rsidRPr="00BE5BA6" w:rsidRDefault="00203A99" w:rsidP="00203A99">
      <w:pPr>
        <w:pStyle w:val="Text"/>
      </w:pPr>
      <w:r>
        <w:t>The draft Act transposes Article 8a of Directive 2008/98/EC, as amended, and Articles 4, 6, 9 to 11 and 14 of Directive (EU) 2019/904.</w:t>
      </w:r>
    </w:p>
    <w:p w14:paraId="5DFBFB3C" w14:textId="177AB2D7" w:rsidR="008C6327" w:rsidRPr="00BE5BA6" w:rsidRDefault="00203A99" w:rsidP="00203A99">
      <w:pPr>
        <w:pStyle w:val="Text"/>
      </w:pPr>
      <w:r>
        <w:t>It is also compatible with European Union law and international treaties concluded by the Federal Republic of Germany.</w:t>
      </w:r>
    </w:p>
    <w:p w14:paraId="26E20D15" w14:textId="77777777" w:rsidR="008C6327" w:rsidRPr="00BE5BA6" w:rsidRDefault="008C6327">
      <w:pPr>
        <w:pStyle w:val="berschriftrmischBegrndung"/>
      </w:pPr>
      <w:r>
        <w:t>Legal consequences</w:t>
      </w:r>
    </w:p>
    <w:p w14:paraId="776FA881" w14:textId="77777777" w:rsidR="008C6327" w:rsidRPr="00BE5BA6" w:rsidRDefault="008C6327">
      <w:pPr>
        <w:pStyle w:val="berschriftarabischBegrndung"/>
      </w:pPr>
      <w:r>
        <w:t>Legal and administrative simplification</w:t>
      </w:r>
    </w:p>
    <w:p w14:paraId="6E906693" w14:textId="565C6CBA" w:rsidR="00700AF0" w:rsidRPr="00BE5BA6" w:rsidRDefault="00700AF0" w:rsidP="00203A99">
      <w:pPr>
        <w:pStyle w:val="Text"/>
      </w:pPr>
      <w:r>
        <w:t>The draft Act does not contain any significant legal or administrative simplifications. The definitions, updates, specifications and clarifications anchored in the draft Act can nevertheless improve the application and enforcement of the Act to a certain extent.</w:t>
      </w:r>
    </w:p>
    <w:p w14:paraId="6E4B1D29" w14:textId="77777777" w:rsidR="008C6327" w:rsidRPr="00BE5BA6" w:rsidRDefault="008C6327">
      <w:pPr>
        <w:pStyle w:val="berschriftarabischBegrndung"/>
      </w:pPr>
      <w:r>
        <w:t>Sustainability aspects</w:t>
      </w:r>
    </w:p>
    <w:p w14:paraId="2BAECBFF" w14:textId="714B57D6" w:rsidR="00D07AC3" w:rsidRPr="00BE5BA6" w:rsidRDefault="00D07AC3" w:rsidP="00D07AC3">
      <w:pPr>
        <w:pStyle w:val="Text"/>
      </w:pPr>
      <w:r>
        <w:t xml:space="preserve">The Federal Government measures the success of its efforts for sustainable development on the basis of specific indicators and related targets, which are based on the UN Global Sustainable Development Goals (SDGs). The draft Act serves sustainable development, as it reduces the amount of resources used for packaging and at the same time promotes a functioning circular economy with closed material cycles. </w:t>
      </w:r>
    </w:p>
    <w:p w14:paraId="6BD4B8C5" w14:textId="289EB269" w:rsidR="00D07AC3" w:rsidRPr="00BE5BA6" w:rsidRDefault="00D07AC3" w:rsidP="00D07AC3">
      <w:pPr>
        <w:pStyle w:val="Text"/>
      </w:pPr>
      <w:r>
        <w:t>This draft Act is in line with the German Sustainability Strategy of the Federal Government (2018 update) and promotes the achievement of its objectives.</w:t>
      </w:r>
    </w:p>
    <w:p w14:paraId="5AC1542D" w14:textId="1D2A4ADE" w:rsidR="00D07AC3" w:rsidRPr="00BE5BA6" w:rsidRDefault="00D07AC3" w:rsidP="00D07AC3">
      <w:pPr>
        <w:pStyle w:val="Text"/>
      </w:pPr>
      <w:r>
        <w:t>More specifically, the draft Act contributes to the achievement of the key global sustainable development goals (SDGs) as well as the principles of sustainable development as part of the German Sustainable Development Strategy of the Federal Government as follows:</w:t>
      </w:r>
    </w:p>
    <w:p w14:paraId="4A1F8B20" w14:textId="5F26AA01" w:rsidR="00D030BD" w:rsidRPr="00BE5BA6" w:rsidRDefault="00D030BD" w:rsidP="00B70C9C">
      <w:pPr>
        <w:pStyle w:val="Text"/>
        <w:keepNext/>
      </w:pPr>
      <w:r>
        <w:t xml:space="preserve">a) UN sustainability goals: </w:t>
      </w:r>
    </w:p>
    <w:p w14:paraId="6954DBFA" w14:textId="65985B8E" w:rsidR="00D030BD" w:rsidRPr="00BE5BA6" w:rsidRDefault="00D030BD" w:rsidP="00D07AC3">
      <w:pPr>
        <w:pStyle w:val="Text"/>
      </w:pPr>
      <w:r>
        <w:t>- re SDG 6: Clean water and sanitation</w:t>
      </w:r>
    </w:p>
    <w:p w14:paraId="2CC181B5" w14:textId="20FD34D9" w:rsidR="00D030BD" w:rsidRPr="00BE5BA6" w:rsidRDefault="00D030BD" w:rsidP="00D07AC3">
      <w:pPr>
        <w:pStyle w:val="Text"/>
      </w:pPr>
      <w:r>
        <w:t xml:space="preserve">Ensure availability and sustainable management of water and sanitation for all </w:t>
      </w:r>
    </w:p>
    <w:p w14:paraId="7C3B9CDA" w14:textId="270682C0" w:rsidR="009E6F53" w:rsidRPr="00BE5BA6" w:rsidRDefault="009E6F53" w:rsidP="00D07AC3">
      <w:pPr>
        <w:pStyle w:val="Text"/>
      </w:pPr>
      <w:r>
        <w:t xml:space="preserve">By expanding the obligation to collect certain types of packaging separately and improving consumer information on the possibilities for returning packaging, the draft Act helps to reduce littering and thus the introduction of waste discarded outdoors into water bodies. </w:t>
      </w:r>
    </w:p>
    <w:p w14:paraId="1E821B56" w14:textId="2CE12FA4" w:rsidR="00FE4C28" w:rsidRPr="00BE5BA6" w:rsidRDefault="00FE4C28" w:rsidP="00D07AC3">
      <w:pPr>
        <w:pStyle w:val="Text"/>
      </w:pPr>
      <w:r>
        <w:lastRenderedPageBreak/>
        <w:t xml:space="preserve">- re SDG 8: Decent work and economic growth </w:t>
      </w:r>
    </w:p>
    <w:p w14:paraId="15BB6943" w14:textId="7874A744" w:rsidR="00FE4C28" w:rsidRPr="00BE5BA6" w:rsidRDefault="00FE4C28" w:rsidP="00D07AC3">
      <w:pPr>
        <w:pStyle w:val="Text"/>
      </w:pPr>
      <w:r>
        <w:t>Promote sustained, inclusive and sustainable economic growth, full and productive employment and decent work for all</w:t>
      </w:r>
    </w:p>
    <w:p w14:paraId="2E41DA69" w14:textId="7F4AAE10" w:rsidR="00FE4C28" w:rsidRPr="00BE5BA6" w:rsidRDefault="00FE4C28" w:rsidP="00D07AC3">
      <w:pPr>
        <w:pStyle w:val="Text"/>
      </w:pPr>
      <w:r>
        <w:t xml:space="preserve">The draft Act involves economic operators more closely in extended producer responsibility, but without losing sight of the interests of the companies concerned. A measured and targeted implementation of the requirements of European law will strengthen functioning mechanisms of the circular economy. At the same time, the introduction of a mandatory recyclate content for certain products, for example, will strengthen the market for recyclates and create greater incentive for innovation in the field of recycling. </w:t>
      </w:r>
    </w:p>
    <w:p w14:paraId="40492A70" w14:textId="55ED7301" w:rsidR="009E6F53" w:rsidRPr="00BE5BA6" w:rsidRDefault="009E6F53" w:rsidP="009E6F53">
      <w:pPr>
        <w:pStyle w:val="Text"/>
      </w:pPr>
      <w:r>
        <w:t>- re SDG 9: Industry, innovation and infrastructure</w:t>
      </w:r>
    </w:p>
    <w:p w14:paraId="3DB051EA" w14:textId="7E4E9C13" w:rsidR="009E6F53" w:rsidRPr="00BE5BA6" w:rsidRDefault="009E6F53" w:rsidP="009E6F53">
      <w:pPr>
        <w:pStyle w:val="Text"/>
      </w:pPr>
      <w:r>
        <w:t>Build resilient infrastructure, promote inclusive and sustainable industrialization and foster innovation</w:t>
      </w:r>
    </w:p>
    <w:p w14:paraId="55469EC4" w14:textId="001B9544" w:rsidR="009E6F53" w:rsidRPr="00BE5BA6" w:rsidRDefault="009E6F53" w:rsidP="009E6F53">
      <w:pPr>
        <w:pStyle w:val="Text"/>
      </w:pPr>
      <w:r>
        <w:t xml:space="preserve">The obligation to offer reusable alternatives in addition to certain single-use packaging encourages the development of innovative and resilient reusable concepts, which can form a basis for expanding the use of reusable alternatives in other areas of life as well. </w:t>
      </w:r>
    </w:p>
    <w:p w14:paraId="3D39F2E6" w14:textId="04EFB0CE" w:rsidR="009E6F53" w:rsidRPr="00BE5BA6" w:rsidRDefault="009E6F53" w:rsidP="009E6F53">
      <w:pPr>
        <w:pStyle w:val="Text"/>
      </w:pPr>
      <w:r>
        <w:t xml:space="preserve">The mandatory definition of a minimum recyclate content for certain packaging promotes the recyclate market and a resilient circular economy in which the decision in favour of ecologically beneficial packaging is supported not only by ecological but also by economic incentives. </w:t>
      </w:r>
    </w:p>
    <w:p w14:paraId="4742E89D" w14:textId="62B690F0" w:rsidR="009E6F53" w:rsidRPr="00BE5BA6" w:rsidRDefault="009E6F53" w:rsidP="009E6F53">
      <w:pPr>
        <w:pStyle w:val="Text"/>
      </w:pPr>
      <w:r>
        <w:t>- re SDG 12: Responsible consumption and production</w:t>
      </w:r>
    </w:p>
    <w:p w14:paraId="569050EE" w14:textId="1AB23AAA" w:rsidR="009E6F53" w:rsidRPr="00BE5BA6" w:rsidRDefault="009E6F53" w:rsidP="009E6F53">
      <w:pPr>
        <w:pStyle w:val="Text"/>
      </w:pPr>
      <w:r>
        <w:t>Ensure sustainable consumption and production patterns</w:t>
      </w:r>
    </w:p>
    <w:p w14:paraId="428140E2" w14:textId="6F315A31" w:rsidR="009E6F53" w:rsidRPr="00BE5BA6" w:rsidRDefault="009E6F53" w:rsidP="009E6F53">
      <w:pPr>
        <w:pStyle w:val="Text"/>
      </w:pPr>
      <w:r>
        <w:t xml:space="preserve">The consistent application of the principle of extended producer responsibility for all packaging, as well as the strengthening of the circular economy, help to ensure that the focus in the production of consumer goods is on production that is as environmentally compatible and resource-saving as possible. As early as packaging design, the focus is thus on the entire service life of the packaging and its subsequent recycling. The focus here is on strengthening reusable alternatives for packaging avoidance and on the ecologically advantageous design of packaging that is as easy as possible to recycle. </w:t>
      </w:r>
    </w:p>
    <w:p w14:paraId="7EF86319" w14:textId="10E32227" w:rsidR="002F70EF" w:rsidRPr="00BE5BA6" w:rsidRDefault="0010436C" w:rsidP="002F70EF">
      <w:pPr>
        <w:pStyle w:val="Text"/>
      </w:pPr>
      <w:r>
        <w:t>- re SDG 14: Life below water</w:t>
      </w:r>
    </w:p>
    <w:p w14:paraId="58AFE234" w14:textId="44AAD0D6" w:rsidR="002F70EF" w:rsidRPr="00BE5BA6" w:rsidRDefault="002F70EF" w:rsidP="002F70EF">
      <w:pPr>
        <w:pStyle w:val="Text"/>
      </w:pPr>
      <w:r>
        <w:t>Conserve and sustainably use the oceans, seas and marine resources for sustainable development</w:t>
      </w:r>
    </w:p>
    <w:p w14:paraId="535E07FB" w14:textId="5CE2B443" w:rsidR="00D427E1" w:rsidRPr="00BE5BA6" w:rsidRDefault="002F70EF" w:rsidP="002F70EF">
      <w:pPr>
        <w:pStyle w:val="Text"/>
      </w:pPr>
      <w:r>
        <w:t>Improving the separate collection of certain types of packaging should prevent packaging waste, which is particularly likely to be carelessly discarded into the environment, from entering water bodies and ultimately the marine environment via different routes. It thus promotes the sustainable use of the seas as well</w:t>
      </w:r>
    </w:p>
    <w:p w14:paraId="547CDF50" w14:textId="037A617B" w:rsidR="00D030BD" w:rsidRPr="00BE5BA6" w:rsidRDefault="0010436C" w:rsidP="00B70C9C">
      <w:pPr>
        <w:pStyle w:val="Text"/>
        <w:keepNext/>
      </w:pPr>
      <w:r>
        <w:t xml:space="preserve">b) Principles of sustainable development according to the German sustainability strategy: </w:t>
      </w:r>
    </w:p>
    <w:p w14:paraId="08FA4B28" w14:textId="571BCE5F" w:rsidR="0010436C" w:rsidRPr="00BE5BA6" w:rsidRDefault="0010436C" w:rsidP="0010436C">
      <w:pPr>
        <w:pStyle w:val="Text"/>
      </w:pPr>
      <w:r>
        <w:t>Re principle 1: Apply sustainable development as a guiding principle consistently in all areas and in all decisions</w:t>
      </w:r>
    </w:p>
    <w:p w14:paraId="60C8FD0F" w14:textId="6E34870F" w:rsidR="0010436C" w:rsidRPr="00BE5BA6" w:rsidRDefault="0010436C" w:rsidP="0010436C">
      <w:pPr>
        <w:pStyle w:val="Text"/>
      </w:pPr>
      <w:r>
        <w:t xml:space="preserve">The provisions adopted further extend the principle of extended producer responsibility. This means that producers shall bear in full the costs of disposing of used and emptied packaging in the scope of their product responsibility. Thereby, at the same time, foreseeable encumbrances for future generations are avoided since permanent and sustainable management of packaging waste is guaranteed. In addition, incentives for </w:t>
      </w:r>
      <w:r>
        <w:lastRenderedPageBreak/>
        <w:t xml:space="preserve">packaging avoidance, for the ecological design of packaging and for better recycling of packaging effectively conserve resources and promote a sustainable circular economy. </w:t>
      </w:r>
    </w:p>
    <w:p w14:paraId="619666EA" w14:textId="431F0616" w:rsidR="001700A9" w:rsidRPr="00BE5BA6" w:rsidRDefault="00DC2A99" w:rsidP="001700A9">
      <w:pPr>
        <w:pStyle w:val="Text"/>
      </w:pPr>
      <w:r>
        <w:t>- Re principle 2: Assuming global responsibility</w:t>
      </w:r>
    </w:p>
    <w:p w14:paraId="238150F7" w14:textId="3A0E2C2C" w:rsidR="001700A9" w:rsidRPr="00BE5BA6" w:rsidRDefault="001700A9" w:rsidP="001700A9">
      <w:pPr>
        <w:pStyle w:val="Text"/>
      </w:pPr>
      <w:r>
        <w:t xml:space="preserve">As one of the largest industrialised nations, Germany can make a particularly effective contribution to reducing the global consumption of primary, non-renewable resources. The area of packaging, which is often used only once and often consists of primary raw materials, is an important starting point here. The draft Act serves to take advantage of this starting point and to achieve such a reduction in the consumption of primary resources through the ecological design of packaging and improved recycling. </w:t>
      </w:r>
    </w:p>
    <w:p w14:paraId="4CC16CB3" w14:textId="12D9FACF" w:rsidR="00FA06F4" w:rsidRPr="00BE5BA6" w:rsidRDefault="00FA06F4" w:rsidP="001700A9">
      <w:pPr>
        <w:pStyle w:val="Text"/>
      </w:pPr>
      <w:r>
        <w:t xml:space="preserve">The inclusion of producers from abroad in the obligations of extended producer responsibility effectively extends the sphere of influence of the German requirements for the ecological design of packaging to globally active producers. </w:t>
      </w:r>
    </w:p>
    <w:p w14:paraId="6F523929" w14:textId="0488314D" w:rsidR="001700A9" w:rsidRPr="00BE5BA6" w:rsidRDefault="00DC2A99" w:rsidP="001700A9">
      <w:pPr>
        <w:pStyle w:val="Text"/>
      </w:pPr>
      <w:r>
        <w:t>- Re principle 3: Preserving the natural foundations of life</w:t>
      </w:r>
    </w:p>
    <w:p w14:paraId="237EF59E" w14:textId="641803DD" w:rsidR="00DE29CD" w:rsidRPr="00BE5BA6" w:rsidRDefault="00DE29CD" w:rsidP="001700A9">
      <w:pPr>
        <w:pStyle w:val="Text"/>
      </w:pPr>
      <w:r>
        <w:t xml:space="preserve">The conservation of natural resources and the avoidance of waste entering the environment are intended to contribute to the long-term preservation of the natural foundations of life. </w:t>
      </w:r>
    </w:p>
    <w:p w14:paraId="316382BB" w14:textId="52CBDE1F" w:rsidR="001700A9" w:rsidRPr="00BE5BA6" w:rsidRDefault="00DC2A99" w:rsidP="001700A9">
      <w:pPr>
        <w:pStyle w:val="Text"/>
      </w:pPr>
      <w:r>
        <w:t>- Re principle 4: Strengthening sustainable management</w:t>
      </w:r>
    </w:p>
    <w:p w14:paraId="59F246D2" w14:textId="04E4DABC" w:rsidR="00DE29CD" w:rsidRPr="00BE5BA6" w:rsidRDefault="00DE29CD" w:rsidP="001700A9">
      <w:pPr>
        <w:pStyle w:val="Text"/>
      </w:pPr>
      <w:r>
        <w:t xml:space="preserve">The draft Act serves to manage ‘waste’ as a resource in a sustainable manner and to actually consider it as a valuable and usable resource in the interest of a sustainable circular economy. This is intended to reduce the overall consumption of resources, especially primary resources. </w:t>
      </w:r>
    </w:p>
    <w:p w14:paraId="386B0E75" w14:textId="22D12D03" w:rsidR="001700A9" w:rsidRPr="00BE5BA6" w:rsidRDefault="00DC2A99" w:rsidP="001700A9">
      <w:pPr>
        <w:pStyle w:val="Text"/>
      </w:pPr>
      <w:r>
        <w:t>- Re principle 6: Using education, science and innovation as drivers of sustainable development</w:t>
      </w:r>
    </w:p>
    <w:p w14:paraId="6BE43EBC" w14:textId="29872CFE" w:rsidR="00DE29CD" w:rsidRPr="00BE5BA6" w:rsidRDefault="00DE29CD" w:rsidP="001700A9">
      <w:pPr>
        <w:pStyle w:val="Text"/>
      </w:pPr>
      <w:r>
        <w:t xml:space="preserve">The draft Act provides an important incentive for the creation of innovative products and production possibilities with the obligation to use recyclates in certain packaging and the obligation to offer reusable alternatives in certain areas. </w:t>
      </w:r>
    </w:p>
    <w:p w14:paraId="6F3F12E8" w14:textId="16C903C6" w:rsidR="00AA47A1" w:rsidRPr="00BE5BA6" w:rsidRDefault="008C6327" w:rsidP="00AA47A1">
      <w:pPr>
        <w:pStyle w:val="berschriftarabischBegrndung"/>
      </w:pPr>
      <w:r>
        <w:t>Budgetary expenditure exclusive of compliance costs</w:t>
      </w:r>
    </w:p>
    <w:p w14:paraId="544652A5" w14:textId="38068EA2" w:rsidR="008C6327" w:rsidRPr="00BE5BA6" w:rsidRDefault="004F29AD">
      <w:pPr>
        <w:pStyle w:val="Text"/>
      </w:pPr>
      <w:r>
        <w:t>No additional budgetary expenditure exclusive of compliance costs is anticipated.</w:t>
      </w:r>
    </w:p>
    <w:p w14:paraId="60AE8662" w14:textId="2CA29208" w:rsidR="00435D48" w:rsidRPr="00BE5BA6" w:rsidRDefault="008C6327" w:rsidP="00435D48">
      <w:pPr>
        <w:pStyle w:val="berschriftarabischBegrndung"/>
      </w:pPr>
      <w:r>
        <w:t>Compliance costs</w:t>
      </w:r>
    </w:p>
    <w:p w14:paraId="675A10F6" w14:textId="16D1ACE2" w:rsidR="00435D48" w:rsidRPr="00BE5BA6" w:rsidRDefault="00FC7187" w:rsidP="00B70C9C">
      <w:pPr>
        <w:pStyle w:val="Text"/>
        <w:keepNext/>
        <w:rPr>
          <w:rStyle w:val="Marker"/>
          <w:b/>
          <w:color w:val="auto"/>
        </w:rPr>
      </w:pPr>
      <w:r>
        <w:rPr>
          <w:rStyle w:val="Marker"/>
          <w:b/>
          <w:color w:val="auto"/>
        </w:rPr>
        <w:t>a) Overall result</w:t>
      </w:r>
    </w:p>
    <w:p w14:paraId="0684D3F1" w14:textId="3E76A230" w:rsidR="00435D48" w:rsidRPr="00BE5BA6" w:rsidRDefault="00435D48">
      <w:pPr>
        <w:pStyle w:val="Text"/>
        <w:rPr>
          <w:rStyle w:val="Marker"/>
          <w:color w:val="auto"/>
        </w:rPr>
      </w:pPr>
      <w:r>
        <w:rPr>
          <w:rStyle w:val="Marker"/>
          <w:color w:val="auto"/>
        </w:rPr>
        <w:t xml:space="preserve">aa) No compliance costs for citizens arise as a result of the draft Act. </w:t>
      </w:r>
    </w:p>
    <w:p w14:paraId="3D6431E1" w14:textId="7A26C229" w:rsidR="00435D48" w:rsidRPr="00BE5BA6" w:rsidRDefault="00FC7187">
      <w:pPr>
        <w:pStyle w:val="Text"/>
        <w:rPr>
          <w:rStyle w:val="Marker"/>
          <w:color w:val="auto"/>
        </w:rPr>
      </w:pPr>
      <w:r>
        <w:rPr>
          <w:rStyle w:val="Marker"/>
          <w:color w:val="auto"/>
        </w:rPr>
        <w:t xml:space="preserve">bb) The following compliance costs are incurred by businesses as a result of the draft Act: </w:t>
      </w:r>
    </w:p>
    <w:p w14:paraId="541BA841" w14:textId="60E752AF" w:rsidR="00435D48" w:rsidRPr="00BE5BA6" w:rsidRDefault="00435D48" w:rsidP="00435D48">
      <w:pPr>
        <w:pStyle w:val="Text"/>
        <w:rPr>
          <w:rStyle w:val="Marker"/>
          <w:color w:val="auto"/>
        </w:rPr>
      </w:pPr>
      <w:r>
        <w:rPr>
          <w:rStyle w:val="Marker"/>
          <w:color w:val="auto"/>
        </w:rPr>
        <w:t>The draft Act creates additional annual compliance costs for businesses of around EUR 30 million. This will result in additional annual burdens of around EUR 65.8 million and annual relief for the economy totalling around EUR -35.8 million. The draft Act introduces new information obligations. Overall, the new information obligations result in annual compliance costs to businesses of approx. EUR 55.2 million due to administrative costs.</w:t>
      </w:r>
    </w:p>
    <w:p w14:paraId="67FBB7D9" w14:textId="6FDE0BBB" w:rsidR="00034668" w:rsidRPr="00BE5BA6" w:rsidRDefault="006D100F" w:rsidP="00034668">
      <w:pPr>
        <w:pStyle w:val="Text"/>
        <w:rPr>
          <w:rStyle w:val="Marker"/>
          <w:color w:val="auto"/>
        </w:rPr>
      </w:pPr>
      <w:r>
        <w:t xml:space="preserve">In total, one-time expenses of around EUR 13.1 million will be incurred. This includes EUR 6.7 million in the category ‘adaptation of products, manufacturing processes and procurement channels’, around EUR 486 thousand in the category ‘adaptation of organisational structures’ and around EUR 5.9 million to the category ‘one-time information obligation’. </w:t>
      </w:r>
      <w:r>
        <w:rPr>
          <w:rStyle w:val="Marker"/>
          <w:color w:val="auto"/>
        </w:rPr>
        <w:t xml:space="preserve">The draft Act largely transposes Union law requirements of Directive </w:t>
      </w:r>
      <w:r>
        <w:rPr>
          <w:rStyle w:val="Marker"/>
          <w:color w:val="auto"/>
        </w:rPr>
        <w:lastRenderedPageBreak/>
        <w:t xml:space="preserve">(EU) 2019/904 and Directive 2008/98/EC into national law on a ‘one-to-one’ basis. As such, no scenario in which the ‘one-in, one-out’ rule is applied to the Federal Government’s planned regulatory arrangement is justified (refer to the cabinet decision of 25 March 2015). </w:t>
      </w:r>
      <w:r>
        <w:t>If the draft Act goes beyond ‘one-to-one’ implementation, there are no additional annual costs, but only a one-off compliance cost for businesses, which does not constitute an application of the above-mentioned one-in, one-out rule.</w:t>
      </w:r>
    </w:p>
    <w:p w14:paraId="36CD8148" w14:textId="3474FE78" w:rsidR="003C443B" w:rsidRPr="00BE5BA6" w:rsidRDefault="003C443B" w:rsidP="003C443B">
      <w:pPr>
        <w:pStyle w:val="Text"/>
        <w:rPr>
          <w:rStyle w:val="Marker"/>
          <w:color w:val="auto"/>
        </w:rPr>
      </w:pPr>
      <w:r>
        <w:rPr>
          <w:rStyle w:val="Marker"/>
          <w:color w:val="auto"/>
        </w:rPr>
        <w:t xml:space="preserve">In keeping with the Guidelines on accounting for the needs of SMEs in regulatory impact assessment (SME test) of 30 December 2015, it was examined whether less burdensome alternative forms of regulation or support measures are also possible. In drafting the newly created §§ 33 and 34, particular account was taken of the concerns of small and medium-sized enterprises. In addition, the provisions of the draft Act are predominantly linked to the individual company structure and enable the addressees to find suitable solutions for their respective companies. </w:t>
      </w:r>
    </w:p>
    <w:p w14:paraId="3E254BB3" w14:textId="18285BD4" w:rsidR="003C443B" w:rsidRPr="00BE5BA6" w:rsidRDefault="003C443B" w:rsidP="003C443B">
      <w:pPr>
        <w:pStyle w:val="Text"/>
        <w:rPr>
          <w:rStyle w:val="Marker"/>
          <w:color w:val="auto"/>
        </w:rPr>
      </w:pPr>
      <w:r>
        <w:rPr>
          <w:rStyle w:val="Marker"/>
          <w:color w:val="auto"/>
        </w:rPr>
        <w:t xml:space="preserve">In addition, it should be pointed out that already pre-standards such as § 31(2) sentence 4 are not changed by the amendment and continue to take the needs of SMEs into account. The central objective of the amendment is to create appropriate extended producer responsibility schemes in conformity with European law which involve each product owner in the obligations of extended producer responsibility in an appropriate proportion to the quantity and quality of the packaging it places on the market. </w:t>
      </w:r>
    </w:p>
    <w:p w14:paraId="52A156E7" w14:textId="71D3B412" w:rsidR="003C443B" w:rsidRPr="00BE5BA6" w:rsidRDefault="003C443B" w:rsidP="003C443B">
      <w:pPr>
        <w:pStyle w:val="Text"/>
        <w:rPr>
          <w:rStyle w:val="Marker"/>
          <w:color w:val="auto"/>
        </w:rPr>
      </w:pPr>
      <w:r>
        <w:rPr>
          <w:rStyle w:val="Marker"/>
          <w:color w:val="auto"/>
        </w:rPr>
        <w:t>Adequate consideration has thereby been given to the interests of small and medium-sized enterprises.</w:t>
      </w:r>
    </w:p>
    <w:p w14:paraId="0E3AF2F0" w14:textId="27FC689D" w:rsidR="00435D48" w:rsidRPr="00BE5BA6" w:rsidRDefault="009E14F5" w:rsidP="00A979FD">
      <w:pPr>
        <w:pStyle w:val="Text"/>
        <w:keepNext/>
        <w:rPr>
          <w:rStyle w:val="Marker"/>
          <w:color w:val="auto"/>
        </w:rPr>
      </w:pPr>
      <w:r>
        <w:rPr>
          <w:rStyle w:val="Marker"/>
          <w:color w:val="auto"/>
        </w:rPr>
        <w:t xml:space="preserve">ccc) The draft Act gives rise to the following compliance costs for the administration: </w:t>
      </w:r>
    </w:p>
    <w:p w14:paraId="188E2963" w14:textId="4E55C86E" w:rsidR="00B7369E" w:rsidRPr="00BE5BA6" w:rsidRDefault="00FB62EA" w:rsidP="00B7369E">
      <w:pPr>
        <w:pStyle w:val="Text"/>
      </w:pPr>
      <w:r>
        <w:t>On the whole, administration will incur additional compliance costs amounting to approximately EUR 283 thousand. Annual compliance costs of EUR 38 thousand are incurred for the federal administration, predominantly for the Central Authority. The federal states incur annual costs of approx. EUR 245 thousand. The federal administration will also incur a one-off compliance cost of EUR 331 thousand.</w:t>
      </w:r>
    </w:p>
    <w:p w14:paraId="6B4AF743" w14:textId="4550EEC0" w:rsidR="00F44E66" w:rsidRPr="00BE5BA6" w:rsidRDefault="00874226" w:rsidP="00FB62EA">
      <w:pPr>
        <w:pStyle w:val="Text"/>
      </w:pPr>
      <w:r>
        <w:t xml:space="preserve">The activities of the Central Authority listed in this amendment are classified as sovereign tasks. Accordingly, the expenditure incurred by the Central Authority Packaging Register is counted as part of the norm addressee Administration. </w:t>
      </w:r>
    </w:p>
    <w:p w14:paraId="6276C543" w14:textId="6D9E1CC4" w:rsidR="009E14F5" w:rsidRPr="00BE5BA6" w:rsidRDefault="00FC7187" w:rsidP="00A979FD">
      <w:pPr>
        <w:pStyle w:val="Text"/>
        <w:keepNext/>
        <w:rPr>
          <w:rStyle w:val="Marker"/>
          <w:b/>
          <w:color w:val="auto"/>
        </w:rPr>
      </w:pPr>
      <w:r>
        <w:rPr>
          <w:b/>
        </w:rPr>
        <w:t>b) Requirements</w:t>
      </w:r>
    </w:p>
    <w:tbl>
      <w:tblPr>
        <w:tblStyle w:val="TableGrid"/>
        <w:tblW w:w="0" w:type="auto"/>
        <w:tblInd w:w="-289" w:type="dxa"/>
        <w:tblLook w:val="04A0" w:firstRow="1" w:lastRow="0" w:firstColumn="1" w:lastColumn="0" w:noHBand="0" w:noVBand="1"/>
      </w:tblPr>
      <w:tblGrid>
        <w:gridCol w:w="744"/>
        <w:gridCol w:w="2002"/>
        <w:gridCol w:w="2933"/>
        <w:gridCol w:w="2051"/>
        <w:gridCol w:w="1338"/>
      </w:tblGrid>
      <w:tr w:rsidR="00762547" w:rsidRPr="00BE5BA6" w14:paraId="7EFBF913" w14:textId="77777777" w:rsidTr="00410FA3">
        <w:tc>
          <w:tcPr>
            <w:tcW w:w="793" w:type="dxa"/>
          </w:tcPr>
          <w:p w14:paraId="4556748E" w14:textId="77777777" w:rsidR="00310788" w:rsidRPr="00BE5BA6" w:rsidRDefault="00310788" w:rsidP="00A51CB4">
            <w:pPr>
              <w:keepNext/>
              <w:spacing w:before="0" w:after="0"/>
              <w:jc w:val="left"/>
              <w:rPr>
                <w:rFonts w:eastAsia="Calibri"/>
              </w:rPr>
            </w:pPr>
            <w:r>
              <w:t>Seq. no.</w:t>
            </w:r>
          </w:p>
        </w:tc>
        <w:tc>
          <w:tcPr>
            <w:tcW w:w="1101" w:type="dxa"/>
          </w:tcPr>
          <w:p w14:paraId="20C2565C" w14:textId="77777777" w:rsidR="00310788" w:rsidRPr="00BE5BA6" w:rsidRDefault="00310788" w:rsidP="00A979FD">
            <w:pPr>
              <w:keepNext/>
              <w:spacing w:before="0" w:after="0"/>
              <w:jc w:val="left"/>
              <w:rPr>
                <w:rFonts w:eastAsia="Calibri"/>
              </w:rPr>
            </w:pPr>
            <w:r>
              <w:t>Provision</w:t>
            </w:r>
          </w:p>
        </w:tc>
        <w:tc>
          <w:tcPr>
            <w:tcW w:w="3532" w:type="dxa"/>
          </w:tcPr>
          <w:p w14:paraId="5A77DB0A" w14:textId="77777777" w:rsidR="00310788" w:rsidRPr="00BE5BA6" w:rsidRDefault="00310788" w:rsidP="00A979FD">
            <w:pPr>
              <w:keepNext/>
              <w:spacing w:before="0" w:after="0"/>
              <w:jc w:val="left"/>
              <w:rPr>
                <w:rFonts w:eastAsia="Calibri"/>
              </w:rPr>
            </w:pPr>
            <w:r>
              <w:t xml:space="preserve">Requirement description </w:t>
            </w:r>
          </w:p>
        </w:tc>
        <w:tc>
          <w:tcPr>
            <w:tcW w:w="2243" w:type="dxa"/>
          </w:tcPr>
          <w:p w14:paraId="431B03BF" w14:textId="77777777" w:rsidR="00310788" w:rsidRPr="00BE5BA6" w:rsidRDefault="00310788" w:rsidP="00A979FD">
            <w:pPr>
              <w:keepNext/>
              <w:spacing w:before="0" w:after="0"/>
              <w:jc w:val="left"/>
              <w:rPr>
                <w:rFonts w:eastAsia="Calibri"/>
              </w:rPr>
            </w:pPr>
            <w:r>
              <w:t>Norm addressee / information obligation (</w:t>
            </w:r>
            <w:r>
              <w:rPr>
                <w:b/>
              </w:rPr>
              <w:t>A</w:t>
            </w:r>
            <w:r>
              <w:t xml:space="preserve">dministration, </w:t>
            </w:r>
            <w:r>
              <w:rPr>
                <w:b/>
              </w:rPr>
              <w:t>B</w:t>
            </w:r>
            <w:r>
              <w:t xml:space="preserve">usiness, </w:t>
            </w:r>
            <w:r>
              <w:rPr>
                <w:b/>
              </w:rPr>
              <w:t>C</w:t>
            </w:r>
            <w:r>
              <w:t xml:space="preserve">itizens) </w:t>
            </w:r>
          </w:p>
        </w:tc>
        <w:tc>
          <w:tcPr>
            <w:tcW w:w="1399" w:type="dxa"/>
          </w:tcPr>
          <w:p w14:paraId="7E6B8C8D" w14:textId="77777777" w:rsidR="00310788" w:rsidRPr="00BE5BA6" w:rsidRDefault="00310788" w:rsidP="00A979FD">
            <w:pPr>
              <w:keepNext/>
              <w:spacing w:before="0" w:after="0"/>
              <w:jc w:val="left"/>
              <w:rPr>
                <w:rFonts w:eastAsia="Calibri"/>
              </w:rPr>
            </w:pPr>
            <w:r>
              <w:t>EU</w:t>
            </w:r>
          </w:p>
        </w:tc>
      </w:tr>
      <w:tr w:rsidR="00762547" w:rsidRPr="00BE5BA6" w14:paraId="424BE935" w14:textId="77777777" w:rsidTr="00410FA3">
        <w:tc>
          <w:tcPr>
            <w:tcW w:w="793" w:type="dxa"/>
          </w:tcPr>
          <w:p w14:paraId="238F57D9"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7F967857" w14:textId="1CBBF3A3" w:rsidR="00F95EF7" w:rsidRPr="00BE5BA6" w:rsidRDefault="00310788" w:rsidP="00310788">
            <w:pPr>
              <w:spacing w:before="0" w:after="0"/>
              <w:jc w:val="left"/>
              <w:rPr>
                <w:rFonts w:eastAsia="Calibri"/>
              </w:rPr>
            </w:pPr>
            <w:r>
              <w:t xml:space="preserve">Article 1 </w:t>
            </w:r>
          </w:p>
          <w:p w14:paraId="4D29E2BE" w14:textId="0E439F20" w:rsidR="00310788" w:rsidRPr="00BE5BA6" w:rsidRDefault="00310788" w:rsidP="00310788">
            <w:pPr>
              <w:spacing w:before="0" w:after="0"/>
              <w:jc w:val="left"/>
              <w:rPr>
                <w:rFonts w:eastAsia="Calibri"/>
              </w:rPr>
            </w:pPr>
            <w:r>
              <w:t>§ 7(2)</w:t>
            </w:r>
            <w:r w:rsidR="00C059FB">
              <w:t xml:space="preserve"> sentence </w:t>
            </w:r>
            <w:r>
              <w:t xml:space="preserve">3 </w:t>
            </w:r>
          </w:p>
        </w:tc>
        <w:tc>
          <w:tcPr>
            <w:tcW w:w="3532" w:type="dxa"/>
          </w:tcPr>
          <w:p w14:paraId="5AEC74BB" w14:textId="77777777" w:rsidR="00310788" w:rsidRPr="00BE5BA6" w:rsidRDefault="00310788" w:rsidP="00310788">
            <w:pPr>
              <w:spacing w:before="0" w:after="0"/>
              <w:jc w:val="left"/>
              <w:rPr>
                <w:rFonts w:eastAsia="Calibri"/>
              </w:rPr>
            </w:pPr>
            <w:r>
              <w:t>Registration obligation for producers of service packaging as well</w:t>
            </w:r>
          </w:p>
        </w:tc>
        <w:tc>
          <w:tcPr>
            <w:tcW w:w="2243" w:type="dxa"/>
          </w:tcPr>
          <w:p w14:paraId="3C46FE61" w14:textId="77777777" w:rsidR="00310788" w:rsidRPr="00BE5BA6" w:rsidRDefault="00310788" w:rsidP="00310788">
            <w:pPr>
              <w:spacing w:before="0" w:after="0"/>
              <w:jc w:val="left"/>
              <w:rPr>
                <w:rFonts w:eastAsia="Calibri"/>
              </w:rPr>
            </w:pPr>
            <w:r>
              <w:t>B</w:t>
            </w:r>
          </w:p>
        </w:tc>
        <w:tc>
          <w:tcPr>
            <w:tcW w:w="1399" w:type="dxa"/>
          </w:tcPr>
          <w:p w14:paraId="0A999DEB" w14:textId="77777777" w:rsidR="00310788" w:rsidRPr="00BE5BA6" w:rsidRDefault="00310788" w:rsidP="00310788">
            <w:pPr>
              <w:spacing w:before="0" w:after="0"/>
              <w:jc w:val="left"/>
              <w:rPr>
                <w:rFonts w:eastAsia="Calibri"/>
              </w:rPr>
            </w:pPr>
            <w:r>
              <w:t xml:space="preserve">1:1 </w:t>
            </w:r>
          </w:p>
        </w:tc>
      </w:tr>
      <w:tr w:rsidR="00762547" w:rsidRPr="00BE5BA6" w14:paraId="4F2661B2" w14:textId="77777777" w:rsidTr="00410FA3">
        <w:tc>
          <w:tcPr>
            <w:tcW w:w="793" w:type="dxa"/>
          </w:tcPr>
          <w:p w14:paraId="753E6FDD"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77567AC7" w14:textId="77777777" w:rsidR="00310788" w:rsidRPr="00BE5BA6" w:rsidRDefault="00310788" w:rsidP="00310788">
            <w:pPr>
              <w:spacing w:before="0" w:after="0"/>
              <w:jc w:val="left"/>
              <w:rPr>
                <w:rFonts w:eastAsia="Calibri"/>
              </w:rPr>
            </w:pPr>
            <w:r>
              <w:t xml:space="preserve">Article 1 </w:t>
            </w:r>
          </w:p>
          <w:p w14:paraId="4BB10A1F" w14:textId="77777777" w:rsidR="00310788" w:rsidRPr="00BE5BA6" w:rsidRDefault="00310788" w:rsidP="00310788">
            <w:pPr>
              <w:spacing w:before="0" w:after="0"/>
              <w:jc w:val="left"/>
              <w:rPr>
                <w:rFonts w:eastAsia="Calibri"/>
              </w:rPr>
            </w:pPr>
            <w:r>
              <w:t>§ 7(7)</w:t>
            </w:r>
          </w:p>
        </w:tc>
        <w:tc>
          <w:tcPr>
            <w:tcW w:w="3532" w:type="dxa"/>
          </w:tcPr>
          <w:p w14:paraId="61DE1B68" w14:textId="4BF6FD46" w:rsidR="00310788" w:rsidRPr="00BE5BA6" w:rsidRDefault="00310788" w:rsidP="00310788">
            <w:pPr>
              <w:spacing w:before="0" w:after="0"/>
              <w:jc w:val="left"/>
              <w:rPr>
                <w:rFonts w:eastAsia="Calibri"/>
              </w:rPr>
            </w:pPr>
            <w:r>
              <w:t>Monitoring obligations for placing packaging subject to the scheme participation obligation on the market</w:t>
            </w:r>
          </w:p>
        </w:tc>
        <w:tc>
          <w:tcPr>
            <w:tcW w:w="2243" w:type="dxa"/>
          </w:tcPr>
          <w:p w14:paraId="20CE3DF3" w14:textId="77777777" w:rsidR="00310788" w:rsidRPr="00BE5BA6" w:rsidRDefault="00310788" w:rsidP="00310788">
            <w:pPr>
              <w:spacing w:before="0" w:after="0"/>
              <w:jc w:val="left"/>
              <w:rPr>
                <w:rFonts w:eastAsia="Calibri"/>
              </w:rPr>
            </w:pPr>
            <w:r>
              <w:t>B</w:t>
            </w:r>
          </w:p>
        </w:tc>
        <w:tc>
          <w:tcPr>
            <w:tcW w:w="1399" w:type="dxa"/>
          </w:tcPr>
          <w:p w14:paraId="232B4C99" w14:textId="77777777" w:rsidR="00310788" w:rsidRPr="00BE5BA6" w:rsidRDefault="00310788" w:rsidP="00310788">
            <w:pPr>
              <w:spacing w:before="0" w:after="0"/>
              <w:jc w:val="left"/>
              <w:rPr>
                <w:rFonts w:eastAsia="Calibri"/>
              </w:rPr>
            </w:pPr>
            <w:r>
              <w:t>1:1</w:t>
            </w:r>
          </w:p>
        </w:tc>
      </w:tr>
      <w:tr w:rsidR="00762547" w:rsidRPr="00BE5BA6" w14:paraId="0D45C600" w14:textId="77777777" w:rsidTr="00410FA3">
        <w:tc>
          <w:tcPr>
            <w:tcW w:w="793" w:type="dxa"/>
          </w:tcPr>
          <w:p w14:paraId="0E7EDAE2"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339FD530" w14:textId="77777777" w:rsidR="00310788" w:rsidRPr="00BE5BA6" w:rsidRDefault="00310788" w:rsidP="00310788">
            <w:pPr>
              <w:spacing w:before="0" w:after="0"/>
              <w:jc w:val="left"/>
              <w:rPr>
                <w:rFonts w:eastAsia="Calibri"/>
              </w:rPr>
            </w:pPr>
            <w:r>
              <w:t>Article 1</w:t>
            </w:r>
          </w:p>
          <w:p w14:paraId="5BB89462" w14:textId="1AD2F151" w:rsidR="00310788" w:rsidRPr="00BE5BA6" w:rsidRDefault="00310788" w:rsidP="00E747E4">
            <w:pPr>
              <w:spacing w:before="0" w:after="0"/>
              <w:jc w:val="left"/>
              <w:rPr>
                <w:rFonts w:eastAsia="Calibri"/>
              </w:rPr>
            </w:pPr>
            <w:r>
              <w:t>§ 8(4)</w:t>
            </w:r>
          </w:p>
        </w:tc>
        <w:tc>
          <w:tcPr>
            <w:tcW w:w="3532" w:type="dxa"/>
          </w:tcPr>
          <w:p w14:paraId="53214D24" w14:textId="77777777" w:rsidR="00310788" w:rsidRPr="00BE5BA6" w:rsidRDefault="00310788" w:rsidP="00310788">
            <w:pPr>
              <w:spacing w:before="0" w:after="0"/>
              <w:jc w:val="left"/>
              <w:rPr>
                <w:rFonts w:eastAsia="Calibri"/>
              </w:rPr>
            </w:pPr>
            <w:r>
              <w:t>Financial and organisational resources incl. self-monitoring mechanism</w:t>
            </w:r>
          </w:p>
        </w:tc>
        <w:tc>
          <w:tcPr>
            <w:tcW w:w="2243" w:type="dxa"/>
          </w:tcPr>
          <w:p w14:paraId="3F993A3E" w14:textId="77777777" w:rsidR="00310788" w:rsidRPr="00BE5BA6" w:rsidRDefault="00310788" w:rsidP="00310788">
            <w:pPr>
              <w:spacing w:before="0" w:after="0"/>
              <w:jc w:val="left"/>
              <w:rPr>
                <w:rFonts w:eastAsia="Calibri"/>
              </w:rPr>
            </w:pPr>
            <w:r>
              <w:t>B</w:t>
            </w:r>
          </w:p>
        </w:tc>
        <w:tc>
          <w:tcPr>
            <w:tcW w:w="1399" w:type="dxa"/>
          </w:tcPr>
          <w:p w14:paraId="745C2008" w14:textId="77777777" w:rsidR="00310788" w:rsidRPr="00BE5BA6" w:rsidRDefault="00310788" w:rsidP="00310788">
            <w:pPr>
              <w:spacing w:before="0" w:after="0"/>
              <w:jc w:val="left"/>
              <w:rPr>
                <w:rFonts w:eastAsia="Calibri"/>
              </w:rPr>
            </w:pPr>
            <w:r>
              <w:t xml:space="preserve">1:1 </w:t>
            </w:r>
          </w:p>
        </w:tc>
      </w:tr>
      <w:tr w:rsidR="00762547" w:rsidRPr="00BE5BA6" w14:paraId="3A653D5D" w14:textId="77777777" w:rsidTr="00410FA3">
        <w:tc>
          <w:tcPr>
            <w:tcW w:w="793" w:type="dxa"/>
          </w:tcPr>
          <w:p w14:paraId="48C9A17A"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7A4496FD" w14:textId="77777777" w:rsidR="00310788" w:rsidRPr="00BE5BA6" w:rsidRDefault="00310788" w:rsidP="00310788">
            <w:pPr>
              <w:spacing w:before="0" w:after="0"/>
              <w:jc w:val="left"/>
              <w:rPr>
                <w:rFonts w:eastAsia="Calibri"/>
              </w:rPr>
            </w:pPr>
            <w:r>
              <w:t xml:space="preserve">Article 1 </w:t>
            </w:r>
          </w:p>
          <w:p w14:paraId="346167AA" w14:textId="57EC843B" w:rsidR="00310788" w:rsidRPr="00BE5BA6" w:rsidRDefault="00310788" w:rsidP="00310788">
            <w:pPr>
              <w:spacing w:before="0" w:after="0"/>
              <w:jc w:val="left"/>
              <w:rPr>
                <w:rFonts w:eastAsia="Calibri"/>
              </w:rPr>
            </w:pPr>
            <w:r>
              <w:t>§ 9(1)</w:t>
            </w:r>
            <w:r w:rsidR="00C059FB">
              <w:t xml:space="preserve"> sentence 1</w:t>
            </w:r>
          </w:p>
        </w:tc>
        <w:tc>
          <w:tcPr>
            <w:tcW w:w="3532" w:type="dxa"/>
          </w:tcPr>
          <w:p w14:paraId="17D2B310" w14:textId="10A71326" w:rsidR="00310788" w:rsidRPr="00BE5BA6" w:rsidRDefault="00310788" w:rsidP="008167E1">
            <w:pPr>
              <w:spacing w:before="0" w:after="0"/>
              <w:jc w:val="left"/>
              <w:rPr>
                <w:rFonts w:eastAsia="Calibri"/>
              </w:rPr>
            </w:pPr>
            <w:r>
              <w:t>Expansion of the registration obligation</w:t>
            </w:r>
          </w:p>
        </w:tc>
        <w:tc>
          <w:tcPr>
            <w:tcW w:w="2243" w:type="dxa"/>
          </w:tcPr>
          <w:p w14:paraId="092C192C" w14:textId="1494C337" w:rsidR="00310788" w:rsidRPr="00BE5BA6" w:rsidRDefault="00310788" w:rsidP="00480182">
            <w:pPr>
              <w:spacing w:before="0" w:after="0"/>
              <w:jc w:val="left"/>
              <w:rPr>
                <w:rFonts w:eastAsia="Calibri"/>
              </w:rPr>
            </w:pPr>
            <w:r>
              <w:t xml:space="preserve">B, A (Federal Government </w:t>
            </w:r>
            <w:r>
              <w:lastRenderedPageBreak/>
              <w:t>(Central Authority))</w:t>
            </w:r>
          </w:p>
        </w:tc>
        <w:tc>
          <w:tcPr>
            <w:tcW w:w="1399" w:type="dxa"/>
          </w:tcPr>
          <w:p w14:paraId="7BCE74D6" w14:textId="77777777" w:rsidR="00310788" w:rsidRPr="00BE5BA6" w:rsidRDefault="00310788" w:rsidP="00310788">
            <w:pPr>
              <w:spacing w:before="0" w:after="0"/>
              <w:jc w:val="left"/>
              <w:rPr>
                <w:rFonts w:eastAsia="Calibri"/>
              </w:rPr>
            </w:pPr>
            <w:r>
              <w:lastRenderedPageBreak/>
              <w:t>1:1</w:t>
            </w:r>
          </w:p>
        </w:tc>
      </w:tr>
      <w:tr w:rsidR="00762547" w:rsidRPr="00BE5BA6" w14:paraId="181CA7F5" w14:textId="77777777" w:rsidTr="00410FA3">
        <w:tc>
          <w:tcPr>
            <w:tcW w:w="793" w:type="dxa"/>
          </w:tcPr>
          <w:p w14:paraId="58EFE9EE"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06EE44CD" w14:textId="77777777" w:rsidR="00310788" w:rsidRPr="00BE5BA6" w:rsidRDefault="00310788" w:rsidP="00310788">
            <w:pPr>
              <w:spacing w:before="0" w:after="0"/>
              <w:jc w:val="left"/>
              <w:rPr>
                <w:rFonts w:eastAsia="Calibri"/>
              </w:rPr>
            </w:pPr>
            <w:r>
              <w:t xml:space="preserve">Article 1 </w:t>
            </w:r>
          </w:p>
          <w:p w14:paraId="7DD2312E" w14:textId="7496490E" w:rsidR="00310788" w:rsidRPr="00BE5BA6" w:rsidRDefault="00310788" w:rsidP="00310788">
            <w:pPr>
              <w:spacing w:before="0" w:after="0"/>
              <w:jc w:val="left"/>
              <w:rPr>
                <w:rFonts w:eastAsia="Calibri"/>
              </w:rPr>
            </w:pPr>
            <w:r>
              <w:t xml:space="preserve">§ 9(2)(1) and (4) </w:t>
            </w:r>
          </w:p>
        </w:tc>
        <w:tc>
          <w:tcPr>
            <w:tcW w:w="3532" w:type="dxa"/>
          </w:tcPr>
          <w:p w14:paraId="03B5A135" w14:textId="447D9D64" w:rsidR="00310788" w:rsidRPr="00BE5BA6" w:rsidRDefault="00310788" w:rsidP="009E411A">
            <w:pPr>
              <w:spacing w:before="0" w:after="0"/>
              <w:jc w:val="left"/>
              <w:rPr>
                <w:rFonts w:eastAsia="Calibri"/>
              </w:rPr>
            </w:pPr>
            <w:r>
              <w:t xml:space="preserve">Change in the transmission of registration data </w:t>
            </w:r>
          </w:p>
        </w:tc>
        <w:tc>
          <w:tcPr>
            <w:tcW w:w="2243" w:type="dxa"/>
          </w:tcPr>
          <w:p w14:paraId="69F62C84" w14:textId="27D47C3E" w:rsidR="00310788" w:rsidRPr="00BE5BA6" w:rsidRDefault="005A5CD9" w:rsidP="00310788">
            <w:pPr>
              <w:spacing w:before="0" w:after="0"/>
              <w:jc w:val="left"/>
              <w:rPr>
                <w:rFonts w:eastAsia="Calibri"/>
              </w:rPr>
            </w:pPr>
            <w:r>
              <w:t>B, A (Federal Government (Central Authority))</w:t>
            </w:r>
          </w:p>
        </w:tc>
        <w:tc>
          <w:tcPr>
            <w:tcW w:w="1399" w:type="dxa"/>
          </w:tcPr>
          <w:p w14:paraId="2416C1FC" w14:textId="77777777" w:rsidR="00310788" w:rsidRPr="00BE5BA6" w:rsidRDefault="00310788" w:rsidP="00310788">
            <w:pPr>
              <w:spacing w:before="0" w:after="0"/>
              <w:jc w:val="left"/>
              <w:rPr>
                <w:rFonts w:eastAsia="Calibri"/>
              </w:rPr>
            </w:pPr>
            <w:r>
              <w:t>1:1</w:t>
            </w:r>
          </w:p>
        </w:tc>
      </w:tr>
      <w:tr w:rsidR="00762547" w:rsidRPr="00BE5BA6" w14:paraId="055522B8" w14:textId="77777777" w:rsidTr="00410FA3">
        <w:tc>
          <w:tcPr>
            <w:tcW w:w="793" w:type="dxa"/>
          </w:tcPr>
          <w:p w14:paraId="1E641974"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01313A81" w14:textId="77777777" w:rsidR="00310788" w:rsidRPr="00BE5BA6" w:rsidRDefault="00310788" w:rsidP="00310788">
            <w:pPr>
              <w:spacing w:before="0" w:after="0"/>
              <w:jc w:val="left"/>
              <w:rPr>
                <w:rFonts w:eastAsia="Calibri"/>
              </w:rPr>
            </w:pPr>
            <w:r>
              <w:t xml:space="preserve">Article 1 </w:t>
            </w:r>
          </w:p>
          <w:p w14:paraId="589E25A7" w14:textId="09CD9338" w:rsidR="00310788" w:rsidRPr="00BE5BA6" w:rsidRDefault="00310788" w:rsidP="00310788">
            <w:pPr>
              <w:spacing w:before="0" w:after="0"/>
              <w:jc w:val="left"/>
              <w:rPr>
                <w:rFonts w:eastAsia="Calibri"/>
              </w:rPr>
            </w:pPr>
            <w:r>
              <w:t>§ 9(2)</w:t>
            </w:r>
            <w:r w:rsidR="00C059FB">
              <w:t>(2)</w:t>
            </w:r>
            <w:r>
              <w:t xml:space="preserve"> </w:t>
            </w:r>
          </w:p>
        </w:tc>
        <w:tc>
          <w:tcPr>
            <w:tcW w:w="3532" w:type="dxa"/>
          </w:tcPr>
          <w:p w14:paraId="461759C0" w14:textId="77777777" w:rsidR="00310788" w:rsidRPr="00BE5BA6" w:rsidRDefault="00310788" w:rsidP="00310788">
            <w:pPr>
              <w:spacing w:before="0" w:after="0"/>
              <w:jc w:val="left"/>
              <w:rPr>
                <w:rFonts w:eastAsia="Calibri"/>
              </w:rPr>
            </w:pPr>
            <w:r>
              <w:t>Registration in the case of an authorised representative</w:t>
            </w:r>
          </w:p>
        </w:tc>
        <w:tc>
          <w:tcPr>
            <w:tcW w:w="2243" w:type="dxa"/>
          </w:tcPr>
          <w:p w14:paraId="08DAF724" w14:textId="243AA00A" w:rsidR="00310788" w:rsidRPr="00BE5BA6" w:rsidRDefault="00C63843" w:rsidP="00480182">
            <w:pPr>
              <w:spacing w:before="0" w:after="0"/>
              <w:jc w:val="left"/>
              <w:rPr>
                <w:rFonts w:eastAsia="Calibri"/>
              </w:rPr>
            </w:pPr>
            <w:r>
              <w:t>B, A (Federal Government (Central Authority))</w:t>
            </w:r>
          </w:p>
        </w:tc>
        <w:tc>
          <w:tcPr>
            <w:tcW w:w="1399" w:type="dxa"/>
          </w:tcPr>
          <w:p w14:paraId="5347D221" w14:textId="77777777" w:rsidR="00310788" w:rsidRPr="00BE5BA6" w:rsidRDefault="00310788" w:rsidP="00310788">
            <w:pPr>
              <w:spacing w:before="0" w:after="0"/>
              <w:jc w:val="left"/>
              <w:rPr>
                <w:rFonts w:eastAsia="Calibri"/>
              </w:rPr>
            </w:pPr>
            <w:r>
              <w:t>1:1</w:t>
            </w:r>
          </w:p>
        </w:tc>
      </w:tr>
      <w:tr w:rsidR="00762547" w:rsidRPr="00BE5BA6" w14:paraId="582F9292" w14:textId="77777777" w:rsidTr="00410FA3">
        <w:tc>
          <w:tcPr>
            <w:tcW w:w="793" w:type="dxa"/>
          </w:tcPr>
          <w:p w14:paraId="2E21A172"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5B3B5985" w14:textId="77777777" w:rsidR="00310788" w:rsidRPr="00BE5BA6" w:rsidRDefault="00310788" w:rsidP="00310788">
            <w:pPr>
              <w:spacing w:before="0" w:after="0"/>
              <w:jc w:val="left"/>
              <w:rPr>
                <w:rFonts w:eastAsia="Calibri"/>
              </w:rPr>
            </w:pPr>
            <w:r>
              <w:t xml:space="preserve">Article 1 </w:t>
            </w:r>
          </w:p>
          <w:p w14:paraId="0EE62B9F" w14:textId="05FBCA82" w:rsidR="00310788" w:rsidRPr="00BE5BA6" w:rsidRDefault="00310788" w:rsidP="001F76F5">
            <w:pPr>
              <w:spacing w:before="0" w:after="0"/>
              <w:jc w:val="left"/>
              <w:rPr>
                <w:rFonts w:eastAsia="Calibri"/>
              </w:rPr>
            </w:pPr>
            <w:r>
              <w:t>§ 9(2)(6) and (7)</w:t>
            </w:r>
          </w:p>
        </w:tc>
        <w:tc>
          <w:tcPr>
            <w:tcW w:w="3532" w:type="dxa"/>
          </w:tcPr>
          <w:p w14:paraId="2F24203F" w14:textId="77777777" w:rsidR="00310788" w:rsidRPr="00BE5BA6" w:rsidRDefault="00310788" w:rsidP="00310788">
            <w:pPr>
              <w:spacing w:before="0" w:after="0"/>
              <w:jc w:val="left"/>
              <w:rPr>
                <w:rFonts w:eastAsia="Calibri"/>
              </w:rPr>
            </w:pPr>
            <w:r>
              <w:t>Determination of data during registration</w:t>
            </w:r>
          </w:p>
        </w:tc>
        <w:tc>
          <w:tcPr>
            <w:tcW w:w="2243" w:type="dxa"/>
          </w:tcPr>
          <w:p w14:paraId="17F5CE2E" w14:textId="5813CB7F" w:rsidR="00310788" w:rsidRPr="00BE5BA6" w:rsidRDefault="00310788" w:rsidP="00480182">
            <w:pPr>
              <w:spacing w:before="0" w:after="0"/>
              <w:jc w:val="left"/>
              <w:rPr>
                <w:rFonts w:eastAsia="Calibri"/>
              </w:rPr>
            </w:pPr>
            <w:r>
              <w:t>B, A (Federal Government (Central Authority))</w:t>
            </w:r>
          </w:p>
        </w:tc>
        <w:tc>
          <w:tcPr>
            <w:tcW w:w="1399" w:type="dxa"/>
          </w:tcPr>
          <w:p w14:paraId="4BF38484" w14:textId="77777777" w:rsidR="00310788" w:rsidRPr="00BE5BA6" w:rsidRDefault="00310788" w:rsidP="00310788">
            <w:pPr>
              <w:spacing w:before="0" w:after="0"/>
              <w:jc w:val="left"/>
              <w:rPr>
                <w:rFonts w:eastAsia="Calibri"/>
              </w:rPr>
            </w:pPr>
            <w:r>
              <w:t>1:1</w:t>
            </w:r>
          </w:p>
        </w:tc>
      </w:tr>
      <w:tr w:rsidR="00762547" w:rsidRPr="00BE5BA6" w14:paraId="11EF105E" w14:textId="77777777" w:rsidTr="00410FA3">
        <w:tc>
          <w:tcPr>
            <w:tcW w:w="793" w:type="dxa"/>
          </w:tcPr>
          <w:p w14:paraId="3416C3FB"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68693EF6" w14:textId="77777777" w:rsidR="00310788" w:rsidRPr="00BE5BA6" w:rsidRDefault="00310788" w:rsidP="00310788">
            <w:pPr>
              <w:spacing w:before="0" w:after="0"/>
              <w:jc w:val="left"/>
              <w:rPr>
                <w:rFonts w:eastAsia="Calibri"/>
              </w:rPr>
            </w:pPr>
            <w:r>
              <w:t xml:space="preserve">Article 1 </w:t>
            </w:r>
          </w:p>
          <w:p w14:paraId="28A147D9" w14:textId="5E0AD6D6" w:rsidR="00310788" w:rsidRPr="00BE5BA6" w:rsidRDefault="00310788" w:rsidP="00310788">
            <w:pPr>
              <w:spacing w:before="0" w:after="0"/>
              <w:jc w:val="left"/>
              <w:rPr>
                <w:rFonts w:eastAsia="Calibri"/>
              </w:rPr>
            </w:pPr>
            <w:r>
              <w:t>§ 9(2)</w:t>
            </w:r>
            <w:r w:rsidR="00C059FB">
              <w:t xml:space="preserve"> sentence 2</w:t>
            </w:r>
          </w:p>
        </w:tc>
        <w:tc>
          <w:tcPr>
            <w:tcW w:w="3532" w:type="dxa"/>
          </w:tcPr>
          <w:p w14:paraId="4E4E1990" w14:textId="5D5F540C" w:rsidR="00310788" w:rsidRPr="00BE5BA6" w:rsidRDefault="00310788" w:rsidP="00310788">
            <w:pPr>
              <w:spacing w:before="0" w:after="0"/>
              <w:jc w:val="left"/>
              <w:rPr>
                <w:rFonts w:eastAsia="Calibri"/>
              </w:rPr>
            </w:pPr>
            <w:r>
              <w:t xml:space="preserve">Declaration on bringing the scheme participation obligation forward (service packaging) </w:t>
            </w:r>
          </w:p>
        </w:tc>
        <w:tc>
          <w:tcPr>
            <w:tcW w:w="2243" w:type="dxa"/>
          </w:tcPr>
          <w:p w14:paraId="253778F7" w14:textId="77777777" w:rsidR="00310788" w:rsidRPr="00BE5BA6" w:rsidRDefault="00310788" w:rsidP="00310788">
            <w:pPr>
              <w:spacing w:before="0" w:after="0"/>
              <w:jc w:val="left"/>
              <w:rPr>
                <w:rFonts w:eastAsia="Calibri"/>
              </w:rPr>
            </w:pPr>
            <w:r>
              <w:t>B</w:t>
            </w:r>
          </w:p>
        </w:tc>
        <w:tc>
          <w:tcPr>
            <w:tcW w:w="1399" w:type="dxa"/>
          </w:tcPr>
          <w:p w14:paraId="5C28526D" w14:textId="77777777" w:rsidR="00310788" w:rsidRPr="00BE5BA6" w:rsidRDefault="00310788" w:rsidP="00310788">
            <w:pPr>
              <w:spacing w:before="0" w:after="0"/>
              <w:jc w:val="left"/>
              <w:rPr>
                <w:rFonts w:eastAsia="Calibri"/>
              </w:rPr>
            </w:pPr>
            <w:r>
              <w:t>1:1</w:t>
            </w:r>
          </w:p>
        </w:tc>
      </w:tr>
      <w:tr w:rsidR="00762547" w:rsidRPr="00BE5BA6" w14:paraId="78D9868A" w14:textId="77777777" w:rsidTr="00410FA3">
        <w:tc>
          <w:tcPr>
            <w:tcW w:w="793" w:type="dxa"/>
          </w:tcPr>
          <w:p w14:paraId="1B53A7CA"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7358A85A" w14:textId="77777777" w:rsidR="00310788" w:rsidRPr="00BE5BA6" w:rsidRDefault="00310788" w:rsidP="00310788">
            <w:pPr>
              <w:spacing w:before="0" w:after="0"/>
              <w:jc w:val="left"/>
              <w:rPr>
                <w:rFonts w:eastAsia="Calibri"/>
              </w:rPr>
            </w:pPr>
            <w:r>
              <w:t xml:space="preserve">Article 1 </w:t>
            </w:r>
          </w:p>
          <w:p w14:paraId="2B3F78D6" w14:textId="77777777" w:rsidR="00310788" w:rsidRPr="00BE5BA6" w:rsidRDefault="00310788" w:rsidP="00310788">
            <w:pPr>
              <w:spacing w:before="0" w:after="0"/>
              <w:jc w:val="left"/>
              <w:rPr>
                <w:rFonts w:eastAsia="Calibri"/>
              </w:rPr>
            </w:pPr>
            <w:r>
              <w:t xml:space="preserve">§ 9(5) </w:t>
            </w:r>
          </w:p>
        </w:tc>
        <w:tc>
          <w:tcPr>
            <w:tcW w:w="3532" w:type="dxa"/>
          </w:tcPr>
          <w:p w14:paraId="3D0B7233" w14:textId="279486E3" w:rsidR="00310788" w:rsidRPr="00BE5BA6" w:rsidRDefault="00310788" w:rsidP="00310788">
            <w:pPr>
              <w:spacing w:before="0" w:after="0"/>
              <w:jc w:val="left"/>
              <w:rPr>
                <w:rFonts w:eastAsia="Calibri"/>
              </w:rPr>
            </w:pPr>
            <w:r>
              <w:t>Obligations for operators of electronic marketplaces and fulfilment service providers</w:t>
            </w:r>
          </w:p>
        </w:tc>
        <w:tc>
          <w:tcPr>
            <w:tcW w:w="2243" w:type="dxa"/>
          </w:tcPr>
          <w:p w14:paraId="7B28DACD" w14:textId="77777777" w:rsidR="00310788" w:rsidRPr="00BE5BA6" w:rsidRDefault="00310788" w:rsidP="00310788">
            <w:pPr>
              <w:spacing w:before="0" w:after="0"/>
              <w:jc w:val="left"/>
              <w:rPr>
                <w:rFonts w:eastAsia="Calibri"/>
              </w:rPr>
            </w:pPr>
            <w:r>
              <w:t>B</w:t>
            </w:r>
          </w:p>
        </w:tc>
        <w:tc>
          <w:tcPr>
            <w:tcW w:w="1399" w:type="dxa"/>
          </w:tcPr>
          <w:p w14:paraId="695EE73A" w14:textId="77777777" w:rsidR="00310788" w:rsidRPr="00BE5BA6" w:rsidRDefault="00310788" w:rsidP="00310788">
            <w:pPr>
              <w:spacing w:before="0" w:after="0"/>
              <w:jc w:val="left"/>
              <w:rPr>
                <w:rFonts w:eastAsia="Calibri"/>
              </w:rPr>
            </w:pPr>
            <w:r>
              <w:t>1:1</w:t>
            </w:r>
          </w:p>
        </w:tc>
      </w:tr>
      <w:tr w:rsidR="00762547" w:rsidRPr="00BE5BA6" w14:paraId="42DA55DB" w14:textId="77777777" w:rsidTr="00410FA3">
        <w:tc>
          <w:tcPr>
            <w:tcW w:w="793" w:type="dxa"/>
          </w:tcPr>
          <w:p w14:paraId="4C0B609B"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6B85F98A" w14:textId="77777777" w:rsidR="00310788" w:rsidRPr="00BE5BA6" w:rsidRDefault="00310788" w:rsidP="00310788">
            <w:pPr>
              <w:spacing w:before="0" w:after="0"/>
              <w:jc w:val="left"/>
              <w:rPr>
                <w:rFonts w:eastAsia="Calibri"/>
              </w:rPr>
            </w:pPr>
            <w:r>
              <w:t xml:space="preserve">Article 1 </w:t>
            </w:r>
          </w:p>
          <w:p w14:paraId="0DC31E2B" w14:textId="77777777" w:rsidR="00310788" w:rsidRPr="00BE5BA6" w:rsidRDefault="00310788" w:rsidP="00310788">
            <w:pPr>
              <w:spacing w:before="0" w:after="0"/>
              <w:jc w:val="left"/>
              <w:rPr>
                <w:rFonts w:eastAsia="Calibri"/>
              </w:rPr>
            </w:pPr>
            <w:r>
              <w:t xml:space="preserve">§ 14(3) </w:t>
            </w:r>
          </w:p>
        </w:tc>
        <w:tc>
          <w:tcPr>
            <w:tcW w:w="3532" w:type="dxa"/>
          </w:tcPr>
          <w:p w14:paraId="116914FE" w14:textId="2D284699" w:rsidR="00310788" w:rsidRPr="00BE5BA6" w:rsidRDefault="00310788" w:rsidP="00310788">
            <w:pPr>
              <w:spacing w:before="0" w:after="0"/>
              <w:jc w:val="left"/>
              <w:rPr>
                <w:rFonts w:eastAsia="Calibri"/>
              </w:rPr>
            </w:pPr>
            <w:r>
              <w:t>Schemes’ obligation to provide information on single-use plastic packaging</w:t>
            </w:r>
          </w:p>
        </w:tc>
        <w:tc>
          <w:tcPr>
            <w:tcW w:w="2243" w:type="dxa"/>
          </w:tcPr>
          <w:p w14:paraId="0756FEB0" w14:textId="77777777" w:rsidR="00310788" w:rsidRPr="00BE5BA6" w:rsidRDefault="00310788" w:rsidP="00310788">
            <w:pPr>
              <w:spacing w:before="0" w:after="0"/>
              <w:jc w:val="left"/>
              <w:rPr>
                <w:rFonts w:eastAsia="Calibri"/>
              </w:rPr>
            </w:pPr>
            <w:r>
              <w:t>B</w:t>
            </w:r>
          </w:p>
        </w:tc>
        <w:tc>
          <w:tcPr>
            <w:tcW w:w="1399" w:type="dxa"/>
          </w:tcPr>
          <w:p w14:paraId="2F755212" w14:textId="77777777" w:rsidR="00310788" w:rsidRPr="00BE5BA6" w:rsidRDefault="00310788" w:rsidP="00310788">
            <w:pPr>
              <w:spacing w:before="0" w:after="0"/>
              <w:jc w:val="left"/>
              <w:rPr>
                <w:rFonts w:eastAsia="Calibri"/>
              </w:rPr>
            </w:pPr>
            <w:r>
              <w:t>1:1</w:t>
            </w:r>
          </w:p>
        </w:tc>
      </w:tr>
      <w:tr w:rsidR="00762547" w:rsidRPr="00BE5BA6" w14:paraId="629657D8" w14:textId="77777777" w:rsidTr="00410FA3">
        <w:tc>
          <w:tcPr>
            <w:tcW w:w="793" w:type="dxa"/>
          </w:tcPr>
          <w:p w14:paraId="4D1C79D1"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587A16CC" w14:textId="77777777" w:rsidR="00310788" w:rsidRPr="00BE5BA6" w:rsidRDefault="00310788" w:rsidP="00310788">
            <w:pPr>
              <w:spacing w:before="0" w:after="0"/>
              <w:jc w:val="left"/>
              <w:rPr>
                <w:rFonts w:eastAsia="Calibri"/>
              </w:rPr>
            </w:pPr>
            <w:r>
              <w:t xml:space="preserve">Article 1 </w:t>
            </w:r>
          </w:p>
          <w:p w14:paraId="5EC98213" w14:textId="08078C02" w:rsidR="00310788" w:rsidRPr="00BE5BA6" w:rsidRDefault="00310788" w:rsidP="00310788">
            <w:pPr>
              <w:spacing w:before="0" w:after="0"/>
              <w:jc w:val="left"/>
              <w:rPr>
                <w:rFonts w:eastAsia="Calibri"/>
              </w:rPr>
            </w:pPr>
            <w:r>
              <w:t xml:space="preserve">§ 14(4) </w:t>
            </w:r>
          </w:p>
        </w:tc>
        <w:tc>
          <w:tcPr>
            <w:tcW w:w="3532" w:type="dxa"/>
          </w:tcPr>
          <w:p w14:paraId="738FF74E" w14:textId="7D29272E" w:rsidR="00310788" w:rsidRPr="00BE5BA6" w:rsidRDefault="00310788" w:rsidP="00310788">
            <w:pPr>
              <w:spacing w:before="0" w:after="0"/>
              <w:jc w:val="left"/>
              <w:rPr>
                <w:rFonts w:eastAsia="Calibri"/>
              </w:rPr>
            </w:pPr>
            <w:r>
              <w:t>Schemes’ obligation to provide information on their organisation</w:t>
            </w:r>
          </w:p>
        </w:tc>
        <w:tc>
          <w:tcPr>
            <w:tcW w:w="2243" w:type="dxa"/>
          </w:tcPr>
          <w:p w14:paraId="750F5475" w14:textId="77777777" w:rsidR="00310788" w:rsidRPr="00BE5BA6" w:rsidRDefault="00310788" w:rsidP="00310788">
            <w:pPr>
              <w:spacing w:before="0" w:after="0"/>
              <w:jc w:val="left"/>
              <w:rPr>
                <w:rFonts w:eastAsia="Calibri"/>
              </w:rPr>
            </w:pPr>
            <w:r>
              <w:t>B</w:t>
            </w:r>
          </w:p>
        </w:tc>
        <w:tc>
          <w:tcPr>
            <w:tcW w:w="1399" w:type="dxa"/>
          </w:tcPr>
          <w:p w14:paraId="682806B6" w14:textId="77777777" w:rsidR="00310788" w:rsidRPr="00BE5BA6" w:rsidRDefault="00310788" w:rsidP="00310788">
            <w:pPr>
              <w:spacing w:before="0" w:after="0"/>
              <w:jc w:val="left"/>
              <w:rPr>
                <w:rFonts w:eastAsia="Calibri"/>
              </w:rPr>
            </w:pPr>
            <w:r>
              <w:t>1:1</w:t>
            </w:r>
          </w:p>
        </w:tc>
      </w:tr>
      <w:tr w:rsidR="00762547" w:rsidRPr="00BE5BA6" w14:paraId="3DE8575B" w14:textId="77777777" w:rsidTr="00410FA3">
        <w:tc>
          <w:tcPr>
            <w:tcW w:w="793" w:type="dxa"/>
          </w:tcPr>
          <w:p w14:paraId="3CB4F09B"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047F3CCF" w14:textId="77777777" w:rsidR="00310788" w:rsidRPr="00BE5BA6" w:rsidRDefault="00310788" w:rsidP="00310788">
            <w:pPr>
              <w:spacing w:before="0" w:after="0"/>
              <w:jc w:val="left"/>
              <w:rPr>
                <w:rFonts w:eastAsia="Calibri"/>
              </w:rPr>
            </w:pPr>
            <w:r>
              <w:t xml:space="preserve">Article 1 </w:t>
            </w:r>
          </w:p>
          <w:p w14:paraId="204C8427" w14:textId="77777777" w:rsidR="00310788" w:rsidRPr="00BE5BA6" w:rsidRDefault="00310788" w:rsidP="00310788">
            <w:pPr>
              <w:spacing w:before="0" w:after="0"/>
              <w:jc w:val="left"/>
              <w:rPr>
                <w:rFonts w:eastAsia="Calibri"/>
              </w:rPr>
            </w:pPr>
            <w:r>
              <w:t xml:space="preserve">§ 15(1) </w:t>
            </w:r>
          </w:p>
        </w:tc>
        <w:tc>
          <w:tcPr>
            <w:tcW w:w="3532" w:type="dxa"/>
          </w:tcPr>
          <w:p w14:paraId="3276936D" w14:textId="77777777" w:rsidR="00310788" w:rsidRPr="00BE5BA6" w:rsidRDefault="00310788" w:rsidP="00310788">
            <w:pPr>
              <w:spacing w:before="0" w:after="0"/>
              <w:jc w:val="left"/>
              <w:rPr>
                <w:rFonts w:eastAsia="Calibri"/>
              </w:rPr>
            </w:pPr>
            <w:r>
              <w:t>Final distributors’ information obligations</w:t>
            </w:r>
          </w:p>
        </w:tc>
        <w:tc>
          <w:tcPr>
            <w:tcW w:w="2243" w:type="dxa"/>
          </w:tcPr>
          <w:p w14:paraId="0A028C7A" w14:textId="77777777" w:rsidR="00310788" w:rsidRPr="00BE5BA6" w:rsidRDefault="00310788" w:rsidP="00310788">
            <w:pPr>
              <w:spacing w:before="0" w:after="0"/>
              <w:jc w:val="left"/>
              <w:rPr>
                <w:rFonts w:eastAsia="Calibri"/>
              </w:rPr>
            </w:pPr>
            <w:r>
              <w:t>B</w:t>
            </w:r>
          </w:p>
        </w:tc>
        <w:tc>
          <w:tcPr>
            <w:tcW w:w="1399" w:type="dxa"/>
          </w:tcPr>
          <w:p w14:paraId="1ED3C990" w14:textId="77777777" w:rsidR="00310788" w:rsidRPr="00BE5BA6" w:rsidRDefault="00310788" w:rsidP="00310788">
            <w:pPr>
              <w:spacing w:before="0" w:after="0"/>
              <w:jc w:val="left"/>
              <w:rPr>
                <w:rFonts w:eastAsia="Calibri"/>
              </w:rPr>
            </w:pPr>
            <w:r>
              <w:t>1:1</w:t>
            </w:r>
          </w:p>
        </w:tc>
      </w:tr>
      <w:tr w:rsidR="00762547" w:rsidRPr="00BE5BA6" w14:paraId="379F5E56" w14:textId="77777777" w:rsidTr="00410FA3">
        <w:tc>
          <w:tcPr>
            <w:tcW w:w="793" w:type="dxa"/>
          </w:tcPr>
          <w:p w14:paraId="156C00D3"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6B684C0E" w14:textId="77777777" w:rsidR="00310788" w:rsidRPr="00BE5BA6" w:rsidRDefault="00310788" w:rsidP="00310788">
            <w:pPr>
              <w:spacing w:before="0" w:after="0"/>
              <w:jc w:val="left"/>
              <w:rPr>
                <w:rFonts w:eastAsia="Calibri"/>
              </w:rPr>
            </w:pPr>
            <w:r>
              <w:t xml:space="preserve">Article 1 </w:t>
            </w:r>
          </w:p>
          <w:p w14:paraId="1B3AB823" w14:textId="77777777" w:rsidR="00310788" w:rsidRPr="00BE5BA6" w:rsidRDefault="00310788" w:rsidP="00310788">
            <w:pPr>
              <w:spacing w:before="0" w:after="0"/>
              <w:jc w:val="left"/>
              <w:rPr>
                <w:rFonts w:eastAsia="Calibri"/>
              </w:rPr>
            </w:pPr>
            <w:r>
              <w:t xml:space="preserve">§ 15(3) </w:t>
            </w:r>
          </w:p>
        </w:tc>
        <w:tc>
          <w:tcPr>
            <w:tcW w:w="3532" w:type="dxa"/>
          </w:tcPr>
          <w:p w14:paraId="36B6E4B7" w14:textId="77777777" w:rsidR="00310788" w:rsidRPr="00BE5BA6" w:rsidRDefault="00310788" w:rsidP="00310788">
            <w:pPr>
              <w:spacing w:before="0" w:after="0"/>
              <w:jc w:val="left"/>
              <w:rPr>
                <w:rFonts w:eastAsia="Calibri"/>
              </w:rPr>
            </w:pPr>
            <w:r>
              <w:t xml:space="preserve">Obligations to furnish proof </w:t>
            </w:r>
          </w:p>
        </w:tc>
        <w:tc>
          <w:tcPr>
            <w:tcW w:w="2243" w:type="dxa"/>
          </w:tcPr>
          <w:p w14:paraId="21711DB2" w14:textId="2ED11A7B" w:rsidR="00310788" w:rsidRPr="00BE5BA6" w:rsidRDefault="00310788" w:rsidP="00310788">
            <w:pPr>
              <w:spacing w:before="0" w:after="0"/>
              <w:jc w:val="left"/>
              <w:rPr>
                <w:rFonts w:eastAsia="Calibri"/>
              </w:rPr>
            </w:pPr>
            <w:r>
              <w:t xml:space="preserve">B, A (federal states) </w:t>
            </w:r>
          </w:p>
        </w:tc>
        <w:tc>
          <w:tcPr>
            <w:tcW w:w="1399" w:type="dxa"/>
          </w:tcPr>
          <w:p w14:paraId="0B8CE7A5" w14:textId="77777777" w:rsidR="00310788" w:rsidRPr="00BE5BA6" w:rsidRDefault="00310788" w:rsidP="00310788">
            <w:pPr>
              <w:spacing w:before="0" w:after="0"/>
              <w:jc w:val="left"/>
              <w:rPr>
                <w:rFonts w:eastAsia="Calibri"/>
              </w:rPr>
            </w:pPr>
            <w:r>
              <w:t>1:1</w:t>
            </w:r>
          </w:p>
        </w:tc>
      </w:tr>
      <w:tr w:rsidR="00762547" w:rsidRPr="00BE5BA6" w14:paraId="18A4B00F" w14:textId="77777777" w:rsidTr="00410FA3">
        <w:tc>
          <w:tcPr>
            <w:tcW w:w="793" w:type="dxa"/>
          </w:tcPr>
          <w:p w14:paraId="77F2E853"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3CC7A540" w14:textId="77777777" w:rsidR="00310788" w:rsidRPr="00BE5BA6" w:rsidRDefault="00310788" w:rsidP="00310788">
            <w:pPr>
              <w:spacing w:before="0" w:after="0"/>
              <w:jc w:val="left"/>
              <w:rPr>
                <w:rFonts w:eastAsia="Calibri"/>
              </w:rPr>
            </w:pPr>
            <w:r>
              <w:t>Article 1</w:t>
            </w:r>
          </w:p>
          <w:p w14:paraId="521B4DB5" w14:textId="333EBCAE" w:rsidR="00310788" w:rsidRPr="00BE5BA6" w:rsidRDefault="00310788" w:rsidP="00310788">
            <w:pPr>
              <w:spacing w:before="0" w:after="0"/>
              <w:jc w:val="left"/>
              <w:rPr>
                <w:rFonts w:eastAsia="Calibri"/>
              </w:rPr>
            </w:pPr>
            <w:r>
              <w:t>§ 15(3)</w:t>
            </w:r>
            <w:r w:rsidR="00C059FB">
              <w:t xml:space="preserve"> sentence 6</w:t>
            </w:r>
          </w:p>
        </w:tc>
        <w:tc>
          <w:tcPr>
            <w:tcW w:w="3532" w:type="dxa"/>
          </w:tcPr>
          <w:p w14:paraId="7C810133" w14:textId="6D075EBA" w:rsidR="00310788" w:rsidRPr="00BE5BA6" w:rsidRDefault="00310788" w:rsidP="00542611">
            <w:pPr>
              <w:spacing w:before="0" w:after="0"/>
              <w:jc w:val="left"/>
              <w:rPr>
                <w:rFonts w:eastAsia="Calibri"/>
              </w:rPr>
            </w:pPr>
            <w:r>
              <w:t>Self-monitoring mechanisms for the obligations to furnish proof</w:t>
            </w:r>
          </w:p>
        </w:tc>
        <w:tc>
          <w:tcPr>
            <w:tcW w:w="2243" w:type="dxa"/>
          </w:tcPr>
          <w:p w14:paraId="7C1809AB" w14:textId="77777777" w:rsidR="00310788" w:rsidRPr="00BE5BA6" w:rsidRDefault="00310788" w:rsidP="00310788">
            <w:pPr>
              <w:spacing w:before="0" w:after="0"/>
              <w:jc w:val="left"/>
              <w:rPr>
                <w:rFonts w:eastAsia="Calibri"/>
              </w:rPr>
            </w:pPr>
            <w:r>
              <w:t xml:space="preserve">B </w:t>
            </w:r>
          </w:p>
        </w:tc>
        <w:tc>
          <w:tcPr>
            <w:tcW w:w="1399" w:type="dxa"/>
          </w:tcPr>
          <w:p w14:paraId="4137E6F9" w14:textId="77777777" w:rsidR="00310788" w:rsidRPr="00BE5BA6" w:rsidRDefault="00310788" w:rsidP="00310788">
            <w:pPr>
              <w:spacing w:before="0" w:after="0"/>
              <w:jc w:val="left"/>
              <w:rPr>
                <w:rFonts w:eastAsia="Calibri"/>
              </w:rPr>
            </w:pPr>
            <w:r>
              <w:t xml:space="preserve">1:1 </w:t>
            </w:r>
          </w:p>
        </w:tc>
      </w:tr>
      <w:tr w:rsidR="00762547" w:rsidRPr="00BE5BA6" w14:paraId="3E3540FE" w14:textId="77777777" w:rsidTr="00410FA3">
        <w:tc>
          <w:tcPr>
            <w:tcW w:w="793" w:type="dxa"/>
          </w:tcPr>
          <w:p w14:paraId="0102DB83"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65ABDC92" w14:textId="77777777" w:rsidR="00310788" w:rsidRPr="00BE5BA6" w:rsidRDefault="00310788" w:rsidP="00310788">
            <w:pPr>
              <w:spacing w:before="0" w:after="0"/>
              <w:jc w:val="left"/>
              <w:rPr>
                <w:rFonts w:eastAsia="Calibri"/>
              </w:rPr>
            </w:pPr>
            <w:r>
              <w:t xml:space="preserve">Article 1 </w:t>
            </w:r>
          </w:p>
          <w:p w14:paraId="0D39BEC9" w14:textId="77777777" w:rsidR="00310788" w:rsidRPr="00BE5BA6" w:rsidRDefault="00310788" w:rsidP="00310788">
            <w:pPr>
              <w:spacing w:before="0" w:after="0"/>
              <w:jc w:val="left"/>
              <w:rPr>
                <w:rFonts w:eastAsia="Calibri"/>
              </w:rPr>
            </w:pPr>
            <w:r>
              <w:t xml:space="preserve">§ 15(5) </w:t>
            </w:r>
          </w:p>
        </w:tc>
        <w:tc>
          <w:tcPr>
            <w:tcW w:w="3532" w:type="dxa"/>
          </w:tcPr>
          <w:p w14:paraId="7B58D99E" w14:textId="77777777" w:rsidR="00310788" w:rsidRPr="00BE5BA6" w:rsidRDefault="00310788" w:rsidP="00310788">
            <w:pPr>
              <w:spacing w:before="0" w:after="0"/>
              <w:jc w:val="left"/>
              <w:rPr>
                <w:rFonts w:eastAsia="Calibri"/>
              </w:rPr>
            </w:pPr>
            <w:r>
              <w:t>Financial and organisational resources incl. self-monitoring mechanism</w:t>
            </w:r>
          </w:p>
        </w:tc>
        <w:tc>
          <w:tcPr>
            <w:tcW w:w="2243" w:type="dxa"/>
          </w:tcPr>
          <w:p w14:paraId="1AA16FDF" w14:textId="77777777" w:rsidR="00310788" w:rsidRPr="00BE5BA6" w:rsidRDefault="00310788" w:rsidP="00310788">
            <w:pPr>
              <w:spacing w:before="0" w:after="0"/>
              <w:jc w:val="left"/>
              <w:rPr>
                <w:rFonts w:eastAsia="Calibri"/>
              </w:rPr>
            </w:pPr>
            <w:r>
              <w:t>B</w:t>
            </w:r>
          </w:p>
        </w:tc>
        <w:tc>
          <w:tcPr>
            <w:tcW w:w="1399" w:type="dxa"/>
          </w:tcPr>
          <w:p w14:paraId="3E4D8006" w14:textId="77777777" w:rsidR="00310788" w:rsidRPr="00BE5BA6" w:rsidRDefault="00310788" w:rsidP="00310788">
            <w:pPr>
              <w:spacing w:before="0" w:after="0"/>
              <w:jc w:val="left"/>
              <w:rPr>
                <w:rFonts w:eastAsia="Calibri"/>
              </w:rPr>
            </w:pPr>
            <w:r>
              <w:t>1:1</w:t>
            </w:r>
          </w:p>
        </w:tc>
      </w:tr>
      <w:tr w:rsidR="00762547" w:rsidRPr="00BE5BA6" w14:paraId="05A81106" w14:textId="77777777" w:rsidTr="00410FA3">
        <w:tc>
          <w:tcPr>
            <w:tcW w:w="793" w:type="dxa"/>
          </w:tcPr>
          <w:p w14:paraId="1C0B2FCF"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7435E260" w14:textId="77777777" w:rsidR="00310788" w:rsidRPr="00BE5BA6" w:rsidRDefault="00310788" w:rsidP="00310788">
            <w:pPr>
              <w:spacing w:before="0" w:after="0"/>
              <w:jc w:val="left"/>
              <w:rPr>
                <w:rFonts w:eastAsia="Calibri"/>
              </w:rPr>
            </w:pPr>
            <w:r>
              <w:t xml:space="preserve">Article 1 </w:t>
            </w:r>
          </w:p>
          <w:p w14:paraId="523A7655" w14:textId="1F182030" w:rsidR="00310788" w:rsidRPr="00BE5BA6" w:rsidRDefault="00310788" w:rsidP="00EA6140">
            <w:pPr>
              <w:spacing w:before="0" w:after="0"/>
              <w:jc w:val="left"/>
              <w:rPr>
                <w:rFonts w:eastAsia="Calibri"/>
              </w:rPr>
            </w:pPr>
            <w:r>
              <w:t>§ 17(1) sentence 6, potentially in conjunction with § 8(3) sentence 1</w:t>
            </w:r>
          </w:p>
        </w:tc>
        <w:tc>
          <w:tcPr>
            <w:tcW w:w="3532" w:type="dxa"/>
          </w:tcPr>
          <w:p w14:paraId="27DA85A7" w14:textId="7B9787C2" w:rsidR="00310788" w:rsidRPr="00BE5BA6" w:rsidRDefault="00310788" w:rsidP="00310788">
            <w:pPr>
              <w:spacing w:before="0" w:after="0"/>
              <w:jc w:val="left"/>
              <w:rPr>
                <w:rFonts w:eastAsia="Calibri"/>
              </w:rPr>
            </w:pPr>
            <w:r>
              <w:t>Self-monitoring mechanism for volume flow records (schemes and industry solutions)</w:t>
            </w:r>
          </w:p>
        </w:tc>
        <w:tc>
          <w:tcPr>
            <w:tcW w:w="2243" w:type="dxa"/>
          </w:tcPr>
          <w:p w14:paraId="05462B4B" w14:textId="77777777" w:rsidR="00310788" w:rsidRPr="00BE5BA6" w:rsidRDefault="00310788" w:rsidP="00310788">
            <w:pPr>
              <w:spacing w:before="0" w:after="0"/>
              <w:jc w:val="left"/>
              <w:rPr>
                <w:rFonts w:eastAsia="Calibri"/>
              </w:rPr>
            </w:pPr>
            <w:r>
              <w:t>B</w:t>
            </w:r>
          </w:p>
        </w:tc>
        <w:tc>
          <w:tcPr>
            <w:tcW w:w="1399" w:type="dxa"/>
          </w:tcPr>
          <w:p w14:paraId="6FF784A1" w14:textId="77777777" w:rsidR="00310788" w:rsidRPr="00BE5BA6" w:rsidRDefault="00310788" w:rsidP="00310788">
            <w:pPr>
              <w:spacing w:before="0" w:after="0"/>
              <w:jc w:val="left"/>
              <w:rPr>
                <w:rFonts w:eastAsia="Calibri"/>
              </w:rPr>
            </w:pPr>
            <w:r>
              <w:t xml:space="preserve">1:1 </w:t>
            </w:r>
          </w:p>
        </w:tc>
      </w:tr>
      <w:tr w:rsidR="00A24DE0" w:rsidRPr="00BE5BA6" w14:paraId="7BEDD401" w14:textId="77777777" w:rsidTr="00410FA3">
        <w:tc>
          <w:tcPr>
            <w:tcW w:w="793" w:type="dxa"/>
          </w:tcPr>
          <w:p w14:paraId="55E0BD27" w14:textId="77777777" w:rsidR="00A24DE0" w:rsidRPr="00BE5BA6" w:rsidRDefault="00A24DE0" w:rsidP="00A51CB4">
            <w:pPr>
              <w:numPr>
                <w:ilvl w:val="0"/>
                <w:numId w:val="4"/>
              </w:numPr>
              <w:spacing w:before="0" w:after="0"/>
              <w:ind w:left="0" w:firstLine="0"/>
              <w:contextualSpacing/>
              <w:jc w:val="left"/>
              <w:rPr>
                <w:rFonts w:eastAsia="Calibri"/>
              </w:rPr>
            </w:pPr>
          </w:p>
        </w:tc>
        <w:tc>
          <w:tcPr>
            <w:tcW w:w="1101" w:type="dxa"/>
          </w:tcPr>
          <w:p w14:paraId="32F138B8" w14:textId="77777777" w:rsidR="00A24DE0" w:rsidRPr="00BE5BA6" w:rsidRDefault="00A24DE0" w:rsidP="00310788">
            <w:pPr>
              <w:spacing w:before="0" w:after="0"/>
              <w:jc w:val="left"/>
              <w:rPr>
                <w:rFonts w:eastAsia="Calibri"/>
              </w:rPr>
            </w:pPr>
            <w:r>
              <w:t xml:space="preserve">Article 1 </w:t>
            </w:r>
          </w:p>
          <w:p w14:paraId="29C56EA4" w14:textId="64C61935" w:rsidR="00A24DE0" w:rsidRPr="00BE5BA6" w:rsidRDefault="00A24DE0" w:rsidP="00310788">
            <w:pPr>
              <w:spacing w:before="0" w:after="0"/>
              <w:jc w:val="left"/>
              <w:rPr>
                <w:rFonts w:eastAsia="Calibri"/>
              </w:rPr>
            </w:pPr>
            <w:r>
              <w:t>§ 17(3)</w:t>
            </w:r>
          </w:p>
        </w:tc>
        <w:tc>
          <w:tcPr>
            <w:tcW w:w="3532" w:type="dxa"/>
          </w:tcPr>
          <w:p w14:paraId="16324B85" w14:textId="780DD07D" w:rsidR="00A24DE0" w:rsidRPr="00BE5BA6" w:rsidRDefault="00A24DE0" w:rsidP="00310788">
            <w:pPr>
              <w:spacing w:before="0" w:after="0"/>
              <w:jc w:val="left"/>
              <w:rPr>
                <w:rFonts w:eastAsia="Calibri"/>
              </w:rPr>
            </w:pPr>
            <w:r>
              <w:t>Electronic filing instead of written submission, electronic signature</w:t>
            </w:r>
          </w:p>
        </w:tc>
        <w:tc>
          <w:tcPr>
            <w:tcW w:w="2243" w:type="dxa"/>
          </w:tcPr>
          <w:p w14:paraId="2287DACD" w14:textId="3B77178F" w:rsidR="00A24DE0" w:rsidRPr="00BE5BA6" w:rsidRDefault="00A24DE0" w:rsidP="00310788">
            <w:pPr>
              <w:spacing w:before="0" w:after="0"/>
              <w:jc w:val="left"/>
              <w:rPr>
                <w:rFonts w:eastAsia="Calibri"/>
              </w:rPr>
            </w:pPr>
            <w:r>
              <w:t>B, A (Federal Government (Central Authority))</w:t>
            </w:r>
          </w:p>
        </w:tc>
        <w:tc>
          <w:tcPr>
            <w:tcW w:w="1399" w:type="dxa"/>
          </w:tcPr>
          <w:p w14:paraId="50E1A7C3" w14:textId="6BAC34D6" w:rsidR="00A24DE0" w:rsidRPr="00BE5BA6" w:rsidRDefault="00A24DE0" w:rsidP="00310788">
            <w:pPr>
              <w:spacing w:before="0" w:after="0"/>
              <w:jc w:val="left"/>
              <w:rPr>
                <w:rFonts w:eastAsia="Calibri"/>
              </w:rPr>
            </w:pPr>
            <w:r>
              <w:t>1:1</w:t>
            </w:r>
          </w:p>
        </w:tc>
      </w:tr>
      <w:tr w:rsidR="00762547" w:rsidRPr="00BE5BA6" w14:paraId="78C5E600" w14:textId="77777777" w:rsidTr="00410FA3">
        <w:tc>
          <w:tcPr>
            <w:tcW w:w="793" w:type="dxa"/>
          </w:tcPr>
          <w:p w14:paraId="1BA1C276"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27ADF3F2" w14:textId="77777777" w:rsidR="00310788" w:rsidRPr="00BE5BA6" w:rsidRDefault="00310788" w:rsidP="00310788">
            <w:pPr>
              <w:spacing w:before="0" w:after="0"/>
              <w:jc w:val="left"/>
              <w:rPr>
                <w:rFonts w:eastAsia="Calibri"/>
              </w:rPr>
            </w:pPr>
            <w:r>
              <w:t xml:space="preserve">Article 1 </w:t>
            </w:r>
          </w:p>
          <w:p w14:paraId="577464E7" w14:textId="77777777" w:rsidR="00310788" w:rsidRPr="00BE5BA6" w:rsidRDefault="00310788" w:rsidP="00310788">
            <w:pPr>
              <w:spacing w:before="0" w:after="0"/>
              <w:jc w:val="left"/>
              <w:rPr>
                <w:rFonts w:eastAsia="Calibri"/>
              </w:rPr>
            </w:pPr>
            <w:r>
              <w:t>§ 18(1a)</w:t>
            </w:r>
          </w:p>
        </w:tc>
        <w:tc>
          <w:tcPr>
            <w:tcW w:w="3532" w:type="dxa"/>
          </w:tcPr>
          <w:p w14:paraId="274FD187" w14:textId="77777777" w:rsidR="00310788" w:rsidRPr="00BE5BA6" w:rsidRDefault="00310788" w:rsidP="00310788">
            <w:pPr>
              <w:spacing w:before="0" w:after="0"/>
              <w:jc w:val="left"/>
              <w:rPr>
                <w:rFonts w:eastAsia="Calibri"/>
              </w:rPr>
            </w:pPr>
            <w:r>
              <w:t>Evidence of the financial standing of the systems</w:t>
            </w:r>
          </w:p>
        </w:tc>
        <w:tc>
          <w:tcPr>
            <w:tcW w:w="2243" w:type="dxa"/>
          </w:tcPr>
          <w:p w14:paraId="3C25F931" w14:textId="7F4011C3" w:rsidR="00310788" w:rsidRPr="00BE5BA6" w:rsidRDefault="00310788" w:rsidP="00310788">
            <w:pPr>
              <w:spacing w:before="0" w:after="0"/>
              <w:jc w:val="left"/>
              <w:rPr>
                <w:rFonts w:eastAsia="Calibri"/>
              </w:rPr>
            </w:pPr>
            <w:r>
              <w:t>B, A (federal states)</w:t>
            </w:r>
          </w:p>
        </w:tc>
        <w:tc>
          <w:tcPr>
            <w:tcW w:w="1399" w:type="dxa"/>
          </w:tcPr>
          <w:p w14:paraId="17D59BC7" w14:textId="77777777" w:rsidR="00310788" w:rsidRPr="00BE5BA6" w:rsidRDefault="00310788" w:rsidP="00310788">
            <w:pPr>
              <w:spacing w:before="0" w:after="0"/>
              <w:jc w:val="left"/>
              <w:rPr>
                <w:rFonts w:eastAsia="Calibri"/>
              </w:rPr>
            </w:pPr>
            <w:r>
              <w:t>1:1</w:t>
            </w:r>
          </w:p>
        </w:tc>
      </w:tr>
      <w:tr w:rsidR="00762547" w:rsidRPr="00BE5BA6" w14:paraId="2E68C8E2" w14:textId="77777777" w:rsidTr="00410FA3">
        <w:tc>
          <w:tcPr>
            <w:tcW w:w="793" w:type="dxa"/>
          </w:tcPr>
          <w:p w14:paraId="5B157D7E"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627C2F66" w14:textId="77777777" w:rsidR="00310788" w:rsidRPr="00BE5BA6" w:rsidRDefault="00310788" w:rsidP="00310788">
            <w:pPr>
              <w:spacing w:before="0" w:after="0"/>
              <w:jc w:val="left"/>
              <w:rPr>
                <w:rFonts w:eastAsia="Calibri"/>
              </w:rPr>
            </w:pPr>
            <w:r>
              <w:t xml:space="preserve">Article 1 </w:t>
            </w:r>
          </w:p>
          <w:p w14:paraId="51335A15" w14:textId="77777777" w:rsidR="00310788" w:rsidRPr="00BE5BA6" w:rsidRDefault="00310788" w:rsidP="00310788">
            <w:pPr>
              <w:spacing w:before="0" w:after="0"/>
              <w:jc w:val="left"/>
              <w:rPr>
                <w:rFonts w:eastAsia="Calibri"/>
              </w:rPr>
            </w:pPr>
            <w:r>
              <w:t xml:space="preserve">§ 18(5) </w:t>
            </w:r>
          </w:p>
        </w:tc>
        <w:tc>
          <w:tcPr>
            <w:tcW w:w="3532" w:type="dxa"/>
          </w:tcPr>
          <w:p w14:paraId="3A13C566" w14:textId="77777777" w:rsidR="00310788" w:rsidRPr="00BE5BA6" w:rsidRDefault="00310788" w:rsidP="00310788">
            <w:pPr>
              <w:spacing w:before="0" w:after="0"/>
              <w:jc w:val="left"/>
              <w:rPr>
                <w:rFonts w:eastAsia="Calibri"/>
              </w:rPr>
            </w:pPr>
            <w:r>
              <w:t>Organisational resources incl. self-control mechanism</w:t>
            </w:r>
          </w:p>
        </w:tc>
        <w:tc>
          <w:tcPr>
            <w:tcW w:w="2243" w:type="dxa"/>
          </w:tcPr>
          <w:p w14:paraId="2388B7DE" w14:textId="77777777" w:rsidR="00310788" w:rsidRPr="00BE5BA6" w:rsidRDefault="00310788" w:rsidP="00310788">
            <w:pPr>
              <w:spacing w:before="0" w:after="0"/>
              <w:jc w:val="left"/>
              <w:rPr>
                <w:rFonts w:eastAsia="Calibri"/>
              </w:rPr>
            </w:pPr>
            <w:r>
              <w:t>B</w:t>
            </w:r>
          </w:p>
        </w:tc>
        <w:tc>
          <w:tcPr>
            <w:tcW w:w="1399" w:type="dxa"/>
          </w:tcPr>
          <w:p w14:paraId="4F028302" w14:textId="77777777" w:rsidR="00310788" w:rsidRPr="00BE5BA6" w:rsidRDefault="00310788" w:rsidP="00310788">
            <w:pPr>
              <w:spacing w:before="0" w:after="0"/>
              <w:jc w:val="left"/>
              <w:rPr>
                <w:rFonts w:eastAsia="Calibri"/>
              </w:rPr>
            </w:pPr>
            <w:r>
              <w:t xml:space="preserve">1:1 </w:t>
            </w:r>
          </w:p>
        </w:tc>
      </w:tr>
      <w:tr w:rsidR="00762547" w:rsidRPr="00BE5BA6" w14:paraId="42C678B0" w14:textId="77777777" w:rsidTr="00410FA3">
        <w:tc>
          <w:tcPr>
            <w:tcW w:w="793" w:type="dxa"/>
          </w:tcPr>
          <w:p w14:paraId="04EF41D3"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69BCE636" w14:textId="77777777" w:rsidR="00310788" w:rsidRPr="00BE5BA6" w:rsidRDefault="00310788" w:rsidP="00310788">
            <w:pPr>
              <w:spacing w:before="0" w:after="0"/>
              <w:jc w:val="left"/>
              <w:rPr>
                <w:rFonts w:eastAsia="Calibri"/>
              </w:rPr>
            </w:pPr>
            <w:r>
              <w:t xml:space="preserve">Article 1 </w:t>
            </w:r>
          </w:p>
          <w:p w14:paraId="0ED8860E" w14:textId="7F343425" w:rsidR="00310788" w:rsidRPr="00BE5BA6" w:rsidRDefault="00310788" w:rsidP="00310788">
            <w:pPr>
              <w:spacing w:before="0" w:after="0"/>
              <w:jc w:val="left"/>
              <w:rPr>
                <w:rFonts w:eastAsia="Calibri"/>
              </w:rPr>
            </w:pPr>
            <w:r>
              <w:t>§ 20(5)</w:t>
            </w:r>
            <w:r w:rsidR="00C059FB">
              <w:t xml:space="preserve"> sentence 1</w:t>
            </w:r>
          </w:p>
        </w:tc>
        <w:tc>
          <w:tcPr>
            <w:tcW w:w="3532" w:type="dxa"/>
          </w:tcPr>
          <w:p w14:paraId="239B71CC" w14:textId="2492DE87" w:rsidR="00310788" w:rsidRPr="00BE5BA6" w:rsidRDefault="00310788" w:rsidP="008167E1">
            <w:pPr>
              <w:spacing w:before="0" w:after="0"/>
              <w:jc w:val="left"/>
              <w:rPr>
                <w:rFonts w:eastAsia="Calibri"/>
              </w:rPr>
            </w:pPr>
            <w:r>
              <w:t>Submission of the annual financial statement/balance sheet and audit report</w:t>
            </w:r>
          </w:p>
        </w:tc>
        <w:tc>
          <w:tcPr>
            <w:tcW w:w="2243" w:type="dxa"/>
          </w:tcPr>
          <w:p w14:paraId="1D69671E" w14:textId="77777777" w:rsidR="00310788" w:rsidRPr="00BE5BA6" w:rsidRDefault="00310788" w:rsidP="00310788">
            <w:pPr>
              <w:spacing w:before="0" w:after="0"/>
              <w:jc w:val="left"/>
              <w:rPr>
                <w:rFonts w:eastAsia="Calibri"/>
              </w:rPr>
            </w:pPr>
            <w:r>
              <w:t>B</w:t>
            </w:r>
          </w:p>
        </w:tc>
        <w:tc>
          <w:tcPr>
            <w:tcW w:w="1399" w:type="dxa"/>
          </w:tcPr>
          <w:p w14:paraId="6FA5B2BA" w14:textId="77777777" w:rsidR="00310788" w:rsidRPr="00BE5BA6" w:rsidRDefault="00310788" w:rsidP="00310788">
            <w:pPr>
              <w:spacing w:before="0" w:after="0"/>
              <w:jc w:val="left"/>
              <w:rPr>
                <w:rFonts w:eastAsia="Calibri"/>
              </w:rPr>
            </w:pPr>
            <w:r>
              <w:t>1:1</w:t>
            </w:r>
          </w:p>
        </w:tc>
      </w:tr>
      <w:tr w:rsidR="00762547" w:rsidRPr="00BE5BA6" w14:paraId="52DC527C" w14:textId="77777777" w:rsidTr="00410FA3">
        <w:tc>
          <w:tcPr>
            <w:tcW w:w="793" w:type="dxa"/>
          </w:tcPr>
          <w:p w14:paraId="5310E029"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49747822" w14:textId="77777777" w:rsidR="00310788" w:rsidRPr="00BE5BA6" w:rsidRDefault="00310788" w:rsidP="00310788">
            <w:pPr>
              <w:spacing w:before="0" w:after="0"/>
              <w:jc w:val="left"/>
              <w:rPr>
                <w:rFonts w:eastAsia="Calibri"/>
              </w:rPr>
            </w:pPr>
            <w:r>
              <w:t xml:space="preserve">Article 1 </w:t>
            </w:r>
          </w:p>
          <w:p w14:paraId="14319821" w14:textId="34CBAC38" w:rsidR="00310788" w:rsidRPr="00BE5BA6" w:rsidRDefault="00310788" w:rsidP="00BD1688">
            <w:pPr>
              <w:spacing w:before="0" w:after="0"/>
              <w:jc w:val="left"/>
              <w:rPr>
                <w:rFonts w:eastAsia="Calibri"/>
              </w:rPr>
            </w:pPr>
            <w:r>
              <w:t>§ 20(5)</w:t>
            </w:r>
            <w:r w:rsidR="00C059FB">
              <w:t xml:space="preserve"> sentence 3</w:t>
            </w:r>
          </w:p>
        </w:tc>
        <w:tc>
          <w:tcPr>
            <w:tcW w:w="3532" w:type="dxa"/>
          </w:tcPr>
          <w:p w14:paraId="4DA5F36B" w14:textId="6097BAD8" w:rsidR="00310788" w:rsidRPr="00BE5BA6" w:rsidRDefault="00310788" w:rsidP="00310788">
            <w:pPr>
              <w:spacing w:before="0" w:after="0"/>
              <w:jc w:val="left"/>
              <w:rPr>
                <w:rFonts w:eastAsia="Calibri"/>
              </w:rPr>
            </w:pPr>
            <w:r>
              <w:t>Audit of the annual financial statement/balance sheet and audit report</w:t>
            </w:r>
          </w:p>
        </w:tc>
        <w:tc>
          <w:tcPr>
            <w:tcW w:w="2243" w:type="dxa"/>
          </w:tcPr>
          <w:p w14:paraId="72782A02" w14:textId="1DF60C3A" w:rsidR="00310788" w:rsidRPr="00BE5BA6" w:rsidRDefault="00310788" w:rsidP="00310788">
            <w:pPr>
              <w:spacing w:before="0" w:after="0"/>
              <w:jc w:val="left"/>
              <w:rPr>
                <w:rFonts w:eastAsia="Calibri"/>
              </w:rPr>
            </w:pPr>
            <w:r>
              <w:t>A (Federal Government (Central Authority))</w:t>
            </w:r>
          </w:p>
        </w:tc>
        <w:tc>
          <w:tcPr>
            <w:tcW w:w="1399" w:type="dxa"/>
          </w:tcPr>
          <w:p w14:paraId="06F07C47" w14:textId="77777777" w:rsidR="00310788" w:rsidRPr="00BE5BA6" w:rsidRDefault="00310788" w:rsidP="00310788">
            <w:pPr>
              <w:spacing w:before="0" w:after="0"/>
              <w:jc w:val="left"/>
              <w:rPr>
                <w:rFonts w:eastAsia="Calibri"/>
              </w:rPr>
            </w:pPr>
            <w:r>
              <w:t>1:1</w:t>
            </w:r>
          </w:p>
        </w:tc>
      </w:tr>
      <w:tr w:rsidR="00762547" w:rsidRPr="00BE5BA6" w14:paraId="2A6F4E4B" w14:textId="77777777" w:rsidTr="00410FA3">
        <w:tc>
          <w:tcPr>
            <w:tcW w:w="793" w:type="dxa"/>
          </w:tcPr>
          <w:p w14:paraId="69553CB4"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0606C78C" w14:textId="77777777" w:rsidR="00310788" w:rsidRPr="00BE5BA6" w:rsidRDefault="00310788" w:rsidP="00310788">
            <w:pPr>
              <w:spacing w:before="0" w:after="0"/>
              <w:jc w:val="left"/>
              <w:rPr>
                <w:rFonts w:eastAsia="Calibri"/>
              </w:rPr>
            </w:pPr>
            <w:r>
              <w:t>Article 1</w:t>
            </w:r>
          </w:p>
          <w:p w14:paraId="4D21E687" w14:textId="2586F4DD" w:rsidR="00310788" w:rsidRPr="00BE5BA6" w:rsidRDefault="00310788" w:rsidP="00310788">
            <w:pPr>
              <w:spacing w:before="0" w:after="0"/>
              <w:jc w:val="left"/>
              <w:rPr>
                <w:rFonts w:eastAsia="Calibri"/>
              </w:rPr>
            </w:pPr>
            <w:r>
              <w:t>§ 21(2)</w:t>
            </w:r>
          </w:p>
        </w:tc>
        <w:tc>
          <w:tcPr>
            <w:tcW w:w="3532" w:type="dxa"/>
          </w:tcPr>
          <w:p w14:paraId="2895AA60" w14:textId="77777777" w:rsidR="00310788" w:rsidRPr="00BE5BA6" w:rsidRDefault="00310788" w:rsidP="00310788">
            <w:pPr>
              <w:spacing w:before="0" w:after="0"/>
              <w:jc w:val="left"/>
              <w:rPr>
                <w:rFonts w:eastAsia="Calibri"/>
              </w:rPr>
            </w:pPr>
            <w:r>
              <w:t>Determination of the form of the report</w:t>
            </w:r>
          </w:p>
        </w:tc>
        <w:tc>
          <w:tcPr>
            <w:tcW w:w="2243" w:type="dxa"/>
          </w:tcPr>
          <w:p w14:paraId="10B5FCD8" w14:textId="21AAD19C" w:rsidR="00310788" w:rsidRPr="00BE5BA6" w:rsidRDefault="00310788" w:rsidP="00310788">
            <w:pPr>
              <w:spacing w:before="0" w:after="0"/>
              <w:jc w:val="left"/>
              <w:rPr>
                <w:rFonts w:eastAsia="Calibri"/>
              </w:rPr>
            </w:pPr>
            <w:r>
              <w:t>A (Federal Government (Central Agency/Federal Environment Agency))</w:t>
            </w:r>
          </w:p>
        </w:tc>
        <w:tc>
          <w:tcPr>
            <w:tcW w:w="1399" w:type="dxa"/>
          </w:tcPr>
          <w:p w14:paraId="30B1A763" w14:textId="77777777" w:rsidR="00310788" w:rsidRPr="00BE5BA6" w:rsidRDefault="00310788" w:rsidP="00310788">
            <w:pPr>
              <w:spacing w:before="0" w:after="0"/>
              <w:jc w:val="left"/>
              <w:rPr>
                <w:rFonts w:eastAsia="Calibri"/>
              </w:rPr>
            </w:pPr>
            <w:r>
              <w:t xml:space="preserve">1:1 </w:t>
            </w:r>
          </w:p>
        </w:tc>
      </w:tr>
      <w:tr w:rsidR="00B7011B" w:rsidRPr="00BE5BA6" w14:paraId="7FF5E60E" w14:textId="77777777" w:rsidTr="00410FA3">
        <w:tc>
          <w:tcPr>
            <w:tcW w:w="793" w:type="dxa"/>
          </w:tcPr>
          <w:p w14:paraId="65A41A19" w14:textId="77777777" w:rsidR="00B7011B" w:rsidRPr="00BE5BA6" w:rsidRDefault="00B7011B" w:rsidP="00A51CB4">
            <w:pPr>
              <w:numPr>
                <w:ilvl w:val="0"/>
                <w:numId w:val="4"/>
              </w:numPr>
              <w:spacing w:before="0" w:after="0"/>
              <w:ind w:left="0" w:firstLine="0"/>
              <w:contextualSpacing/>
              <w:jc w:val="left"/>
              <w:rPr>
                <w:rFonts w:eastAsia="Calibri"/>
              </w:rPr>
            </w:pPr>
          </w:p>
        </w:tc>
        <w:tc>
          <w:tcPr>
            <w:tcW w:w="1101" w:type="dxa"/>
          </w:tcPr>
          <w:p w14:paraId="37A39B87" w14:textId="77777777" w:rsidR="00B7011B" w:rsidRPr="00BE5BA6" w:rsidRDefault="00B7011B" w:rsidP="00310788">
            <w:pPr>
              <w:spacing w:before="0" w:after="0"/>
              <w:jc w:val="left"/>
              <w:rPr>
                <w:rFonts w:eastAsia="Calibri"/>
              </w:rPr>
            </w:pPr>
            <w:r>
              <w:t xml:space="preserve">Article 1 </w:t>
            </w:r>
          </w:p>
          <w:p w14:paraId="638A2DFC" w14:textId="5AD54CC6" w:rsidR="00B7011B" w:rsidRPr="00BE5BA6" w:rsidRDefault="00B7011B" w:rsidP="00310788">
            <w:pPr>
              <w:spacing w:before="0" w:after="0"/>
              <w:jc w:val="left"/>
              <w:rPr>
                <w:rFonts w:eastAsia="Calibri"/>
              </w:rPr>
            </w:pPr>
            <w:r>
              <w:t>§ 25(5)</w:t>
            </w:r>
          </w:p>
        </w:tc>
        <w:tc>
          <w:tcPr>
            <w:tcW w:w="3532" w:type="dxa"/>
          </w:tcPr>
          <w:p w14:paraId="471314E2" w14:textId="5BB50391" w:rsidR="00B7011B" w:rsidRPr="00BE5BA6" w:rsidRDefault="00B7011B" w:rsidP="00310788">
            <w:pPr>
              <w:spacing w:before="0" w:after="0"/>
              <w:jc w:val="left"/>
              <w:rPr>
                <w:rFonts w:eastAsia="Calibri"/>
              </w:rPr>
            </w:pPr>
            <w:r>
              <w:t>Submission of documents by the Central Authority to the Federal Environment Agency</w:t>
            </w:r>
          </w:p>
        </w:tc>
        <w:tc>
          <w:tcPr>
            <w:tcW w:w="2243" w:type="dxa"/>
          </w:tcPr>
          <w:p w14:paraId="4214F100" w14:textId="7092CF27" w:rsidR="00B7011B" w:rsidRPr="00BE5BA6" w:rsidDel="00F44E66" w:rsidRDefault="00B7011B" w:rsidP="00310788">
            <w:pPr>
              <w:spacing w:before="0" w:after="0"/>
              <w:jc w:val="left"/>
              <w:rPr>
                <w:rFonts w:eastAsia="Calibri"/>
              </w:rPr>
            </w:pPr>
            <w:r>
              <w:t>A (Federal Government (Central Authority))</w:t>
            </w:r>
          </w:p>
        </w:tc>
        <w:tc>
          <w:tcPr>
            <w:tcW w:w="1399" w:type="dxa"/>
          </w:tcPr>
          <w:p w14:paraId="386E711B" w14:textId="0D105393" w:rsidR="00B7011B" w:rsidRPr="00BE5BA6" w:rsidRDefault="00B7011B" w:rsidP="00310788">
            <w:pPr>
              <w:spacing w:before="0" w:after="0"/>
              <w:jc w:val="left"/>
              <w:rPr>
                <w:rFonts w:eastAsia="Calibri"/>
              </w:rPr>
            </w:pPr>
            <w:r>
              <w:t>1:1</w:t>
            </w:r>
          </w:p>
        </w:tc>
      </w:tr>
      <w:tr w:rsidR="00762547" w:rsidRPr="00BE5BA6" w14:paraId="2350DC72" w14:textId="77777777" w:rsidTr="00410FA3">
        <w:tc>
          <w:tcPr>
            <w:tcW w:w="793" w:type="dxa"/>
          </w:tcPr>
          <w:p w14:paraId="0B1B581C"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330FDAE0" w14:textId="77777777" w:rsidR="00310788" w:rsidRPr="00BE5BA6" w:rsidRDefault="00310788" w:rsidP="00310788">
            <w:pPr>
              <w:spacing w:before="0" w:after="0"/>
              <w:jc w:val="left"/>
              <w:rPr>
                <w:rFonts w:eastAsia="Calibri"/>
              </w:rPr>
            </w:pPr>
            <w:r>
              <w:t>Article 1</w:t>
            </w:r>
          </w:p>
          <w:p w14:paraId="024C9FC4" w14:textId="57F66272" w:rsidR="00310788" w:rsidRPr="00BE5BA6" w:rsidRDefault="00310788" w:rsidP="00310788">
            <w:pPr>
              <w:spacing w:before="0" w:after="0"/>
              <w:jc w:val="left"/>
              <w:rPr>
                <w:rFonts w:eastAsia="Calibri"/>
              </w:rPr>
            </w:pPr>
            <w:r>
              <w:t>§ 26(1) sentence 2, subparagraph 6a</w:t>
            </w:r>
          </w:p>
        </w:tc>
        <w:tc>
          <w:tcPr>
            <w:tcW w:w="3532" w:type="dxa"/>
          </w:tcPr>
          <w:p w14:paraId="5099D441" w14:textId="1D0B74C7" w:rsidR="00310788" w:rsidRPr="00BE5BA6" w:rsidRDefault="00310788" w:rsidP="00310788">
            <w:pPr>
              <w:spacing w:before="0" w:after="0"/>
              <w:jc w:val="left"/>
              <w:rPr>
                <w:rFonts w:eastAsia="Calibri"/>
              </w:rPr>
            </w:pPr>
            <w:r>
              <w:t>Verification of the existence of trade secrets</w:t>
            </w:r>
          </w:p>
        </w:tc>
        <w:tc>
          <w:tcPr>
            <w:tcW w:w="2243" w:type="dxa"/>
          </w:tcPr>
          <w:p w14:paraId="3870A858" w14:textId="1E438713" w:rsidR="00310788" w:rsidRPr="00BE5BA6" w:rsidRDefault="00310788" w:rsidP="00310788">
            <w:pPr>
              <w:spacing w:before="0" w:after="0"/>
              <w:jc w:val="left"/>
              <w:rPr>
                <w:rFonts w:eastAsia="Calibri"/>
              </w:rPr>
            </w:pPr>
            <w:r>
              <w:t>A (Federal Government (Central Authority))</w:t>
            </w:r>
          </w:p>
        </w:tc>
        <w:tc>
          <w:tcPr>
            <w:tcW w:w="1399" w:type="dxa"/>
          </w:tcPr>
          <w:p w14:paraId="54F70392" w14:textId="77777777" w:rsidR="00310788" w:rsidRPr="00BE5BA6" w:rsidRDefault="00310788" w:rsidP="00310788">
            <w:pPr>
              <w:spacing w:before="0" w:after="0"/>
              <w:jc w:val="left"/>
              <w:rPr>
                <w:rFonts w:eastAsia="Calibri"/>
              </w:rPr>
            </w:pPr>
            <w:r>
              <w:t>1:1</w:t>
            </w:r>
          </w:p>
        </w:tc>
      </w:tr>
      <w:tr w:rsidR="00762547" w:rsidRPr="00BE5BA6" w14:paraId="1206110A" w14:textId="77777777" w:rsidTr="00410FA3">
        <w:tc>
          <w:tcPr>
            <w:tcW w:w="793" w:type="dxa"/>
          </w:tcPr>
          <w:p w14:paraId="7025C42C"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73E3C61D" w14:textId="77777777" w:rsidR="00310788" w:rsidRPr="00BE5BA6" w:rsidRDefault="00310788" w:rsidP="00310788">
            <w:pPr>
              <w:spacing w:before="0" w:after="0"/>
              <w:jc w:val="left"/>
              <w:rPr>
                <w:rFonts w:eastAsia="Calibri"/>
              </w:rPr>
            </w:pPr>
            <w:r>
              <w:t xml:space="preserve">Article 1 </w:t>
            </w:r>
          </w:p>
          <w:p w14:paraId="043449BD" w14:textId="222B8BF4" w:rsidR="00310788" w:rsidRPr="00BE5BA6" w:rsidRDefault="00310788" w:rsidP="00310788">
            <w:pPr>
              <w:spacing w:before="0" w:after="0"/>
              <w:jc w:val="left"/>
              <w:rPr>
                <w:rFonts w:eastAsia="Calibri"/>
              </w:rPr>
            </w:pPr>
            <w:r>
              <w:t>§ 26(1) sentence 2, subparagraph 8a</w:t>
            </w:r>
          </w:p>
        </w:tc>
        <w:tc>
          <w:tcPr>
            <w:tcW w:w="3532" w:type="dxa"/>
          </w:tcPr>
          <w:p w14:paraId="64FD8D3B" w14:textId="64B70077" w:rsidR="00310788" w:rsidRPr="00BE5BA6" w:rsidRDefault="00310788" w:rsidP="00310788">
            <w:pPr>
              <w:spacing w:before="0" w:after="0"/>
              <w:jc w:val="left"/>
              <w:rPr>
                <w:rFonts w:eastAsia="Calibri"/>
              </w:rPr>
            </w:pPr>
            <w:r>
              <w:t>Verification of the notification of the annual financial statement/balance sheet and the audit report</w:t>
            </w:r>
          </w:p>
        </w:tc>
        <w:tc>
          <w:tcPr>
            <w:tcW w:w="2243" w:type="dxa"/>
          </w:tcPr>
          <w:p w14:paraId="6E200BC3" w14:textId="5C43F7CD" w:rsidR="00310788" w:rsidRPr="00BE5BA6" w:rsidRDefault="00310788" w:rsidP="00310788">
            <w:pPr>
              <w:spacing w:before="0" w:after="0"/>
              <w:jc w:val="left"/>
              <w:rPr>
                <w:rFonts w:eastAsia="Calibri"/>
              </w:rPr>
            </w:pPr>
            <w:r>
              <w:t>A (Federal Government (Central Authority))</w:t>
            </w:r>
          </w:p>
        </w:tc>
        <w:tc>
          <w:tcPr>
            <w:tcW w:w="1399" w:type="dxa"/>
          </w:tcPr>
          <w:p w14:paraId="5E70374B" w14:textId="77777777" w:rsidR="00310788" w:rsidRPr="00BE5BA6" w:rsidRDefault="00310788" w:rsidP="00310788">
            <w:pPr>
              <w:spacing w:before="0" w:after="0"/>
              <w:jc w:val="left"/>
              <w:rPr>
                <w:rFonts w:eastAsia="Calibri"/>
              </w:rPr>
            </w:pPr>
            <w:r>
              <w:t>1:1</w:t>
            </w:r>
          </w:p>
        </w:tc>
      </w:tr>
      <w:tr w:rsidR="00B7011B" w:rsidRPr="00BE5BA6" w14:paraId="6D7FA9E7" w14:textId="77777777" w:rsidTr="00410FA3">
        <w:tc>
          <w:tcPr>
            <w:tcW w:w="793" w:type="dxa"/>
          </w:tcPr>
          <w:p w14:paraId="4C17D1B2" w14:textId="77777777" w:rsidR="00B7011B" w:rsidRPr="00BE5BA6" w:rsidRDefault="00B7011B" w:rsidP="00A51CB4">
            <w:pPr>
              <w:numPr>
                <w:ilvl w:val="0"/>
                <w:numId w:val="4"/>
              </w:numPr>
              <w:spacing w:before="0" w:after="0"/>
              <w:ind w:left="0" w:firstLine="0"/>
              <w:contextualSpacing/>
              <w:jc w:val="left"/>
              <w:rPr>
                <w:rFonts w:eastAsia="Calibri"/>
              </w:rPr>
            </w:pPr>
          </w:p>
        </w:tc>
        <w:tc>
          <w:tcPr>
            <w:tcW w:w="1101" w:type="dxa"/>
          </w:tcPr>
          <w:p w14:paraId="7973FA92" w14:textId="77777777" w:rsidR="00B7011B" w:rsidRPr="00BE5BA6" w:rsidRDefault="00B7011B" w:rsidP="00310788">
            <w:pPr>
              <w:spacing w:before="0" w:after="0"/>
              <w:jc w:val="left"/>
              <w:rPr>
                <w:rFonts w:eastAsia="Calibri"/>
              </w:rPr>
            </w:pPr>
            <w:r>
              <w:t xml:space="preserve">Article 1 </w:t>
            </w:r>
          </w:p>
          <w:p w14:paraId="48D46544" w14:textId="7BA4CFA0" w:rsidR="00B7011B" w:rsidRPr="00BE5BA6" w:rsidRDefault="00B7011B" w:rsidP="00310788">
            <w:pPr>
              <w:spacing w:before="0" w:after="0"/>
              <w:jc w:val="left"/>
              <w:rPr>
                <w:rFonts w:eastAsia="Calibri"/>
              </w:rPr>
            </w:pPr>
            <w:r>
              <w:t>§ 26(1) sentence 2, subparagraph 10a</w:t>
            </w:r>
          </w:p>
        </w:tc>
        <w:tc>
          <w:tcPr>
            <w:tcW w:w="3532" w:type="dxa"/>
          </w:tcPr>
          <w:p w14:paraId="173DC61C" w14:textId="7AD68BF6" w:rsidR="00B7011B" w:rsidRPr="00BE5BA6" w:rsidRDefault="00B7011B" w:rsidP="00E20EAF">
            <w:pPr>
              <w:spacing w:before="0" w:after="0"/>
              <w:jc w:val="left"/>
              <w:rPr>
                <w:rFonts w:eastAsia="Calibri"/>
              </w:rPr>
            </w:pPr>
            <w:r>
              <w:t>Possibility of defining a report format</w:t>
            </w:r>
          </w:p>
        </w:tc>
        <w:tc>
          <w:tcPr>
            <w:tcW w:w="2243" w:type="dxa"/>
          </w:tcPr>
          <w:p w14:paraId="37E5E2EF" w14:textId="7E1B54C8" w:rsidR="00B7011B" w:rsidRPr="00BE5BA6" w:rsidRDefault="00B7011B" w:rsidP="00310788">
            <w:pPr>
              <w:spacing w:before="0" w:after="0"/>
              <w:jc w:val="left"/>
              <w:rPr>
                <w:rFonts w:eastAsia="Calibri"/>
              </w:rPr>
            </w:pPr>
            <w:r>
              <w:t>A (Federal Government (Central Agency/Federal Environment Agency))</w:t>
            </w:r>
          </w:p>
        </w:tc>
        <w:tc>
          <w:tcPr>
            <w:tcW w:w="1399" w:type="dxa"/>
          </w:tcPr>
          <w:p w14:paraId="093FBE99" w14:textId="3365A116" w:rsidR="00B7011B" w:rsidRPr="00BE5BA6" w:rsidRDefault="00B7011B" w:rsidP="00310788">
            <w:pPr>
              <w:spacing w:before="0" w:after="0"/>
              <w:jc w:val="left"/>
              <w:rPr>
                <w:rFonts w:eastAsia="Calibri"/>
              </w:rPr>
            </w:pPr>
            <w:r>
              <w:t>1:1</w:t>
            </w:r>
          </w:p>
        </w:tc>
      </w:tr>
      <w:tr w:rsidR="00B7011B" w:rsidRPr="00BE5BA6" w14:paraId="1EC7C129" w14:textId="77777777" w:rsidTr="00410FA3">
        <w:tc>
          <w:tcPr>
            <w:tcW w:w="793" w:type="dxa"/>
          </w:tcPr>
          <w:p w14:paraId="79B6F00C" w14:textId="77777777" w:rsidR="00B7011B" w:rsidRPr="00BE5BA6" w:rsidRDefault="00B7011B" w:rsidP="00A51CB4">
            <w:pPr>
              <w:numPr>
                <w:ilvl w:val="0"/>
                <w:numId w:val="4"/>
              </w:numPr>
              <w:spacing w:before="0" w:after="0"/>
              <w:ind w:left="0" w:firstLine="0"/>
              <w:contextualSpacing/>
              <w:jc w:val="left"/>
              <w:rPr>
                <w:rFonts w:eastAsia="Calibri"/>
              </w:rPr>
            </w:pPr>
          </w:p>
        </w:tc>
        <w:tc>
          <w:tcPr>
            <w:tcW w:w="1101" w:type="dxa"/>
          </w:tcPr>
          <w:p w14:paraId="53AF7EBC" w14:textId="77777777" w:rsidR="00B7011B" w:rsidRPr="00BE5BA6" w:rsidRDefault="00B7011B" w:rsidP="00310788">
            <w:pPr>
              <w:spacing w:before="0" w:after="0"/>
              <w:jc w:val="left"/>
              <w:rPr>
                <w:rFonts w:eastAsia="Calibri"/>
              </w:rPr>
            </w:pPr>
            <w:r>
              <w:t xml:space="preserve">Article 1 </w:t>
            </w:r>
          </w:p>
          <w:p w14:paraId="7A240540" w14:textId="7CBE31F8" w:rsidR="00B7011B" w:rsidRPr="00BE5BA6" w:rsidRDefault="00B7011B" w:rsidP="00310788">
            <w:pPr>
              <w:spacing w:before="0" w:after="0"/>
              <w:jc w:val="left"/>
              <w:rPr>
                <w:rFonts w:eastAsia="Calibri"/>
              </w:rPr>
            </w:pPr>
            <w:r>
              <w:t>§ 26(1) sentence 2, subparagraph 23</w:t>
            </w:r>
          </w:p>
        </w:tc>
        <w:tc>
          <w:tcPr>
            <w:tcW w:w="3532" w:type="dxa"/>
          </w:tcPr>
          <w:p w14:paraId="52EA630F" w14:textId="6DFCBF5A" w:rsidR="00B7011B" w:rsidRPr="00BE5BA6" w:rsidRDefault="00B7011B" w:rsidP="00667D79">
            <w:pPr>
              <w:spacing w:before="0" w:after="0"/>
              <w:jc w:val="left"/>
              <w:rPr>
                <w:rFonts w:eastAsia="Calibri"/>
              </w:rPr>
            </w:pPr>
            <w:r>
              <w:t>Enabling the enactment of administrative provisions</w:t>
            </w:r>
          </w:p>
        </w:tc>
        <w:tc>
          <w:tcPr>
            <w:tcW w:w="2243" w:type="dxa"/>
          </w:tcPr>
          <w:p w14:paraId="04E70534" w14:textId="7D28DFC6" w:rsidR="00B7011B" w:rsidRPr="00BE5BA6" w:rsidRDefault="00B7011B" w:rsidP="00310788">
            <w:pPr>
              <w:spacing w:before="0" w:after="0"/>
              <w:jc w:val="left"/>
              <w:rPr>
                <w:rFonts w:eastAsia="Calibri"/>
              </w:rPr>
            </w:pPr>
            <w:r>
              <w:t>A (Federal Government (Federal Environment Agency))</w:t>
            </w:r>
          </w:p>
        </w:tc>
        <w:tc>
          <w:tcPr>
            <w:tcW w:w="1399" w:type="dxa"/>
          </w:tcPr>
          <w:p w14:paraId="2DBF4BB2" w14:textId="0C96785F" w:rsidR="00B7011B" w:rsidRPr="00BE5BA6" w:rsidRDefault="00B7011B" w:rsidP="00310788">
            <w:pPr>
              <w:spacing w:before="0" w:after="0"/>
              <w:jc w:val="left"/>
              <w:rPr>
                <w:rFonts w:eastAsia="Calibri"/>
              </w:rPr>
            </w:pPr>
            <w:r>
              <w:t xml:space="preserve">1:1 </w:t>
            </w:r>
          </w:p>
        </w:tc>
      </w:tr>
      <w:tr w:rsidR="00762547" w:rsidRPr="00BE5BA6" w14:paraId="2A28FE5D" w14:textId="77777777" w:rsidTr="00410FA3">
        <w:tc>
          <w:tcPr>
            <w:tcW w:w="793" w:type="dxa"/>
          </w:tcPr>
          <w:p w14:paraId="0DC8697A"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5C8333AD" w14:textId="77777777" w:rsidR="00310788" w:rsidRPr="00BE5BA6" w:rsidRDefault="00310788" w:rsidP="00310788">
            <w:pPr>
              <w:spacing w:before="0" w:after="0"/>
              <w:jc w:val="left"/>
              <w:rPr>
                <w:rFonts w:eastAsia="Calibri"/>
              </w:rPr>
            </w:pPr>
            <w:r>
              <w:t xml:space="preserve">Article 1 </w:t>
            </w:r>
          </w:p>
          <w:p w14:paraId="30626331" w14:textId="77777777" w:rsidR="00310788" w:rsidRPr="00BE5BA6" w:rsidRDefault="00310788" w:rsidP="00310788">
            <w:pPr>
              <w:spacing w:before="0" w:after="0"/>
              <w:jc w:val="left"/>
              <w:rPr>
                <w:rFonts w:eastAsia="Calibri"/>
              </w:rPr>
            </w:pPr>
            <w:r>
              <w:t xml:space="preserve">§ 30a </w:t>
            </w:r>
          </w:p>
        </w:tc>
        <w:tc>
          <w:tcPr>
            <w:tcW w:w="3532" w:type="dxa"/>
          </w:tcPr>
          <w:p w14:paraId="4984257E" w14:textId="77777777" w:rsidR="00310788" w:rsidRPr="00BE5BA6" w:rsidRDefault="00310788" w:rsidP="00310788">
            <w:pPr>
              <w:spacing w:before="0" w:after="0"/>
              <w:jc w:val="left"/>
              <w:rPr>
                <w:rFonts w:eastAsia="Calibri"/>
              </w:rPr>
            </w:pPr>
            <w:r>
              <w:t>Minimum recyclate content of single-use plastic beverage bottles</w:t>
            </w:r>
          </w:p>
        </w:tc>
        <w:tc>
          <w:tcPr>
            <w:tcW w:w="2243" w:type="dxa"/>
          </w:tcPr>
          <w:p w14:paraId="6D9F32AE" w14:textId="77777777" w:rsidR="00310788" w:rsidRPr="00BE5BA6" w:rsidRDefault="00310788" w:rsidP="00310788">
            <w:pPr>
              <w:spacing w:before="0" w:after="0"/>
              <w:jc w:val="left"/>
              <w:rPr>
                <w:rFonts w:eastAsia="Calibri"/>
              </w:rPr>
            </w:pPr>
            <w:r>
              <w:t>B</w:t>
            </w:r>
          </w:p>
        </w:tc>
        <w:tc>
          <w:tcPr>
            <w:tcW w:w="1399" w:type="dxa"/>
          </w:tcPr>
          <w:p w14:paraId="0F682A3C" w14:textId="77777777" w:rsidR="00310788" w:rsidRPr="00BE5BA6" w:rsidRDefault="00310788" w:rsidP="00310788">
            <w:pPr>
              <w:spacing w:before="0" w:after="0"/>
              <w:jc w:val="left"/>
              <w:rPr>
                <w:rFonts w:eastAsia="Calibri"/>
              </w:rPr>
            </w:pPr>
            <w:r>
              <w:t>1:1</w:t>
            </w:r>
          </w:p>
        </w:tc>
      </w:tr>
      <w:tr w:rsidR="00762547" w:rsidRPr="00BE5BA6" w14:paraId="24F5C2F7" w14:textId="77777777" w:rsidTr="00410FA3">
        <w:tc>
          <w:tcPr>
            <w:tcW w:w="793" w:type="dxa"/>
          </w:tcPr>
          <w:p w14:paraId="01B302F7"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4B8574A7" w14:textId="77777777" w:rsidR="00310788" w:rsidRPr="00BE5BA6" w:rsidRDefault="00310788" w:rsidP="00310788">
            <w:pPr>
              <w:spacing w:before="0" w:after="0"/>
              <w:jc w:val="left"/>
              <w:rPr>
                <w:rFonts w:eastAsia="Calibri"/>
              </w:rPr>
            </w:pPr>
            <w:r>
              <w:t>Article 1</w:t>
            </w:r>
          </w:p>
          <w:p w14:paraId="59D909FA" w14:textId="77445A20" w:rsidR="00310788" w:rsidRPr="00BE5BA6" w:rsidRDefault="00310788" w:rsidP="00310788">
            <w:pPr>
              <w:spacing w:before="0" w:after="0"/>
              <w:jc w:val="left"/>
              <w:rPr>
                <w:rFonts w:eastAsia="Calibri"/>
              </w:rPr>
            </w:pPr>
            <w:r>
              <w:t>§ 31(1)</w:t>
            </w:r>
            <w:r w:rsidR="00C059FB">
              <w:t xml:space="preserve"> sentence 4</w:t>
            </w:r>
          </w:p>
        </w:tc>
        <w:tc>
          <w:tcPr>
            <w:tcW w:w="3532" w:type="dxa"/>
          </w:tcPr>
          <w:p w14:paraId="7660AE75" w14:textId="77777777" w:rsidR="00310788" w:rsidRPr="00BE5BA6" w:rsidRDefault="00310788" w:rsidP="00310788">
            <w:pPr>
              <w:spacing w:before="0" w:after="0"/>
              <w:jc w:val="left"/>
              <w:rPr>
                <w:rFonts w:eastAsia="Calibri"/>
              </w:rPr>
            </w:pPr>
            <w:r>
              <w:t>Information obligations towards consumers</w:t>
            </w:r>
          </w:p>
        </w:tc>
        <w:tc>
          <w:tcPr>
            <w:tcW w:w="2243" w:type="dxa"/>
          </w:tcPr>
          <w:p w14:paraId="7611BB42" w14:textId="77777777" w:rsidR="00310788" w:rsidRPr="00BE5BA6" w:rsidRDefault="00310788" w:rsidP="00310788">
            <w:pPr>
              <w:spacing w:before="0" w:after="0"/>
              <w:jc w:val="left"/>
              <w:rPr>
                <w:rFonts w:eastAsia="Calibri"/>
              </w:rPr>
            </w:pPr>
            <w:r>
              <w:t>B</w:t>
            </w:r>
          </w:p>
        </w:tc>
        <w:tc>
          <w:tcPr>
            <w:tcW w:w="1399" w:type="dxa"/>
          </w:tcPr>
          <w:p w14:paraId="2149BD74" w14:textId="77777777" w:rsidR="00310788" w:rsidRPr="00BE5BA6" w:rsidRDefault="00310788" w:rsidP="00310788">
            <w:pPr>
              <w:spacing w:before="0" w:after="0"/>
              <w:jc w:val="left"/>
              <w:rPr>
                <w:rFonts w:eastAsia="Calibri"/>
              </w:rPr>
            </w:pPr>
            <w:r>
              <w:t xml:space="preserve">1:1 </w:t>
            </w:r>
          </w:p>
        </w:tc>
      </w:tr>
      <w:tr w:rsidR="00AF7833" w:rsidRPr="00BE5BA6" w14:paraId="034A3413" w14:textId="77777777" w:rsidTr="00410FA3">
        <w:tc>
          <w:tcPr>
            <w:tcW w:w="793" w:type="dxa"/>
          </w:tcPr>
          <w:p w14:paraId="03A6C429" w14:textId="77777777" w:rsidR="00AF7833" w:rsidRPr="00BE5BA6" w:rsidRDefault="00AF7833" w:rsidP="00A51CB4">
            <w:pPr>
              <w:numPr>
                <w:ilvl w:val="0"/>
                <w:numId w:val="4"/>
              </w:numPr>
              <w:spacing w:before="0" w:after="0"/>
              <w:ind w:left="0" w:firstLine="0"/>
              <w:contextualSpacing/>
              <w:jc w:val="left"/>
              <w:rPr>
                <w:rFonts w:eastAsia="Calibri"/>
              </w:rPr>
            </w:pPr>
          </w:p>
        </w:tc>
        <w:tc>
          <w:tcPr>
            <w:tcW w:w="1101" w:type="dxa"/>
          </w:tcPr>
          <w:p w14:paraId="2FC0167D" w14:textId="5959ACFE" w:rsidR="00AF7833" w:rsidRPr="00BE5BA6" w:rsidRDefault="00AF7833" w:rsidP="00310788">
            <w:pPr>
              <w:spacing w:before="0" w:after="0"/>
              <w:jc w:val="left"/>
              <w:rPr>
                <w:rFonts w:eastAsia="Calibri"/>
              </w:rPr>
            </w:pPr>
            <w:r>
              <w:t>Article 1 § 31(3) sentence 3</w:t>
            </w:r>
          </w:p>
        </w:tc>
        <w:tc>
          <w:tcPr>
            <w:tcW w:w="3532" w:type="dxa"/>
          </w:tcPr>
          <w:p w14:paraId="772B78B9" w14:textId="604E7492" w:rsidR="00AF7833" w:rsidRPr="00BE5BA6" w:rsidRDefault="00D66571" w:rsidP="00D66571">
            <w:pPr>
              <w:spacing w:before="0" w:after="0"/>
              <w:jc w:val="left"/>
              <w:rPr>
                <w:rFonts w:eastAsia="Calibri"/>
              </w:rPr>
            </w:pPr>
            <w:r>
              <w:t>Addition of an obligation to provide evidence and self-monitoring mechanisms for single-use drinks packaging</w:t>
            </w:r>
          </w:p>
        </w:tc>
        <w:tc>
          <w:tcPr>
            <w:tcW w:w="2243" w:type="dxa"/>
          </w:tcPr>
          <w:p w14:paraId="59C33DB4" w14:textId="3CDAFF3F" w:rsidR="00AF7833" w:rsidRPr="00BE5BA6" w:rsidRDefault="00AF7833" w:rsidP="00F848E5">
            <w:pPr>
              <w:spacing w:before="0" w:after="0"/>
              <w:jc w:val="left"/>
              <w:rPr>
                <w:rFonts w:eastAsia="Calibri"/>
              </w:rPr>
            </w:pPr>
            <w:r>
              <w:t>B, A (federal states)</w:t>
            </w:r>
          </w:p>
        </w:tc>
        <w:tc>
          <w:tcPr>
            <w:tcW w:w="1399" w:type="dxa"/>
          </w:tcPr>
          <w:p w14:paraId="3222FCD5" w14:textId="62A0AED9" w:rsidR="00AF7833" w:rsidRPr="00BE5BA6" w:rsidRDefault="00AF7833" w:rsidP="00310788">
            <w:pPr>
              <w:spacing w:before="0" w:after="0"/>
              <w:jc w:val="left"/>
              <w:rPr>
                <w:rFonts w:eastAsia="Calibri"/>
              </w:rPr>
            </w:pPr>
            <w:r>
              <w:t>1:1</w:t>
            </w:r>
          </w:p>
        </w:tc>
      </w:tr>
      <w:tr w:rsidR="00762547" w:rsidRPr="00BE5BA6" w14:paraId="4AFCEE28" w14:textId="77777777" w:rsidTr="00410FA3">
        <w:tc>
          <w:tcPr>
            <w:tcW w:w="793" w:type="dxa"/>
          </w:tcPr>
          <w:p w14:paraId="03453D93"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1257DA97" w14:textId="77777777" w:rsidR="00310788" w:rsidRPr="00BE5BA6" w:rsidRDefault="00310788" w:rsidP="00310788">
            <w:pPr>
              <w:spacing w:before="0" w:after="0"/>
              <w:jc w:val="left"/>
              <w:rPr>
                <w:rFonts w:eastAsia="Calibri"/>
              </w:rPr>
            </w:pPr>
            <w:r>
              <w:t xml:space="preserve">Article 1 </w:t>
            </w:r>
          </w:p>
          <w:p w14:paraId="4F699073" w14:textId="77777777" w:rsidR="00310788" w:rsidRPr="00BE5BA6" w:rsidRDefault="00310788" w:rsidP="00310788">
            <w:pPr>
              <w:spacing w:before="0" w:after="0"/>
              <w:jc w:val="left"/>
              <w:rPr>
                <w:rFonts w:eastAsia="Calibri"/>
              </w:rPr>
            </w:pPr>
            <w:r>
              <w:t xml:space="preserve">§ 31(4)(7) </w:t>
            </w:r>
          </w:p>
        </w:tc>
        <w:tc>
          <w:tcPr>
            <w:tcW w:w="3532" w:type="dxa"/>
          </w:tcPr>
          <w:p w14:paraId="1FD76219" w14:textId="77777777" w:rsidR="00310788" w:rsidRPr="00BE5BA6" w:rsidRDefault="00310788" w:rsidP="00310788">
            <w:pPr>
              <w:spacing w:before="0" w:after="0"/>
              <w:jc w:val="left"/>
              <w:rPr>
                <w:rFonts w:eastAsia="Calibri"/>
              </w:rPr>
            </w:pPr>
            <w:r>
              <w:t>Expansion of the single-use deposit-refund obligation</w:t>
            </w:r>
          </w:p>
        </w:tc>
        <w:tc>
          <w:tcPr>
            <w:tcW w:w="2243" w:type="dxa"/>
          </w:tcPr>
          <w:p w14:paraId="24DB1627" w14:textId="77777777" w:rsidR="00310788" w:rsidRPr="00BE5BA6" w:rsidRDefault="00310788" w:rsidP="00310788">
            <w:pPr>
              <w:spacing w:before="0" w:after="0"/>
              <w:jc w:val="left"/>
              <w:rPr>
                <w:rFonts w:eastAsia="Calibri"/>
              </w:rPr>
            </w:pPr>
            <w:r>
              <w:t>B</w:t>
            </w:r>
          </w:p>
        </w:tc>
        <w:tc>
          <w:tcPr>
            <w:tcW w:w="1399" w:type="dxa"/>
          </w:tcPr>
          <w:p w14:paraId="03ED8B12" w14:textId="1987E109" w:rsidR="00310788" w:rsidRPr="00BE5BA6" w:rsidRDefault="00A95142" w:rsidP="00A95142">
            <w:pPr>
              <w:spacing w:before="0" w:after="0"/>
              <w:jc w:val="left"/>
              <w:rPr>
                <w:rFonts w:eastAsia="Calibri"/>
              </w:rPr>
            </w:pPr>
            <w:r>
              <w:t>in some cases 1:1 / (-) with regard to cans for beverages</w:t>
            </w:r>
          </w:p>
        </w:tc>
      </w:tr>
      <w:tr w:rsidR="00762547" w:rsidRPr="00BE5BA6" w14:paraId="3C3D5E03" w14:textId="77777777" w:rsidTr="00410FA3">
        <w:tc>
          <w:tcPr>
            <w:tcW w:w="793" w:type="dxa"/>
          </w:tcPr>
          <w:p w14:paraId="64494C58"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6B02C7AC" w14:textId="77777777" w:rsidR="00310788" w:rsidRPr="00BE5BA6" w:rsidRDefault="00310788" w:rsidP="00310788">
            <w:pPr>
              <w:spacing w:before="0" w:after="0"/>
              <w:jc w:val="left"/>
              <w:rPr>
                <w:rFonts w:eastAsia="Calibri"/>
              </w:rPr>
            </w:pPr>
            <w:r>
              <w:t xml:space="preserve">Article 1 </w:t>
            </w:r>
          </w:p>
          <w:p w14:paraId="64B30D6A" w14:textId="1445DBB4" w:rsidR="00310788" w:rsidRPr="00BE5BA6" w:rsidRDefault="00310788" w:rsidP="00310788">
            <w:pPr>
              <w:spacing w:before="0" w:after="0"/>
              <w:jc w:val="left"/>
              <w:rPr>
                <w:rFonts w:eastAsia="Calibri"/>
              </w:rPr>
            </w:pPr>
            <w:r>
              <w:t xml:space="preserve">§ 31(5) </w:t>
            </w:r>
          </w:p>
        </w:tc>
        <w:tc>
          <w:tcPr>
            <w:tcW w:w="3532" w:type="dxa"/>
          </w:tcPr>
          <w:p w14:paraId="44168621" w14:textId="77777777" w:rsidR="00310788" w:rsidRPr="00BE5BA6" w:rsidRDefault="00310788" w:rsidP="00310788">
            <w:pPr>
              <w:spacing w:before="0" w:after="0"/>
              <w:jc w:val="left"/>
              <w:rPr>
                <w:rFonts w:eastAsia="Calibri"/>
              </w:rPr>
            </w:pPr>
            <w:r>
              <w:t xml:space="preserve">Financial and organisational resources incl. self-monitoring mechanism </w:t>
            </w:r>
          </w:p>
        </w:tc>
        <w:tc>
          <w:tcPr>
            <w:tcW w:w="2243" w:type="dxa"/>
          </w:tcPr>
          <w:p w14:paraId="2F248C09" w14:textId="77777777" w:rsidR="00310788" w:rsidRPr="00BE5BA6" w:rsidRDefault="00310788" w:rsidP="00310788">
            <w:pPr>
              <w:spacing w:before="0" w:after="0"/>
              <w:jc w:val="left"/>
              <w:rPr>
                <w:rFonts w:eastAsia="Calibri"/>
              </w:rPr>
            </w:pPr>
            <w:r>
              <w:t>B</w:t>
            </w:r>
          </w:p>
        </w:tc>
        <w:tc>
          <w:tcPr>
            <w:tcW w:w="1399" w:type="dxa"/>
          </w:tcPr>
          <w:p w14:paraId="7D6C3BC1" w14:textId="2980773C" w:rsidR="00310788" w:rsidRPr="00BE5BA6" w:rsidRDefault="00310788" w:rsidP="00E747E4">
            <w:pPr>
              <w:spacing w:before="0" w:after="0"/>
              <w:jc w:val="left"/>
              <w:rPr>
                <w:rFonts w:eastAsia="Calibri"/>
              </w:rPr>
            </w:pPr>
            <w:r>
              <w:t>1:1</w:t>
            </w:r>
          </w:p>
        </w:tc>
      </w:tr>
      <w:tr w:rsidR="00762547" w:rsidRPr="00BE5BA6" w14:paraId="64EFBB6F" w14:textId="77777777" w:rsidTr="00410FA3">
        <w:tc>
          <w:tcPr>
            <w:tcW w:w="793" w:type="dxa"/>
          </w:tcPr>
          <w:p w14:paraId="194C7F85"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26C4D068" w14:textId="77777777" w:rsidR="00310788" w:rsidRPr="00BE5BA6" w:rsidRDefault="00310788" w:rsidP="00310788">
            <w:pPr>
              <w:spacing w:before="0" w:after="0"/>
              <w:jc w:val="left"/>
              <w:rPr>
                <w:rFonts w:eastAsia="Calibri"/>
              </w:rPr>
            </w:pPr>
            <w:r>
              <w:t xml:space="preserve">Article 1 </w:t>
            </w:r>
          </w:p>
          <w:p w14:paraId="677BFD5F" w14:textId="77777777" w:rsidR="00310788" w:rsidRPr="00BE5BA6" w:rsidRDefault="00310788" w:rsidP="00310788">
            <w:pPr>
              <w:spacing w:before="0" w:after="0"/>
              <w:jc w:val="left"/>
              <w:rPr>
                <w:rFonts w:eastAsia="Calibri"/>
              </w:rPr>
            </w:pPr>
            <w:r>
              <w:t>§ 33</w:t>
            </w:r>
          </w:p>
        </w:tc>
        <w:tc>
          <w:tcPr>
            <w:tcW w:w="3532" w:type="dxa"/>
          </w:tcPr>
          <w:p w14:paraId="1AB40C51" w14:textId="72B294E5" w:rsidR="00310788" w:rsidRPr="00BE5BA6" w:rsidRDefault="00310788" w:rsidP="00310788">
            <w:pPr>
              <w:spacing w:before="0" w:after="0"/>
              <w:jc w:val="left"/>
              <w:rPr>
                <w:rFonts w:eastAsia="Calibri"/>
              </w:rPr>
            </w:pPr>
            <w:r>
              <w:t xml:space="preserve">Reusable alternatives to single-use plastic food packaging and single-use cups for beverages </w:t>
            </w:r>
          </w:p>
        </w:tc>
        <w:tc>
          <w:tcPr>
            <w:tcW w:w="2243" w:type="dxa"/>
          </w:tcPr>
          <w:p w14:paraId="08493AFF" w14:textId="77777777" w:rsidR="00310788" w:rsidRPr="00BE5BA6" w:rsidRDefault="00310788" w:rsidP="00310788">
            <w:pPr>
              <w:spacing w:before="0" w:after="0"/>
              <w:jc w:val="left"/>
              <w:rPr>
                <w:rFonts w:eastAsia="Calibri"/>
              </w:rPr>
            </w:pPr>
            <w:r>
              <w:t>B</w:t>
            </w:r>
          </w:p>
        </w:tc>
        <w:tc>
          <w:tcPr>
            <w:tcW w:w="1399" w:type="dxa"/>
          </w:tcPr>
          <w:p w14:paraId="7C690B9F" w14:textId="77777777" w:rsidR="00310788" w:rsidRPr="00BE5BA6" w:rsidRDefault="00310788" w:rsidP="00310788">
            <w:pPr>
              <w:spacing w:before="0" w:after="0"/>
              <w:jc w:val="left"/>
              <w:rPr>
                <w:rFonts w:eastAsia="Calibri"/>
              </w:rPr>
            </w:pPr>
            <w:r>
              <w:t xml:space="preserve">1:1 </w:t>
            </w:r>
          </w:p>
        </w:tc>
      </w:tr>
      <w:tr w:rsidR="00B7011B" w:rsidRPr="00BE5BA6" w14:paraId="1F72E41D" w14:textId="77777777" w:rsidTr="00410FA3">
        <w:tc>
          <w:tcPr>
            <w:tcW w:w="793" w:type="dxa"/>
          </w:tcPr>
          <w:p w14:paraId="54DC63A5" w14:textId="77777777" w:rsidR="00B7011B" w:rsidRPr="00BE5BA6" w:rsidRDefault="00B7011B" w:rsidP="00A51CB4">
            <w:pPr>
              <w:numPr>
                <w:ilvl w:val="0"/>
                <w:numId w:val="4"/>
              </w:numPr>
              <w:spacing w:before="0" w:after="0"/>
              <w:ind w:left="0" w:firstLine="0"/>
              <w:contextualSpacing/>
              <w:jc w:val="left"/>
              <w:rPr>
                <w:rFonts w:eastAsia="Calibri"/>
              </w:rPr>
            </w:pPr>
          </w:p>
        </w:tc>
        <w:tc>
          <w:tcPr>
            <w:tcW w:w="1101" w:type="dxa"/>
          </w:tcPr>
          <w:p w14:paraId="471ED46F" w14:textId="77777777" w:rsidR="00B7011B" w:rsidRPr="00BE5BA6" w:rsidRDefault="00B7011B" w:rsidP="00310788">
            <w:pPr>
              <w:spacing w:before="0" w:after="0"/>
              <w:jc w:val="left"/>
              <w:rPr>
                <w:rFonts w:eastAsia="Calibri"/>
              </w:rPr>
            </w:pPr>
            <w:r>
              <w:t xml:space="preserve">Article 1 </w:t>
            </w:r>
          </w:p>
          <w:p w14:paraId="25E79BDE" w14:textId="513BEDE1" w:rsidR="00B7011B" w:rsidRPr="00BE5BA6" w:rsidRDefault="00B7011B" w:rsidP="00310788">
            <w:pPr>
              <w:spacing w:before="0" w:after="0"/>
              <w:jc w:val="left"/>
              <w:rPr>
                <w:rFonts w:eastAsia="Calibri"/>
              </w:rPr>
            </w:pPr>
            <w:r>
              <w:t xml:space="preserve">§ 35 </w:t>
            </w:r>
          </w:p>
        </w:tc>
        <w:tc>
          <w:tcPr>
            <w:tcW w:w="3532" w:type="dxa"/>
          </w:tcPr>
          <w:p w14:paraId="41534ED8" w14:textId="32C2D5D5" w:rsidR="00B7011B" w:rsidRPr="00BE5BA6" w:rsidRDefault="00B7011B" w:rsidP="00B7011B">
            <w:pPr>
              <w:spacing w:before="0" w:after="0"/>
              <w:jc w:val="left"/>
              <w:rPr>
                <w:rFonts w:eastAsia="Calibri"/>
              </w:rPr>
            </w:pPr>
            <w:r>
              <w:t xml:space="preserve">Enabling the appointment of an authorised representative for producers from abroad </w:t>
            </w:r>
          </w:p>
        </w:tc>
        <w:tc>
          <w:tcPr>
            <w:tcW w:w="2243" w:type="dxa"/>
          </w:tcPr>
          <w:p w14:paraId="34047AFA" w14:textId="10134510" w:rsidR="00B7011B" w:rsidRPr="00BE5BA6" w:rsidRDefault="00B7011B" w:rsidP="00310788">
            <w:pPr>
              <w:spacing w:before="0" w:after="0"/>
              <w:jc w:val="left"/>
              <w:rPr>
                <w:rFonts w:eastAsia="Calibri"/>
              </w:rPr>
            </w:pPr>
            <w:r>
              <w:t>B</w:t>
            </w:r>
          </w:p>
        </w:tc>
        <w:tc>
          <w:tcPr>
            <w:tcW w:w="1399" w:type="dxa"/>
          </w:tcPr>
          <w:p w14:paraId="2AEE9FBD" w14:textId="5611E380" w:rsidR="00B7011B" w:rsidRPr="00BE5BA6" w:rsidRDefault="00B7011B" w:rsidP="00310788">
            <w:pPr>
              <w:spacing w:before="0" w:after="0"/>
              <w:jc w:val="left"/>
              <w:rPr>
                <w:rFonts w:eastAsia="Calibri"/>
              </w:rPr>
            </w:pPr>
            <w:r>
              <w:t>1:1</w:t>
            </w:r>
          </w:p>
        </w:tc>
      </w:tr>
      <w:tr w:rsidR="00762547" w:rsidRPr="00BE5BA6" w14:paraId="18115AF8" w14:textId="77777777" w:rsidTr="00410FA3">
        <w:tc>
          <w:tcPr>
            <w:tcW w:w="793" w:type="dxa"/>
          </w:tcPr>
          <w:p w14:paraId="5BF68816"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1BCF8A03" w14:textId="77777777" w:rsidR="00310788" w:rsidRPr="00BE5BA6" w:rsidRDefault="00310788" w:rsidP="00310788">
            <w:pPr>
              <w:spacing w:before="0" w:after="0"/>
              <w:jc w:val="left"/>
              <w:rPr>
                <w:rFonts w:eastAsia="Calibri"/>
              </w:rPr>
            </w:pPr>
            <w:r>
              <w:t xml:space="preserve">Article 1 </w:t>
            </w:r>
          </w:p>
          <w:p w14:paraId="03EE5CA6" w14:textId="77777777" w:rsidR="00310788" w:rsidRPr="00BE5BA6" w:rsidRDefault="00310788" w:rsidP="00310788">
            <w:pPr>
              <w:spacing w:before="0" w:after="0"/>
              <w:jc w:val="left"/>
              <w:rPr>
                <w:rFonts w:eastAsia="Calibri"/>
              </w:rPr>
            </w:pPr>
            <w:r>
              <w:t xml:space="preserve">§ 36 </w:t>
            </w:r>
          </w:p>
        </w:tc>
        <w:tc>
          <w:tcPr>
            <w:tcW w:w="3532" w:type="dxa"/>
          </w:tcPr>
          <w:p w14:paraId="6A6511B0" w14:textId="77777777" w:rsidR="00310788" w:rsidRPr="00BE5BA6" w:rsidRDefault="00310788" w:rsidP="00310788">
            <w:pPr>
              <w:spacing w:before="0" w:after="0"/>
              <w:jc w:val="left"/>
              <w:rPr>
                <w:rFonts w:eastAsia="Calibri"/>
              </w:rPr>
            </w:pPr>
            <w:r>
              <w:t>Additional elements of administrative offences</w:t>
            </w:r>
          </w:p>
        </w:tc>
        <w:tc>
          <w:tcPr>
            <w:tcW w:w="2243" w:type="dxa"/>
          </w:tcPr>
          <w:p w14:paraId="42646E6B" w14:textId="387EF78B" w:rsidR="00310788" w:rsidRPr="00BE5BA6" w:rsidRDefault="00310788" w:rsidP="00310788">
            <w:pPr>
              <w:spacing w:before="0" w:after="0"/>
              <w:jc w:val="left"/>
              <w:rPr>
                <w:rFonts w:eastAsia="Calibri"/>
              </w:rPr>
            </w:pPr>
            <w:r>
              <w:t>A (federal states)</w:t>
            </w:r>
          </w:p>
        </w:tc>
        <w:tc>
          <w:tcPr>
            <w:tcW w:w="1399" w:type="dxa"/>
          </w:tcPr>
          <w:p w14:paraId="21ECE4C7" w14:textId="77777777" w:rsidR="00310788" w:rsidRPr="00BE5BA6" w:rsidRDefault="00310788" w:rsidP="00310788">
            <w:pPr>
              <w:spacing w:before="0" w:after="0"/>
              <w:jc w:val="left"/>
              <w:rPr>
                <w:rFonts w:eastAsia="Calibri"/>
              </w:rPr>
            </w:pPr>
            <w:r>
              <w:t xml:space="preserve">1:1 </w:t>
            </w:r>
          </w:p>
        </w:tc>
      </w:tr>
      <w:tr w:rsidR="00B7011B" w:rsidRPr="00BE5BA6" w14:paraId="3EBF2F21" w14:textId="77777777" w:rsidTr="00410FA3">
        <w:tc>
          <w:tcPr>
            <w:tcW w:w="793" w:type="dxa"/>
          </w:tcPr>
          <w:p w14:paraId="6FAABAAA" w14:textId="77777777" w:rsidR="00B7011B" w:rsidRPr="00BE5BA6" w:rsidRDefault="00B7011B" w:rsidP="00A51CB4">
            <w:pPr>
              <w:numPr>
                <w:ilvl w:val="0"/>
                <w:numId w:val="4"/>
              </w:numPr>
              <w:spacing w:before="0" w:after="0"/>
              <w:ind w:left="0" w:firstLine="0"/>
              <w:contextualSpacing/>
              <w:jc w:val="left"/>
              <w:rPr>
                <w:rFonts w:eastAsia="Calibri"/>
              </w:rPr>
            </w:pPr>
          </w:p>
        </w:tc>
        <w:tc>
          <w:tcPr>
            <w:tcW w:w="1101" w:type="dxa"/>
          </w:tcPr>
          <w:p w14:paraId="4F4D46CC" w14:textId="77777777" w:rsidR="00B7011B" w:rsidRPr="00BE5BA6" w:rsidRDefault="00B7011B" w:rsidP="00310788">
            <w:pPr>
              <w:spacing w:before="0" w:after="0"/>
              <w:jc w:val="left"/>
              <w:rPr>
                <w:rFonts w:eastAsia="Calibri"/>
              </w:rPr>
            </w:pPr>
            <w:r>
              <w:t xml:space="preserve">Article 1 </w:t>
            </w:r>
          </w:p>
          <w:p w14:paraId="03C7FA95" w14:textId="37AB8278" w:rsidR="00B7011B" w:rsidRPr="00BE5BA6" w:rsidRDefault="00B7011B" w:rsidP="00310788">
            <w:pPr>
              <w:spacing w:before="0" w:after="0"/>
              <w:jc w:val="left"/>
              <w:rPr>
                <w:rFonts w:eastAsia="Calibri"/>
              </w:rPr>
            </w:pPr>
            <w:r>
              <w:t xml:space="preserve">§ 37 </w:t>
            </w:r>
          </w:p>
        </w:tc>
        <w:tc>
          <w:tcPr>
            <w:tcW w:w="3532" w:type="dxa"/>
          </w:tcPr>
          <w:p w14:paraId="29E4CC1F" w14:textId="3A801C7D" w:rsidR="00B7011B" w:rsidRPr="00BE5BA6" w:rsidRDefault="00B7011B" w:rsidP="00310788">
            <w:pPr>
              <w:spacing w:before="0" w:after="0"/>
              <w:jc w:val="left"/>
              <w:rPr>
                <w:rFonts w:eastAsia="Calibri"/>
              </w:rPr>
            </w:pPr>
            <w:r>
              <w:t>Seizure of goods in the scope of administrative offence proceedings</w:t>
            </w:r>
          </w:p>
        </w:tc>
        <w:tc>
          <w:tcPr>
            <w:tcW w:w="2243" w:type="dxa"/>
          </w:tcPr>
          <w:p w14:paraId="49777842" w14:textId="6F8273AC" w:rsidR="00B7011B" w:rsidRPr="00BE5BA6" w:rsidRDefault="00B7011B" w:rsidP="00310788">
            <w:pPr>
              <w:spacing w:before="0" w:after="0"/>
              <w:jc w:val="left"/>
              <w:rPr>
                <w:rFonts w:eastAsia="Calibri"/>
              </w:rPr>
            </w:pPr>
            <w:r>
              <w:t>A (federal states)</w:t>
            </w:r>
          </w:p>
        </w:tc>
        <w:tc>
          <w:tcPr>
            <w:tcW w:w="1399" w:type="dxa"/>
          </w:tcPr>
          <w:p w14:paraId="074D6242" w14:textId="6B0479E5" w:rsidR="00B7011B" w:rsidRPr="00BE5BA6" w:rsidRDefault="00B7011B" w:rsidP="00310788">
            <w:pPr>
              <w:spacing w:before="0" w:after="0"/>
              <w:jc w:val="left"/>
              <w:rPr>
                <w:rFonts w:eastAsia="Calibri"/>
              </w:rPr>
            </w:pPr>
            <w:r>
              <w:t>1:1</w:t>
            </w:r>
          </w:p>
        </w:tc>
      </w:tr>
      <w:tr w:rsidR="00762547" w:rsidRPr="00BE5BA6" w14:paraId="552BFBB4" w14:textId="77777777" w:rsidTr="00410FA3">
        <w:tc>
          <w:tcPr>
            <w:tcW w:w="793" w:type="dxa"/>
          </w:tcPr>
          <w:p w14:paraId="6CDBAA2B"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421C17CD" w14:textId="77777777" w:rsidR="00310788" w:rsidRPr="00BE5BA6" w:rsidRDefault="00310788" w:rsidP="00310788">
            <w:pPr>
              <w:spacing w:before="0" w:after="0"/>
              <w:jc w:val="left"/>
              <w:rPr>
                <w:rFonts w:eastAsia="Calibri"/>
              </w:rPr>
            </w:pPr>
            <w:r>
              <w:t>Article 2</w:t>
            </w:r>
          </w:p>
          <w:p w14:paraId="4AC9E7C4" w14:textId="2936B7D3" w:rsidR="00310788" w:rsidRPr="00BE5BA6" w:rsidRDefault="00310788" w:rsidP="008E0783">
            <w:pPr>
              <w:spacing w:before="0" w:after="0"/>
              <w:jc w:val="left"/>
              <w:rPr>
                <w:rFonts w:eastAsia="Calibri"/>
              </w:rPr>
            </w:pPr>
            <w:r>
              <w:t>§ 30(6)</w:t>
            </w:r>
          </w:p>
        </w:tc>
        <w:tc>
          <w:tcPr>
            <w:tcW w:w="3532" w:type="dxa"/>
          </w:tcPr>
          <w:p w14:paraId="3ECD314E" w14:textId="3336E8A1" w:rsidR="00310788" w:rsidRPr="00BE5BA6" w:rsidRDefault="008E0783" w:rsidP="00310788">
            <w:pPr>
              <w:spacing w:before="0" w:after="0"/>
              <w:jc w:val="left"/>
              <w:rPr>
                <w:rFonts w:eastAsia="Calibri"/>
              </w:rPr>
            </w:pPr>
            <w:r>
              <w:t>Minimum requirements for waste management plans</w:t>
            </w:r>
          </w:p>
        </w:tc>
        <w:tc>
          <w:tcPr>
            <w:tcW w:w="2243" w:type="dxa"/>
          </w:tcPr>
          <w:p w14:paraId="60E954C7" w14:textId="7C5A3FD1" w:rsidR="00310788" w:rsidRPr="00BE5BA6" w:rsidRDefault="008E0783" w:rsidP="004208C0">
            <w:pPr>
              <w:spacing w:before="0" w:after="0"/>
              <w:jc w:val="left"/>
              <w:rPr>
                <w:rFonts w:eastAsia="Calibri"/>
              </w:rPr>
            </w:pPr>
            <w:r>
              <w:t>A (federal states)</w:t>
            </w:r>
          </w:p>
        </w:tc>
        <w:tc>
          <w:tcPr>
            <w:tcW w:w="1399" w:type="dxa"/>
          </w:tcPr>
          <w:p w14:paraId="72662F28" w14:textId="48DDC6A8" w:rsidR="00310788" w:rsidRPr="00BE5BA6" w:rsidRDefault="008E0783" w:rsidP="00310788">
            <w:pPr>
              <w:spacing w:before="0" w:after="0"/>
              <w:jc w:val="left"/>
              <w:rPr>
                <w:rFonts w:eastAsia="Calibri"/>
              </w:rPr>
            </w:pPr>
            <w:r>
              <w:t>1:1</w:t>
            </w:r>
          </w:p>
        </w:tc>
      </w:tr>
      <w:tr w:rsidR="00762547" w:rsidRPr="00BE5BA6" w14:paraId="4CE12505" w14:textId="77777777" w:rsidTr="00410FA3">
        <w:tc>
          <w:tcPr>
            <w:tcW w:w="793" w:type="dxa"/>
          </w:tcPr>
          <w:p w14:paraId="13641112"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00EF8981" w14:textId="77777777" w:rsidR="00310788" w:rsidRPr="00BE5BA6" w:rsidRDefault="00310788" w:rsidP="00310788">
            <w:pPr>
              <w:spacing w:before="0" w:after="0"/>
              <w:jc w:val="left"/>
              <w:rPr>
                <w:rFonts w:eastAsia="Calibri"/>
              </w:rPr>
            </w:pPr>
            <w:r>
              <w:t xml:space="preserve">Article 2 </w:t>
            </w:r>
          </w:p>
          <w:p w14:paraId="007AC28E" w14:textId="7F1AFFA8" w:rsidR="00310788" w:rsidRPr="00BE5BA6" w:rsidRDefault="00310788" w:rsidP="008E0783">
            <w:pPr>
              <w:spacing w:before="0" w:after="0"/>
              <w:jc w:val="left"/>
              <w:rPr>
                <w:rFonts w:eastAsia="Calibri"/>
              </w:rPr>
            </w:pPr>
            <w:r>
              <w:t>§ 33(3)(2)</w:t>
            </w:r>
          </w:p>
        </w:tc>
        <w:tc>
          <w:tcPr>
            <w:tcW w:w="3532" w:type="dxa"/>
          </w:tcPr>
          <w:p w14:paraId="008666E8" w14:textId="49CECE0F" w:rsidR="00310788" w:rsidRPr="00BE5BA6" w:rsidRDefault="008E0783" w:rsidP="00310788">
            <w:pPr>
              <w:spacing w:before="0" w:after="0"/>
              <w:jc w:val="left"/>
              <w:rPr>
                <w:rFonts w:eastAsia="Calibri"/>
              </w:rPr>
            </w:pPr>
            <w:r>
              <w:t>Waste prevention programmes</w:t>
            </w:r>
          </w:p>
        </w:tc>
        <w:tc>
          <w:tcPr>
            <w:tcW w:w="2243" w:type="dxa"/>
          </w:tcPr>
          <w:p w14:paraId="3F267C6D" w14:textId="77EE2457" w:rsidR="00310788" w:rsidRPr="00BE5BA6" w:rsidRDefault="00DC2C6A" w:rsidP="002206F4">
            <w:pPr>
              <w:spacing w:before="0" w:after="0"/>
              <w:jc w:val="left"/>
              <w:rPr>
                <w:rFonts w:eastAsia="Calibri"/>
              </w:rPr>
            </w:pPr>
            <w:r>
              <w:t>A (Federal Government)</w:t>
            </w:r>
          </w:p>
        </w:tc>
        <w:tc>
          <w:tcPr>
            <w:tcW w:w="1399" w:type="dxa"/>
          </w:tcPr>
          <w:p w14:paraId="42803E41" w14:textId="03C218E6" w:rsidR="00310788" w:rsidRPr="00BE5BA6" w:rsidRDefault="008E0783" w:rsidP="00310788">
            <w:pPr>
              <w:spacing w:before="0" w:after="0"/>
              <w:jc w:val="left"/>
              <w:rPr>
                <w:rFonts w:eastAsia="Calibri"/>
              </w:rPr>
            </w:pPr>
            <w:r>
              <w:t>1:1</w:t>
            </w:r>
          </w:p>
        </w:tc>
      </w:tr>
      <w:tr w:rsidR="00762547" w:rsidRPr="00BE5BA6" w14:paraId="18EF4BE5" w14:textId="77777777" w:rsidTr="00410FA3">
        <w:tc>
          <w:tcPr>
            <w:tcW w:w="793" w:type="dxa"/>
          </w:tcPr>
          <w:p w14:paraId="74560FBF"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24A717E9" w14:textId="77777777" w:rsidR="00310788" w:rsidRPr="00BE5BA6" w:rsidRDefault="00310788" w:rsidP="00310788">
            <w:pPr>
              <w:spacing w:before="0" w:after="0"/>
              <w:jc w:val="left"/>
              <w:rPr>
                <w:rFonts w:eastAsia="Calibri"/>
              </w:rPr>
            </w:pPr>
            <w:r>
              <w:t xml:space="preserve">Article 2 </w:t>
            </w:r>
          </w:p>
          <w:p w14:paraId="394D137F" w14:textId="23D4AE64" w:rsidR="00310788" w:rsidRPr="00BE5BA6" w:rsidRDefault="00310788" w:rsidP="008E0783">
            <w:pPr>
              <w:spacing w:before="0" w:after="0"/>
              <w:jc w:val="left"/>
              <w:rPr>
                <w:rFonts w:eastAsia="Calibri"/>
              </w:rPr>
            </w:pPr>
            <w:r>
              <w:t xml:space="preserve">§ 46 </w:t>
            </w:r>
          </w:p>
        </w:tc>
        <w:tc>
          <w:tcPr>
            <w:tcW w:w="3532" w:type="dxa"/>
          </w:tcPr>
          <w:p w14:paraId="5CF1BE69" w14:textId="3132E701" w:rsidR="00310788" w:rsidRPr="00BE5BA6" w:rsidRDefault="008E0783" w:rsidP="00310788">
            <w:pPr>
              <w:spacing w:before="0" w:after="0"/>
              <w:jc w:val="left"/>
              <w:rPr>
                <w:rFonts w:eastAsia="Calibri"/>
              </w:rPr>
            </w:pPr>
            <w:r>
              <w:t>Information obligations on waste prevention measures</w:t>
            </w:r>
          </w:p>
        </w:tc>
        <w:tc>
          <w:tcPr>
            <w:tcW w:w="2243" w:type="dxa"/>
          </w:tcPr>
          <w:p w14:paraId="4122A2BA" w14:textId="775FD2AF" w:rsidR="00310788" w:rsidRPr="00BE5BA6" w:rsidRDefault="00CC1E2B" w:rsidP="002206F4">
            <w:pPr>
              <w:spacing w:before="0" w:after="0"/>
              <w:jc w:val="left"/>
              <w:rPr>
                <w:rFonts w:eastAsia="Calibri"/>
              </w:rPr>
            </w:pPr>
            <w:r>
              <w:t>B, A (federal states)</w:t>
            </w:r>
          </w:p>
        </w:tc>
        <w:tc>
          <w:tcPr>
            <w:tcW w:w="1399" w:type="dxa"/>
          </w:tcPr>
          <w:p w14:paraId="68C99894" w14:textId="698CAFDD" w:rsidR="00310788" w:rsidRPr="00BE5BA6" w:rsidRDefault="008E0783" w:rsidP="00310788">
            <w:pPr>
              <w:spacing w:before="0" w:after="0"/>
              <w:jc w:val="left"/>
              <w:rPr>
                <w:rFonts w:eastAsia="Calibri"/>
              </w:rPr>
            </w:pPr>
            <w:r>
              <w:t>1:1</w:t>
            </w:r>
          </w:p>
        </w:tc>
      </w:tr>
      <w:tr w:rsidR="00762547" w:rsidRPr="00BE5BA6" w14:paraId="255A74CA" w14:textId="77777777" w:rsidTr="00410FA3">
        <w:tc>
          <w:tcPr>
            <w:tcW w:w="793" w:type="dxa"/>
          </w:tcPr>
          <w:p w14:paraId="7792C3BF" w14:textId="77777777" w:rsidR="00310788" w:rsidRPr="00BE5BA6" w:rsidRDefault="00310788" w:rsidP="00A51CB4">
            <w:pPr>
              <w:numPr>
                <w:ilvl w:val="0"/>
                <w:numId w:val="4"/>
              </w:numPr>
              <w:spacing w:before="0" w:after="0"/>
              <w:ind w:left="0" w:firstLine="0"/>
              <w:contextualSpacing/>
              <w:jc w:val="left"/>
              <w:rPr>
                <w:rFonts w:eastAsia="Calibri"/>
              </w:rPr>
            </w:pPr>
          </w:p>
        </w:tc>
        <w:tc>
          <w:tcPr>
            <w:tcW w:w="1101" w:type="dxa"/>
          </w:tcPr>
          <w:p w14:paraId="546C6967" w14:textId="77777777" w:rsidR="00310788" w:rsidRPr="00BE5BA6" w:rsidRDefault="00310788" w:rsidP="00310788">
            <w:pPr>
              <w:spacing w:before="0" w:after="0"/>
              <w:jc w:val="left"/>
              <w:rPr>
                <w:rFonts w:eastAsia="Calibri"/>
              </w:rPr>
            </w:pPr>
            <w:r>
              <w:t>Article 3</w:t>
            </w:r>
          </w:p>
          <w:p w14:paraId="4FCE378C" w14:textId="79EB594C" w:rsidR="00310788" w:rsidRPr="00BE5BA6" w:rsidRDefault="00310788" w:rsidP="00A979FD">
            <w:pPr>
              <w:spacing w:before="0" w:after="0"/>
              <w:jc w:val="left"/>
              <w:rPr>
                <w:rFonts w:eastAsia="Calibri"/>
              </w:rPr>
            </w:pPr>
            <w:r>
              <w:t>§ 45(1) sentence 4 and § 82(2)</w:t>
            </w:r>
          </w:p>
        </w:tc>
        <w:tc>
          <w:tcPr>
            <w:tcW w:w="3532" w:type="dxa"/>
          </w:tcPr>
          <w:p w14:paraId="3535CAC1" w14:textId="202543C9" w:rsidR="00310788" w:rsidRPr="00BE5BA6" w:rsidRDefault="008309FD" w:rsidP="00310788">
            <w:pPr>
              <w:spacing w:before="0" w:after="0"/>
              <w:jc w:val="left"/>
              <w:rPr>
                <w:rFonts w:eastAsia="Calibri"/>
              </w:rPr>
            </w:pPr>
            <w:r>
              <w:t>Programmes of measures</w:t>
            </w:r>
          </w:p>
        </w:tc>
        <w:tc>
          <w:tcPr>
            <w:tcW w:w="2243" w:type="dxa"/>
          </w:tcPr>
          <w:p w14:paraId="6BB0203B" w14:textId="22D583EE" w:rsidR="00310788" w:rsidRPr="00BE5BA6" w:rsidRDefault="008309FD" w:rsidP="003033E8">
            <w:pPr>
              <w:spacing w:before="0" w:after="0"/>
              <w:jc w:val="left"/>
              <w:rPr>
                <w:rFonts w:eastAsia="Calibri"/>
              </w:rPr>
            </w:pPr>
            <w:r>
              <w:t>A (federal states)</w:t>
            </w:r>
          </w:p>
        </w:tc>
        <w:tc>
          <w:tcPr>
            <w:tcW w:w="1399" w:type="dxa"/>
          </w:tcPr>
          <w:p w14:paraId="5ED17AA2" w14:textId="11D4DBD6" w:rsidR="00310788" w:rsidRPr="00BE5BA6" w:rsidRDefault="008309FD" w:rsidP="00310788">
            <w:pPr>
              <w:spacing w:before="0" w:after="0"/>
              <w:jc w:val="left"/>
              <w:rPr>
                <w:rFonts w:eastAsia="Calibri"/>
              </w:rPr>
            </w:pPr>
            <w:r>
              <w:t>1:1</w:t>
            </w:r>
          </w:p>
        </w:tc>
      </w:tr>
    </w:tbl>
    <w:p w14:paraId="1D59F346" w14:textId="77777777" w:rsidR="00310788" w:rsidRPr="00BE5BA6" w:rsidRDefault="00310788" w:rsidP="00310788">
      <w:pPr>
        <w:spacing w:before="0" w:after="160" w:line="259" w:lineRule="auto"/>
        <w:jc w:val="left"/>
        <w:rPr>
          <w:rFonts w:eastAsia="Calibri"/>
          <w:color w:val="000000"/>
        </w:rPr>
      </w:pPr>
    </w:p>
    <w:p w14:paraId="1ED6774F" w14:textId="3C390C39" w:rsidR="00310788" w:rsidRPr="00BE5BA6" w:rsidRDefault="00FC7187" w:rsidP="00A979FD">
      <w:pPr>
        <w:keepNext/>
        <w:spacing w:before="0" w:after="160" w:line="259" w:lineRule="auto"/>
        <w:jc w:val="left"/>
        <w:rPr>
          <w:rFonts w:eastAsia="Calibri"/>
          <w:b/>
          <w:color w:val="000000"/>
        </w:rPr>
      </w:pPr>
      <w:r>
        <w:rPr>
          <w:b/>
          <w:color w:val="000000"/>
        </w:rPr>
        <w:t xml:space="preserve">c) Compliance costs for citizens </w:t>
      </w:r>
    </w:p>
    <w:p w14:paraId="4198C13C" w14:textId="54CDB597" w:rsidR="003B0B72" w:rsidRPr="00BE5BA6" w:rsidRDefault="003B0B72" w:rsidP="00310788">
      <w:pPr>
        <w:spacing w:before="0" w:after="160" w:line="259" w:lineRule="auto"/>
        <w:jc w:val="left"/>
        <w:rPr>
          <w:rFonts w:eastAsia="Calibri"/>
          <w:color w:val="000000"/>
        </w:rPr>
      </w:pPr>
      <w:r>
        <w:rPr>
          <w:color w:val="000000"/>
        </w:rPr>
        <w:t>The draft Act does not result in any compliance costs for the citizens.</w:t>
      </w:r>
    </w:p>
    <w:p w14:paraId="6839B306" w14:textId="4233DC74" w:rsidR="003B0B72" w:rsidRPr="00BE5BA6" w:rsidRDefault="00FC7187" w:rsidP="00A979FD">
      <w:pPr>
        <w:keepNext/>
        <w:spacing w:before="0" w:after="160" w:line="259" w:lineRule="auto"/>
        <w:jc w:val="left"/>
        <w:rPr>
          <w:rFonts w:eastAsia="Calibri"/>
          <w:b/>
          <w:color w:val="000000"/>
        </w:rPr>
      </w:pPr>
      <w:r>
        <w:rPr>
          <w:b/>
          <w:color w:val="000000"/>
        </w:rPr>
        <w:t>d) Compliance costs for businesses</w:t>
      </w:r>
    </w:p>
    <w:p w14:paraId="5ADB1FDD" w14:textId="7B5F75C4" w:rsidR="00DE6647" w:rsidRPr="00BE5BA6" w:rsidRDefault="00DE6647" w:rsidP="00A979FD">
      <w:pPr>
        <w:keepNext/>
        <w:spacing w:before="0" w:after="160" w:line="259" w:lineRule="auto"/>
        <w:jc w:val="left"/>
        <w:rPr>
          <w:rFonts w:eastAsia="Calibri"/>
          <w:color w:val="000000"/>
        </w:rPr>
      </w:pPr>
      <w:r>
        <w:rPr>
          <w:color w:val="000000"/>
        </w:rPr>
        <w:t>Article 1 (Amendment to the Packaging Act)</w:t>
      </w:r>
    </w:p>
    <w:p w14:paraId="204F2B91" w14:textId="3A286EE3" w:rsidR="00DE6647" w:rsidRPr="00BE5BA6" w:rsidRDefault="00DE6647" w:rsidP="00310788">
      <w:pPr>
        <w:spacing w:before="0" w:after="160" w:line="259" w:lineRule="auto"/>
        <w:jc w:val="left"/>
        <w:rPr>
          <w:rFonts w:eastAsia="Calibri"/>
          <w:color w:val="000000"/>
        </w:rPr>
      </w:pPr>
      <w:r>
        <w:rPr>
          <w:color w:val="000000"/>
        </w:rPr>
        <w:t>Overall, the annual compliance costs for businesses will change by around EUR +11.3 million. This annual compliance costs result entirely from the 1:1 implementation of EU law. Although the content of some of the requirements goes beyond that of EU law, no annual compliance costs arise from the national expansions.</w:t>
      </w:r>
    </w:p>
    <w:p w14:paraId="44D91530" w14:textId="77777777" w:rsidR="00DE6647" w:rsidRPr="00BE5BA6" w:rsidRDefault="00DE6647" w:rsidP="00DE6647">
      <w:pPr>
        <w:spacing w:before="0" w:after="160" w:line="259" w:lineRule="auto"/>
        <w:jc w:val="left"/>
        <w:rPr>
          <w:rFonts w:eastAsia="Calibri"/>
          <w:color w:val="000000"/>
        </w:rPr>
      </w:pPr>
      <w:r>
        <w:rPr>
          <w:color w:val="000000"/>
        </w:rPr>
        <w:t>The estimate of the compliance costs for businesses due to the individual requirements is presented below.</w:t>
      </w:r>
    </w:p>
    <w:p w14:paraId="067F64D9" w14:textId="14486460" w:rsidR="001E082A" w:rsidRPr="00BE5BA6" w:rsidRDefault="001E082A" w:rsidP="00A979FD">
      <w:pPr>
        <w:keepNext/>
        <w:rPr>
          <w:rFonts w:eastAsia="Times New Roman"/>
          <w:b/>
        </w:rPr>
      </w:pPr>
      <w:r>
        <w:rPr>
          <w:b/>
        </w:rPr>
        <w:t>Requirement 1 (information obligation): Registration obligation for producers of service packaging as well; Article 1 § 7(2) sentence 3 Packaging Act</w:t>
      </w:r>
    </w:p>
    <w:p w14:paraId="604C9F6A" w14:textId="77777777" w:rsidR="001E082A" w:rsidRPr="00BE5BA6" w:rsidRDefault="001E082A" w:rsidP="00A979FD">
      <w:pPr>
        <w:keepNext/>
      </w:pPr>
      <w:r>
        <w:t>One-off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72A15046" w14:textId="77777777" w:rsidTr="00E747E4">
        <w:tc>
          <w:tcPr>
            <w:tcW w:w="1512" w:type="dxa"/>
            <w:shd w:val="clear" w:color="auto" w:fill="BFBFBF" w:themeFill="background1" w:themeFillShade="BF"/>
          </w:tcPr>
          <w:p w14:paraId="768C8364" w14:textId="77777777"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07998406" w14:textId="77777777"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276A94DA" w14:textId="77777777"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3EDD2B4A" w14:textId="77777777" w:rsidR="001E082A" w:rsidRPr="00BE5BA6" w:rsidRDefault="001E082A" w:rsidP="00A979FD">
            <w:pPr>
              <w:keepNext/>
              <w:rPr>
                <w:sz w:val="18"/>
                <w:szCs w:val="18"/>
              </w:rPr>
            </w:pPr>
            <w:r>
              <w:rPr>
                <w:sz w:val="18"/>
              </w:rPr>
              <w:t>Material expenses per case (in EUR)</w:t>
            </w:r>
          </w:p>
        </w:tc>
        <w:tc>
          <w:tcPr>
            <w:tcW w:w="1512" w:type="dxa"/>
            <w:tcBorders>
              <w:top w:val="single" w:sz="8" w:space="0" w:color="auto"/>
              <w:left w:val="single" w:sz="12" w:space="0" w:color="auto"/>
            </w:tcBorders>
            <w:shd w:val="clear" w:color="auto" w:fill="BFBFBF" w:themeFill="background1" w:themeFillShade="BF"/>
          </w:tcPr>
          <w:p w14:paraId="45D28349" w14:textId="181DF192"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38035359" w14:textId="341CE9F9" w:rsidR="001E082A" w:rsidRPr="00BE5BA6" w:rsidRDefault="005D2B2A" w:rsidP="00A979FD">
            <w:pPr>
              <w:keepNext/>
              <w:rPr>
                <w:sz w:val="18"/>
                <w:szCs w:val="18"/>
              </w:rPr>
            </w:pPr>
            <w:r>
              <w:rPr>
                <w:sz w:val="18"/>
              </w:rPr>
              <w:t>Material expenses (in thousands of EUR)</w:t>
            </w:r>
          </w:p>
        </w:tc>
      </w:tr>
      <w:tr w:rsidR="001E082A" w:rsidRPr="00BE5BA6" w14:paraId="443D48E7" w14:textId="77777777" w:rsidTr="00E747E4">
        <w:tc>
          <w:tcPr>
            <w:tcW w:w="1512" w:type="dxa"/>
            <w:vAlign w:val="center"/>
          </w:tcPr>
          <w:p w14:paraId="3191908E" w14:textId="77777777" w:rsidR="001E082A" w:rsidRPr="00BE5BA6" w:rsidRDefault="001E082A" w:rsidP="001A3DAB">
            <w:pPr>
              <w:jc w:val="center"/>
              <w:rPr>
                <w:sz w:val="18"/>
                <w:szCs w:val="18"/>
              </w:rPr>
            </w:pPr>
            <w:r>
              <w:rPr>
                <w:sz w:val="18"/>
              </w:rPr>
              <w:t>350 000</w:t>
            </w:r>
          </w:p>
        </w:tc>
        <w:tc>
          <w:tcPr>
            <w:tcW w:w="1512" w:type="dxa"/>
            <w:vAlign w:val="center"/>
          </w:tcPr>
          <w:p w14:paraId="38636CA1" w14:textId="77777777" w:rsidR="001E082A" w:rsidRPr="00BE5BA6" w:rsidRDefault="001E082A" w:rsidP="001A3DAB">
            <w:pPr>
              <w:jc w:val="center"/>
              <w:rPr>
                <w:sz w:val="18"/>
                <w:szCs w:val="18"/>
              </w:rPr>
            </w:pPr>
            <w:r>
              <w:rPr>
                <w:sz w:val="18"/>
              </w:rPr>
              <w:t>30</w:t>
            </w:r>
          </w:p>
        </w:tc>
        <w:tc>
          <w:tcPr>
            <w:tcW w:w="1512" w:type="dxa"/>
            <w:vAlign w:val="center"/>
          </w:tcPr>
          <w:p w14:paraId="594B3C8C" w14:textId="77777777" w:rsidR="001E082A" w:rsidRPr="00BE5BA6" w:rsidRDefault="001E082A" w:rsidP="001A3DAB">
            <w:pPr>
              <w:jc w:val="center"/>
              <w:rPr>
                <w:sz w:val="18"/>
                <w:szCs w:val="18"/>
              </w:rPr>
            </w:pPr>
            <w:r>
              <w:rPr>
                <w:sz w:val="18"/>
              </w:rPr>
              <w:t>29.50</w:t>
            </w:r>
          </w:p>
        </w:tc>
        <w:tc>
          <w:tcPr>
            <w:tcW w:w="1512" w:type="dxa"/>
            <w:tcBorders>
              <w:right w:val="single" w:sz="12" w:space="0" w:color="auto"/>
            </w:tcBorders>
            <w:vAlign w:val="center"/>
          </w:tcPr>
          <w:p w14:paraId="365E9B74" w14:textId="77777777" w:rsidR="001E082A" w:rsidRPr="00BE5BA6" w:rsidRDefault="001E082A" w:rsidP="001A3DAB">
            <w:pPr>
              <w:jc w:val="center"/>
              <w:rPr>
                <w:sz w:val="18"/>
                <w:szCs w:val="18"/>
              </w:rPr>
            </w:pPr>
            <w:r>
              <w:rPr>
                <w:sz w:val="18"/>
              </w:rPr>
              <w:t>-</w:t>
            </w:r>
          </w:p>
        </w:tc>
        <w:tc>
          <w:tcPr>
            <w:tcW w:w="1512" w:type="dxa"/>
            <w:tcBorders>
              <w:left w:val="single" w:sz="12" w:space="0" w:color="auto"/>
            </w:tcBorders>
            <w:vAlign w:val="center"/>
          </w:tcPr>
          <w:p w14:paraId="667E8DC0" w14:textId="383F6E53" w:rsidR="001E082A" w:rsidRPr="00BE5BA6" w:rsidRDefault="001E082A" w:rsidP="001A3DAB">
            <w:pPr>
              <w:jc w:val="center"/>
              <w:rPr>
                <w:sz w:val="18"/>
                <w:szCs w:val="18"/>
              </w:rPr>
            </w:pPr>
            <w:r>
              <w:rPr>
                <w:sz w:val="18"/>
              </w:rPr>
              <w:t>5 163</w:t>
            </w:r>
          </w:p>
        </w:tc>
        <w:tc>
          <w:tcPr>
            <w:tcW w:w="1512" w:type="dxa"/>
            <w:tcBorders>
              <w:right w:val="single" w:sz="8" w:space="0" w:color="auto"/>
            </w:tcBorders>
            <w:vAlign w:val="center"/>
          </w:tcPr>
          <w:p w14:paraId="2010EC13" w14:textId="77777777" w:rsidR="001E082A" w:rsidRPr="00BE5BA6" w:rsidRDefault="001E082A" w:rsidP="001A3DAB">
            <w:pPr>
              <w:jc w:val="center"/>
              <w:rPr>
                <w:sz w:val="18"/>
                <w:szCs w:val="18"/>
              </w:rPr>
            </w:pPr>
            <w:r>
              <w:rPr>
                <w:sz w:val="18"/>
              </w:rPr>
              <w:t>-</w:t>
            </w:r>
          </w:p>
        </w:tc>
      </w:tr>
      <w:tr w:rsidR="001E082A" w:rsidRPr="00BE5BA6" w14:paraId="56F49EEA" w14:textId="77777777" w:rsidTr="00E747E4">
        <w:tc>
          <w:tcPr>
            <w:tcW w:w="6048" w:type="dxa"/>
            <w:gridSpan w:val="4"/>
            <w:tcBorders>
              <w:right w:val="single" w:sz="12" w:space="0" w:color="auto"/>
            </w:tcBorders>
            <w:shd w:val="clear" w:color="auto" w:fill="BFBFBF" w:themeFill="background1" w:themeFillShade="BF"/>
            <w:vAlign w:val="center"/>
          </w:tcPr>
          <w:p w14:paraId="7E22A200" w14:textId="14F8BD3E" w:rsidR="001E082A" w:rsidRPr="00BE5BA6" w:rsidRDefault="005D2B2A" w:rsidP="00E747E4">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11ADE346" w14:textId="74782983" w:rsidR="001E082A" w:rsidRPr="00BE5BA6" w:rsidRDefault="001E082A" w:rsidP="00E747E4">
            <w:pPr>
              <w:jc w:val="center"/>
              <w:rPr>
                <w:sz w:val="18"/>
                <w:szCs w:val="18"/>
              </w:rPr>
            </w:pPr>
            <w:r>
              <w:rPr>
                <w:sz w:val="18"/>
              </w:rPr>
              <w:t>5 163</w:t>
            </w:r>
          </w:p>
        </w:tc>
      </w:tr>
    </w:tbl>
    <w:p w14:paraId="58F90726" w14:textId="77777777" w:rsidR="001E082A" w:rsidRPr="00BE5BA6" w:rsidRDefault="001E082A" w:rsidP="00A979FD">
      <w:pPr>
        <w:keepNext/>
        <w:spacing w:after="0"/>
        <w:rPr>
          <w:sz w:val="20"/>
        </w:rPr>
      </w:pPr>
      <w:r>
        <w:lastRenderedPageBreak/>
        <w:t>In order to increase transparency with regard to the one-off compliance costs for business and delineate them, they are assigned to one or more categories:</w:t>
      </w:r>
    </w:p>
    <w:tbl>
      <w:tblPr>
        <w:tblStyle w:val="TableGrid"/>
        <w:tblW w:w="9072" w:type="dxa"/>
        <w:tblInd w:w="108" w:type="dxa"/>
        <w:tblLayout w:type="fixed"/>
        <w:tblLook w:val="04A0" w:firstRow="1" w:lastRow="0" w:firstColumn="1" w:lastColumn="0" w:noHBand="0" w:noVBand="1"/>
      </w:tblPr>
      <w:tblGrid>
        <w:gridCol w:w="6047"/>
        <w:gridCol w:w="1498"/>
        <w:gridCol w:w="1527"/>
      </w:tblGrid>
      <w:tr w:rsidR="001E082A" w:rsidRPr="00BE5BA6" w14:paraId="22A2363A" w14:textId="77777777" w:rsidTr="00E747E4">
        <w:tc>
          <w:tcPr>
            <w:tcW w:w="6047" w:type="dxa"/>
            <w:vMerge w:val="restart"/>
            <w:shd w:val="clear" w:color="auto" w:fill="BFBFBF" w:themeFill="background1" w:themeFillShade="BF"/>
            <w:vAlign w:val="center"/>
          </w:tcPr>
          <w:p w14:paraId="64942ACC" w14:textId="77777777" w:rsidR="001E082A" w:rsidRPr="00BE5BA6" w:rsidRDefault="001E082A" w:rsidP="00A979FD">
            <w:pPr>
              <w:keepNext/>
              <w:rPr>
                <w:sz w:val="18"/>
                <w:szCs w:val="18"/>
              </w:rPr>
            </w:pPr>
            <w:r>
              <w:rPr>
                <w:sz w:val="18"/>
              </w:rPr>
              <w:t>Category of one-off compliance costs</w:t>
            </w:r>
          </w:p>
        </w:tc>
        <w:tc>
          <w:tcPr>
            <w:tcW w:w="3025" w:type="dxa"/>
            <w:gridSpan w:val="2"/>
            <w:tcBorders>
              <w:top w:val="single" w:sz="8" w:space="0" w:color="auto"/>
              <w:left w:val="single" w:sz="12" w:space="0" w:color="auto"/>
              <w:right w:val="single" w:sz="4" w:space="0" w:color="auto"/>
            </w:tcBorders>
            <w:shd w:val="clear" w:color="auto" w:fill="BFBFBF" w:themeFill="background1" w:themeFillShade="BF"/>
            <w:vAlign w:val="center"/>
          </w:tcPr>
          <w:p w14:paraId="233AD24A" w14:textId="77777777" w:rsidR="001E082A" w:rsidRPr="00BE5BA6" w:rsidRDefault="001E082A" w:rsidP="00A979FD">
            <w:pPr>
              <w:keepNext/>
              <w:jc w:val="center"/>
              <w:rPr>
                <w:sz w:val="18"/>
                <w:szCs w:val="18"/>
              </w:rPr>
            </w:pPr>
            <w:r>
              <w:rPr>
                <w:sz w:val="18"/>
              </w:rPr>
              <w:t>Proportion of the category in the one-off compliance costs</w:t>
            </w:r>
          </w:p>
        </w:tc>
      </w:tr>
      <w:tr w:rsidR="001E082A" w:rsidRPr="00BE5BA6" w14:paraId="2A543498" w14:textId="77777777" w:rsidTr="00E747E4">
        <w:tc>
          <w:tcPr>
            <w:tcW w:w="6047" w:type="dxa"/>
            <w:vMerge/>
            <w:shd w:val="clear" w:color="auto" w:fill="BFBFBF" w:themeFill="background1" w:themeFillShade="BF"/>
          </w:tcPr>
          <w:p w14:paraId="440724A3" w14:textId="77777777" w:rsidR="001E082A" w:rsidRPr="00BE5BA6" w:rsidRDefault="001E082A" w:rsidP="00A979FD">
            <w:pPr>
              <w:keepNext/>
              <w:rPr>
                <w:sz w:val="18"/>
                <w:szCs w:val="18"/>
              </w:rPr>
            </w:pPr>
          </w:p>
        </w:tc>
        <w:tc>
          <w:tcPr>
            <w:tcW w:w="1498" w:type="dxa"/>
            <w:tcBorders>
              <w:top w:val="single" w:sz="8" w:space="0" w:color="auto"/>
              <w:left w:val="single" w:sz="12" w:space="0" w:color="auto"/>
              <w:right w:val="single" w:sz="4" w:space="0" w:color="auto"/>
            </w:tcBorders>
            <w:shd w:val="clear" w:color="auto" w:fill="BFBFBF" w:themeFill="background1" w:themeFillShade="BF"/>
          </w:tcPr>
          <w:p w14:paraId="61156BB0" w14:textId="36CAF5C2" w:rsidR="001E082A" w:rsidRPr="00BE5BA6" w:rsidRDefault="001E082A" w:rsidP="00A979FD">
            <w:pPr>
              <w:keepNext/>
              <w:rPr>
                <w:sz w:val="18"/>
                <w:szCs w:val="18"/>
              </w:rPr>
            </w:pPr>
            <w:r>
              <w:rPr>
                <w:sz w:val="18"/>
              </w:rPr>
              <w:t>Personnel costs (in thousands of EUR)</w:t>
            </w:r>
          </w:p>
        </w:tc>
        <w:tc>
          <w:tcPr>
            <w:tcW w:w="1527" w:type="dxa"/>
            <w:tcBorders>
              <w:top w:val="single" w:sz="8" w:space="0" w:color="auto"/>
              <w:left w:val="single" w:sz="4" w:space="0" w:color="auto"/>
              <w:right w:val="single" w:sz="4" w:space="0" w:color="auto"/>
            </w:tcBorders>
            <w:shd w:val="clear" w:color="auto" w:fill="BFBFBF" w:themeFill="background1" w:themeFillShade="BF"/>
          </w:tcPr>
          <w:p w14:paraId="0DD11D0D" w14:textId="2342F329" w:rsidR="001E082A" w:rsidRPr="00BE5BA6" w:rsidRDefault="001E082A" w:rsidP="00A979FD">
            <w:pPr>
              <w:keepNext/>
              <w:rPr>
                <w:sz w:val="18"/>
                <w:szCs w:val="18"/>
              </w:rPr>
            </w:pPr>
            <w:r>
              <w:rPr>
                <w:sz w:val="18"/>
              </w:rPr>
              <w:t>Material expenses (in thousands of EUR)</w:t>
            </w:r>
          </w:p>
        </w:tc>
      </w:tr>
      <w:tr w:rsidR="001E082A" w:rsidRPr="00BE5BA6" w14:paraId="332BCED9" w14:textId="77777777" w:rsidTr="00E747E4">
        <w:tc>
          <w:tcPr>
            <w:tcW w:w="6047" w:type="dxa"/>
            <w:vAlign w:val="center"/>
          </w:tcPr>
          <w:p w14:paraId="7B727FE2" w14:textId="1979D5A9" w:rsidR="001E082A" w:rsidRPr="00BE5BA6" w:rsidRDefault="00467FCE" w:rsidP="001A3DAB">
            <w:pPr>
              <w:rPr>
                <w:sz w:val="18"/>
                <w:szCs w:val="18"/>
              </w:rPr>
            </w:pPr>
            <w:sdt>
              <w:sdtPr>
                <w:rPr>
                  <w:rFonts w:ascii="MetaNormalLF-Roman" w:hAnsi="MetaNormalLF-Roman"/>
                  <w:sz w:val="18"/>
                </w:rPr>
                <w:alias w:val="Category of one-off compliance costs"/>
                <w:tag w:val="Kategorie des einmaligen Erfüllungsaufwand"/>
                <w:id w:val="745070430"/>
                <w:placeholder>
                  <w:docPart w:val="5193726E2E32452A8E5139DEE9CE43E0"/>
                </w:placeholder>
                <w:dropDownList>
                  <w:listItem w:displayText="[select a category of one-off compliance cost here]" w:value="[hier eine Kategorie des einmaligen Erfüllungsaufwands auswählen]"/>
                  <w:listItem w:displayText="Acquisition or retrofitting of machinery, equipment, buildings and infrastructure facilities " w:value="Anschaffung oder Nachrüstung von Maschinen, Anlagen, Gebäuden und Infrastruktureinrichtungen "/>
                  <w:listItem w:displayText="Introduction or adaptation of digital process flows " w:value="Einführung oder Anpassung digitaler Prozessabläufe "/>
                  <w:listItem w:displayText="Einmalige Informationspflicht " w:value="Einmalige Informationspflicht "/>
                  <w:listItem w:displayText="Training costs" w:value="Schulungskosten"/>
                  <w:listItem w:displayText="Adaptation of organisational structures " w:value="Anpassung von Organisationsstrukturen "/>
                  <w:listItem w:displayText="Adaptation of products, manufacturing processes and procurement channels " w:value="Anpassung von Produkten, Fertigungsprozessen und Beschaffungswegen "/>
                  <w:listItem w:displayText="Other" w:value="Sonstiges"/>
                </w:dropDownList>
              </w:sdtPr>
              <w:sdtEndPr/>
              <w:sdtContent>
                <w:r w:rsidR="005C32D2">
                  <w:rPr>
                    <w:rFonts w:ascii="MetaNormalLF-Roman" w:hAnsi="MetaNormalLF-Roman"/>
                    <w:sz w:val="18"/>
                  </w:rPr>
                  <w:t xml:space="preserve">One-off information obligation </w:t>
                </w:r>
              </w:sdtContent>
            </w:sdt>
          </w:p>
        </w:tc>
        <w:tc>
          <w:tcPr>
            <w:tcW w:w="1498" w:type="dxa"/>
            <w:tcBorders>
              <w:left w:val="single" w:sz="12" w:space="0" w:color="auto"/>
              <w:right w:val="single" w:sz="4" w:space="0" w:color="auto"/>
            </w:tcBorders>
            <w:vAlign w:val="center"/>
          </w:tcPr>
          <w:p w14:paraId="72A10B0B" w14:textId="2B7DFE4B" w:rsidR="001E082A" w:rsidRPr="00BE5BA6" w:rsidRDefault="001E082A" w:rsidP="001A3DAB">
            <w:pPr>
              <w:jc w:val="center"/>
              <w:rPr>
                <w:sz w:val="18"/>
                <w:szCs w:val="18"/>
              </w:rPr>
            </w:pPr>
            <w:r>
              <w:rPr>
                <w:sz w:val="18"/>
              </w:rPr>
              <w:t>5 163</w:t>
            </w:r>
          </w:p>
        </w:tc>
        <w:tc>
          <w:tcPr>
            <w:tcW w:w="1527" w:type="dxa"/>
            <w:tcBorders>
              <w:left w:val="single" w:sz="4" w:space="0" w:color="auto"/>
              <w:right w:val="single" w:sz="4" w:space="0" w:color="auto"/>
            </w:tcBorders>
            <w:vAlign w:val="center"/>
          </w:tcPr>
          <w:p w14:paraId="27318E46" w14:textId="77777777" w:rsidR="001E082A" w:rsidRPr="00BE5BA6" w:rsidRDefault="001E082A" w:rsidP="001A3DAB">
            <w:pPr>
              <w:jc w:val="center"/>
              <w:rPr>
                <w:sz w:val="18"/>
                <w:szCs w:val="18"/>
              </w:rPr>
            </w:pPr>
            <w:r>
              <w:rPr>
                <w:sz w:val="18"/>
              </w:rPr>
              <w:t>-</w:t>
            </w:r>
          </w:p>
        </w:tc>
      </w:tr>
    </w:tbl>
    <w:p w14:paraId="6D4CD970" w14:textId="77777777" w:rsidR="001E082A" w:rsidRPr="00BE5BA6" w:rsidRDefault="001E082A" w:rsidP="00A979FD">
      <w:pPr>
        <w:keepNext/>
      </w:pPr>
      <w:r>
        <w:t>Annual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62A5CE0D" w14:textId="77777777" w:rsidTr="00E747E4">
        <w:tc>
          <w:tcPr>
            <w:tcW w:w="1512" w:type="dxa"/>
            <w:shd w:val="clear" w:color="auto" w:fill="BFBFBF" w:themeFill="background1" w:themeFillShade="BF"/>
          </w:tcPr>
          <w:p w14:paraId="383E93A0" w14:textId="77777777"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53B2375E" w14:textId="77777777"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7702ED9B" w14:textId="12CD27E0"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4662590E" w14:textId="77777777" w:rsidR="001E082A" w:rsidRPr="00BE5BA6" w:rsidRDefault="001E082A" w:rsidP="00A979FD">
            <w:pPr>
              <w:keepNext/>
              <w:rPr>
                <w:sz w:val="18"/>
                <w:szCs w:val="18"/>
              </w:rPr>
            </w:pPr>
            <w:r>
              <w:rPr>
                <w:sz w:val="18"/>
              </w:rPr>
              <w:t>Material expenses per case (in EUR)</w:t>
            </w:r>
          </w:p>
        </w:tc>
        <w:tc>
          <w:tcPr>
            <w:tcW w:w="1512" w:type="dxa"/>
            <w:tcBorders>
              <w:top w:val="single" w:sz="8" w:space="0" w:color="auto"/>
              <w:left w:val="single" w:sz="12" w:space="0" w:color="auto"/>
            </w:tcBorders>
            <w:shd w:val="clear" w:color="auto" w:fill="BFBFBF" w:themeFill="background1" w:themeFillShade="BF"/>
          </w:tcPr>
          <w:p w14:paraId="45FF50C4" w14:textId="1EE00952"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6ECA5182" w14:textId="1AE2CF34" w:rsidR="001E082A" w:rsidRPr="00BE5BA6" w:rsidRDefault="001E082A" w:rsidP="00A979FD">
            <w:pPr>
              <w:keepNext/>
              <w:rPr>
                <w:sz w:val="18"/>
                <w:szCs w:val="18"/>
              </w:rPr>
            </w:pPr>
            <w:r>
              <w:rPr>
                <w:sz w:val="18"/>
              </w:rPr>
              <w:t>Material expenses (in thousands of EUR)</w:t>
            </w:r>
          </w:p>
        </w:tc>
      </w:tr>
      <w:tr w:rsidR="001E082A" w:rsidRPr="00BE5BA6" w14:paraId="4084F7DD" w14:textId="77777777" w:rsidTr="00E747E4">
        <w:tc>
          <w:tcPr>
            <w:tcW w:w="1512" w:type="dxa"/>
            <w:vAlign w:val="center"/>
          </w:tcPr>
          <w:p w14:paraId="0DDEC33C" w14:textId="77777777" w:rsidR="001E082A" w:rsidRPr="00BE5BA6" w:rsidRDefault="001E082A" w:rsidP="001A3DAB">
            <w:pPr>
              <w:jc w:val="center"/>
              <w:rPr>
                <w:sz w:val="18"/>
                <w:szCs w:val="18"/>
              </w:rPr>
            </w:pPr>
            <w:r>
              <w:rPr>
                <w:sz w:val="18"/>
              </w:rPr>
              <w:t>35 000</w:t>
            </w:r>
          </w:p>
        </w:tc>
        <w:tc>
          <w:tcPr>
            <w:tcW w:w="1512" w:type="dxa"/>
            <w:vAlign w:val="center"/>
          </w:tcPr>
          <w:p w14:paraId="35F48799" w14:textId="77777777" w:rsidR="001E082A" w:rsidRPr="00BE5BA6" w:rsidRDefault="001E082A" w:rsidP="001A3DAB">
            <w:pPr>
              <w:jc w:val="center"/>
              <w:rPr>
                <w:sz w:val="18"/>
                <w:szCs w:val="18"/>
              </w:rPr>
            </w:pPr>
            <w:r>
              <w:rPr>
                <w:sz w:val="18"/>
              </w:rPr>
              <w:t>30</w:t>
            </w:r>
          </w:p>
        </w:tc>
        <w:tc>
          <w:tcPr>
            <w:tcW w:w="1512" w:type="dxa"/>
            <w:vAlign w:val="center"/>
          </w:tcPr>
          <w:p w14:paraId="0102D845" w14:textId="77777777" w:rsidR="001E082A" w:rsidRPr="00BE5BA6" w:rsidRDefault="001E082A" w:rsidP="001A3DAB">
            <w:pPr>
              <w:jc w:val="center"/>
              <w:rPr>
                <w:sz w:val="18"/>
                <w:szCs w:val="18"/>
              </w:rPr>
            </w:pPr>
            <w:r>
              <w:rPr>
                <w:sz w:val="18"/>
              </w:rPr>
              <w:t>29.50</w:t>
            </w:r>
          </w:p>
        </w:tc>
        <w:tc>
          <w:tcPr>
            <w:tcW w:w="1512" w:type="dxa"/>
            <w:tcBorders>
              <w:right w:val="single" w:sz="12" w:space="0" w:color="auto"/>
            </w:tcBorders>
            <w:vAlign w:val="center"/>
          </w:tcPr>
          <w:p w14:paraId="652F80D1" w14:textId="77777777" w:rsidR="001E082A" w:rsidRPr="00BE5BA6" w:rsidRDefault="001E082A" w:rsidP="001A3DAB">
            <w:pPr>
              <w:jc w:val="center"/>
              <w:rPr>
                <w:sz w:val="18"/>
                <w:szCs w:val="18"/>
              </w:rPr>
            </w:pPr>
            <w:r>
              <w:rPr>
                <w:sz w:val="18"/>
              </w:rPr>
              <w:t>-</w:t>
            </w:r>
          </w:p>
        </w:tc>
        <w:tc>
          <w:tcPr>
            <w:tcW w:w="1512" w:type="dxa"/>
            <w:tcBorders>
              <w:left w:val="single" w:sz="12" w:space="0" w:color="auto"/>
            </w:tcBorders>
            <w:vAlign w:val="center"/>
          </w:tcPr>
          <w:p w14:paraId="6A6DC324" w14:textId="77777777" w:rsidR="001E082A" w:rsidRPr="00BE5BA6" w:rsidRDefault="001E082A" w:rsidP="001A3DAB">
            <w:pPr>
              <w:jc w:val="center"/>
              <w:rPr>
                <w:sz w:val="18"/>
                <w:szCs w:val="18"/>
              </w:rPr>
            </w:pPr>
            <w:r>
              <w:rPr>
                <w:sz w:val="18"/>
              </w:rPr>
              <w:t>+516</w:t>
            </w:r>
          </w:p>
        </w:tc>
        <w:tc>
          <w:tcPr>
            <w:tcW w:w="1512" w:type="dxa"/>
            <w:tcBorders>
              <w:right w:val="single" w:sz="8" w:space="0" w:color="auto"/>
            </w:tcBorders>
            <w:vAlign w:val="center"/>
          </w:tcPr>
          <w:p w14:paraId="0FE432FE" w14:textId="77777777" w:rsidR="001E082A" w:rsidRPr="00BE5BA6" w:rsidRDefault="001E082A" w:rsidP="001A3DAB">
            <w:pPr>
              <w:jc w:val="center"/>
              <w:rPr>
                <w:sz w:val="18"/>
                <w:szCs w:val="18"/>
              </w:rPr>
            </w:pPr>
            <w:r>
              <w:rPr>
                <w:sz w:val="18"/>
              </w:rPr>
              <w:t>-</w:t>
            </w:r>
          </w:p>
        </w:tc>
      </w:tr>
      <w:tr w:rsidR="001E082A" w:rsidRPr="00BE5BA6" w14:paraId="25022BBA" w14:textId="77777777" w:rsidTr="00E747E4">
        <w:tc>
          <w:tcPr>
            <w:tcW w:w="6048" w:type="dxa"/>
            <w:gridSpan w:val="4"/>
            <w:tcBorders>
              <w:right w:val="single" w:sz="12" w:space="0" w:color="auto"/>
            </w:tcBorders>
            <w:shd w:val="clear" w:color="auto" w:fill="BFBFBF" w:themeFill="background1" w:themeFillShade="BF"/>
            <w:vAlign w:val="center"/>
          </w:tcPr>
          <w:p w14:paraId="4825BEF6" w14:textId="69068ED3" w:rsidR="001E082A" w:rsidRPr="00BE5BA6" w:rsidRDefault="001E082A" w:rsidP="001A3DAB">
            <w:pPr>
              <w:keepNext/>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6B1BCFDC" w14:textId="77777777" w:rsidR="001E082A" w:rsidRPr="00BE5BA6" w:rsidRDefault="001E082A" w:rsidP="001A3DAB">
            <w:pPr>
              <w:jc w:val="center"/>
              <w:rPr>
                <w:sz w:val="18"/>
                <w:szCs w:val="18"/>
              </w:rPr>
            </w:pPr>
            <w:r>
              <w:rPr>
                <w:sz w:val="18"/>
              </w:rPr>
              <w:t>+516</w:t>
            </w:r>
          </w:p>
        </w:tc>
      </w:tr>
    </w:tbl>
    <w:p w14:paraId="3D7537FF" w14:textId="12DB1B47" w:rsidR="001E082A" w:rsidRPr="00BE5BA6" w:rsidRDefault="001E082A" w:rsidP="00D56402">
      <w:pPr>
        <w:rPr>
          <w:rFonts w:eastAsia="Times New Roman"/>
        </w:rPr>
      </w:pPr>
      <w:r>
        <w:t xml:space="preserve">Before the amendment, the producer had the choice, under § 7(1) sentence 1 Packaging Act, of requiring a pre-distribution stage to participate in the scheme, which also transferred all the associated obligations, such as the registration obligation, to that stage. The amendment to § 7(2) sentence 3 Packaging Act ensures that producers are also obliged to register with the Central Authority in accordance with paragraph 1, sentence 1. This includes those initial distributors who fill service packaging with goods and pass it on to the customer. </w:t>
      </w:r>
    </w:p>
    <w:p w14:paraId="54F1FEBD" w14:textId="51A94ECB" w:rsidR="001E082A" w:rsidRPr="00BE5BA6" w:rsidRDefault="001E082A" w:rsidP="003B6D5E">
      <w:pPr>
        <w:jc w:val="left"/>
        <w:rPr>
          <w:rFonts w:eastAsia="Times New Roman"/>
        </w:rPr>
      </w:pPr>
      <w:r>
        <w:t xml:space="preserve">As an approximation, the number of all businesses in the retail sector is chosen to determine the number of cases, which according to the 2018 sales tax statistics was around 390 000 (retail trade excluding trade in motor vehicles). </w:t>
      </w:r>
      <w:r>
        <w:br/>
        <w:t xml:space="preserve">It is assumed that, despite the possibility of transferring the registration obligation to an upstream distributor, a proportion of these initial distributors of filled service packaging are already registered in one or more systems. It is freely assumed that this proportion is around 10 %. Accordingly, the number of cases for the further course of action is around 350 000. </w:t>
      </w:r>
      <w:r>
        <w:br/>
        <w:t xml:space="preserve">It is furthermore assumed that the total number of initial distributors remains constant, but that additional companies are added or removed each year. This rotation factor is set at 10 %, which puts the annual number of cases at about 35 000. </w:t>
      </w:r>
    </w:p>
    <w:p w14:paraId="62C66EFA" w14:textId="13386DCC" w:rsidR="001E082A" w:rsidRPr="00BE5BA6" w:rsidRDefault="001E082A" w:rsidP="00D56402">
      <w:pPr>
        <w:rPr>
          <w:rFonts w:eastAsia="Times New Roman"/>
          <w:b/>
        </w:rPr>
      </w:pPr>
      <w:r>
        <w:t xml:space="preserve">According to the SCM database, the time required for registration with the Central Authority is 30 minutes. The average wage rate of EUR 29.50 per hour shall apply. This corresponds to Economic Section G of the Statistical Business Register ‘Wholesale and retail trade, repair of motor vehicles and motorcycles’. </w:t>
      </w:r>
    </w:p>
    <w:p w14:paraId="719C503F" w14:textId="3E4E0C4E" w:rsidR="001E082A" w:rsidRPr="00BE5BA6" w:rsidRDefault="001E082A" w:rsidP="00D56402">
      <w:pPr>
        <w:rPr>
          <w:rFonts w:eastAsia="Times New Roman"/>
        </w:rPr>
      </w:pPr>
      <w:r>
        <w:rPr>
          <w:b/>
        </w:rPr>
        <w:t xml:space="preserve">The one-off compliance cost </w:t>
      </w:r>
      <w:r>
        <w:t>thus amounts to around</w:t>
      </w:r>
      <w:r>
        <w:rPr>
          <w:b/>
        </w:rPr>
        <w:t xml:space="preserve"> 5.2 million</w:t>
      </w:r>
      <w:r>
        <w:t xml:space="preserve"> and is attributed to the category ‘One-off information obligation’. </w:t>
      </w:r>
    </w:p>
    <w:p w14:paraId="14BF8284" w14:textId="5CFDC056" w:rsidR="001E082A" w:rsidRPr="00BE5BA6" w:rsidRDefault="001E082A" w:rsidP="00D56402">
      <w:pPr>
        <w:rPr>
          <w:rFonts w:eastAsia="Times New Roman"/>
          <w:sz w:val="24"/>
          <w:szCs w:val="24"/>
        </w:rPr>
      </w:pPr>
      <w:r>
        <w:rPr>
          <w:b/>
        </w:rPr>
        <w:t>The annual compliance cost</w:t>
      </w:r>
      <w:r>
        <w:t xml:space="preserve"> changes by around </w:t>
      </w:r>
      <w:r>
        <w:rPr>
          <w:b/>
        </w:rPr>
        <w:t>EUR +516 thousand</w:t>
      </w:r>
      <w:r>
        <w:t>.</w:t>
      </w:r>
      <w:r>
        <w:rPr>
          <w:sz w:val="24"/>
        </w:rPr>
        <w:t xml:space="preserve"> </w:t>
      </w:r>
    </w:p>
    <w:p w14:paraId="11FEBEB9" w14:textId="08F7CC27" w:rsidR="001E082A" w:rsidRPr="00BE5BA6" w:rsidRDefault="001E082A" w:rsidP="00A979FD">
      <w:pPr>
        <w:keepNext/>
        <w:rPr>
          <w:rFonts w:eastAsia="Times New Roman"/>
          <w:b/>
        </w:rPr>
      </w:pPr>
      <w:r>
        <w:rPr>
          <w:b/>
        </w:rPr>
        <w:lastRenderedPageBreak/>
        <w:t>Requirement 2 in conjunction with Requirement 9 (Other requirement):</w:t>
      </w:r>
      <w:r w:rsidR="00C059FB">
        <w:rPr>
          <w:b/>
        </w:rPr>
        <w:t xml:space="preserve"> </w:t>
      </w:r>
      <w:r>
        <w:rPr>
          <w:b/>
        </w:rPr>
        <w:t>Monitoring obligations for placing packaging subject to the scheme participation obligation on the market; Article 1 § 7(7) in conjunction with § 9(5) of the Packaging Act</w:t>
      </w:r>
    </w:p>
    <w:p w14:paraId="74E77E98" w14:textId="77777777" w:rsidR="001E082A" w:rsidRPr="00BE5BA6" w:rsidRDefault="001E082A" w:rsidP="00A979FD">
      <w:pPr>
        <w:keepNext/>
      </w:pPr>
      <w:r>
        <w:t>One-off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2CE06804" w14:textId="77777777" w:rsidTr="00E747E4">
        <w:tc>
          <w:tcPr>
            <w:tcW w:w="1512" w:type="dxa"/>
            <w:shd w:val="clear" w:color="auto" w:fill="BFBFBF" w:themeFill="background1" w:themeFillShade="BF"/>
          </w:tcPr>
          <w:p w14:paraId="6FF080AE" w14:textId="77777777"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78858FF7" w14:textId="77777777"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36F0E134" w14:textId="77777777"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51FC6613" w14:textId="77777777" w:rsidR="001E082A" w:rsidRPr="00BE5BA6" w:rsidRDefault="001E082A" w:rsidP="00A979FD">
            <w:pPr>
              <w:keepNext/>
              <w:rPr>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hemeFill="background1" w:themeFillShade="BF"/>
          </w:tcPr>
          <w:p w14:paraId="5AE4CD1A" w14:textId="18939580"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169D555C" w14:textId="1DDCF92F" w:rsidR="001E082A" w:rsidRPr="00BE5BA6" w:rsidRDefault="001E082A" w:rsidP="00A979FD">
            <w:pPr>
              <w:keepNext/>
              <w:rPr>
                <w:sz w:val="18"/>
                <w:szCs w:val="18"/>
              </w:rPr>
            </w:pPr>
            <w:r>
              <w:rPr>
                <w:sz w:val="18"/>
              </w:rPr>
              <w:t>Material expenses (in thousands of EUR)</w:t>
            </w:r>
          </w:p>
        </w:tc>
      </w:tr>
      <w:tr w:rsidR="001E082A" w:rsidRPr="00BE5BA6" w14:paraId="26E25C19" w14:textId="77777777" w:rsidTr="00E747E4">
        <w:tc>
          <w:tcPr>
            <w:tcW w:w="1512" w:type="dxa"/>
            <w:vAlign w:val="center"/>
          </w:tcPr>
          <w:p w14:paraId="380320C5" w14:textId="77777777" w:rsidR="001E082A" w:rsidRPr="00BE5BA6" w:rsidRDefault="001E082A" w:rsidP="001A3DAB">
            <w:pPr>
              <w:jc w:val="center"/>
              <w:rPr>
                <w:sz w:val="18"/>
                <w:szCs w:val="18"/>
              </w:rPr>
            </w:pPr>
            <w:r>
              <w:rPr>
                <w:sz w:val="18"/>
              </w:rPr>
              <w:t>580</w:t>
            </w:r>
          </w:p>
        </w:tc>
        <w:tc>
          <w:tcPr>
            <w:tcW w:w="1512" w:type="dxa"/>
            <w:vAlign w:val="center"/>
          </w:tcPr>
          <w:p w14:paraId="6B0CEBB2" w14:textId="744DFDBD" w:rsidR="001E082A" w:rsidRPr="00BE5BA6" w:rsidRDefault="001E082A" w:rsidP="001A3DAB">
            <w:pPr>
              <w:jc w:val="center"/>
              <w:rPr>
                <w:sz w:val="18"/>
                <w:szCs w:val="18"/>
              </w:rPr>
            </w:pPr>
            <w:r>
              <w:rPr>
                <w:sz w:val="18"/>
              </w:rPr>
              <w:t>1</w:t>
            </w:r>
            <w:r w:rsidR="00C059FB">
              <w:rPr>
                <w:sz w:val="18"/>
              </w:rPr>
              <w:t> </w:t>
            </w:r>
            <w:r>
              <w:rPr>
                <w:sz w:val="18"/>
              </w:rPr>
              <w:t>140</w:t>
            </w:r>
          </w:p>
        </w:tc>
        <w:tc>
          <w:tcPr>
            <w:tcW w:w="1512" w:type="dxa"/>
            <w:vAlign w:val="center"/>
          </w:tcPr>
          <w:p w14:paraId="69BB0C77" w14:textId="77777777" w:rsidR="001E082A" w:rsidRPr="00BE5BA6" w:rsidRDefault="001E082A" w:rsidP="001A3DAB">
            <w:pPr>
              <w:jc w:val="center"/>
              <w:rPr>
                <w:sz w:val="18"/>
                <w:szCs w:val="18"/>
              </w:rPr>
            </w:pPr>
            <w:r>
              <w:rPr>
                <w:sz w:val="18"/>
              </w:rPr>
              <w:t>29.50</w:t>
            </w:r>
          </w:p>
        </w:tc>
        <w:tc>
          <w:tcPr>
            <w:tcW w:w="1512" w:type="dxa"/>
            <w:tcBorders>
              <w:right w:val="single" w:sz="12" w:space="0" w:color="auto"/>
            </w:tcBorders>
            <w:vAlign w:val="center"/>
          </w:tcPr>
          <w:p w14:paraId="47DA145C" w14:textId="77777777" w:rsidR="001E082A" w:rsidRPr="00BE5BA6" w:rsidRDefault="001E082A" w:rsidP="001A3DAB">
            <w:pPr>
              <w:jc w:val="center"/>
              <w:rPr>
                <w:sz w:val="18"/>
                <w:szCs w:val="18"/>
              </w:rPr>
            </w:pPr>
            <w:r>
              <w:rPr>
                <w:sz w:val="18"/>
              </w:rPr>
              <w:t>-</w:t>
            </w:r>
          </w:p>
        </w:tc>
        <w:tc>
          <w:tcPr>
            <w:tcW w:w="1512" w:type="dxa"/>
            <w:tcBorders>
              <w:left w:val="single" w:sz="12" w:space="0" w:color="auto"/>
            </w:tcBorders>
            <w:vAlign w:val="center"/>
          </w:tcPr>
          <w:p w14:paraId="144BF32D" w14:textId="77777777" w:rsidR="001E082A" w:rsidRPr="00BE5BA6" w:rsidRDefault="001E082A" w:rsidP="001A3DAB">
            <w:pPr>
              <w:jc w:val="center"/>
              <w:rPr>
                <w:sz w:val="18"/>
                <w:szCs w:val="18"/>
              </w:rPr>
            </w:pPr>
            <w:r>
              <w:rPr>
                <w:sz w:val="18"/>
              </w:rPr>
              <w:t>325</w:t>
            </w:r>
          </w:p>
        </w:tc>
        <w:tc>
          <w:tcPr>
            <w:tcW w:w="1512" w:type="dxa"/>
            <w:tcBorders>
              <w:right w:val="single" w:sz="8" w:space="0" w:color="auto"/>
            </w:tcBorders>
            <w:vAlign w:val="center"/>
          </w:tcPr>
          <w:p w14:paraId="40BCD273" w14:textId="77777777" w:rsidR="001E082A" w:rsidRPr="00BE5BA6" w:rsidRDefault="001E082A" w:rsidP="001A3DAB">
            <w:pPr>
              <w:jc w:val="center"/>
              <w:rPr>
                <w:sz w:val="18"/>
                <w:szCs w:val="18"/>
              </w:rPr>
            </w:pPr>
            <w:r>
              <w:rPr>
                <w:sz w:val="18"/>
              </w:rPr>
              <w:t>-</w:t>
            </w:r>
          </w:p>
        </w:tc>
      </w:tr>
      <w:tr w:rsidR="001E082A" w:rsidRPr="00BE5BA6" w14:paraId="0F83D029" w14:textId="77777777" w:rsidTr="00E747E4">
        <w:tc>
          <w:tcPr>
            <w:tcW w:w="6048" w:type="dxa"/>
            <w:gridSpan w:val="4"/>
            <w:tcBorders>
              <w:right w:val="single" w:sz="12" w:space="0" w:color="auto"/>
            </w:tcBorders>
            <w:shd w:val="clear" w:color="auto" w:fill="BFBFBF" w:themeFill="background1" w:themeFillShade="BF"/>
            <w:vAlign w:val="center"/>
          </w:tcPr>
          <w:p w14:paraId="54F3E826" w14:textId="3E51E8D3" w:rsidR="001E082A" w:rsidRPr="00BE5BA6" w:rsidRDefault="001E082A" w:rsidP="00E747E4">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2C1DD512" w14:textId="77777777" w:rsidR="001E082A" w:rsidRPr="00BE5BA6" w:rsidRDefault="001E082A" w:rsidP="00E747E4">
            <w:pPr>
              <w:jc w:val="center"/>
              <w:rPr>
                <w:sz w:val="18"/>
                <w:szCs w:val="18"/>
              </w:rPr>
            </w:pPr>
            <w:r>
              <w:rPr>
                <w:sz w:val="18"/>
              </w:rPr>
              <w:t>325</w:t>
            </w:r>
          </w:p>
        </w:tc>
      </w:tr>
    </w:tbl>
    <w:p w14:paraId="6BC439AC" w14:textId="77777777" w:rsidR="001E082A" w:rsidRPr="00BE5BA6" w:rsidRDefault="001E082A" w:rsidP="00A979FD">
      <w:pPr>
        <w:keepNext/>
        <w:spacing w:after="0"/>
        <w:rPr>
          <w:sz w:val="20"/>
        </w:rPr>
      </w:pPr>
      <w:r>
        <w:t>In order to increase transparency with regard to the one-off compliance costs for business and delineate them, they are assigned to one or more categories:</w:t>
      </w:r>
    </w:p>
    <w:tbl>
      <w:tblPr>
        <w:tblStyle w:val="TableGrid"/>
        <w:tblW w:w="9072" w:type="dxa"/>
        <w:tblInd w:w="108" w:type="dxa"/>
        <w:tblLayout w:type="fixed"/>
        <w:tblLook w:val="04A0" w:firstRow="1" w:lastRow="0" w:firstColumn="1" w:lastColumn="0" w:noHBand="0" w:noVBand="1"/>
      </w:tblPr>
      <w:tblGrid>
        <w:gridCol w:w="6047"/>
        <w:gridCol w:w="1498"/>
        <w:gridCol w:w="1527"/>
      </w:tblGrid>
      <w:tr w:rsidR="001E082A" w:rsidRPr="00BE5BA6" w14:paraId="49FBC609" w14:textId="77777777" w:rsidTr="00E747E4">
        <w:tc>
          <w:tcPr>
            <w:tcW w:w="6047" w:type="dxa"/>
            <w:vMerge w:val="restart"/>
            <w:shd w:val="clear" w:color="auto" w:fill="BFBFBF" w:themeFill="background1" w:themeFillShade="BF"/>
            <w:vAlign w:val="center"/>
          </w:tcPr>
          <w:p w14:paraId="61E5776A" w14:textId="77777777" w:rsidR="001E082A" w:rsidRPr="00BE5BA6" w:rsidRDefault="001E082A" w:rsidP="00A979FD">
            <w:pPr>
              <w:keepNext/>
              <w:rPr>
                <w:sz w:val="18"/>
                <w:szCs w:val="18"/>
              </w:rPr>
            </w:pPr>
            <w:r>
              <w:rPr>
                <w:sz w:val="18"/>
              </w:rPr>
              <w:t>Category of one-off compliance costs</w:t>
            </w:r>
          </w:p>
        </w:tc>
        <w:tc>
          <w:tcPr>
            <w:tcW w:w="3025" w:type="dxa"/>
            <w:gridSpan w:val="2"/>
            <w:tcBorders>
              <w:top w:val="single" w:sz="8" w:space="0" w:color="auto"/>
              <w:left w:val="single" w:sz="12" w:space="0" w:color="auto"/>
              <w:right w:val="single" w:sz="4" w:space="0" w:color="auto"/>
            </w:tcBorders>
            <w:shd w:val="clear" w:color="auto" w:fill="BFBFBF" w:themeFill="background1" w:themeFillShade="BF"/>
            <w:vAlign w:val="center"/>
          </w:tcPr>
          <w:p w14:paraId="3B230822" w14:textId="77777777" w:rsidR="001E082A" w:rsidRPr="00BE5BA6" w:rsidRDefault="001E082A" w:rsidP="00A979FD">
            <w:pPr>
              <w:keepNext/>
              <w:jc w:val="center"/>
              <w:rPr>
                <w:sz w:val="18"/>
                <w:szCs w:val="18"/>
              </w:rPr>
            </w:pPr>
            <w:r>
              <w:rPr>
                <w:sz w:val="18"/>
              </w:rPr>
              <w:t>Proportion of the category in the one-off compliance costs</w:t>
            </w:r>
          </w:p>
        </w:tc>
      </w:tr>
      <w:tr w:rsidR="001E082A" w:rsidRPr="00BE5BA6" w14:paraId="5B58D971" w14:textId="77777777" w:rsidTr="00E747E4">
        <w:tc>
          <w:tcPr>
            <w:tcW w:w="6047" w:type="dxa"/>
            <w:vMerge/>
            <w:shd w:val="clear" w:color="auto" w:fill="BFBFBF" w:themeFill="background1" w:themeFillShade="BF"/>
          </w:tcPr>
          <w:p w14:paraId="5AE91E43" w14:textId="77777777" w:rsidR="001E082A" w:rsidRPr="00BE5BA6" w:rsidRDefault="001E082A" w:rsidP="00A979FD">
            <w:pPr>
              <w:keepNext/>
              <w:rPr>
                <w:sz w:val="18"/>
                <w:szCs w:val="18"/>
              </w:rPr>
            </w:pPr>
          </w:p>
        </w:tc>
        <w:tc>
          <w:tcPr>
            <w:tcW w:w="1498" w:type="dxa"/>
            <w:tcBorders>
              <w:top w:val="single" w:sz="8" w:space="0" w:color="auto"/>
              <w:left w:val="single" w:sz="12" w:space="0" w:color="auto"/>
              <w:right w:val="single" w:sz="4" w:space="0" w:color="auto"/>
            </w:tcBorders>
            <w:shd w:val="clear" w:color="auto" w:fill="BFBFBF" w:themeFill="background1" w:themeFillShade="BF"/>
          </w:tcPr>
          <w:p w14:paraId="3C3AC5C2" w14:textId="1194C01F" w:rsidR="001E082A" w:rsidRPr="00BE5BA6" w:rsidRDefault="001E082A" w:rsidP="00A979FD">
            <w:pPr>
              <w:keepNext/>
              <w:rPr>
                <w:sz w:val="18"/>
                <w:szCs w:val="18"/>
              </w:rPr>
            </w:pPr>
            <w:r>
              <w:rPr>
                <w:sz w:val="18"/>
              </w:rPr>
              <w:t>Personnel costs (in thousands of EUR)</w:t>
            </w:r>
          </w:p>
        </w:tc>
        <w:tc>
          <w:tcPr>
            <w:tcW w:w="1527" w:type="dxa"/>
            <w:tcBorders>
              <w:top w:val="single" w:sz="8" w:space="0" w:color="auto"/>
              <w:left w:val="single" w:sz="4" w:space="0" w:color="auto"/>
              <w:right w:val="single" w:sz="4" w:space="0" w:color="auto"/>
            </w:tcBorders>
            <w:shd w:val="clear" w:color="auto" w:fill="BFBFBF" w:themeFill="background1" w:themeFillShade="BF"/>
          </w:tcPr>
          <w:p w14:paraId="35C18004" w14:textId="6607BA30" w:rsidR="001E082A" w:rsidRPr="00BE5BA6" w:rsidRDefault="001E082A" w:rsidP="00A979FD">
            <w:pPr>
              <w:keepNext/>
              <w:rPr>
                <w:sz w:val="18"/>
                <w:szCs w:val="18"/>
              </w:rPr>
            </w:pPr>
            <w:r>
              <w:rPr>
                <w:sz w:val="18"/>
              </w:rPr>
              <w:t>Material expenses (in thousands of EUR)</w:t>
            </w:r>
          </w:p>
        </w:tc>
      </w:tr>
      <w:tr w:rsidR="001E082A" w:rsidRPr="00BE5BA6" w14:paraId="25F3DDA0" w14:textId="77777777" w:rsidTr="00E747E4">
        <w:tc>
          <w:tcPr>
            <w:tcW w:w="6047" w:type="dxa"/>
            <w:vAlign w:val="center"/>
          </w:tcPr>
          <w:p w14:paraId="7A9AA288" w14:textId="5170E6B2" w:rsidR="001E082A" w:rsidRPr="00BE5BA6" w:rsidRDefault="00467FCE" w:rsidP="001A3DAB">
            <w:pPr>
              <w:rPr>
                <w:sz w:val="18"/>
                <w:szCs w:val="18"/>
              </w:rPr>
            </w:pPr>
            <w:sdt>
              <w:sdtPr>
                <w:rPr>
                  <w:sz w:val="18"/>
                </w:rPr>
                <w:alias w:val="Category of one-off compliance costs"/>
                <w:tag w:val="Kategorie des einmaligen Erfüllungsaufwand"/>
                <w:id w:val="637990023"/>
                <w:placeholder>
                  <w:docPart w:val="06B281533DEE48E5803C6A35A06E4131"/>
                </w:placeholder>
                <w:dropDownList>
                  <w:listItem w:displayText="[select a category of one-off compliance cost here]" w:value="[hier eine Kategorie des einmaligen Erfüllungsaufwands auswählen]"/>
                  <w:listItem w:displayText="Acquisition or retrofitting of machinery, equipment, buildings and infrastructure facilities " w:value="Anschaffung oder Nachrüstung von Maschinen, Anlagen, Gebäuden und Infrastruktureinrichtungen "/>
                  <w:listItem w:displayText="Introduction or adaptation of digital process flows " w:value="Einführung oder Anpassung digitaler Prozessabläufe "/>
                  <w:listItem w:displayText="One-off information obligation " w:value="Einmalige Informationspflicht "/>
                  <w:listItem w:displayText="Training costs" w:value="Schulungskosten"/>
                  <w:listItem w:displayText="Anpassung von Organisationsstrukturen " w:value="Anpassung von Organisationsstrukturen "/>
                  <w:listItem w:displayText="Adaptation of products, manufacturing processes and procurement channels " w:value="Anpassung von Produkten, Fertigungsprozessen und Beschaffungswegen "/>
                  <w:listItem w:displayText="Other" w:value="Sonstiges"/>
                </w:dropDownList>
              </w:sdtPr>
              <w:sdtEndPr/>
              <w:sdtContent>
                <w:r w:rsidR="005C32D2">
                  <w:rPr>
                    <w:sz w:val="18"/>
                  </w:rPr>
                  <w:t xml:space="preserve">Adaptation of organisational structures </w:t>
                </w:r>
              </w:sdtContent>
            </w:sdt>
          </w:p>
        </w:tc>
        <w:tc>
          <w:tcPr>
            <w:tcW w:w="1498" w:type="dxa"/>
            <w:tcBorders>
              <w:left w:val="single" w:sz="12" w:space="0" w:color="auto"/>
              <w:right w:val="single" w:sz="4" w:space="0" w:color="auto"/>
            </w:tcBorders>
            <w:vAlign w:val="center"/>
          </w:tcPr>
          <w:p w14:paraId="195A3D7C" w14:textId="77777777" w:rsidR="001E082A" w:rsidRPr="00BE5BA6" w:rsidRDefault="001E082A" w:rsidP="001A3DAB">
            <w:pPr>
              <w:jc w:val="center"/>
              <w:rPr>
                <w:sz w:val="18"/>
                <w:szCs w:val="18"/>
              </w:rPr>
            </w:pPr>
            <w:r>
              <w:rPr>
                <w:sz w:val="18"/>
              </w:rPr>
              <w:t>325</w:t>
            </w:r>
          </w:p>
        </w:tc>
        <w:tc>
          <w:tcPr>
            <w:tcW w:w="1527" w:type="dxa"/>
            <w:tcBorders>
              <w:left w:val="single" w:sz="4" w:space="0" w:color="auto"/>
              <w:right w:val="single" w:sz="4" w:space="0" w:color="auto"/>
            </w:tcBorders>
            <w:vAlign w:val="center"/>
          </w:tcPr>
          <w:p w14:paraId="35F57E1D" w14:textId="77777777" w:rsidR="001E082A" w:rsidRPr="00BE5BA6" w:rsidRDefault="001E082A" w:rsidP="001A3DAB">
            <w:pPr>
              <w:jc w:val="center"/>
              <w:rPr>
                <w:sz w:val="18"/>
                <w:szCs w:val="18"/>
              </w:rPr>
            </w:pPr>
            <w:r>
              <w:rPr>
                <w:sz w:val="18"/>
              </w:rPr>
              <w:t>-</w:t>
            </w:r>
          </w:p>
        </w:tc>
      </w:tr>
    </w:tbl>
    <w:p w14:paraId="282FC549" w14:textId="3B271520" w:rsidR="001E082A" w:rsidRPr="00BE5BA6" w:rsidRDefault="001E082A" w:rsidP="003B6D5E">
      <w:pPr>
        <w:jc w:val="left"/>
        <w:rPr>
          <w:rFonts w:eastAsia="Times New Roman"/>
        </w:rPr>
      </w:pPr>
      <w:r>
        <w:t xml:space="preserve">In accordance with § 7(7) Packaging Act, fulfilment service providers and operators of electronic marketplaces must ensure that traders who offer goods in packaging subject to the scheme participation obligation and make use of the above-mentioned services participate in a dual scheme. It is assumed that for this implied monitoring obligation, all traders using the service of the service providers will be informed on a one-time basis by the fulfilment service providers and operators of electronic marketplaces about the change in legal amendment and that a confirmation of registration – which will be issued by a scheme – will be requested. It is further assumed that fulfilment service providers and e-marketplace operators set a deadline for traders to provide feedback. If a trader does not carry out the confirmation of registration and does not submit one within the specified period, the contract between the service provider and the trader will be terminated. </w:t>
      </w:r>
      <w:r>
        <w:br/>
        <w:t xml:space="preserve">In addition, it is assumed that for future contracting with traders, the service providers will include a clause requiring the transmission of a scheme’s registration confirmation from the traders for the conclusion of the contract. </w:t>
      </w:r>
    </w:p>
    <w:p w14:paraId="4BB03D16" w14:textId="1056708B" w:rsidR="001E082A" w:rsidRPr="00BE5BA6" w:rsidRDefault="001E082A" w:rsidP="00D56402">
      <w:pPr>
        <w:rPr>
          <w:rFonts w:eastAsia="Times New Roman"/>
        </w:rPr>
      </w:pPr>
      <w:r>
        <w:t>The number of cases is based on the sum of the operators of electronic marketplaces as defined by § 25e(5) and (6) of the Value-Added Tax Act (130 operators) and the fulfilment service providers (450 service providers), i.e. 580.</w:t>
      </w:r>
    </w:p>
    <w:p w14:paraId="43245E57" w14:textId="077DC62A" w:rsidR="001E082A" w:rsidRPr="00BE5BA6" w:rsidRDefault="001E082A" w:rsidP="00D56402">
      <w:pPr>
        <w:rPr>
          <w:rFonts w:eastAsia="Times New Roman"/>
        </w:rPr>
      </w:pPr>
      <w:r>
        <w:t>A total time expenditure of 1 140 minutes is incurred for the operators of electronic marketplaces and for the fulfilment service providers. This consists of the following activities in particular: Familiarisation with the specifications, data acquisition, making corrections, verification of the transmitted data.</w:t>
      </w:r>
    </w:p>
    <w:p w14:paraId="64538437" w14:textId="15E99F12" w:rsidR="001E082A" w:rsidRPr="00BE5BA6" w:rsidRDefault="001E082A" w:rsidP="00D56402">
      <w:pPr>
        <w:rPr>
          <w:rFonts w:eastAsia="Times New Roman"/>
        </w:rPr>
      </w:pPr>
      <w:r>
        <w:t xml:space="preserve">The average wage rate of EUR 29.50 per hour shall apply. This corresponds to Economic Section G of the Statistical Business Register ‘Wholesale and retail trade, repair of motor vehicles and motorcycles’. </w:t>
      </w:r>
    </w:p>
    <w:p w14:paraId="7E3A9DF7" w14:textId="3CD24FCF" w:rsidR="001E082A" w:rsidRPr="00BE5BA6" w:rsidRDefault="001E082A" w:rsidP="00D56402">
      <w:pPr>
        <w:rPr>
          <w:rFonts w:eastAsia="Times New Roman"/>
        </w:rPr>
      </w:pPr>
      <w:r>
        <w:t xml:space="preserve">This results in a </w:t>
      </w:r>
      <w:r>
        <w:rPr>
          <w:b/>
        </w:rPr>
        <w:t>one-off compliance cost</w:t>
      </w:r>
      <w:r>
        <w:t xml:space="preserve"> of approximately </w:t>
      </w:r>
      <w:r>
        <w:rPr>
          <w:b/>
        </w:rPr>
        <w:t>EUR 325 thousand</w:t>
      </w:r>
      <w:r>
        <w:t>.</w:t>
      </w:r>
    </w:p>
    <w:p w14:paraId="29CB078A" w14:textId="255F9AE8" w:rsidR="001E082A" w:rsidRPr="00BE5BA6" w:rsidRDefault="001E082A" w:rsidP="00A979FD">
      <w:pPr>
        <w:keepNext/>
        <w:rPr>
          <w:rFonts w:eastAsia="Times New Roman"/>
          <w:b/>
        </w:rPr>
      </w:pPr>
      <w:r>
        <w:rPr>
          <w:b/>
        </w:rPr>
        <w:lastRenderedPageBreak/>
        <w:t>Requirement 3 (Further requirement):</w:t>
      </w:r>
      <w:r w:rsidR="00C059FB">
        <w:rPr>
          <w:b/>
        </w:rPr>
        <w:t xml:space="preserve"> </w:t>
      </w:r>
      <w:r>
        <w:rPr>
          <w:b/>
        </w:rPr>
        <w:t>Financial and organisational resources including self-monitoring mechanism; Article 1 § 8(4) Packaging Act</w:t>
      </w:r>
    </w:p>
    <w:p w14:paraId="6CED07E1" w14:textId="0FB1E8DA" w:rsidR="001E082A" w:rsidRPr="00BE5BA6" w:rsidRDefault="001E082A" w:rsidP="003B6D5E">
      <w:pPr>
        <w:jc w:val="left"/>
        <w:rPr>
          <w:rFonts w:eastAsia="Times New Roman"/>
        </w:rPr>
      </w:pPr>
      <w:r>
        <w:t xml:space="preserve">In accordance with § 8(4) Packaging Act, producers or distributors of packaging downstream in the supply chain are obliged to set up suitable mechanisms for self-monitoring. The text of the act does not specify how these self-monitoring mechanisms are to be designed. </w:t>
      </w:r>
      <w:r>
        <w:br/>
        <w:t xml:space="preserve">For this estimate, it is assumed that the producers and the downstream distributors of packaging in the supply chain have already implemented suitable controlling in the company which meets the requirements of the amendment, so that </w:t>
      </w:r>
      <w:r>
        <w:rPr>
          <w:b/>
        </w:rPr>
        <w:t>no additional compliance costs</w:t>
      </w:r>
      <w:r>
        <w:t xml:space="preserve"> are incurred. </w:t>
      </w:r>
    </w:p>
    <w:p w14:paraId="5C543F45" w14:textId="5FC68C99" w:rsidR="001E082A" w:rsidRPr="00BE5BA6" w:rsidRDefault="001E082A" w:rsidP="00A979FD">
      <w:pPr>
        <w:keepNext/>
        <w:rPr>
          <w:rFonts w:eastAsia="Times New Roman"/>
          <w:b/>
        </w:rPr>
      </w:pPr>
      <w:r>
        <w:rPr>
          <w:b/>
        </w:rPr>
        <w:t>Requirement 4 (Information obligation):</w:t>
      </w:r>
      <w:r w:rsidR="00C059FB">
        <w:rPr>
          <w:b/>
        </w:rPr>
        <w:t xml:space="preserve"> </w:t>
      </w:r>
      <w:r>
        <w:rPr>
          <w:b/>
        </w:rPr>
        <w:t>Expansion of the registration obligation; Article 1 § 9(1) sentence 1 of the Packaging Act</w:t>
      </w:r>
    </w:p>
    <w:p w14:paraId="270C0FB6" w14:textId="77777777" w:rsidR="001E082A" w:rsidRPr="00BE5BA6" w:rsidRDefault="001E082A" w:rsidP="00A979FD">
      <w:pPr>
        <w:keepNext/>
      </w:pPr>
      <w:r>
        <w:t>One-off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78A493D1" w14:textId="77777777" w:rsidTr="00E747E4">
        <w:tc>
          <w:tcPr>
            <w:tcW w:w="1512" w:type="dxa"/>
            <w:shd w:val="clear" w:color="auto" w:fill="BFBFBF" w:themeFill="background1" w:themeFillShade="BF"/>
          </w:tcPr>
          <w:p w14:paraId="14C38433" w14:textId="77777777"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2BB34C28" w14:textId="77777777"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187D53C7" w14:textId="77777777"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1B03CA71" w14:textId="77777777" w:rsidR="001E082A" w:rsidRPr="00BE5BA6" w:rsidRDefault="001E082A" w:rsidP="00A979FD">
            <w:pPr>
              <w:keepNext/>
              <w:rPr>
                <w:sz w:val="18"/>
                <w:szCs w:val="18"/>
              </w:rPr>
            </w:pPr>
            <w:r>
              <w:rPr>
                <w:sz w:val="18"/>
              </w:rPr>
              <w:t>Material expenses per case (in EUR)</w:t>
            </w:r>
          </w:p>
        </w:tc>
        <w:tc>
          <w:tcPr>
            <w:tcW w:w="1512" w:type="dxa"/>
            <w:tcBorders>
              <w:top w:val="single" w:sz="8" w:space="0" w:color="auto"/>
              <w:left w:val="single" w:sz="12" w:space="0" w:color="auto"/>
            </w:tcBorders>
            <w:shd w:val="clear" w:color="auto" w:fill="BFBFBF" w:themeFill="background1" w:themeFillShade="BF"/>
          </w:tcPr>
          <w:p w14:paraId="7B7A2006" w14:textId="48F5DBAF"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172B7141" w14:textId="7659E85B" w:rsidR="001E082A" w:rsidRPr="00BE5BA6" w:rsidRDefault="001E082A" w:rsidP="00A979FD">
            <w:pPr>
              <w:keepNext/>
              <w:rPr>
                <w:sz w:val="18"/>
                <w:szCs w:val="18"/>
              </w:rPr>
            </w:pPr>
            <w:r>
              <w:rPr>
                <w:sz w:val="18"/>
              </w:rPr>
              <w:t>Material expenses (in thousands of EUR)</w:t>
            </w:r>
          </w:p>
        </w:tc>
      </w:tr>
      <w:tr w:rsidR="001E082A" w:rsidRPr="00BE5BA6" w14:paraId="39788C4A" w14:textId="77777777" w:rsidTr="00E747E4">
        <w:tc>
          <w:tcPr>
            <w:tcW w:w="1512" w:type="dxa"/>
            <w:vAlign w:val="center"/>
          </w:tcPr>
          <w:p w14:paraId="5CC7A485" w14:textId="27103762" w:rsidR="001E082A" w:rsidRPr="00BE5BA6" w:rsidRDefault="001E082A" w:rsidP="001A3DAB">
            <w:pPr>
              <w:jc w:val="center"/>
              <w:rPr>
                <w:sz w:val="18"/>
                <w:szCs w:val="18"/>
              </w:rPr>
            </w:pPr>
            <w:r>
              <w:rPr>
                <w:sz w:val="18"/>
              </w:rPr>
              <w:t>7 500</w:t>
            </w:r>
          </w:p>
        </w:tc>
        <w:tc>
          <w:tcPr>
            <w:tcW w:w="1512" w:type="dxa"/>
            <w:vAlign w:val="center"/>
          </w:tcPr>
          <w:p w14:paraId="71FF7C39" w14:textId="77777777" w:rsidR="001E082A" w:rsidRPr="00BE5BA6" w:rsidRDefault="001E082A" w:rsidP="001A3DAB">
            <w:pPr>
              <w:jc w:val="center"/>
              <w:rPr>
                <w:sz w:val="18"/>
                <w:szCs w:val="18"/>
              </w:rPr>
            </w:pPr>
            <w:r>
              <w:rPr>
                <w:sz w:val="18"/>
              </w:rPr>
              <w:t>30</w:t>
            </w:r>
          </w:p>
        </w:tc>
        <w:tc>
          <w:tcPr>
            <w:tcW w:w="1512" w:type="dxa"/>
            <w:vAlign w:val="center"/>
          </w:tcPr>
          <w:p w14:paraId="714D84D9" w14:textId="77777777" w:rsidR="001E082A" w:rsidRPr="00BE5BA6" w:rsidRDefault="001E082A" w:rsidP="001A3DAB">
            <w:pPr>
              <w:jc w:val="center"/>
              <w:rPr>
                <w:sz w:val="18"/>
                <w:szCs w:val="18"/>
              </w:rPr>
            </w:pPr>
            <w:r>
              <w:rPr>
                <w:sz w:val="18"/>
              </w:rPr>
              <w:t>40.70</w:t>
            </w:r>
          </w:p>
        </w:tc>
        <w:tc>
          <w:tcPr>
            <w:tcW w:w="1512" w:type="dxa"/>
            <w:tcBorders>
              <w:right w:val="single" w:sz="12" w:space="0" w:color="auto"/>
            </w:tcBorders>
            <w:vAlign w:val="center"/>
          </w:tcPr>
          <w:p w14:paraId="45EE79A2" w14:textId="77777777" w:rsidR="001E082A" w:rsidRPr="00BE5BA6" w:rsidRDefault="001E082A" w:rsidP="001A3DAB">
            <w:pPr>
              <w:jc w:val="center"/>
              <w:rPr>
                <w:sz w:val="18"/>
                <w:szCs w:val="18"/>
              </w:rPr>
            </w:pPr>
            <w:r>
              <w:rPr>
                <w:sz w:val="18"/>
              </w:rPr>
              <w:t>-</w:t>
            </w:r>
          </w:p>
        </w:tc>
        <w:tc>
          <w:tcPr>
            <w:tcW w:w="1512" w:type="dxa"/>
            <w:tcBorders>
              <w:left w:val="single" w:sz="12" w:space="0" w:color="auto"/>
            </w:tcBorders>
            <w:vAlign w:val="center"/>
          </w:tcPr>
          <w:p w14:paraId="68BD1EFB" w14:textId="77777777" w:rsidR="001E082A" w:rsidRPr="00BE5BA6" w:rsidRDefault="001E082A" w:rsidP="001A3DAB">
            <w:pPr>
              <w:jc w:val="center"/>
              <w:rPr>
                <w:sz w:val="18"/>
                <w:szCs w:val="18"/>
              </w:rPr>
            </w:pPr>
            <w:r>
              <w:rPr>
                <w:sz w:val="18"/>
              </w:rPr>
              <w:t>153</w:t>
            </w:r>
          </w:p>
        </w:tc>
        <w:tc>
          <w:tcPr>
            <w:tcW w:w="1512" w:type="dxa"/>
            <w:tcBorders>
              <w:right w:val="single" w:sz="8" w:space="0" w:color="auto"/>
            </w:tcBorders>
            <w:vAlign w:val="center"/>
          </w:tcPr>
          <w:p w14:paraId="3A5A68F0" w14:textId="77777777" w:rsidR="001E082A" w:rsidRPr="00BE5BA6" w:rsidRDefault="001E082A" w:rsidP="001A3DAB">
            <w:pPr>
              <w:jc w:val="center"/>
              <w:rPr>
                <w:sz w:val="18"/>
                <w:szCs w:val="18"/>
              </w:rPr>
            </w:pPr>
            <w:r>
              <w:rPr>
                <w:sz w:val="18"/>
              </w:rPr>
              <w:t>-</w:t>
            </w:r>
          </w:p>
        </w:tc>
      </w:tr>
      <w:tr w:rsidR="001E082A" w:rsidRPr="00BE5BA6" w14:paraId="712D6E44" w14:textId="77777777" w:rsidTr="00E747E4">
        <w:tc>
          <w:tcPr>
            <w:tcW w:w="6048" w:type="dxa"/>
            <w:gridSpan w:val="4"/>
            <w:tcBorders>
              <w:right w:val="single" w:sz="12" w:space="0" w:color="auto"/>
            </w:tcBorders>
            <w:shd w:val="clear" w:color="auto" w:fill="BFBFBF" w:themeFill="background1" w:themeFillShade="BF"/>
            <w:vAlign w:val="center"/>
          </w:tcPr>
          <w:p w14:paraId="60AAC933" w14:textId="4DB850F2" w:rsidR="001E082A" w:rsidRPr="00BE5BA6" w:rsidRDefault="001E082A" w:rsidP="001A3DAB">
            <w:pPr>
              <w:keepNext/>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12F58CF6" w14:textId="77777777" w:rsidR="001E082A" w:rsidRPr="00BE5BA6" w:rsidRDefault="001E082A" w:rsidP="001A3DAB">
            <w:pPr>
              <w:jc w:val="center"/>
              <w:rPr>
                <w:sz w:val="18"/>
                <w:szCs w:val="18"/>
              </w:rPr>
            </w:pPr>
            <w:r>
              <w:rPr>
                <w:sz w:val="18"/>
              </w:rPr>
              <w:t>153</w:t>
            </w:r>
          </w:p>
        </w:tc>
      </w:tr>
    </w:tbl>
    <w:p w14:paraId="583C5677" w14:textId="77777777" w:rsidR="001E082A" w:rsidRPr="00BE5BA6" w:rsidRDefault="001E082A" w:rsidP="00A979FD">
      <w:pPr>
        <w:keepNext/>
        <w:spacing w:after="0"/>
        <w:rPr>
          <w:sz w:val="20"/>
        </w:rPr>
      </w:pPr>
      <w:r>
        <w:t>In order to increase transparency with regard to the one-off compliance costs for business and delineate them, they are assigned to one or more categories:</w:t>
      </w:r>
    </w:p>
    <w:tbl>
      <w:tblPr>
        <w:tblStyle w:val="TableGrid"/>
        <w:tblW w:w="9072" w:type="dxa"/>
        <w:tblInd w:w="108" w:type="dxa"/>
        <w:tblLayout w:type="fixed"/>
        <w:tblLook w:val="04A0" w:firstRow="1" w:lastRow="0" w:firstColumn="1" w:lastColumn="0" w:noHBand="0" w:noVBand="1"/>
      </w:tblPr>
      <w:tblGrid>
        <w:gridCol w:w="6047"/>
        <w:gridCol w:w="1498"/>
        <w:gridCol w:w="1527"/>
      </w:tblGrid>
      <w:tr w:rsidR="001E082A" w:rsidRPr="00BE5BA6" w14:paraId="24520A4B" w14:textId="77777777" w:rsidTr="00E747E4">
        <w:tc>
          <w:tcPr>
            <w:tcW w:w="6047" w:type="dxa"/>
            <w:vMerge w:val="restart"/>
            <w:shd w:val="clear" w:color="auto" w:fill="BFBFBF" w:themeFill="background1" w:themeFillShade="BF"/>
            <w:vAlign w:val="center"/>
          </w:tcPr>
          <w:p w14:paraId="1DCDEF9F" w14:textId="77777777" w:rsidR="001E082A" w:rsidRPr="00BE5BA6" w:rsidRDefault="001E082A" w:rsidP="00A979FD">
            <w:pPr>
              <w:keepNext/>
              <w:rPr>
                <w:sz w:val="18"/>
                <w:szCs w:val="18"/>
              </w:rPr>
            </w:pPr>
            <w:r>
              <w:rPr>
                <w:sz w:val="18"/>
              </w:rPr>
              <w:t>Category of one-off compliance costs</w:t>
            </w:r>
          </w:p>
        </w:tc>
        <w:tc>
          <w:tcPr>
            <w:tcW w:w="3025" w:type="dxa"/>
            <w:gridSpan w:val="2"/>
            <w:tcBorders>
              <w:top w:val="single" w:sz="8" w:space="0" w:color="auto"/>
              <w:left w:val="single" w:sz="12" w:space="0" w:color="auto"/>
              <w:right w:val="single" w:sz="4" w:space="0" w:color="auto"/>
            </w:tcBorders>
            <w:shd w:val="clear" w:color="auto" w:fill="BFBFBF" w:themeFill="background1" w:themeFillShade="BF"/>
            <w:vAlign w:val="center"/>
          </w:tcPr>
          <w:p w14:paraId="006E58D1" w14:textId="77777777" w:rsidR="001E082A" w:rsidRPr="00BE5BA6" w:rsidRDefault="001E082A" w:rsidP="00A979FD">
            <w:pPr>
              <w:keepNext/>
              <w:jc w:val="center"/>
              <w:rPr>
                <w:sz w:val="18"/>
                <w:szCs w:val="18"/>
              </w:rPr>
            </w:pPr>
            <w:r>
              <w:rPr>
                <w:sz w:val="18"/>
              </w:rPr>
              <w:t>Proportion of the category in the one-off compliance costs</w:t>
            </w:r>
          </w:p>
        </w:tc>
      </w:tr>
      <w:tr w:rsidR="001E082A" w:rsidRPr="00BE5BA6" w14:paraId="5FE62247" w14:textId="77777777" w:rsidTr="00E747E4">
        <w:tc>
          <w:tcPr>
            <w:tcW w:w="6047" w:type="dxa"/>
            <w:vMerge/>
            <w:shd w:val="clear" w:color="auto" w:fill="BFBFBF" w:themeFill="background1" w:themeFillShade="BF"/>
          </w:tcPr>
          <w:p w14:paraId="7A6193D8" w14:textId="77777777" w:rsidR="001E082A" w:rsidRPr="00BE5BA6" w:rsidRDefault="001E082A" w:rsidP="00A979FD">
            <w:pPr>
              <w:keepNext/>
              <w:rPr>
                <w:sz w:val="18"/>
                <w:szCs w:val="18"/>
              </w:rPr>
            </w:pPr>
          </w:p>
        </w:tc>
        <w:tc>
          <w:tcPr>
            <w:tcW w:w="1498" w:type="dxa"/>
            <w:tcBorders>
              <w:top w:val="single" w:sz="8" w:space="0" w:color="auto"/>
              <w:left w:val="single" w:sz="12" w:space="0" w:color="auto"/>
              <w:right w:val="single" w:sz="4" w:space="0" w:color="auto"/>
            </w:tcBorders>
            <w:shd w:val="clear" w:color="auto" w:fill="BFBFBF" w:themeFill="background1" w:themeFillShade="BF"/>
          </w:tcPr>
          <w:p w14:paraId="0C71BE72" w14:textId="0E529F95" w:rsidR="001E082A" w:rsidRPr="00BE5BA6" w:rsidRDefault="001E082A" w:rsidP="00A979FD">
            <w:pPr>
              <w:keepNext/>
              <w:rPr>
                <w:sz w:val="18"/>
                <w:szCs w:val="18"/>
              </w:rPr>
            </w:pPr>
            <w:r>
              <w:rPr>
                <w:sz w:val="18"/>
              </w:rPr>
              <w:t>Personnel costs (in thousands of EUR)</w:t>
            </w:r>
          </w:p>
        </w:tc>
        <w:tc>
          <w:tcPr>
            <w:tcW w:w="1527" w:type="dxa"/>
            <w:tcBorders>
              <w:top w:val="single" w:sz="8" w:space="0" w:color="auto"/>
              <w:left w:val="single" w:sz="4" w:space="0" w:color="auto"/>
              <w:right w:val="single" w:sz="4" w:space="0" w:color="auto"/>
            </w:tcBorders>
            <w:shd w:val="clear" w:color="auto" w:fill="BFBFBF" w:themeFill="background1" w:themeFillShade="BF"/>
          </w:tcPr>
          <w:p w14:paraId="02A3C5C1" w14:textId="0AD89A96" w:rsidR="001E082A" w:rsidRPr="00BE5BA6" w:rsidRDefault="001E082A" w:rsidP="00A979FD">
            <w:pPr>
              <w:keepNext/>
              <w:rPr>
                <w:sz w:val="18"/>
                <w:szCs w:val="18"/>
              </w:rPr>
            </w:pPr>
            <w:r>
              <w:rPr>
                <w:sz w:val="18"/>
              </w:rPr>
              <w:t>Material expenses (in thousands of EUR)</w:t>
            </w:r>
          </w:p>
        </w:tc>
      </w:tr>
      <w:tr w:rsidR="001E082A" w:rsidRPr="00BE5BA6" w14:paraId="5B9F07EE" w14:textId="77777777" w:rsidTr="00E747E4">
        <w:tc>
          <w:tcPr>
            <w:tcW w:w="6047" w:type="dxa"/>
            <w:vAlign w:val="center"/>
          </w:tcPr>
          <w:p w14:paraId="1ABDDB3C" w14:textId="7130D385" w:rsidR="001E082A" w:rsidRPr="00BE5BA6" w:rsidRDefault="00467FCE" w:rsidP="001A3DAB">
            <w:pPr>
              <w:rPr>
                <w:sz w:val="18"/>
                <w:szCs w:val="18"/>
              </w:rPr>
            </w:pPr>
            <w:sdt>
              <w:sdtPr>
                <w:rPr>
                  <w:sz w:val="18"/>
                </w:rPr>
                <w:alias w:val="Category of one-off compliance costs"/>
                <w:tag w:val="Kategorie des einmaligen Erfüllungsaufwand"/>
                <w:id w:val="1369337912"/>
                <w:placeholder>
                  <w:docPart w:val="6C584C4F6ECE4DF982FC8F19838DC9FC"/>
                </w:placeholder>
                <w:dropDownList>
                  <w:listItem w:displayText="[select a category of one-off compliance cost here]" w:value="[hier eine Kategorie des einmaligen Erfüllungsaufwands auswählen]"/>
                  <w:listItem w:displayText="Acquisition or retrofitting of machinery, equipment, buildings and infrastructure facilities " w:value="Anschaffung oder Nachrüstung von Maschinen, Anlagen, Gebäuden und Infrastruktureinrichtungen "/>
                  <w:listItem w:displayText="Introduction or adaptation of digital process flows " w:value="Einführung oder Anpassung digitaler Prozessabläufe "/>
                  <w:listItem w:displayText="Einmalige Informationspflicht " w:value="Einmalige Informationspflicht "/>
                  <w:listItem w:displayText="Training costs" w:value="Schulungskosten"/>
                  <w:listItem w:displayText="Adaptation of organisational structures " w:value="Anpassung von Organisationsstrukturen "/>
                  <w:listItem w:displayText="Adaptation of products, manufacturing processes and procurement channels " w:value="Anpassung von Produkten, Fertigungsprozessen und Beschaffungswegen "/>
                  <w:listItem w:displayText="Other" w:value="Sonstiges"/>
                </w:dropDownList>
              </w:sdtPr>
              <w:sdtEndPr/>
              <w:sdtContent>
                <w:r w:rsidR="005C32D2">
                  <w:rPr>
                    <w:sz w:val="18"/>
                  </w:rPr>
                  <w:t xml:space="preserve">One-off information obligation </w:t>
                </w:r>
              </w:sdtContent>
            </w:sdt>
          </w:p>
        </w:tc>
        <w:tc>
          <w:tcPr>
            <w:tcW w:w="1498" w:type="dxa"/>
            <w:tcBorders>
              <w:left w:val="single" w:sz="12" w:space="0" w:color="auto"/>
              <w:right w:val="single" w:sz="4" w:space="0" w:color="auto"/>
            </w:tcBorders>
            <w:vAlign w:val="center"/>
          </w:tcPr>
          <w:p w14:paraId="00904453" w14:textId="77777777" w:rsidR="001E082A" w:rsidRPr="00BE5BA6" w:rsidRDefault="001E082A" w:rsidP="001A3DAB">
            <w:pPr>
              <w:jc w:val="center"/>
              <w:rPr>
                <w:sz w:val="18"/>
                <w:szCs w:val="18"/>
              </w:rPr>
            </w:pPr>
            <w:r>
              <w:rPr>
                <w:sz w:val="18"/>
              </w:rPr>
              <w:t>153</w:t>
            </w:r>
          </w:p>
        </w:tc>
        <w:tc>
          <w:tcPr>
            <w:tcW w:w="1527" w:type="dxa"/>
            <w:tcBorders>
              <w:left w:val="single" w:sz="4" w:space="0" w:color="auto"/>
              <w:right w:val="single" w:sz="4" w:space="0" w:color="auto"/>
            </w:tcBorders>
            <w:vAlign w:val="center"/>
          </w:tcPr>
          <w:p w14:paraId="3999C81E" w14:textId="77777777" w:rsidR="001E082A" w:rsidRPr="00BE5BA6" w:rsidRDefault="001E082A" w:rsidP="001A3DAB">
            <w:pPr>
              <w:jc w:val="center"/>
              <w:rPr>
                <w:sz w:val="18"/>
                <w:szCs w:val="18"/>
              </w:rPr>
            </w:pPr>
            <w:r>
              <w:rPr>
                <w:sz w:val="18"/>
              </w:rPr>
              <w:t>-</w:t>
            </w:r>
          </w:p>
        </w:tc>
      </w:tr>
    </w:tbl>
    <w:p w14:paraId="435A2BFC" w14:textId="77777777" w:rsidR="001E082A" w:rsidRPr="00BE5BA6" w:rsidRDefault="001E082A" w:rsidP="00A979FD">
      <w:pPr>
        <w:keepNext/>
      </w:pPr>
      <w:r>
        <w:t>Annual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036E1CB8" w14:textId="77777777" w:rsidTr="00E747E4">
        <w:tc>
          <w:tcPr>
            <w:tcW w:w="1512" w:type="dxa"/>
            <w:shd w:val="clear" w:color="auto" w:fill="BFBFBF" w:themeFill="background1" w:themeFillShade="BF"/>
          </w:tcPr>
          <w:p w14:paraId="7556442D" w14:textId="77777777"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09826631" w14:textId="77777777"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6A971261" w14:textId="77777777"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40A9165D" w14:textId="77777777" w:rsidR="001E082A" w:rsidRPr="00BE5BA6" w:rsidRDefault="001E082A" w:rsidP="00A979FD">
            <w:pPr>
              <w:keepNext/>
              <w:rPr>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hemeFill="background1" w:themeFillShade="BF"/>
          </w:tcPr>
          <w:p w14:paraId="31CBC2AE" w14:textId="02B2470C"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70F85F54" w14:textId="4AE68E78" w:rsidR="001E082A" w:rsidRPr="00BE5BA6" w:rsidRDefault="001E082A" w:rsidP="00A979FD">
            <w:pPr>
              <w:keepNext/>
              <w:rPr>
                <w:sz w:val="18"/>
                <w:szCs w:val="18"/>
              </w:rPr>
            </w:pPr>
            <w:r>
              <w:rPr>
                <w:sz w:val="18"/>
              </w:rPr>
              <w:t>Material expenses (in thousands of EUR)</w:t>
            </w:r>
          </w:p>
        </w:tc>
      </w:tr>
      <w:tr w:rsidR="001E082A" w:rsidRPr="00BE5BA6" w14:paraId="256FD6BB" w14:textId="77777777" w:rsidTr="00E747E4">
        <w:tc>
          <w:tcPr>
            <w:tcW w:w="1512" w:type="dxa"/>
            <w:vAlign w:val="center"/>
          </w:tcPr>
          <w:p w14:paraId="3250746B" w14:textId="77777777" w:rsidR="001E082A" w:rsidRPr="00BE5BA6" w:rsidRDefault="001E082A" w:rsidP="001A3DAB">
            <w:pPr>
              <w:jc w:val="center"/>
              <w:rPr>
                <w:sz w:val="18"/>
                <w:szCs w:val="18"/>
              </w:rPr>
            </w:pPr>
            <w:r>
              <w:rPr>
                <w:sz w:val="18"/>
              </w:rPr>
              <w:t>750</w:t>
            </w:r>
          </w:p>
        </w:tc>
        <w:tc>
          <w:tcPr>
            <w:tcW w:w="1512" w:type="dxa"/>
            <w:vAlign w:val="center"/>
          </w:tcPr>
          <w:p w14:paraId="538F01D7" w14:textId="77777777" w:rsidR="001E082A" w:rsidRPr="00BE5BA6" w:rsidRDefault="001E082A" w:rsidP="001A3DAB">
            <w:pPr>
              <w:jc w:val="center"/>
              <w:rPr>
                <w:sz w:val="18"/>
                <w:szCs w:val="18"/>
              </w:rPr>
            </w:pPr>
            <w:r>
              <w:rPr>
                <w:sz w:val="18"/>
              </w:rPr>
              <w:t>30</w:t>
            </w:r>
          </w:p>
        </w:tc>
        <w:tc>
          <w:tcPr>
            <w:tcW w:w="1512" w:type="dxa"/>
            <w:vAlign w:val="center"/>
          </w:tcPr>
          <w:p w14:paraId="30466E32" w14:textId="77777777" w:rsidR="001E082A" w:rsidRPr="00BE5BA6" w:rsidRDefault="001E082A" w:rsidP="001A3DAB">
            <w:pPr>
              <w:jc w:val="center"/>
              <w:rPr>
                <w:sz w:val="18"/>
                <w:szCs w:val="18"/>
              </w:rPr>
            </w:pPr>
            <w:r>
              <w:rPr>
                <w:sz w:val="18"/>
              </w:rPr>
              <w:t>40.70</w:t>
            </w:r>
          </w:p>
        </w:tc>
        <w:tc>
          <w:tcPr>
            <w:tcW w:w="1512" w:type="dxa"/>
            <w:tcBorders>
              <w:right w:val="single" w:sz="12" w:space="0" w:color="auto"/>
            </w:tcBorders>
            <w:vAlign w:val="center"/>
          </w:tcPr>
          <w:p w14:paraId="18FE4CE2" w14:textId="77777777" w:rsidR="001E082A" w:rsidRPr="00BE5BA6" w:rsidRDefault="001E082A" w:rsidP="001A3DAB">
            <w:pPr>
              <w:jc w:val="center"/>
              <w:rPr>
                <w:sz w:val="18"/>
                <w:szCs w:val="18"/>
              </w:rPr>
            </w:pPr>
            <w:r>
              <w:rPr>
                <w:sz w:val="18"/>
              </w:rPr>
              <w:t>-</w:t>
            </w:r>
          </w:p>
        </w:tc>
        <w:tc>
          <w:tcPr>
            <w:tcW w:w="1512" w:type="dxa"/>
            <w:tcBorders>
              <w:left w:val="single" w:sz="12" w:space="0" w:color="auto"/>
            </w:tcBorders>
            <w:vAlign w:val="center"/>
          </w:tcPr>
          <w:p w14:paraId="6ED82FF9" w14:textId="77777777" w:rsidR="001E082A" w:rsidRPr="00BE5BA6" w:rsidRDefault="001E082A" w:rsidP="001A3DAB">
            <w:pPr>
              <w:jc w:val="center"/>
              <w:rPr>
                <w:sz w:val="18"/>
                <w:szCs w:val="18"/>
              </w:rPr>
            </w:pPr>
            <w:r>
              <w:rPr>
                <w:sz w:val="18"/>
              </w:rPr>
              <w:t>+15</w:t>
            </w:r>
          </w:p>
        </w:tc>
        <w:tc>
          <w:tcPr>
            <w:tcW w:w="1512" w:type="dxa"/>
            <w:tcBorders>
              <w:right w:val="single" w:sz="8" w:space="0" w:color="auto"/>
            </w:tcBorders>
            <w:vAlign w:val="center"/>
          </w:tcPr>
          <w:p w14:paraId="76B5544C" w14:textId="77777777" w:rsidR="001E082A" w:rsidRPr="00BE5BA6" w:rsidRDefault="001E082A" w:rsidP="001A3DAB">
            <w:pPr>
              <w:jc w:val="center"/>
              <w:rPr>
                <w:sz w:val="18"/>
                <w:szCs w:val="18"/>
              </w:rPr>
            </w:pPr>
            <w:r>
              <w:rPr>
                <w:sz w:val="18"/>
              </w:rPr>
              <w:t>-</w:t>
            </w:r>
          </w:p>
        </w:tc>
      </w:tr>
      <w:tr w:rsidR="001E082A" w:rsidRPr="00BE5BA6" w14:paraId="4D363E52" w14:textId="77777777" w:rsidTr="00E747E4">
        <w:tc>
          <w:tcPr>
            <w:tcW w:w="6048" w:type="dxa"/>
            <w:gridSpan w:val="4"/>
            <w:tcBorders>
              <w:right w:val="single" w:sz="12" w:space="0" w:color="auto"/>
            </w:tcBorders>
            <w:shd w:val="clear" w:color="auto" w:fill="BFBFBF" w:themeFill="background1" w:themeFillShade="BF"/>
            <w:vAlign w:val="center"/>
          </w:tcPr>
          <w:p w14:paraId="4E8D85CC" w14:textId="01680FE0" w:rsidR="001E082A" w:rsidRPr="00BE5BA6" w:rsidRDefault="001E082A" w:rsidP="00E747E4">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2652AFFD" w14:textId="77777777" w:rsidR="001E082A" w:rsidRPr="00BE5BA6" w:rsidRDefault="001E082A" w:rsidP="00E747E4">
            <w:pPr>
              <w:jc w:val="center"/>
              <w:rPr>
                <w:sz w:val="18"/>
                <w:szCs w:val="18"/>
              </w:rPr>
            </w:pPr>
            <w:r>
              <w:rPr>
                <w:sz w:val="18"/>
              </w:rPr>
              <w:t>+15</w:t>
            </w:r>
          </w:p>
        </w:tc>
      </w:tr>
    </w:tbl>
    <w:p w14:paraId="1F1F9145" w14:textId="7944E6A9" w:rsidR="001E082A" w:rsidRPr="00BE5BA6" w:rsidRDefault="001E082A" w:rsidP="00D56402">
      <w:pPr>
        <w:rPr>
          <w:rFonts w:eastAsia="Times New Roman"/>
        </w:rPr>
      </w:pPr>
      <w:r>
        <w:t xml:space="preserve">The amendment to § 9(1) sentence 1 of the Packaging Act provides that all producers of packaging filled with goods shall now register with the Central Authority instead of only the producer pursuant to § 7(1) sentence 1 of the Packaging Act. As a result, producers of packaging that is not subject to the scheme participation obligation (transport packaging, sales and secondary packaging that does not typically accrue </w:t>
      </w:r>
      <w:r w:rsidR="00C059FB">
        <w:t>for</w:t>
      </w:r>
      <w:r>
        <w:t xml:space="preserve"> private final consumers after use, sales and secondary packaging, sales packaging with fillers containing pollutants and producers of reusable packaging) will also be affected in future. </w:t>
      </w:r>
    </w:p>
    <w:p w14:paraId="1914CB40" w14:textId="6B7033B1" w:rsidR="001E082A" w:rsidRPr="00BE5BA6" w:rsidRDefault="001E082A" w:rsidP="00D56402">
      <w:pPr>
        <w:rPr>
          <w:rFonts w:eastAsia="Times New Roman"/>
        </w:rPr>
      </w:pPr>
      <w:r>
        <w:t xml:space="preserve">The number of cases is assumed to be around 7 500 producers who now have to register on a one-time basis. This number of cases corresponds to the findings of a survey conducted by the DIHK in 2016 for the estimate made at that time for the new Packaging </w:t>
      </w:r>
      <w:r>
        <w:lastRenderedPageBreak/>
        <w:t xml:space="preserve">Act. According to the DIHK’s statement at the time, the number of companies placing on the market either pure transport packaging, sales packaging or secondary packaging or sales packaging containing pollutants for which scheme participation is not possible because of scheme incompatibility under § 7(5) of the Packaging Act is negligible. According to the ‘who supplies what’ principle, the number of producers of reusable packaging is around 100. The number of companies placing on the market sales packaging and secondary packaging which does not accumulate as waste when it reaches private final consumers was estimated at between 5 000 and 10 000 companies. The approximate number of cases for further action is estimated at around 7 500 enterprises. </w:t>
      </w:r>
    </w:p>
    <w:p w14:paraId="4DC61F28" w14:textId="4A7BFEE4" w:rsidR="001E082A" w:rsidRPr="00BE5BA6" w:rsidRDefault="001E082A" w:rsidP="00D56402">
      <w:pPr>
        <w:rPr>
          <w:rFonts w:eastAsia="Times New Roman"/>
        </w:rPr>
      </w:pPr>
      <w:r>
        <w:t xml:space="preserve">The number of new producers per year cannot be estimated precisely, as this depends on market developments. It is assumed that the total number of producers remains constant, but that about 10 % rotate annually. Accordingly, about 750 new producers would have to register each year. </w:t>
      </w:r>
    </w:p>
    <w:p w14:paraId="44A61141" w14:textId="7FCFBB7A" w:rsidR="001E082A" w:rsidRPr="00BE5BA6" w:rsidRDefault="001E082A" w:rsidP="00D56402">
      <w:pPr>
        <w:rPr>
          <w:rFonts w:eastAsia="Times New Roman"/>
        </w:rPr>
      </w:pPr>
      <w:r>
        <w:t>The 30 minutes required for registration with the Central Authority corresponds to the requirement recorded in the SCM database ‘obligation to register with the Central Authority and to notify changes’.</w:t>
      </w:r>
    </w:p>
    <w:p w14:paraId="7E345638" w14:textId="34EB1A8C" w:rsidR="001E082A" w:rsidRPr="00BE5BA6" w:rsidRDefault="001E082A" w:rsidP="00D56402">
      <w:pPr>
        <w:rPr>
          <w:rFonts w:eastAsia="Times New Roman"/>
        </w:rPr>
      </w:pPr>
      <w:r>
        <w:t xml:space="preserve">The average wage rate of EUR 40.70 per hour applies. This corresponds to Economic Section C of the Statistical Business Register ‘Manufacturing’. </w:t>
      </w:r>
    </w:p>
    <w:p w14:paraId="38DCB115" w14:textId="3A2AE759" w:rsidR="001E082A" w:rsidRPr="00BE5BA6" w:rsidRDefault="001E082A" w:rsidP="00D56402">
      <w:pPr>
        <w:rPr>
          <w:rFonts w:eastAsia="Times New Roman"/>
        </w:rPr>
      </w:pPr>
      <w:r>
        <w:t xml:space="preserve">This results in a </w:t>
      </w:r>
      <w:r>
        <w:rPr>
          <w:b/>
        </w:rPr>
        <w:t>one-off compliance cost of approximately EUR 153 thousand</w:t>
      </w:r>
      <w:r>
        <w:t>.</w:t>
      </w:r>
    </w:p>
    <w:p w14:paraId="05824D85" w14:textId="04E91B94" w:rsidR="001E082A" w:rsidRPr="00BE5BA6" w:rsidRDefault="001E082A" w:rsidP="00D56402">
      <w:pPr>
        <w:rPr>
          <w:rFonts w:eastAsia="Times New Roman"/>
        </w:rPr>
      </w:pPr>
      <w:r>
        <w:t xml:space="preserve">In addition, there is an </w:t>
      </w:r>
      <w:r>
        <w:rPr>
          <w:b/>
        </w:rPr>
        <w:t>annual compliance cost of around EUR +15 thousand</w:t>
      </w:r>
      <w:r>
        <w:t>.</w:t>
      </w:r>
    </w:p>
    <w:p w14:paraId="72E4A774" w14:textId="6351DD19" w:rsidR="001E082A" w:rsidRPr="00BE5BA6" w:rsidRDefault="001E082A" w:rsidP="00A979FD">
      <w:pPr>
        <w:keepNext/>
        <w:rPr>
          <w:rFonts w:eastAsia="Times New Roman"/>
          <w:b/>
        </w:rPr>
      </w:pPr>
      <w:r>
        <w:rPr>
          <w:b/>
        </w:rPr>
        <w:t>Requirement 5 (Information obligation):</w:t>
      </w:r>
      <w:r w:rsidR="00C059FB">
        <w:rPr>
          <w:b/>
        </w:rPr>
        <w:t xml:space="preserve"> </w:t>
      </w:r>
      <w:r>
        <w:rPr>
          <w:b/>
        </w:rPr>
        <w:t>Change in the transmission of registration data; Article 1 § 9(2)(1) and (4) of the Packaging Act</w:t>
      </w:r>
    </w:p>
    <w:p w14:paraId="48F8F990" w14:textId="7FA1BCB2" w:rsidR="001E082A" w:rsidRPr="00BE5BA6" w:rsidRDefault="001E082A" w:rsidP="00D56402">
      <w:pPr>
        <w:rPr>
          <w:rFonts w:eastAsia="Times New Roman"/>
        </w:rPr>
      </w:pPr>
      <w:r>
        <w:t xml:space="preserve">Additional features are added to § 9(2)(1) and (4) of the Packaging Act which are already requested when registering companies with the Central Authority Packaging Register (European tax number). The </w:t>
      </w:r>
      <w:r>
        <w:rPr>
          <w:b/>
        </w:rPr>
        <w:t>compliance costs for the producers concerned do not change</w:t>
      </w:r>
      <w:r>
        <w:t>, as this is only a legal anchoring of an already existing procedure.</w:t>
      </w:r>
    </w:p>
    <w:p w14:paraId="128ADCDC" w14:textId="569C0416" w:rsidR="001E082A" w:rsidRPr="00BE5BA6" w:rsidRDefault="001E082A" w:rsidP="00A979FD">
      <w:pPr>
        <w:keepNext/>
        <w:rPr>
          <w:rFonts w:eastAsia="Times New Roman"/>
          <w:b/>
        </w:rPr>
      </w:pPr>
      <w:r>
        <w:rPr>
          <w:b/>
        </w:rPr>
        <w:t>Requirement 6 (Information obligation):</w:t>
      </w:r>
      <w:r w:rsidR="00C059FB">
        <w:rPr>
          <w:b/>
        </w:rPr>
        <w:t xml:space="preserve"> </w:t>
      </w:r>
      <w:r>
        <w:rPr>
          <w:b/>
        </w:rPr>
        <w:t>Registration in the case of an authorised representative; Article 1 § 9(2)(2) Packaging Act</w:t>
      </w:r>
    </w:p>
    <w:p w14:paraId="7447ABB3" w14:textId="77777777" w:rsidR="001E082A" w:rsidRPr="00BE5BA6" w:rsidRDefault="001E082A" w:rsidP="00A979FD">
      <w:pPr>
        <w:keepNext/>
      </w:pPr>
      <w:r>
        <w:t>Annual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492A1B28" w14:textId="77777777" w:rsidTr="00E747E4">
        <w:tc>
          <w:tcPr>
            <w:tcW w:w="1512" w:type="dxa"/>
            <w:shd w:val="clear" w:color="auto" w:fill="BFBFBF" w:themeFill="background1" w:themeFillShade="BF"/>
          </w:tcPr>
          <w:p w14:paraId="7C92F2AD" w14:textId="77777777"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2C74D268" w14:textId="77777777"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18B8A77E" w14:textId="77777777"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7EFE39BA" w14:textId="77777777" w:rsidR="001E082A" w:rsidRPr="00BE5BA6" w:rsidRDefault="001E082A" w:rsidP="00A979FD">
            <w:pPr>
              <w:keepNext/>
              <w:rPr>
                <w:sz w:val="18"/>
                <w:szCs w:val="18"/>
              </w:rPr>
            </w:pPr>
            <w:r>
              <w:rPr>
                <w:sz w:val="18"/>
              </w:rPr>
              <w:t>Material expenses per case (in EUR)</w:t>
            </w:r>
          </w:p>
        </w:tc>
        <w:tc>
          <w:tcPr>
            <w:tcW w:w="1512" w:type="dxa"/>
            <w:tcBorders>
              <w:top w:val="single" w:sz="8" w:space="0" w:color="auto"/>
              <w:left w:val="single" w:sz="12" w:space="0" w:color="auto"/>
            </w:tcBorders>
            <w:shd w:val="clear" w:color="auto" w:fill="BFBFBF" w:themeFill="background1" w:themeFillShade="BF"/>
          </w:tcPr>
          <w:p w14:paraId="79F9942C" w14:textId="40DDF3AE"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76B642B5" w14:textId="5581DA1C" w:rsidR="001E082A" w:rsidRPr="00BE5BA6" w:rsidRDefault="001E082A" w:rsidP="00A979FD">
            <w:pPr>
              <w:keepNext/>
              <w:rPr>
                <w:sz w:val="18"/>
                <w:szCs w:val="18"/>
              </w:rPr>
            </w:pPr>
            <w:r>
              <w:rPr>
                <w:sz w:val="18"/>
              </w:rPr>
              <w:t>Material expenses (in thousands of EUR)</w:t>
            </w:r>
          </w:p>
        </w:tc>
      </w:tr>
      <w:tr w:rsidR="001E082A" w:rsidRPr="00BE5BA6" w14:paraId="4938272A" w14:textId="77777777" w:rsidTr="00E747E4">
        <w:tc>
          <w:tcPr>
            <w:tcW w:w="1512" w:type="dxa"/>
            <w:vAlign w:val="center"/>
          </w:tcPr>
          <w:p w14:paraId="6F609BAE" w14:textId="77777777" w:rsidR="001E082A" w:rsidRPr="00BE5BA6" w:rsidRDefault="001E082A" w:rsidP="001A3DAB">
            <w:pPr>
              <w:jc w:val="center"/>
              <w:rPr>
                <w:sz w:val="18"/>
                <w:szCs w:val="18"/>
              </w:rPr>
            </w:pPr>
            <w:r>
              <w:rPr>
                <w:sz w:val="18"/>
              </w:rPr>
              <w:t>288</w:t>
            </w:r>
          </w:p>
        </w:tc>
        <w:tc>
          <w:tcPr>
            <w:tcW w:w="1512" w:type="dxa"/>
            <w:vAlign w:val="center"/>
          </w:tcPr>
          <w:p w14:paraId="68414D5B" w14:textId="77777777" w:rsidR="001E082A" w:rsidRPr="00BE5BA6" w:rsidRDefault="001E082A" w:rsidP="001A3DAB">
            <w:pPr>
              <w:jc w:val="center"/>
              <w:rPr>
                <w:sz w:val="18"/>
                <w:szCs w:val="18"/>
              </w:rPr>
            </w:pPr>
            <w:r>
              <w:rPr>
                <w:sz w:val="18"/>
              </w:rPr>
              <w:t>15</w:t>
            </w:r>
          </w:p>
        </w:tc>
        <w:tc>
          <w:tcPr>
            <w:tcW w:w="1512" w:type="dxa"/>
            <w:vAlign w:val="center"/>
          </w:tcPr>
          <w:p w14:paraId="2C4192AC" w14:textId="77777777" w:rsidR="001E082A" w:rsidRPr="00BE5BA6" w:rsidRDefault="001E082A" w:rsidP="001A3DAB">
            <w:pPr>
              <w:jc w:val="center"/>
              <w:rPr>
                <w:sz w:val="18"/>
                <w:szCs w:val="18"/>
              </w:rPr>
            </w:pPr>
            <w:r>
              <w:rPr>
                <w:sz w:val="18"/>
              </w:rPr>
              <w:t>40.70</w:t>
            </w:r>
          </w:p>
        </w:tc>
        <w:tc>
          <w:tcPr>
            <w:tcW w:w="1512" w:type="dxa"/>
            <w:tcBorders>
              <w:right w:val="single" w:sz="12" w:space="0" w:color="auto"/>
            </w:tcBorders>
            <w:vAlign w:val="center"/>
          </w:tcPr>
          <w:p w14:paraId="6AA49890" w14:textId="77777777" w:rsidR="001E082A" w:rsidRPr="00BE5BA6" w:rsidRDefault="001E082A" w:rsidP="001A3DAB">
            <w:pPr>
              <w:jc w:val="center"/>
              <w:rPr>
                <w:sz w:val="18"/>
                <w:szCs w:val="18"/>
              </w:rPr>
            </w:pPr>
            <w:r>
              <w:rPr>
                <w:sz w:val="18"/>
              </w:rPr>
              <w:t>-</w:t>
            </w:r>
          </w:p>
        </w:tc>
        <w:tc>
          <w:tcPr>
            <w:tcW w:w="1512" w:type="dxa"/>
            <w:tcBorders>
              <w:left w:val="single" w:sz="12" w:space="0" w:color="auto"/>
            </w:tcBorders>
            <w:vAlign w:val="center"/>
          </w:tcPr>
          <w:p w14:paraId="477DC279" w14:textId="77777777" w:rsidR="001E082A" w:rsidRPr="00BE5BA6" w:rsidRDefault="001E082A" w:rsidP="001A3DAB">
            <w:pPr>
              <w:jc w:val="center"/>
              <w:rPr>
                <w:sz w:val="18"/>
                <w:szCs w:val="18"/>
              </w:rPr>
            </w:pPr>
            <w:r>
              <w:rPr>
                <w:sz w:val="18"/>
              </w:rPr>
              <w:t>+3</w:t>
            </w:r>
          </w:p>
        </w:tc>
        <w:tc>
          <w:tcPr>
            <w:tcW w:w="1512" w:type="dxa"/>
            <w:tcBorders>
              <w:right w:val="single" w:sz="8" w:space="0" w:color="auto"/>
            </w:tcBorders>
            <w:vAlign w:val="center"/>
          </w:tcPr>
          <w:p w14:paraId="3E9A86F4" w14:textId="77777777" w:rsidR="001E082A" w:rsidRPr="00BE5BA6" w:rsidRDefault="001E082A" w:rsidP="001A3DAB">
            <w:pPr>
              <w:jc w:val="center"/>
              <w:rPr>
                <w:sz w:val="18"/>
                <w:szCs w:val="18"/>
              </w:rPr>
            </w:pPr>
            <w:r>
              <w:rPr>
                <w:sz w:val="18"/>
              </w:rPr>
              <w:t>-</w:t>
            </w:r>
          </w:p>
        </w:tc>
      </w:tr>
      <w:tr w:rsidR="001E082A" w:rsidRPr="00BE5BA6" w14:paraId="0F3435BF" w14:textId="77777777" w:rsidTr="00E747E4">
        <w:tc>
          <w:tcPr>
            <w:tcW w:w="6048" w:type="dxa"/>
            <w:gridSpan w:val="4"/>
            <w:tcBorders>
              <w:right w:val="single" w:sz="12" w:space="0" w:color="auto"/>
            </w:tcBorders>
            <w:shd w:val="clear" w:color="auto" w:fill="BFBFBF" w:themeFill="background1" w:themeFillShade="BF"/>
            <w:vAlign w:val="center"/>
          </w:tcPr>
          <w:p w14:paraId="0A435F03" w14:textId="22FA7C14" w:rsidR="001E082A" w:rsidRPr="00BE5BA6" w:rsidRDefault="001E082A" w:rsidP="00E747E4">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55A0A704" w14:textId="77777777" w:rsidR="001E082A" w:rsidRPr="00BE5BA6" w:rsidRDefault="001E082A" w:rsidP="00E747E4">
            <w:pPr>
              <w:jc w:val="center"/>
              <w:rPr>
                <w:sz w:val="18"/>
                <w:szCs w:val="18"/>
              </w:rPr>
            </w:pPr>
            <w:r>
              <w:rPr>
                <w:sz w:val="18"/>
              </w:rPr>
              <w:t>+3</w:t>
            </w:r>
          </w:p>
        </w:tc>
      </w:tr>
    </w:tbl>
    <w:p w14:paraId="5DFB7A88" w14:textId="399B4ECD" w:rsidR="001E082A" w:rsidRPr="00BE5BA6" w:rsidRDefault="001E082A" w:rsidP="00D56402">
      <w:pPr>
        <w:rPr>
          <w:rFonts w:eastAsia="Times New Roman"/>
        </w:rPr>
      </w:pPr>
      <w:r>
        <w:t xml:space="preserve">The amendments to § 9(2)(2) of the Packaging Act provide for additional information to be provided when registering with the Central Authority in the case of delegation of authority to an authorised representative. If the registration is carried out in the case of a delegation of authority, additional information on the authorised representative is required. This includes the name, address and contact information of the authorised representative and the written mandate from the producer. </w:t>
      </w:r>
    </w:p>
    <w:p w14:paraId="1398896D" w14:textId="3ED9999F" w:rsidR="001E082A" w:rsidRPr="00BE5BA6" w:rsidRDefault="001E082A" w:rsidP="003B6D5E">
      <w:pPr>
        <w:jc w:val="left"/>
        <w:rPr>
          <w:rFonts w:eastAsia="Times New Roman"/>
        </w:rPr>
      </w:pPr>
      <w:r>
        <w:t xml:space="preserve">It is estimated that approximately 5 % of annual registrations are made by a producer who has appointed an authorised representative. The companies obliged to register include both the producers of packaging not subject to the scheme participation obligation (750 producers per year; see Requirement 4 – Business) and the annual registrations of </w:t>
      </w:r>
      <w:r>
        <w:lastRenderedPageBreak/>
        <w:t xml:space="preserve">producers of packaging subject to the scheme participation obligation (5 000 producers per year). </w:t>
      </w:r>
      <w:r>
        <w:br/>
        <w:t>Accordingly, the number of registrations in the case of an authorised representative is around 288 (5 750 * 0.05).</w:t>
      </w:r>
    </w:p>
    <w:p w14:paraId="5E091063" w14:textId="23246F3F" w:rsidR="001E082A" w:rsidRPr="00BE5BA6" w:rsidRDefault="001E082A" w:rsidP="00D56402">
      <w:pPr>
        <w:rPr>
          <w:rFonts w:eastAsia="Times New Roman"/>
        </w:rPr>
      </w:pPr>
      <w:r>
        <w:t xml:space="preserve">The following standard activities are used as the basis to derive the time required: Obtaining data and information and filling out forms. A total of 15 minutes is expected for the rest of the procedure. </w:t>
      </w:r>
    </w:p>
    <w:p w14:paraId="1CC687F9" w14:textId="713E969C" w:rsidR="001E082A" w:rsidRPr="00BE5BA6" w:rsidRDefault="001E082A" w:rsidP="00D56402">
      <w:pPr>
        <w:rPr>
          <w:rFonts w:eastAsia="Times New Roman"/>
        </w:rPr>
      </w:pPr>
      <w:r>
        <w:t xml:space="preserve">The average wage rate of EUR 40.70 per hour applies. This corresponds to Economic Section C of the Statistical Business Register ‘Manufacturing’. </w:t>
      </w:r>
    </w:p>
    <w:p w14:paraId="075B256A" w14:textId="64FA5AF8" w:rsidR="001E082A" w:rsidRPr="00BE5BA6" w:rsidRDefault="001E082A" w:rsidP="00D56402">
      <w:pPr>
        <w:rPr>
          <w:rFonts w:eastAsia="Times New Roman"/>
        </w:rPr>
      </w:pPr>
      <w:r>
        <w:t xml:space="preserve">The </w:t>
      </w:r>
      <w:r>
        <w:rPr>
          <w:b/>
        </w:rPr>
        <w:t>annual compliance costs</w:t>
      </w:r>
      <w:r>
        <w:t xml:space="preserve"> change by around </w:t>
      </w:r>
      <w:r>
        <w:rPr>
          <w:b/>
        </w:rPr>
        <w:t>EUR +3 thousand</w:t>
      </w:r>
      <w:r>
        <w:t>.</w:t>
      </w:r>
    </w:p>
    <w:p w14:paraId="4EB711B3" w14:textId="3A55B16F" w:rsidR="001E082A" w:rsidRPr="00BE5BA6" w:rsidRDefault="001E082A" w:rsidP="00A979FD">
      <w:pPr>
        <w:keepNext/>
        <w:rPr>
          <w:rFonts w:eastAsia="Times New Roman"/>
          <w:b/>
        </w:rPr>
      </w:pPr>
      <w:r>
        <w:rPr>
          <w:b/>
        </w:rPr>
        <w:t>Requirement 7 (Information obligation):</w:t>
      </w:r>
      <w:r w:rsidR="00C059FB">
        <w:rPr>
          <w:b/>
        </w:rPr>
        <w:t xml:space="preserve"> </w:t>
      </w:r>
      <w:r>
        <w:rPr>
          <w:b/>
        </w:rPr>
        <w:t>Determination of data during registration; Article 1 § 9(2)(6) and (7) Packaging Act</w:t>
      </w:r>
    </w:p>
    <w:p w14:paraId="602ED0B9" w14:textId="77777777" w:rsidR="001E082A" w:rsidRPr="00BE5BA6" w:rsidRDefault="001E082A" w:rsidP="00A979FD">
      <w:pPr>
        <w:keepNext/>
      </w:pPr>
      <w:r>
        <w:t>Annual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712BFD5D" w14:textId="77777777" w:rsidTr="00E747E4">
        <w:tc>
          <w:tcPr>
            <w:tcW w:w="1512" w:type="dxa"/>
            <w:shd w:val="clear" w:color="auto" w:fill="BFBFBF" w:themeFill="background1" w:themeFillShade="BF"/>
          </w:tcPr>
          <w:p w14:paraId="7F0A3B18" w14:textId="77777777"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468A0B84" w14:textId="77777777"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38E8B446" w14:textId="77777777"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5258BBCB" w14:textId="77777777" w:rsidR="001E082A" w:rsidRPr="00BE5BA6" w:rsidRDefault="001E082A" w:rsidP="00A979FD">
            <w:pPr>
              <w:keepNext/>
              <w:rPr>
                <w:sz w:val="18"/>
                <w:szCs w:val="18"/>
              </w:rPr>
            </w:pPr>
            <w:r>
              <w:rPr>
                <w:sz w:val="18"/>
              </w:rPr>
              <w:t>Material expenses per case (in EUR)</w:t>
            </w:r>
          </w:p>
        </w:tc>
        <w:tc>
          <w:tcPr>
            <w:tcW w:w="1512" w:type="dxa"/>
            <w:tcBorders>
              <w:top w:val="single" w:sz="8" w:space="0" w:color="auto"/>
              <w:left w:val="single" w:sz="12" w:space="0" w:color="auto"/>
            </w:tcBorders>
            <w:shd w:val="clear" w:color="auto" w:fill="BFBFBF" w:themeFill="background1" w:themeFillShade="BF"/>
          </w:tcPr>
          <w:p w14:paraId="312936D6" w14:textId="1654FAF4"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15296C4A" w14:textId="1A3EED35" w:rsidR="001E082A" w:rsidRPr="00BE5BA6" w:rsidRDefault="001E082A" w:rsidP="00A979FD">
            <w:pPr>
              <w:keepNext/>
              <w:rPr>
                <w:sz w:val="18"/>
                <w:szCs w:val="18"/>
              </w:rPr>
            </w:pPr>
            <w:r>
              <w:rPr>
                <w:sz w:val="18"/>
              </w:rPr>
              <w:t>Material expenses (in thousands of EUR)</w:t>
            </w:r>
          </w:p>
        </w:tc>
      </w:tr>
      <w:tr w:rsidR="001E082A" w:rsidRPr="00BE5BA6" w14:paraId="723CF7E2" w14:textId="77777777" w:rsidTr="00E747E4">
        <w:tc>
          <w:tcPr>
            <w:tcW w:w="1512" w:type="dxa"/>
            <w:vAlign w:val="center"/>
          </w:tcPr>
          <w:p w14:paraId="3FA3D89D" w14:textId="2BC7C3E3" w:rsidR="001E082A" w:rsidRPr="00BE5BA6" w:rsidRDefault="001E082A" w:rsidP="001A3DAB">
            <w:pPr>
              <w:jc w:val="center"/>
              <w:rPr>
                <w:sz w:val="18"/>
                <w:szCs w:val="18"/>
              </w:rPr>
            </w:pPr>
            <w:r>
              <w:rPr>
                <w:sz w:val="18"/>
              </w:rPr>
              <w:t>5 750</w:t>
            </w:r>
          </w:p>
        </w:tc>
        <w:tc>
          <w:tcPr>
            <w:tcW w:w="1512" w:type="dxa"/>
            <w:vAlign w:val="center"/>
          </w:tcPr>
          <w:p w14:paraId="0BB9D462" w14:textId="77777777" w:rsidR="001E082A" w:rsidRPr="00BE5BA6" w:rsidRDefault="001E082A" w:rsidP="001A3DAB">
            <w:pPr>
              <w:jc w:val="center"/>
              <w:rPr>
                <w:sz w:val="18"/>
                <w:szCs w:val="18"/>
              </w:rPr>
            </w:pPr>
            <w:r>
              <w:rPr>
                <w:sz w:val="18"/>
              </w:rPr>
              <w:t>2</w:t>
            </w:r>
          </w:p>
        </w:tc>
        <w:tc>
          <w:tcPr>
            <w:tcW w:w="1512" w:type="dxa"/>
            <w:vAlign w:val="center"/>
          </w:tcPr>
          <w:p w14:paraId="731562CE" w14:textId="77777777" w:rsidR="001E082A" w:rsidRPr="00BE5BA6" w:rsidRDefault="001E082A" w:rsidP="001A3DAB">
            <w:pPr>
              <w:jc w:val="center"/>
              <w:rPr>
                <w:sz w:val="18"/>
                <w:szCs w:val="18"/>
              </w:rPr>
            </w:pPr>
            <w:r>
              <w:rPr>
                <w:sz w:val="18"/>
              </w:rPr>
              <w:t>40.70</w:t>
            </w:r>
          </w:p>
        </w:tc>
        <w:tc>
          <w:tcPr>
            <w:tcW w:w="1512" w:type="dxa"/>
            <w:tcBorders>
              <w:right w:val="single" w:sz="12" w:space="0" w:color="auto"/>
            </w:tcBorders>
            <w:vAlign w:val="center"/>
          </w:tcPr>
          <w:p w14:paraId="167C6350" w14:textId="77777777" w:rsidR="001E082A" w:rsidRPr="00BE5BA6" w:rsidRDefault="001E082A" w:rsidP="001A3DAB">
            <w:pPr>
              <w:jc w:val="center"/>
              <w:rPr>
                <w:sz w:val="18"/>
                <w:szCs w:val="18"/>
              </w:rPr>
            </w:pPr>
            <w:r>
              <w:rPr>
                <w:sz w:val="18"/>
              </w:rPr>
              <w:t>-</w:t>
            </w:r>
          </w:p>
        </w:tc>
        <w:tc>
          <w:tcPr>
            <w:tcW w:w="1512" w:type="dxa"/>
            <w:tcBorders>
              <w:left w:val="single" w:sz="12" w:space="0" w:color="auto"/>
            </w:tcBorders>
            <w:vAlign w:val="center"/>
          </w:tcPr>
          <w:p w14:paraId="3CFAABE2" w14:textId="77777777" w:rsidR="001E082A" w:rsidRPr="00BE5BA6" w:rsidRDefault="001E082A" w:rsidP="001A3DAB">
            <w:pPr>
              <w:jc w:val="center"/>
              <w:rPr>
                <w:sz w:val="18"/>
                <w:szCs w:val="18"/>
              </w:rPr>
            </w:pPr>
            <w:r>
              <w:rPr>
                <w:sz w:val="18"/>
              </w:rPr>
              <w:t>8</w:t>
            </w:r>
          </w:p>
        </w:tc>
        <w:tc>
          <w:tcPr>
            <w:tcW w:w="1512" w:type="dxa"/>
            <w:tcBorders>
              <w:right w:val="single" w:sz="8" w:space="0" w:color="auto"/>
            </w:tcBorders>
            <w:vAlign w:val="center"/>
          </w:tcPr>
          <w:p w14:paraId="77A0E34D" w14:textId="77777777" w:rsidR="001E082A" w:rsidRPr="00BE5BA6" w:rsidRDefault="001E082A" w:rsidP="001A3DAB">
            <w:pPr>
              <w:jc w:val="center"/>
              <w:rPr>
                <w:sz w:val="18"/>
                <w:szCs w:val="18"/>
              </w:rPr>
            </w:pPr>
            <w:r>
              <w:rPr>
                <w:sz w:val="18"/>
              </w:rPr>
              <w:t>-</w:t>
            </w:r>
          </w:p>
        </w:tc>
      </w:tr>
      <w:tr w:rsidR="001E082A" w:rsidRPr="00BE5BA6" w14:paraId="23B2DA19" w14:textId="77777777" w:rsidTr="00E747E4">
        <w:tc>
          <w:tcPr>
            <w:tcW w:w="6048" w:type="dxa"/>
            <w:gridSpan w:val="4"/>
            <w:tcBorders>
              <w:right w:val="single" w:sz="12" w:space="0" w:color="auto"/>
            </w:tcBorders>
            <w:shd w:val="clear" w:color="auto" w:fill="BFBFBF" w:themeFill="background1" w:themeFillShade="BF"/>
            <w:vAlign w:val="center"/>
          </w:tcPr>
          <w:p w14:paraId="27FE7D22" w14:textId="66F3EE7F" w:rsidR="001E082A" w:rsidRPr="00BE5BA6" w:rsidRDefault="001E082A" w:rsidP="001A3DAB">
            <w:pPr>
              <w:keepNext/>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691347B5" w14:textId="77777777" w:rsidR="001E082A" w:rsidRPr="00BE5BA6" w:rsidRDefault="001E082A" w:rsidP="001A3DAB">
            <w:pPr>
              <w:jc w:val="center"/>
              <w:rPr>
                <w:sz w:val="18"/>
                <w:szCs w:val="18"/>
              </w:rPr>
            </w:pPr>
            <w:r>
              <w:rPr>
                <w:sz w:val="18"/>
              </w:rPr>
              <w:t>8</w:t>
            </w:r>
          </w:p>
        </w:tc>
      </w:tr>
    </w:tbl>
    <w:p w14:paraId="1EADD6D7" w14:textId="29B29AEE" w:rsidR="001E082A" w:rsidRPr="00BE5BA6" w:rsidRDefault="001E082A" w:rsidP="00D56402">
      <w:pPr>
        <w:rPr>
          <w:rFonts w:eastAsia="Times New Roman"/>
        </w:rPr>
      </w:pPr>
      <w:r>
        <w:t>The amendments to § 9(2)(6) and (7) of the Packaging Act stipulate that producers must provide information on packaging broken down by type of packaging in future registrations. It is only necessary to indicate which of the types of packaging referred to in subparagraph 6 are placed on the market by the producer concerned, not the mass or material composition of the packaging. For the estimation, assumptions are made as to how many holdings need to register each year.</w:t>
      </w:r>
    </w:p>
    <w:p w14:paraId="0E17BCC4" w14:textId="15C4937E" w:rsidR="001E082A" w:rsidRPr="00BE5BA6" w:rsidRDefault="001E082A" w:rsidP="00D56402">
      <w:pPr>
        <w:rPr>
          <w:rFonts w:eastAsia="Times New Roman"/>
        </w:rPr>
      </w:pPr>
      <w:r>
        <w:t xml:space="preserve">The annual number of cases is assumed to be around 5 750 producers. These include both the producers of packaging not subject to the scheme participation obligation (750 producers per year; see Requirement 4 – Business) and the annual registrations of producers of packaging subject to the scheme participation obligation (5 000 producers per year). </w:t>
      </w:r>
    </w:p>
    <w:p w14:paraId="3FB169B2" w14:textId="5AFE59DF" w:rsidR="001E082A" w:rsidRPr="00BE5BA6" w:rsidRDefault="001E082A" w:rsidP="00D56402">
      <w:pPr>
        <w:rPr>
          <w:rFonts w:eastAsia="Times New Roman"/>
        </w:rPr>
      </w:pPr>
      <w:r>
        <w:t xml:space="preserve">Since only information on one characteristic is requested, which should be answered without further research, a time requirement of 2 minutes is set in order to fulfil the information obligation of this additional characteristic. This corresponds to the standard activity ‘Data acquisition’. </w:t>
      </w:r>
    </w:p>
    <w:p w14:paraId="143097E0" w14:textId="1ABE4FD2" w:rsidR="001E082A" w:rsidRPr="00BE5BA6" w:rsidRDefault="001E082A" w:rsidP="00D56402">
      <w:pPr>
        <w:rPr>
          <w:rFonts w:eastAsia="Times New Roman"/>
        </w:rPr>
      </w:pPr>
      <w:r>
        <w:t xml:space="preserve">The average wage rate of EUR 40.70 per hour applies. This corresponds to Economic Section C of the Statistical Business Register ‘Manufacturing’. </w:t>
      </w:r>
    </w:p>
    <w:p w14:paraId="273F276C" w14:textId="79C9D1B3" w:rsidR="001E082A" w:rsidRPr="00BE5BA6" w:rsidRDefault="001E082A" w:rsidP="00D56402">
      <w:pPr>
        <w:rPr>
          <w:rFonts w:eastAsia="Times New Roman"/>
        </w:rPr>
      </w:pPr>
      <w:r>
        <w:t xml:space="preserve">The </w:t>
      </w:r>
      <w:r>
        <w:rPr>
          <w:b/>
        </w:rPr>
        <w:t>annual compliance costs</w:t>
      </w:r>
      <w:r>
        <w:t xml:space="preserve"> change by around </w:t>
      </w:r>
      <w:r>
        <w:rPr>
          <w:b/>
        </w:rPr>
        <w:t>EUR +8 thousand</w:t>
      </w:r>
      <w:r>
        <w:t>.</w:t>
      </w:r>
    </w:p>
    <w:p w14:paraId="3CD812CE" w14:textId="0484C951" w:rsidR="001E082A" w:rsidRPr="00BE5BA6" w:rsidRDefault="001E082A" w:rsidP="00A979FD">
      <w:pPr>
        <w:keepNext/>
        <w:rPr>
          <w:rFonts w:eastAsia="Times New Roman"/>
          <w:b/>
        </w:rPr>
      </w:pPr>
      <w:r>
        <w:rPr>
          <w:b/>
        </w:rPr>
        <w:lastRenderedPageBreak/>
        <w:t>Requirement 8 (Information obligation):</w:t>
      </w:r>
      <w:r w:rsidR="00C059FB">
        <w:rPr>
          <w:b/>
        </w:rPr>
        <w:t xml:space="preserve"> </w:t>
      </w:r>
      <w:r>
        <w:rPr>
          <w:b/>
        </w:rPr>
        <w:t>Declaration on bringing the scheme participation obligation forward (service packaging); Article 1 § 9(2) sentence 2 of the Packaging Act</w:t>
      </w:r>
    </w:p>
    <w:p w14:paraId="485647FF" w14:textId="77777777" w:rsidR="001E082A" w:rsidRPr="00BE5BA6" w:rsidRDefault="001E082A" w:rsidP="00A979FD">
      <w:pPr>
        <w:keepNext/>
      </w:pPr>
      <w:r>
        <w:t>Annual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446FFE24" w14:textId="77777777" w:rsidTr="00E747E4">
        <w:tc>
          <w:tcPr>
            <w:tcW w:w="1512" w:type="dxa"/>
            <w:shd w:val="clear" w:color="auto" w:fill="BFBFBF" w:themeFill="background1" w:themeFillShade="BF"/>
          </w:tcPr>
          <w:p w14:paraId="3114CF57" w14:textId="77777777"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0662FDF2" w14:textId="77777777"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1EB4EF61" w14:textId="77777777"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1E501423" w14:textId="77777777" w:rsidR="001E082A" w:rsidRPr="00BE5BA6" w:rsidRDefault="001E082A" w:rsidP="00A979FD">
            <w:pPr>
              <w:keepNext/>
              <w:rPr>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hemeFill="background1" w:themeFillShade="BF"/>
          </w:tcPr>
          <w:p w14:paraId="01214987" w14:textId="7AC6266E"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750E661B" w14:textId="5DE189DE" w:rsidR="001E082A" w:rsidRPr="00BE5BA6" w:rsidRDefault="001E082A" w:rsidP="00A979FD">
            <w:pPr>
              <w:keepNext/>
              <w:rPr>
                <w:sz w:val="18"/>
                <w:szCs w:val="18"/>
              </w:rPr>
            </w:pPr>
            <w:r>
              <w:rPr>
                <w:sz w:val="18"/>
              </w:rPr>
              <w:t>Material expenses (in thousands of EUR)</w:t>
            </w:r>
          </w:p>
        </w:tc>
      </w:tr>
      <w:tr w:rsidR="001E082A" w:rsidRPr="00BE5BA6" w14:paraId="7E726433" w14:textId="77777777" w:rsidTr="00E747E4">
        <w:tc>
          <w:tcPr>
            <w:tcW w:w="1512" w:type="dxa"/>
            <w:vAlign w:val="center"/>
          </w:tcPr>
          <w:p w14:paraId="1775727D" w14:textId="5EFD62CF" w:rsidR="001E082A" w:rsidRPr="00BE5BA6" w:rsidRDefault="001E082A" w:rsidP="001A3DAB">
            <w:pPr>
              <w:jc w:val="center"/>
              <w:rPr>
                <w:sz w:val="18"/>
                <w:szCs w:val="18"/>
              </w:rPr>
            </w:pPr>
            <w:r>
              <w:rPr>
                <w:sz w:val="18"/>
              </w:rPr>
              <w:t>35 000</w:t>
            </w:r>
          </w:p>
        </w:tc>
        <w:tc>
          <w:tcPr>
            <w:tcW w:w="1512" w:type="dxa"/>
            <w:vAlign w:val="center"/>
          </w:tcPr>
          <w:p w14:paraId="0FB5DCDC" w14:textId="77777777" w:rsidR="001E082A" w:rsidRPr="00BE5BA6" w:rsidRDefault="001E082A" w:rsidP="001A3DAB">
            <w:pPr>
              <w:jc w:val="center"/>
              <w:rPr>
                <w:sz w:val="18"/>
                <w:szCs w:val="18"/>
              </w:rPr>
            </w:pPr>
            <w:r>
              <w:rPr>
                <w:sz w:val="18"/>
              </w:rPr>
              <w:t>5</w:t>
            </w:r>
          </w:p>
        </w:tc>
        <w:tc>
          <w:tcPr>
            <w:tcW w:w="1512" w:type="dxa"/>
            <w:vAlign w:val="center"/>
          </w:tcPr>
          <w:p w14:paraId="4EE6A748" w14:textId="77777777" w:rsidR="001E082A" w:rsidRPr="00BE5BA6" w:rsidRDefault="001E082A" w:rsidP="001A3DAB">
            <w:pPr>
              <w:jc w:val="center"/>
              <w:rPr>
                <w:sz w:val="18"/>
                <w:szCs w:val="18"/>
              </w:rPr>
            </w:pPr>
            <w:r>
              <w:rPr>
                <w:sz w:val="18"/>
              </w:rPr>
              <w:t>29.50</w:t>
            </w:r>
          </w:p>
        </w:tc>
        <w:tc>
          <w:tcPr>
            <w:tcW w:w="1512" w:type="dxa"/>
            <w:tcBorders>
              <w:right w:val="single" w:sz="12" w:space="0" w:color="auto"/>
            </w:tcBorders>
            <w:vAlign w:val="center"/>
          </w:tcPr>
          <w:p w14:paraId="01AC5A50" w14:textId="77777777" w:rsidR="001E082A" w:rsidRPr="00BE5BA6" w:rsidRDefault="001E082A" w:rsidP="001A3DAB">
            <w:pPr>
              <w:jc w:val="center"/>
              <w:rPr>
                <w:sz w:val="18"/>
                <w:szCs w:val="18"/>
              </w:rPr>
            </w:pPr>
            <w:r>
              <w:rPr>
                <w:sz w:val="18"/>
              </w:rPr>
              <w:t>-</w:t>
            </w:r>
          </w:p>
        </w:tc>
        <w:tc>
          <w:tcPr>
            <w:tcW w:w="1512" w:type="dxa"/>
            <w:tcBorders>
              <w:left w:val="single" w:sz="12" w:space="0" w:color="auto"/>
            </w:tcBorders>
            <w:vAlign w:val="center"/>
          </w:tcPr>
          <w:p w14:paraId="4C116AC8" w14:textId="5888EE48" w:rsidR="001E082A" w:rsidRPr="00BE5BA6" w:rsidRDefault="00785E19" w:rsidP="001A3DAB">
            <w:pPr>
              <w:jc w:val="center"/>
              <w:rPr>
                <w:sz w:val="18"/>
                <w:szCs w:val="18"/>
              </w:rPr>
            </w:pPr>
            <w:r>
              <w:rPr>
                <w:sz w:val="18"/>
              </w:rPr>
              <w:t>+86</w:t>
            </w:r>
          </w:p>
        </w:tc>
        <w:tc>
          <w:tcPr>
            <w:tcW w:w="1512" w:type="dxa"/>
            <w:tcBorders>
              <w:right w:val="single" w:sz="8" w:space="0" w:color="auto"/>
            </w:tcBorders>
            <w:vAlign w:val="center"/>
          </w:tcPr>
          <w:p w14:paraId="533A4B95" w14:textId="77777777" w:rsidR="001E082A" w:rsidRPr="00BE5BA6" w:rsidRDefault="001E082A" w:rsidP="001A3DAB">
            <w:pPr>
              <w:jc w:val="center"/>
              <w:rPr>
                <w:sz w:val="18"/>
                <w:szCs w:val="18"/>
              </w:rPr>
            </w:pPr>
            <w:r>
              <w:rPr>
                <w:sz w:val="18"/>
              </w:rPr>
              <w:t>-</w:t>
            </w:r>
          </w:p>
        </w:tc>
      </w:tr>
      <w:tr w:rsidR="001E082A" w:rsidRPr="00BE5BA6" w14:paraId="22155498" w14:textId="77777777" w:rsidTr="00E747E4">
        <w:tc>
          <w:tcPr>
            <w:tcW w:w="6048" w:type="dxa"/>
            <w:gridSpan w:val="4"/>
            <w:tcBorders>
              <w:right w:val="single" w:sz="12" w:space="0" w:color="auto"/>
            </w:tcBorders>
            <w:shd w:val="clear" w:color="auto" w:fill="BFBFBF" w:themeFill="background1" w:themeFillShade="BF"/>
            <w:vAlign w:val="center"/>
          </w:tcPr>
          <w:p w14:paraId="057AE6E7" w14:textId="43AA9747" w:rsidR="001E082A" w:rsidRPr="00BE5BA6" w:rsidRDefault="001E082A" w:rsidP="00E747E4">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56F8CE75" w14:textId="0A1AE392" w:rsidR="001E082A" w:rsidRPr="00BE5BA6" w:rsidRDefault="00785E19" w:rsidP="00E747E4">
            <w:pPr>
              <w:jc w:val="center"/>
              <w:rPr>
                <w:sz w:val="18"/>
                <w:szCs w:val="18"/>
              </w:rPr>
            </w:pPr>
            <w:r>
              <w:rPr>
                <w:sz w:val="18"/>
              </w:rPr>
              <w:t>+86</w:t>
            </w:r>
          </w:p>
        </w:tc>
      </w:tr>
    </w:tbl>
    <w:p w14:paraId="6A70B2BF" w14:textId="187CCBEE" w:rsidR="001E082A" w:rsidRPr="00BE5BA6" w:rsidRDefault="001E082A" w:rsidP="00D56402">
      <w:pPr>
        <w:rPr>
          <w:rFonts w:eastAsia="Times New Roman"/>
        </w:rPr>
      </w:pPr>
      <w:r>
        <w:t>The amendment to § 9(2) sentence 2 of the Packaging Act provides that a producer who has transferred its obligation to participate in the scheme pursuant to § 7(2) sentence 2 of the Packaging Act to a prior distributor must declare this when registering.</w:t>
      </w:r>
    </w:p>
    <w:p w14:paraId="372FE0A7" w14:textId="7DF4C15F" w:rsidR="001E082A" w:rsidRPr="00BE5BA6" w:rsidRDefault="00785E19" w:rsidP="00D56402">
      <w:pPr>
        <w:rPr>
          <w:rFonts w:eastAsia="Times New Roman"/>
          <w:b/>
        </w:rPr>
      </w:pPr>
      <w:r>
        <w:t xml:space="preserve">This information obligation concerns those producers who rotate annually and who will have to register with the Central Authority in future following the amendment to the Act. The case number of 35 000 affected parties results from the explanations of Requirement 1 – Business. </w:t>
      </w:r>
    </w:p>
    <w:p w14:paraId="64F40E88" w14:textId="7FC8EACC" w:rsidR="001E082A" w:rsidRPr="00BE5BA6" w:rsidRDefault="001E082A" w:rsidP="00D56402">
      <w:pPr>
        <w:rPr>
          <w:rFonts w:eastAsia="Times New Roman"/>
        </w:rPr>
      </w:pPr>
      <w:r>
        <w:t>It is assumed that an informal letter is sufficient to fulfil this information obligation. It is estimated that 5 minutes are required to formulate the declaration on bringing forward the obligation to participate in the scheme. This corresponds to the standard activity ‘Filling out forms’.</w:t>
      </w:r>
    </w:p>
    <w:p w14:paraId="01DE68DA" w14:textId="4BB355EF" w:rsidR="001E082A" w:rsidRPr="00BE5BA6" w:rsidRDefault="001E082A" w:rsidP="00D56402">
      <w:pPr>
        <w:rPr>
          <w:rFonts w:eastAsia="Times New Roman"/>
        </w:rPr>
      </w:pPr>
      <w:r>
        <w:t xml:space="preserve">The average wage rate of EUR 40.70 per hour applies. This corresponds to Economic Section C of the Statistical Business Register ‘Manufacturing’. </w:t>
      </w:r>
    </w:p>
    <w:p w14:paraId="4C6926D2" w14:textId="7833ECAE" w:rsidR="001E082A" w:rsidRPr="00BE5BA6" w:rsidRDefault="001E082A" w:rsidP="00D56402">
      <w:pPr>
        <w:rPr>
          <w:rFonts w:eastAsia="Times New Roman"/>
          <w:b/>
          <w:sz w:val="24"/>
          <w:szCs w:val="24"/>
        </w:rPr>
      </w:pPr>
      <w:r>
        <w:t xml:space="preserve">The </w:t>
      </w:r>
      <w:r>
        <w:rPr>
          <w:b/>
        </w:rPr>
        <w:t>annual compliance costs</w:t>
      </w:r>
      <w:r>
        <w:t xml:space="preserve"> change by around </w:t>
      </w:r>
      <w:r>
        <w:rPr>
          <w:b/>
        </w:rPr>
        <w:t>EUR +86 thousand</w:t>
      </w:r>
      <w:r>
        <w:t>.</w:t>
      </w:r>
    </w:p>
    <w:p w14:paraId="790325E6" w14:textId="10BED4A3" w:rsidR="001E082A" w:rsidRPr="00BE5BA6" w:rsidRDefault="001E082A" w:rsidP="00A979FD">
      <w:pPr>
        <w:keepNext/>
        <w:rPr>
          <w:rFonts w:eastAsia="Times New Roman"/>
          <w:b/>
        </w:rPr>
      </w:pPr>
      <w:r>
        <w:rPr>
          <w:b/>
        </w:rPr>
        <w:t>Requirement 10 (Information obligation): Obligation of the schemes to provide information on single-use plastic packaging; Article 1 § 14(3) Packaging Act</w:t>
      </w:r>
    </w:p>
    <w:p w14:paraId="08D1D0B5" w14:textId="77777777" w:rsidR="001E082A" w:rsidRPr="00BE5BA6" w:rsidRDefault="001E082A" w:rsidP="00A979FD">
      <w:pPr>
        <w:keepNext/>
      </w:pPr>
      <w:r>
        <w:t>One-off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31BF7E0D" w14:textId="77777777" w:rsidTr="00E747E4">
        <w:tc>
          <w:tcPr>
            <w:tcW w:w="1512" w:type="dxa"/>
            <w:shd w:val="clear" w:color="auto" w:fill="BFBFBF" w:themeFill="background1" w:themeFillShade="BF"/>
          </w:tcPr>
          <w:p w14:paraId="744075CF" w14:textId="77777777"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67F48008" w14:textId="77777777"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29E09A3C" w14:textId="77777777"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2889B5C8" w14:textId="77777777" w:rsidR="001E082A" w:rsidRPr="00BE5BA6" w:rsidRDefault="001E082A" w:rsidP="00A979FD">
            <w:pPr>
              <w:keepNext/>
              <w:rPr>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hemeFill="background1" w:themeFillShade="BF"/>
          </w:tcPr>
          <w:p w14:paraId="460F8628" w14:textId="724A5277"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5C9A97D4" w14:textId="5091458E" w:rsidR="001E082A" w:rsidRPr="00BE5BA6" w:rsidRDefault="001E082A" w:rsidP="00A979FD">
            <w:pPr>
              <w:keepNext/>
              <w:rPr>
                <w:sz w:val="18"/>
                <w:szCs w:val="18"/>
              </w:rPr>
            </w:pPr>
            <w:r>
              <w:rPr>
                <w:sz w:val="18"/>
              </w:rPr>
              <w:t>Material expenses (in thousands of EUR)</w:t>
            </w:r>
          </w:p>
        </w:tc>
      </w:tr>
      <w:tr w:rsidR="001E082A" w:rsidRPr="00BE5BA6" w14:paraId="713354CE" w14:textId="77777777" w:rsidTr="00E747E4">
        <w:tc>
          <w:tcPr>
            <w:tcW w:w="1512" w:type="dxa"/>
            <w:vAlign w:val="center"/>
          </w:tcPr>
          <w:p w14:paraId="1A5390FE" w14:textId="77777777" w:rsidR="001E082A" w:rsidRPr="00BE5BA6" w:rsidRDefault="001E082A" w:rsidP="001A3DAB">
            <w:pPr>
              <w:jc w:val="center"/>
              <w:rPr>
                <w:sz w:val="18"/>
                <w:szCs w:val="18"/>
              </w:rPr>
            </w:pPr>
            <w:r>
              <w:rPr>
                <w:sz w:val="18"/>
              </w:rPr>
              <w:t>9</w:t>
            </w:r>
          </w:p>
        </w:tc>
        <w:tc>
          <w:tcPr>
            <w:tcW w:w="1512" w:type="dxa"/>
            <w:vAlign w:val="center"/>
          </w:tcPr>
          <w:p w14:paraId="12EE12B4" w14:textId="2A09089B" w:rsidR="001E082A" w:rsidRPr="00BE5BA6" w:rsidRDefault="001E082A" w:rsidP="001A3DAB">
            <w:pPr>
              <w:jc w:val="center"/>
              <w:rPr>
                <w:sz w:val="18"/>
                <w:szCs w:val="18"/>
              </w:rPr>
            </w:pPr>
            <w:r>
              <w:rPr>
                <w:sz w:val="18"/>
              </w:rPr>
              <w:t>1</w:t>
            </w:r>
            <w:r w:rsidR="00C059FB">
              <w:rPr>
                <w:sz w:val="18"/>
              </w:rPr>
              <w:t> </w:t>
            </w:r>
            <w:r>
              <w:rPr>
                <w:sz w:val="18"/>
              </w:rPr>
              <w:t>440</w:t>
            </w:r>
          </w:p>
        </w:tc>
        <w:tc>
          <w:tcPr>
            <w:tcW w:w="1512" w:type="dxa"/>
            <w:vAlign w:val="center"/>
          </w:tcPr>
          <w:p w14:paraId="5250403B" w14:textId="77777777" w:rsidR="001E082A" w:rsidRPr="00BE5BA6" w:rsidRDefault="001E082A" w:rsidP="001A3DAB">
            <w:pPr>
              <w:jc w:val="center"/>
              <w:rPr>
                <w:sz w:val="18"/>
                <w:szCs w:val="18"/>
              </w:rPr>
            </w:pPr>
            <w:r>
              <w:rPr>
                <w:sz w:val="18"/>
              </w:rPr>
              <w:t>31.50</w:t>
            </w:r>
          </w:p>
        </w:tc>
        <w:tc>
          <w:tcPr>
            <w:tcW w:w="1512" w:type="dxa"/>
            <w:tcBorders>
              <w:right w:val="single" w:sz="12" w:space="0" w:color="auto"/>
            </w:tcBorders>
            <w:vAlign w:val="center"/>
          </w:tcPr>
          <w:p w14:paraId="6BBD0427" w14:textId="77777777" w:rsidR="001E082A" w:rsidRPr="00BE5BA6" w:rsidRDefault="001E082A" w:rsidP="001A3DAB">
            <w:pPr>
              <w:jc w:val="center"/>
              <w:rPr>
                <w:sz w:val="18"/>
                <w:szCs w:val="18"/>
              </w:rPr>
            </w:pPr>
            <w:r>
              <w:rPr>
                <w:sz w:val="18"/>
              </w:rPr>
              <w:t>-</w:t>
            </w:r>
          </w:p>
        </w:tc>
        <w:tc>
          <w:tcPr>
            <w:tcW w:w="1512" w:type="dxa"/>
            <w:tcBorders>
              <w:left w:val="single" w:sz="12" w:space="0" w:color="auto"/>
            </w:tcBorders>
            <w:vAlign w:val="center"/>
          </w:tcPr>
          <w:p w14:paraId="4D553B83" w14:textId="77777777" w:rsidR="001E082A" w:rsidRPr="00BE5BA6" w:rsidRDefault="001E082A" w:rsidP="001A3DAB">
            <w:pPr>
              <w:jc w:val="center"/>
              <w:rPr>
                <w:sz w:val="18"/>
                <w:szCs w:val="18"/>
              </w:rPr>
            </w:pPr>
            <w:r>
              <w:rPr>
                <w:sz w:val="18"/>
              </w:rPr>
              <w:t>7</w:t>
            </w:r>
          </w:p>
        </w:tc>
        <w:tc>
          <w:tcPr>
            <w:tcW w:w="1512" w:type="dxa"/>
            <w:tcBorders>
              <w:right w:val="single" w:sz="8" w:space="0" w:color="auto"/>
            </w:tcBorders>
            <w:vAlign w:val="center"/>
          </w:tcPr>
          <w:p w14:paraId="59D8E76E" w14:textId="77777777" w:rsidR="001E082A" w:rsidRPr="00BE5BA6" w:rsidRDefault="001E082A" w:rsidP="001A3DAB">
            <w:pPr>
              <w:jc w:val="center"/>
              <w:rPr>
                <w:sz w:val="18"/>
                <w:szCs w:val="18"/>
              </w:rPr>
            </w:pPr>
            <w:r>
              <w:rPr>
                <w:sz w:val="18"/>
              </w:rPr>
              <w:t>-</w:t>
            </w:r>
          </w:p>
        </w:tc>
      </w:tr>
      <w:tr w:rsidR="001E082A" w:rsidRPr="00BE5BA6" w14:paraId="0C5F2D9E" w14:textId="77777777" w:rsidTr="00E747E4">
        <w:tc>
          <w:tcPr>
            <w:tcW w:w="6048" w:type="dxa"/>
            <w:gridSpan w:val="4"/>
            <w:tcBorders>
              <w:right w:val="single" w:sz="12" w:space="0" w:color="auto"/>
            </w:tcBorders>
            <w:shd w:val="clear" w:color="auto" w:fill="BFBFBF" w:themeFill="background1" w:themeFillShade="BF"/>
            <w:vAlign w:val="center"/>
          </w:tcPr>
          <w:p w14:paraId="5949479D" w14:textId="059163F4" w:rsidR="001E082A" w:rsidRPr="00BE5BA6" w:rsidRDefault="001E082A" w:rsidP="00E747E4">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6B4D37B6" w14:textId="77777777" w:rsidR="001E082A" w:rsidRPr="00BE5BA6" w:rsidRDefault="001E082A" w:rsidP="00E747E4">
            <w:pPr>
              <w:jc w:val="center"/>
              <w:rPr>
                <w:sz w:val="18"/>
                <w:szCs w:val="18"/>
              </w:rPr>
            </w:pPr>
            <w:r>
              <w:rPr>
                <w:sz w:val="18"/>
              </w:rPr>
              <w:t>7</w:t>
            </w:r>
          </w:p>
        </w:tc>
      </w:tr>
    </w:tbl>
    <w:p w14:paraId="6BAF9703" w14:textId="77777777" w:rsidR="001E082A" w:rsidRPr="00BE5BA6" w:rsidRDefault="001E082A" w:rsidP="00A979FD">
      <w:pPr>
        <w:keepNext/>
        <w:spacing w:after="0"/>
        <w:rPr>
          <w:sz w:val="20"/>
        </w:rPr>
      </w:pPr>
      <w:r>
        <w:t>In order to increase transparency with regard to the one-off compliance costs for business and delineate them, they are assigned to one or more categories:</w:t>
      </w:r>
    </w:p>
    <w:tbl>
      <w:tblPr>
        <w:tblStyle w:val="TableGrid"/>
        <w:tblW w:w="9072" w:type="dxa"/>
        <w:tblInd w:w="108" w:type="dxa"/>
        <w:tblLayout w:type="fixed"/>
        <w:tblLook w:val="04A0" w:firstRow="1" w:lastRow="0" w:firstColumn="1" w:lastColumn="0" w:noHBand="0" w:noVBand="1"/>
      </w:tblPr>
      <w:tblGrid>
        <w:gridCol w:w="6047"/>
        <w:gridCol w:w="1498"/>
        <w:gridCol w:w="1527"/>
      </w:tblGrid>
      <w:tr w:rsidR="001E082A" w:rsidRPr="00BE5BA6" w14:paraId="1C33C966" w14:textId="77777777" w:rsidTr="00E747E4">
        <w:tc>
          <w:tcPr>
            <w:tcW w:w="6047" w:type="dxa"/>
            <w:vMerge w:val="restart"/>
            <w:shd w:val="clear" w:color="auto" w:fill="BFBFBF" w:themeFill="background1" w:themeFillShade="BF"/>
            <w:vAlign w:val="center"/>
          </w:tcPr>
          <w:p w14:paraId="4A412CE0" w14:textId="77777777" w:rsidR="001E082A" w:rsidRPr="00BE5BA6" w:rsidRDefault="001E082A" w:rsidP="00A979FD">
            <w:pPr>
              <w:keepNext/>
              <w:rPr>
                <w:sz w:val="18"/>
                <w:szCs w:val="18"/>
              </w:rPr>
            </w:pPr>
            <w:r>
              <w:rPr>
                <w:sz w:val="18"/>
              </w:rPr>
              <w:t>Category of one-off compliance costs</w:t>
            </w:r>
          </w:p>
        </w:tc>
        <w:tc>
          <w:tcPr>
            <w:tcW w:w="3025" w:type="dxa"/>
            <w:gridSpan w:val="2"/>
            <w:tcBorders>
              <w:top w:val="single" w:sz="8" w:space="0" w:color="auto"/>
              <w:left w:val="single" w:sz="12" w:space="0" w:color="auto"/>
              <w:right w:val="single" w:sz="4" w:space="0" w:color="auto"/>
            </w:tcBorders>
            <w:shd w:val="clear" w:color="auto" w:fill="BFBFBF" w:themeFill="background1" w:themeFillShade="BF"/>
            <w:vAlign w:val="center"/>
          </w:tcPr>
          <w:p w14:paraId="41635EAC" w14:textId="77777777" w:rsidR="001E082A" w:rsidRPr="00BE5BA6" w:rsidRDefault="001E082A" w:rsidP="00A979FD">
            <w:pPr>
              <w:keepNext/>
              <w:jc w:val="center"/>
              <w:rPr>
                <w:sz w:val="18"/>
                <w:szCs w:val="18"/>
              </w:rPr>
            </w:pPr>
            <w:r>
              <w:rPr>
                <w:sz w:val="18"/>
              </w:rPr>
              <w:t>Proportion of the category in the one-off compliance costs</w:t>
            </w:r>
          </w:p>
        </w:tc>
      </w:tr>
      <w:tr w:rsidR="001E082A" w:rsidRPr="00BE5BA6" w14:paraId="47071BAA" w14:textId="77777777" w:rsidTr="00E747E4">
        <w:tc>
          <w:tcPr>
            <w:tcW w:w="6047" w:type="dxa"/>
            <w:vMerge/>
            <w:shd w:val="clear" w:color="auto" w:fill="BFBFBF" w:themeFill="background1" w:themeFillShade="BF"/>
          </w:tcPr>
          <w:p w14:paraId="09C20A87" w14:textId="77777777" w:rsidR="001E082A" w:rsidRPr="00BE5BA6" w:rsidRDefault="001E082A" w:rsidP="00A979FD">
            <w:pPr>
              <w:keepNext/>
              <w:rPr>
                <w:sz w:val="18"/>
                <w:szCs w:val="18"/>
              </w:rPr>
            </w:pPr>
          </w:p>
        </w:tc>
        <w:tc>
          <w:tcPr>
            <w:tcW w:w="1498" w:type="dxa"/>
            <w:tcBorders>
              <w:top w:val="single" w:sz="8" w:space="0" w:color="auto"/>
              <w:left w:val="single" w:sz="12" w:space="0" w:color="auto"/>
              <w:right w:val="single" w:sz="4" w:space="0" w:color="auto"/>
            </w:tcBorders>
            <w:shd w:val="clear" w:color="auto" w:fill="BFBFBF" w:themeFill="background1" w:themeFillShade="BF"/>
          </w:tcPr>
          <w:p w14:paraId="741A808E" w14:textId="5DDF847C" w:rsidR="001E082A" w:rsidRPr="00BE5BA6" w:rsidRDefault="001E082A" w:rsidP="00A979FD">
            <w:pPr>
              <w:keepNext/>
              <w:rPr>
                <w:sz w:val="18"/>
                <w:szCs w:val="18"/>
              </w:rPr>
            </w:pPr>
            <w:r>
              <w:rPr>
                <w:sz w:val="18"/>
              </w:rPr>
              <w:t>Personnel costs (in thousands of EUR)</w:t>
            </w:r>
          </w:p>
        </w:tc>
        <w:tc>
          <w:tcPr>
            <w:tcW w:w="1527" w:type="dxa"/>
            <w:tcBorders>
              <w:top w:val="single" w:sz="8" w:space="0" w:color="auto"/>
              <w:left w:val="single" w:sz="4" w:space="0" w:color="auto"/>
              <w:right w:val="single" w:sz="4" w:space="0" w:color="auto"/>
            </w:tcBorders>
            <w:shd w:val="clear" w:color="auto" w:fill="BFBFBF" w:themeFill="background1" w:themeFillShade="BF"/>
          </w:tcPr>
          <w:p w14:paraId="37C2CB89" w14:textId="5547EB7B" w:rsidR="001E082A" w:rsidRPr="00BE5BA6" w:rsidRDefault="001E082A" w:rsidP="00A979FD">
            <w:pPr>
              <w:keepNext/>
              <w:rPr>
                <w:sz w:val="18"/>
                <w:szCs w:val="18"/>
              </w:rPr>
            </w:pPr>
            <w:r>
              <w:rPr>
                <w:sz w:val="18"/>
              </w:rPr>
              <w:t>Material expenses (in thousands of EUR)</w:t>
            </w:r>
          </w:p>
        </w:tc>
      </w:tr>
      <w:tr w:rsidR="001E082A" w:rsidRPr="00BE5BA6" w14:paraId="47500B93" w14:textId="77777777" w:rsidTr="00E747E4">
        <w:tc>
          <w:tcPr>
            <w:tcW w:w="6047" w:type="dxa"/>
            <w:vAlign w:val="center"/>
          </w:tcPr>
          <w:p w14:paraId="76BD1AE0" w14:textId="0FC07891" w:rsidR="001E082A" w:rsidRPr="00BE5BA6" w:rsidRDefault="00467FCE" w:rsidP="001A3DAB">
            <w:pPr>
              <w:rPr>
                <w:sz w:val="18"/>
                <w:szCs w:val="18"/>
              </w:rPr>
            </w:pPr>
            <w:sdt>
              <w:sdtPr>
                <w:rPr>
                  <w:sz w:val="18"/>
                </w:rPr>
                <w:alias w:val="Category of one-off compliance costs"/>
                <w:tag w:val="Kategorie des einmaligen Erfüllungsaufwand"/>
                <w:id w:val="1919668971"/>
                <w:placeholder>
                  <w:docPart w:val="AF233DF46C4B4F01BDA67AF18972775F"/>
                </w:placeholder>
                <w:dropDownList>
                  <w:listItem w:displayText="[select a category of one-off compliance cost here]" w:value="[hier eine Kategorie des einmaligen Erfüllungsaufwands auswählen]"/>
                  <w:listItem w:displayText="Acquisition or retrofitting of machinery, equipment, buildings and infrastructure facilities " w:value="Anschaffung oder Nachrüstung von Maschinen, Anlagen, Gebäuden und Infrastruktureinrichtungen "/>
                  <w:listItem w:displayText="Introduction or adaptation of digital process flows " w:value="Einführung oder Anpassung digitaler Prozessabläufe "/>
                  <w:listItem w:displayText="Einmalige Informationspflicht " w:value="Einmalige Informationspflicht "/>
                  <w:listItem w:displayText="Training costs" w:value="Schulungskosten"/>
                  <w:listItem w:displayText="Adaptation of organisational structures " w:value="Anpassung von Organisationsstrukturen "/>
                  <w:listItem w:displayText="Adaptation of products, manufacturing processes and procurement channels " w:value="Anpassung von Produkten, Fertigungsprozessen und Beschaffungswegen "/>
                  <w:listItem w:displayText="Other" w:value="Sonstiges"/>
                </w:dropDownList>
              </w:sdtPr>
              <w:sdtEndPr/>
              <w:sdtContent>
                <w:r w:rsidR="005C32D2">
                  <w:rPr>
                    <w:sz w:val="18"/>
                  </w:rPr>
                  <w:t xml:space="preserve">One-off information obligation </w:t>
                </w:r>
              </w:sdtContent>
            </w:sdt>
          </w:p>
        </w:tc>
        <w:tc>
          <w:tcPr>
            <w:tcW w:w="1498" w:type="dxa"/>
            <w:tcBorders>
              <w:left w:val="single" w:sz="12" w:space="0" w:color="auto"/>
              <w:right w:val="single" w:sz="4" w:space="0" w:color="auto"/>
            </w:tcBorders>
            <w:vAlign w:val="center"/>
          </w:tcPr>
          <w:p w14:paraId="4FBD0693" w14:textId="77777777" w:rsidR="001E082A" w:rsidRPr="00BE5BA6" w:rsidRDefault="001E082A" w:rsidP="001A3DAB">
            <w:pPr>
              <w:jc w:val="center"/>
              <w:rPr>
                <w:sz w:val="18"/>
                <w:szCs w:val="18"/>
              </w:rPr>
            </w:pPr>
            <w:r>
              <w:rPr>
                <w:sz w:val="18"/>
              </w:rPr>
              <w:t>7</w:t>
            </w:r>
          </w:p>
        </w:tc>
        <w:tc>
          <w:tcPr>
            <w:tcW w:w="1527" w:type="dxa"/>
            <w:tcBorders>
              <w:left w:val="single" w:sz="4" w:space="0" w:color="auto"/>
              <w:right w:val="single" w:sz="4" w:space="0" w:color="auto"/>
            </w:tcBorders>
            <w:vAlign w:val="center"/>
          </w:tcPr>
          <w:p w14:paraId="21B21157" w14:textId="77777777" w:rsidR="001E082A" w:rsidRPr="00BE5BA6" w:rsidRDefault="001E082A" w:rsidP="001A3DAB">
            <w:pPr>
              <w:jc w:val="center"/>
              <w:rPr>
                <w:sz w:val="18"/>
                <w:szCs w:val="18"/>
              </w:rPr>
            </w:pPr>
            <w:r>
              <w:rPr>
                <w:sz w:val="18"/>
              </w:rPr>
              <w:t>-</w:t>
            </w:r>
          </w:p>
        </w:tc>
      </w:tr>
    </w:tbl>
    <w:p w14:paraId="6F02BD7C" w14:textId="010FD0F5" w:rsidR="001E082A" w:rsidRPr="00BE5BA6" w:rsidRDefault="001E082A" w:rsidP="00D56402">
      <w:pPr>
        <w:rPr>
          <w:rFonts w:eastAsia="Times New Roman"/>
        </w:rPr>
      </w:pPr>
      <w:r>
        <w:lastRenderedPageBreak/>
        <w:t xml:space="preserve">§ 14(3) of the Packaging Act provides that the schemes are to take awareness-raising measures towards consumers. The amendments require schemes to provide additional information on the impact of littering on the environment, as well as on measures to prevent it. It is assumed that the schemes will discuss information in cooperation with municipal waste consultancies and with consumer protection organisations in order to make it available to the public in training courses, advertising campaigns, flyers, on their website or through other outlets. </w:t>
      </w:r>
    </w:p>
    <w:p w14:paraId="572C40A5" w14:textId="56CFE7E5" w:rsidR="001E082A" w:rsidRPr="00BE5BA6" w:rsidRDefault="001E082A" w:rsidP="00D56402">
      <w:pPr>
        <w:rPr>
          <w:rFonts w:eastAsia="Times New Roman"/>
        </w:rPr>
      </w:pPr>
      <w:r>
        <w:t xml:space="preserve">The innovation only provides for the new inclusion of additional content. Since this content is unlikely to change each year and is therefore unlikely to need to be adapted, it is to be expected that the schemes will only incur a one-off conversion cost. </w:t>
      </w:r>
    </w:p>
    <w:p w14:paraId="57B8EADB" w14:textId="544D8074" w:rsidR="001E082A" w:rsidRPr="00BE5BA6" w:rsidRDefault="001E082A" w:rsidP="00D56402">
      <w:pPr>
        <w:rPr>
          <w:rFonts w:eastAsia="Times New Roman"/>
        </w:rPr>
      </w:pPr>
      <w:r>
        <w:t xml:space="preserve">The costs of annual information by means of advertising campaigns and the like have already been recorded in the SCM database and are assumed to remain unchanged. </w:t>
      </w:r>
    </w:p>
    <w:p w14:paraId="6C16C97E" w14:textId="7F9B7D06" w:rsidR="001E082A" w:rsidRPr="00BE5BA6" w:rsidRDefault="001E082A" w:rsidP="00D56402">
      <w:pPr>
        <w:rPr>
          <w:rFonts w:eastAsia="Times New Roman"/>
        </w:rPr>
      </w:pPr>
      <w:r>
        <w:t xml:space="preserve">According to the Packaging Register, the arrangement pertains to the existing nine schemes at present. </w:t>
      </w:r>
    </w:p>
    <w:p w14:paraId="413CE33B" w14:textId="49BBD70E" w:rsidR="001E082A" w:rsidRPr="00BE5BA6" w:rsidRDefault="001E082A" w:rsidP="00D56402">
      <w:pPr>
        <w:rPr>
          <w:rFonts w:eastAsia="Times New Roman"/>
        </w:rPr>
      </w:pPr>
      <w:r>
        <w:t xml:space="preserve">For the compilation of the additional information, a one-off time expenditure of about three working days per scheme is assumed (1 440 minutes). This corresponds to the estimate for the Act on the further development of the separate collection of reusable household waste, for which this target was initially estimated. </w:t>
      </w:r>
    </w:p>
    <w:p w14:paraId="57E61D08" w14:textId="74BCB3BE" w:rsidR="001E082A" w:rsidRPr="00BE5BA6" w:rsidRDefault="001E082A" w:rsidP="00D56402">
      <w:pPr>
        <w:rPr>
          <w:rFonts w:eastAsia="Times New Roman"/>
        </w:rPr>
      </w:pPr>
      <w:r>
        <w:t xml:space="preserve">The average hourly wage rate of EUR 31.50 for Economic Section E ‘Water supply; sewerage, waste management and remediation activities’ applies. </w:t>
      </w:r>
    </w:p>
    <w:p w14:paraId="31F4AA80" w14:textId="24133DEC" w:rsidR="001E082A" w:rsidRPr="00BE5BA6" w:rsidRDefault="001E082A" w:rsidP="00D56402">
      <w:pPr>
        <w:rPr>
          <w:rFonts w:eastAsia="Times New Roman"/>
        </w:rPr>
      </w:pPr>
      <w:r>
        <w:t xml:space="preserve">The </w:t>
      </w:r>
      <w:r>
        <w:rPr>
          <w:b/>
        </w:rPr>
        <w:t>one-off compliance costs</w:t>
      </w:r>
      <w:r>
        <w:t xml:space="preserve"> therefore amount to around </w:t>
      </w:r>
      <w:r>
        <w:rPr>
          <w:b/>
        </w:rPr>
        <w:t>EUR 7 thousand</w:t>
      </w:r>
      <w:r>
        <w:t>.</w:t>
      </w:r>
    </w:p>
    <w:p w14:paraId="123DCE3D" w14:textId="2CD26623" w:rsidR="001E082A" w:rsidRPr="00BE5BA6" w:rsidRDefault="001E082A" w:rsidP="00A979FD">
      <w:pPr>
        <w:keepNext/>
        <w:rPr>
          <w:rFonts w:eastAsia="Times New Roman"/>
          <w:b/>
        </w:rPr>
      </w:pPr>
      <w:r>
        <w:rPr>
          <w:b/>
        </w:rPr>
        <w:t>Requirement 11 (Information obligation): Obligation of the schemes to provide information on their organisation; Article 1 § 14(4) of the Packaging Act</w:t>
      </w:r>
    </w:p>
    <w:p w14:paraId="681DB68D" w14:textId="77777777" w:rsidR="001E082A" w:rsidRPr="00BE5BA6" w:rsidRDefault="001E082A" w:rsidP="00A979FD">
      <w:pPr>
        <w:keepNext/>
      </w:pPr>
      <w:r>
        <w:t>One-off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61102A92" w14:textId="77777777" w:rsidTr="00745423">
        <w:tc>
          <w:tcPr>
            <w:tcW w:w="1512" w:type="dxa"/>
            <w:shd w:val="clear" w:color="auto" w:fill="BFBFBF" w:themeFill="background1" w:themeFillShade="BF"/>
          </w:tcPr>
          <w:p w14:paraId="56F1287F" w14:textId="77777777"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7CAB71D7" w14:textId="77777777"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583B3FE9" w14:textId="77777777"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740FC2C1" w14:textId="77777777" w:rsidR="001E082A" w:rsidRPr="00BE5BA6" w:rsidRDefault="001E082A" w:rsidP="00A979FD">
            <w:pPr>
              <w:keepNext/>
              <w:rPr>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hemeFill="background1" w:themeFillShade="BF"/>
          </w:tcPr>
          <w:p w14:paraId="1BAF62A6" w14:textId="18A39DDE"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32682996" w14:textId="14A91227" w:rsidR="001E082A" w:rsidRPr="00BE5BA6" w:rsidRDefault="001E082A" w:rsidP="00A979FD">
            <w:pPr>
              <w:keepNext/>
              <w:rPr>
                <w:sz w:val="18"/>
                <w:szCs w:val="18"/>
              </w:rPr>
            </w:pPr>
            <w:r>
              <w:rPr>
                <w:sz w:val="18"/>
              </w:rPr>
              <w:t>Material expenses (in thousands of EUR)</w:t>
            </w:r>
          </w:p>
        </w:tc>
      </w:tr>
      <w:tr w:rsidR="001E082A" w:rsidRPr="00BE5BA6" w14:paraId="56660A87" w14:textId="77777777" w:rsidTr="00745423">
        <w:tc>
          <w:tcPr>
            <w:tcW w:w="1512" w:type="dxa"/>
            <w:vAlign w:val="center"/>
          </w:tcPr>
          <w:p w14:paraId="443DFD07" w14:textId="77777777" w:rsidR="001E082A" w:rsidRPr="00BE5BA6" w:rsidRDefault="001E082A" w:rsidP="001A3DAB">
            <w:pPr>
              <w:jc w:val="center"/>
              <w:rPr>
                <w:sz w:val="18"/>
                <w:szCs w:val="18"/>
              </w:rPr>
            </w:pPr>
            <w:r>
              <w:rPr>
                <w:sz w:val="18"/>
              </w:rPr>
              <w:t>9</w:t>
            </w:r>
          </w:p>
        </w:tc>
        <w:tc>
          <w:tcPr>
            <w:tcW w:w="1512" w:type="dxa"/>
            <w:vAlign w:val="center"/>
          </w:tcPr>
          <w:p w14:paraId="1920D527" w14:textId="6E1E527A" w:rsidR="001E082A" w:rsidRPr="00BE5BA6" w:rsidRDefault="00785E19" w:rsidP="001A3DAB">
            <w:pPr>
              <w:jc w:val="center"/>
              <w:rPr>
                <w:sz w:val="18"/>
                <w:szCs w:val="18"/>
              </w:rPr>
            </w:pPr>
            <w:r>
              <w:rPr>
                <w:sz w:val="18"/>
              </w:rPr>
              <w:t>622</w:t>
            </w:r>
          </w:p>
        </w:tc>
        <w:tc>
          <w:tcPr>
            <w:tcW w:w="1512" w:type="dxa"/>
            <w:vAlign w:val="center"/>
          </w:tcPr>
          <w:p w14:paraId="1B9E0A51" w14:textId="77777777" w:rsidR="001E082A" w:rsidRPr="00BE5BA6" w:rsidRDefault="001E082A" w:rsidP="001A3DAB">
            <w:pPr>
              <w:jc w:val="center"/>
              <w:rPr>
                <w:sz w:val="18"/>
                <w:szCs w:val="18"/>
              </w:rPr>
            </w:pPr>
            <w:r>
              <w:rPr>
                <w:sz w:val="18"/>
              </w:rPr>
              <w:t>31.50</w:t>
            </w:r>
          </w:p>
        </w:tc>
        <w:tc>
          <w:tcPr>
            <w:tcW w:w="1512" w:type="dxa"/>
            <w:tcBorders>
              <w:right w:val="single" w:sz="12" w:space="0" w:color="auto"/>
            </w:tcBorders>
            <w:vAlign w:val="center"/>
          </w:tcPr>
          <w:p w14:paraId="18FE9467" w14:textId="77777777" w:rsidR="001E082A" w:rsidRPr="00BE5BA6" w:rsidRDefault="001E082A" w:rsidP="001A3DAB">
            <w:pPr>
              <w:jc w:val="center"/>
              <w:rPr>
                <w:sz w:val="18"/>
                <w:szCs w:val="18"/>
              </w:rPr>
            </w:pPr>
            <w:r>
              <w:rPr>
                <w:sz w:val="18"/>
              </w:rPr>
              <w:t>-</w:t>
            </w:r>
          </w:p>
        </w:tc>
        <w:tc>
          <w:tcPr>
            <w:tcW w:w="1512" w:type="dxa"/>
            <w:tcBorders>
              <w:left w:val="single" w:sz="12" w:space="0" w:color="auto"/>
            </w:tcBorders>
            <w:vAlign w:val="center"/>
          </w:tcPr>
          <w:p w14:paraId="798FF820" w14:textId="1C4F105A" w:rsidR="001E082A" w:rsidRPr="00BE5BA6" w:rsidRDefault="00785E19" w:rsidP="001A3DAB">
            <w:pPr>
              <w:jc w:val="center"/>
              <w:rPr>
                <w:sz w:val="18"/>
                <w:szCs w:val="18"/>
              </w:rPr>
            </w:pPr>
            <w:r>
              <w:rPr>
                <w:sz w:val="18"/>
              </w:rPr>
              <w:t>3</w:t>
            </w:r>
          </w:p>
        </w:tc>
        <w:tc>
          <w:tcPr>
            <w:tcW w:w="1512" w:type="dxa"/>
            <w:tcBorders>
              <w:right w:val="single" w:sz="8" w:space="0" w:color="auto"/>
            </w:tcBorders>
            <w:vAlign w:val="center"/>
          </w:tcPr>
          <w:p w14:paraId="232ED31F" w14:textId="77777777" w:rsidR="001E082A" w:rsidRPr="00BE5BA6" w:rsidRDefault="001E082A" w:rsidP="001A3DAB">
            <w:pPr>
              <w:jc w:val="center"/>
              <w:rPr>
                <w:sz w:val="18"/>
                <w:szCs w:val="18"/>
              </w:rPr>
            </w:pPr>
            <w:r>
              <w:rPr>
                <w:sz w:val="18"/>
              </w:rPr>
              <w:t>-</w:t>
            </w:r>
          </w:p>
        </w:tc>
      </w:tr>
      <w:tr w:rsidR="001E082A" w:rsidRPr="00BE5BA6" w14:paraId="35AAFF7E" w14:textId="77777777" w:rsidTr="00745423">
        <w:tc>
          <w:tcPr>
            <w:tcW w:w="6048" w:type="dxa"/>
            <w:gridSpan w:val="4"/>
            <w:tcBorders>
              <w:right w:val="single" w:sz="12" w:space="0" w:color="auto"/>
            </w:tcBorders>
            <w:shd w:val="clear" w:color="auto" w:fill="BFBFBF" w:themeFill="background1" w:themeFillShade="BF"/>
            <w:vAlign w:val="center"/>
          </w:tcPr>
          <w:p w14:paraId="23AEB4B6" w14:textId="2BD1FE00" w:rsidR="001E082A" w:rsidRPr="00BE5BA6" w:rsidRDefault="001E082A" w:rsidP="00745423">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00577187" w14:textId="20331441" w:rsidR="001E082A" w:rsidRPr="00BE5BA6" w:rsidRDefault="00785E19" w:rsidP="00745423">
            <w:pPr>
              <w:jc w:val="center"/>
              <w:rPr>
                <w:sz w:val="18"/>
                <w:szCs w:val="18"/>
              </w:rPr>
            </w:pPr>
            <w:r>
              <w:rPr>
                <w:sz w:val="18"/>
              </w:rPr>
              <w:t>3</w:t>
            </w:r>
          </w:p>
        </w:tc>
      </w:tr>
    </w:tbl>
    <w:p w14:paraId="4A9433E4" w14:textId="77777777" w:rsidR="001E082A" w:rsidRPr="00BE5BA6" w:rsidRDefault="001E082A" w:rsidP="00A979FD">
      <w:pPr>
        <w:keepNext/>
        <w:spacing w:after="0"/>
        <w:rPr>
          <w:sz w:val="20"/>
        </w:rPr>
      </w:pPr>
      <w:r>
        <w:t>In order to increase transparency with regard to the one-off compliance costs for business and delineate them, they are assigned to one or more categories:</w:t>
      </w:r>
    </w:p>
    <w:tbl>
      <w:tblPr>
        <w:tblStyle w:val="TableGrid"/>
        <w:tblW w:w="9072" w:type="dxa"/>
        <w:tblInd w:w="108" w:type="dxa"/>
        <w:tblLayout w:type="fixed"/>
        <w:tblLook w:val="04A0" w:firstRow="1" w:lastRow="0" w:firstColumn="1" w:lastColumn="0" w:noHBand="0" w:noVBand="1"/>
      </w:tblPr>
      <w:tblGrid>
        <w:gridCol w:w="6047"/>
        <w:gridCol w:w="1498"/>
        <w:gridCol w:w="1527"/>
      </w:tblGrid>
      <w:tr w:rsidR="001E082A" w:rsidRPr="00BE5BA6" w14:paraId="29B74FE4" w14:textId="77777777" w:rsidTr="00745423">
        <w:tc>
          <w:tcPr>
            <w:tcW w:w="6047" w:type="dxa"/>
            <w:vMerge w:val="restart"/>
            <w:shd w:val="clear" w:color="auto" w:fill="BFBFBF" w:themeFill="background1" w:themeFillShade="BF"/>
            <w:vAlign w:val="center"/>
          </w:tcPr>
          <w:p w14:paraId="32978F44" w14:textId="77777777" w:rsidR="001E082A" w:rsidRPr="00BE5BA6" w:rsidRDefault="001E082A" w:rsidP="00A979FD">
            <w:pPr>
              <w:keepNext/>
              <w:rPr>
                <w:sz w:val="18"/>
                <w:szCs w:val="18"/>
              </w:rPr>
            </w:pPr>
            <w:r>
              <w:rPr>
                <w:sz w:val="18"/>
              </w:rPr>
              <w:t>Category of one-off compliance costs</w:t>
            </w:r>
          </w:p>
        </w:tc>
        <w:tc>
          <w:tcPr>
            <w:tcW w:w="3025" w:type="dxa"/>
            <w:gridSpan w:val="2"/>
            <w:tcBorders>
              <w:top w:val="single" w:sz="8" w:space="0" w:color="auto"/>
              <w:left w:val="single" w:sz="12" w:space="0" w:color="auto"/>
              <w:right w:val="single" w:sz="4" w:space="0" w:color="auto"/>
            </w:tcBorders>
            <w:shd w:val="clear" w:color="auto" w:fill="BFBFBF" w:themeFill="background1" w:themeFillShade="BF"/>
            <w:vAlign w:val="center"/>
          </w:tcPr>
          <w:p w14:paraId="7B5FEA95" w14:textId="77777777" w:rsidR="001E082A" w:rsidRPr="00BE5BA6" w:rsidRDefault="001E082A" w:rsidP="00A979FD">
            <w:pPr>
              <w:keepNext/>
              <w:jc w:val="center"/>
              <w:rPr>
                <w:sz w:val="18"/>
                <w:szCs w:val="18"/>
              </w:rPr>
            </w:pPr>
            <w:r>
              <w:rPr>
                <w:sz w:val="18"/>
              </w:rPr>
              <w:t>Proportion of the category in the one-off compliance costs</w:t>
            </w:r>
          </w:p>
        </w:tc>
      </w:tr>
      <w:tr w:rsidR="001E082A" w:rsidRPr="00BE5BA6" w14:paraId="2921F3A3" w14:textId="77777777" w:rsidTr="00745423">
        <w:tc>
          <w:tcPr>
            <w:tcW w:w="6047" w:type="dxa"/>
            <w:vMerge/>
            <w:shd w:val="clear" w:color="auto" w:fill="BFBFBF" w:themeFill="background1" w:themeFillShade="BF"/>
          </w:tcPr>
          <w:p w14:paraId="788097BF" w14:textId="77777777" w:rsidR="001E082A" w:rsidRPr="00BE5BA6" w:rsidRDefault="001E082A" w:rsidP="00A979FD">
            <w:pPr>
              <w:keepNext/>
              <w:rPr>
                <w:sz w:val="18"/>
                <w:szCs w:val="18"/>
              </w:rPr>
            </w:pPr>
          </w:p>
        </w:tc>
        <w:tc>
          <w:tcPr>
            <w:tcW w:w="1498" w:type="dxa"/>
            <w:tcBorders>
              <w:top w:val="single" w:sz="8" w:space="0" w:color="auto"/>
              <w:left w:val="single" w:sz="12" w:space="0" w:color="auto"/>
              <w:right w:val="single" w:sz="4" w:space="0" w:color="auto"/>
            </w:tcBorders>
            <w:shd w:val="clear" w:color="auto" w:fill="BFBFBF" w:themeFill="background1" w:themeFillShade="BF"/>
          </w:tcPr>
          <w:p w14:paraId="784A63E2" w14:textId="4896F6BC" w:rsidR="001E082A" w:rsidRPr="00BE5BA6" w:rsidRDefault="001E082A" w:rsidP="00A979FD">
            <w:pPr>
              <w:keepNext/>
              <w:rPr>
                <w:sz w:val="18"/>
                <w:szCs w:val="18"/>
              </w:rPr>
            </w:pPr>
            <w:r>
              <w:rPr>
                <w:sz w:val="18"/>
              </w:rPr>
              <w:t>Personnel costs (in thousands of EUR)</w:t>
            </w:r>
          </w:p>
        </w:tc>
        <w:tc>
          <w:tcPr>
            <w:tcW w:w="1527" w:type="dxa"/>
            <w:tcBorders>
              <w:top w:val="single" w:sz="8" w:space="0" w:color="auto"/>
              <w:left w:val="single" w:sz="4" w:space="0" w:color="auto"/>
              <w:right w:val="single" w:sz="4" w:space="0" w:color="auto"/>
            </w:tcBorders>
            <w:shd w:val="clear" w:color="auto" w:fill="BFBFBF" w:themeFill="background1" w:themeFillShade="BF"/>
          </w:tcPr>
          <w:p w14:paraId="58E6CBB6" w14:textId="0D80B331" w:rsidR="001E082A" w:rsidRPr="00BE5BA6" w:rsidRDefault="001E082A" w:rsidP="00A979FD">
            <w:pPr>
              <w:keepNext/>
              <w:rPr>
                <w:sz w:val="18"/>
                <w:szCs w:val="18"/>
              </w:rPr>
            </w:pPr>
            <w:r>
              <w:rPr>
                <w:sz w:val="18"/>
              </w:rPr>
              <w:t>Material expenses (in thousands of EUR)</w:t>
            </w:r>
          </w:p>
        </w:tc>
      </w:tr>
      <w:tr w:rsidR="001E082A" w:rsidRPr="00BE5BA6" w14:paraId="4C38198F" w14:textId="77777777" w:rsidTr="00745423">
        <w:tc>
          <w:tcPr>
            <w:tcW w:w="6047" w:type="dxa"/>
            <w:vAlign w:val="center"/>
          </w:tcPr>
          <w:p w14:paraId="168C8AFC" w14:textId="3B4A42F1" w:rsidR="001E082A" w:rsidRPr="00BE5BA6" w:rsidRDefault="00467FCE" w:rsidP="001A3DAB">
            <w:pPr>
              <w:rPr>
                <w:sz w:val="18"/>
                <w:szCs w:val="18"/>
              </w:rPr>
            </w:pPr>
            <w:sdt>
              <w:sdtPr>
                <w:rPr>
                  <w:sz w:val="18"/>
                </w:rPr>
                <w:alias w:val="Category of one-off compliance costs"/>
                <w:tag w:val="Kategorie des einmaligen Erfüllungsaufwand"/>
                <w:id w:val="-251204374"/>
                <w:placeholder>
                  <w:docPart w:val="615F12189CE24C23B3DF434F1AB79C21"/>
                </w:placeholder>
                <w:dropDownList>
                  <w:listItem w:displayText="[select a category of one-off compliance cost here]" w:value="[hier eine Kategorie des einmaligen Erfüllungsaufwands auswählen]"/>
                  <w:listItem w:displayText="Acquisition or retrofitting of machinery, equipment, buildings and infrastructure facilities " w:value="Anschaffung oder Nachrüstung von Maschinen, Anlagen, Gebäuden und Infrastruktureinrichtungen "/>
                  <w:listItem w:displayText="Introduction or adaptation of digital process flows " w:value="Einführung oder Anpassung digitaler Prozessabläufe "/>
                  <w:listItem w:displayText="Einmalige Informationspflicht " w:value="Einmalige Informationspflicht "/>
                  <w:listItem w:displayText="Training costs" w:value="Schulungskosten"/>
                  <w:listItem w:displayText="Adaptation of organisational structures " w:value="Anpassung von Organisationsstrukturen "/>
                  <w:listItem w:displayText="Adaptation of products, manufacturing processes and procurement channels " w:value="Anpassung von Produkten, Fertigungsprozessen und Beschaffungswegen "/>
                  <w:listItem w:displayText="Other" w:value="Sonstiges"/>
                </w:dropDownList>
              </w:sdtPr>
              <w:sdtEndPr/>
              <w:sdtContent>
                <w:r w:rsidR="005C32D2">
                  <w:rPr>
                    <w:sz w:val="18"/>
                  </w:rPr>
                  <w:t xml:space="preserve">One-off information obligation </w:t>
                </w:r>
              </w:sdtContent>
            </w:sdt>
          </w:p>
        </w:tc>
        <w:tc>
          <w:tcPr>
            <w:tcW w:w="1498" w:type="dxa"/>
            <w:tcBorders>
              <w:left w:val="single" w:sz="12" w:space="0" w:color="auto"/>
              <w:right w:val="single" w:sz="4" w:space="0" w:color="auto"/>
            </w:tcBorders>
            <w:vAlign w:val="center"/>
          </w:tcPr>
          <w:p w14:paraId="28BCA610" w14:textId="72514B0E" w:rsidR="001E082A" w:rsidRPr="00BE5BA6" w:rsidRDefault="00785E19" w:rsidP="001A3DAB">
            <w:pPr>
              <w:jc w:val="center"/>
              <w:rPr>
                <w:sz w:val="18"/>
                <w:szCs w:val="18"/>
              </w:rPr>
            </w:pPr>
            <w:r>
              <w:rPr>
                <w:sz w:val="18"/>
              </w:rPr>
              <w:t>3</w:t>
            </w:r>
          </w:p>
        </w:tc>
        <w:tc>
          <w:tcPr>
            <w:tcW w:w="1527" w:type="dxa"/>
            <w:tcBorders>
              <w:left w:val="single" w:sz="4" w:space="0" w:color="auto"/>
              <w:right w:val="single" w:sz="4" w:space="0" w:color="auto"/>
            </w:tcBorders>
            <w:vAlign w:val="center"/>
          </w:tcPr>
          <w:p w14:paraId="683B7659" w14:textId="77777777" w:rsidR="001E082A" w:rsidRPr="00BE5BA6" w:rsidRDefault="001E082A" w:rsidP="001A3DAB">
            <w:pPr>
              <w:jc w:val="center"/>
              <w:rPr>
                <w:sz w:val="18"/>
                <w:szCs w:val="18"/>
              </w:rPr>
            </w:pPr>
            <w:r>
              <w:rPr>
                <w:sz w:val="18"/>
              </w:rPr>
              <w:t>-</w:t>
            </w:r>
          </w:p>
        </w:tc>
      </w:tr>
    </w:tbl>
    <w:p w14:paraId="78F108CC" w14:textId="77777777" w:rsidR="001E082A" w:rsidRPr="00BE5BA6" w:rsidRDefault="001E082A" w:rsidP="00A979FD">
      <w:pPr>
        <w:keepNext/>
      </w:pPr>
      <w:r>
        <w:lastRenderedPageBreak/>
        <w:t>Annual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014CC86D" w14:textId="77777777" w:rsidTr="00745423">
        <w:tc>
          <w:tcPr>
            <w:tcW w:w="1512" w:type="dxa"/>
            <w:shd w:val="clear" w:color="auto" w:fill="BFBFBF" w:themeFill="background1" w:themeFillShade="BF"/>
          </w:tcPr>
          <w:p w14:paraId="51EB8147" w14:textId="77777777"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52CB74B5" w14:textId="77777777"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62491D84" w14:textId="77777777"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29FE4206" w14:textId="77777777" w:rsidR="001E082A" w:rsidRPr="00BE5BA6" w:rsidRDefault="001E082A" w:rsidP="00A979FD">
            <w:pPr>
              <w:keepNext/>
              <w:rPr>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hemeFill="background1" w:themeFillShade="BF"/>
          </w:tcPr>
          <w:p w14:paraId="1A379754" w14:textId="147D3341"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61B53F5D" w14:textId="5B611FF6" w:rsidR="001E082A" w:rsidRPr="00BE5BA6" w:rsidRDefault="001E082A" w:rsidP="00A979FD">
            <w:pPr>
              <w:keepNext/>
              <w:rPr>
                <w:sz w:val="18"/>
                <w:szCs w:val="18"/>
              </w:rPr>
            </w:pPr>
            <w:r>
              <w:rPr>
                <w:sz w:val="18"/>
              </w:rPr>
              <w:t>Material expenses (in thousands of EUR)</w:t>
            </w:r>
          </w:p>
        </w:tc>
      </w:tr>
      <w:tr w:rsidR="001E082A" w:rsidRPr="00BE5BA6" w14:paraId="52F8DFD4" w14:textId="77777777" w:rsidTr="00745423">
        <w:tc>
          <w:tcPr>
            <w:tcW w:w="1512" w:type="dxa"/>
            <w:vAlign w:val="center"/>
          </w:tcPr>
          <w:p w14:paraId="79B1B7D0" w14:textId="77777777" w:rsidR="001E082A" w:rsidRPr="00BE5BA6" w:rsidRDefault="001E082A" w:rsidP="001A3DAB">
            <w:pPr>
              <w:jc w:val="center"/>
              <w:rPr>
                <w:sz w:val="18"/>
                <w:szCs w:val="18"/>
              </w:rPr>
            </w:pPr>
            <w:r>
              <w:rPr>
                <w:sz w:val="18"/>
              </w:rPr>
              <w:t>9</w:t>
            </w:r>
          </w:p>
        </w:tc>
        <w:tc>
          <w:tcPr>
            <w:tcW w:w="1512" w:type="dxa"/>
            <w:vAlign w:val="center"/>
          </w:tcPr>
          <w:p w14:paraId="31E5ABF0" w14:textId="33B94721" w:rsidR="001E082A" w:rsidRPr="00BE5BA6" w:rsidRDefault="00785E19" w:rsidP="001A3DAB">
            <w:pPr>
              <w:jc w:val="center"/>
              <w:rPr>
                <w:sz w:val="18"/>
                <w:szCs w:val="18"/>
              </w:rPr>
            </w:pPr>
            <w:r>
              <w:rPr>
                <w:sz w:val="18"/>
              </w:rPr>
              <w:t>480</w:t>
            </w:r>
          </w:p>
        </w:tc>
        <w:tc>
          <w:tcPr>
            <w:tcW w:w="1512" w:type="dxa"/>
            <w:vAlign w:val="center"/>
          </w:tcPr>
          <w:p w14:paraId="5301E17D" w14:textId="77777777" w:rsidR="001E082A" w:rsidRPr="00BE5BA6" w:rsidRDefault="001E082A" w:rsidP="001A3DAB">
            <w:pPr>
              <w:jc w:val="center"/>
              <w:rPr>
                <w:sz w:val="18"/>
                <w:szCs w:val="18"/>
              </w:rPr>
            </w:pPr>
            <w:r>
              <w:rPr>
                <w:sz w:val="18"/>
              </w:rPr>
              <w:t>31.50</w:t>
            </w:r>
          </w:p>
        </w:tc>
        <w:tc>
          <w:tcPr>
            <w:tcW w:w="1512" w:type="dxa"/>
            <w:tcBorders>
              <w:right w:val="single" w:sz="12" w:space="0" w:color="auto"/>
            </w:tcBorders>
            <w:vAlign w:val="center"/>
          </w:tcPr>
          <w:p w14:paraId="0A34674F" w14:textId="77777777" w:rsidR="001E082A" w:rsidRPr="00BE5BA6" w:rsidRDefault="001E082A" w:rsidP="001A3DAB">
            <w:pPr>
              <w:jc w:val="center"/>
              <w:rPr>
                <w:sz w:val="18"/>
                <w:szCs w:val="18"/>
              </w:rPr>
            </w:pPr>
            <w:r>
              <w:rPr>
                <w:sz w:val="18"/>
              </w:rPr>
              <w:t>-</w:t>
            </w:r>
          </w:p>
        </w:tc>
        <w:tc>
          <w:tcPr>
            <w:tcW w:w="1512" w:type="dxa"/>
            <w:tcBorders>
              <w:left w:val="single" w:sz="12" w:space="0" w:color="auto"/>
            </w:tcBorders>
            <w:vAlign w:val="center"/>
          </w:tcPr>
          <w:p w14:paraId="176BEE96" w14:textId="65EA9E51" w:rsidR="001E082A" w:rsidRPr="00BE5BA6" w:rsidRDefault="001E082A" w:rsidP="001A3DAB">
            <w:pPr>
              <w:jc w:val="center"/>
              <w:rPr>
                <w:sz w:val="18"/>
                <w:szCs w:val="18"/>
              </w:rPr>
            </w:pPr>
            <w:r>
              <w:rPr>
                <w:sz w:val="18"/>
              </w:rPr>
              <w:t>+2</w:t>
            </w:r>
          </w:p>
        </w:tc>
        <w:tc>
          <w:tcPr>
            <w:tcW w:w="1512" w:type="dxa"/>
            <w:tcBorders>
              <w:right w:val="single" w:sz="8" w:space="0" w:color="auto"/>
            </w:tcBorders>
            <w:vAlign w:val="center"/>
          </w:tcPr>
          <w:p w14:paraId="22AC9C67" w14:textId="77777777" w:rsidR="001E082A" w:rsidRPr="00BE5BA6" w:rsidRDefault="001E082A" w:rsidP="001A3DAB">
            <w:pPr>
              <w:jc w:val="center"/>
              <w:rPr>
                <w:sz w:val="18"/>
                <w:szCs w:val="18"/>
              </w:rPr>
            </w:pPr>
            <w:r>
              <w:rPr>
                <w:sz w:val="18"/>
              </w:rPr>
              <w:t>-</w:t>
            </w:r>
          </w:p>
        </w:tc>
      </w:tr>
      <w:tr w:rsidR="001E082A" w:rsidRPr="00BE5BA6" w14:paraId="02C9FBE7" w14:textId="77777777" w:rsidTr="00745423">
        <w:tc>
          <w:tcPr>
            <w:tcW w:w="6048" w:type="dxa"/>
            <w:gridSpan w:val="4"/>
            <w:tcBorders>
              <w:right w:val="single" w:sz="12" w:space="0" w:color="auto"/>
            </w:tcBorders>
            <w:shd w:val="clear" w:color="auto" w:fill="BFBFBF" w:themeFill="background1" w:themeFillShade="BF"/>
            <w:vAlign w:val="center"/>
          </w:tcPr>
          <w:p w14:paraId="30AF9BA3" w14:textId="7558080C" w:rsidR="001E082A" w:rsidRPr="00BE5BA6" w:rsidRDefault="001E082A" w:rsidP="00745423">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5BF28AF7" w14:textId="74C887C1" w:rsidR="001E082A" w:rsidRPr="00BE5BA6" w:rsidRDefault="001E082A" w:rsidP="00745423">
            <w:pPr>
              <w:jc w:val="center"/>
              <w:rPr>
                <w:sz w:val="18"/>
                <w:szCs w:val="18"/>
              </w:rPr>
            </w:pPr>
            <w:r>
              <w:rPr>
                <w:sz w:val="18"/>
              </w:rPr>
              <w:t>+2</w:t>
            </w:r>
          </w:p>
        </w:tc>
      </w:tr>
    </w:tbl>
    <w:p w14:paraId="1490BBDF" w14:textId="3492178C" w:rsidR="001E082A" w:rsidRPr="00BE5BA6" w:rsidRDefault="001E082A" w:rsidP="00D56402">
      <w:pPr>
        <w:rPr>
          <w:rFonts w:eastAsia="Times New Roman"/>
        </w:rPr>
      </w:pPr>
      <w:r>
        <w:t xml:space="preserve">§ 14(4) of the Packaging Act provides that the schemes are to publish some information on their websites and update it regularly, while respecting trade secrets. This information shall include ownership and membership, the fees paid by participating producers per unit of packaging subject to the scheme participation obligation placed on the market and information on the method they use to select waste management facilities. If trade secrets are involved, they shall be justified in a comprehensible manner and these justifications shall be transmitted to the Central Authority in electronic form. In view of the nature of the information concerned (ownership and membership, fees and procedures for the selection of waste management facilities), it can be assumed that trade secrets are involved in all the schemes and that the schemes must formulate and communicate a justification on a one-off basis accordingly. </w:t>
      </w:r>
    </w:p>
    <w:p w14:paraId="0F840686" w14:textId="42E43961" w:rsidR="001E082A" w:rsidRPr="00BE5BA6" w:rsidRDefault="001E082A" w:rsidP="00D56402">
      <w:pPr>
        <w:rPr>
          <w:rFonts w:eastAsia="Times New Roman"/>
        </w:rPr>
      </w:pPr>
      <w:r>
        <w:t xml:space="preserve">According to the Packaging Register, the arrangement pertains to the existing nine schemes at present. </w:t>
      </w:r>
    </w:p>
    <w:p w14:paraId="5AD74EBF" w14:textId="4C0CDA65" w:rsidR="00785E19" w:rsidRPr="00BE5BA6" w:rsidRDefault="001E082A" w:rsidP="00785E19">
      <w:pPr>
        <w:rPr>
          <w:rFonts w:eastAsia="Times New Roman"/>
        </w:rPr>
      </w:pPr>
      <w:r>
        <w:t xml:space="preserve">It is assumed that a one-off time investment of one working day (480 minutes) will be required to program and set up the website. In addition, it is assumed that 142 minutes will be spent drafting and sending a justification of the existence of trade secrets. This time is made up of the standard activities of obtaining data and information, preparing the data or writing the justification and copying, archiving and distributing. As this will mostly be a one-time activity and a detailed justification will have to be formulated in order to avoid queries and further explanations by the Central Authority or the competent federal state authority, a high degree of complexity is assumed for the acquisition of the data and information. The rest of the procedure concerns typical administrative activities and can therefore be set at a medium level of complexity. </w:t>
      </w:r>
    </w:p>
    <w:p w14:paraId="10F4E362" w14:textId="77777777" w:rsidR="00785E19" w:rsidRPr="00BE5BA6" w:rsidRDefault="00785E19" w:rsidP="00785E19">
      <w:pPr>
        <w:rPr>
          <w:rFonts w:eastAsia="Times New Roman"/>
        </w:rPr>
      </w:pPr>
      <w:r>
        <w:t>In total, this requirement results in a one-off time expenditure of 622 minutes.</w:t>
      </w:r>
    </w:p>
    <w:p w14:paraId="7426F52F" w14:textId="1DD362AD" w:rsidR="001E082A" w:rsidRPr="00BE5BA6" w:rsidRDefault="001E082A" w:rsidP="00D56402">
      <w:pPr>
        <w:rPr>
          <w:rFonts w:eastAsia="Times New Roman"/>
        </w:rPr>
      </w:pPr>
      <w:r>
        <w:t xml:space="preserve">For the annual time expenditure, it is estimated that the published information will have to be updated twice a year and that it takes a staff member approximately half a working day to do so (240 minutes per update; 480 minutes per year). </w:t>
      </w:r>
    </w:p>
    <w:p w14:paraId="15990430" w14:textId="1AB8D351" w:rsidR="001E082A" w:rsidRPr="00BE5BA6" w:rsidRDefault="001E082A" w:rsidP="00D56402">
      <w:pPr>
        <w:rPr>
          <w:rFonts w:eastAsia="Times New Roman"/>
        </w:rPr>
      </w:pPr>
      <w:r>
        <w:t xml:space="preserve">The average wage rate of EUR 31.50 per hour applies. This corresponds to Economic Section E of the Statistical Business Register ‘Water supply; sewerage, waste management and remediation activities’. </w:t>
      </w:r>
    </w:p>
    <w:p w14:paraId="2A425F82" w14:textId="02E8AA09" w:rsidR="001E082A" w:rsidRPr="00BE5BA6" w:rsidRDefault="001E082A" w:rsidP="00D56402">
      <w:pPr>
        <w:rPr>
          <w:rFonts w:eastAsia="Times New Roman"/>
        </w:rPr>
      </w:pPr>
      <w:r>
        <w:t xml:space="preserve">The </w:t>
      </w:r>
      <w:r>
        <w:rPr>
          <w:b/>
        </w:rPr>
        <w:t>one-off compliance costs</w:t>
      </w:r>
      <w:r>
        <w:t xml:space="preserve"> therefore amount to around </w:t>
      </w:r>
      <w:r>
        <w:rPr>
          <w:b/>
        </w:rPr>
        <w:t>EUR 3 thousand</w:t>
      </w:r>
      <w:r>
        <w:t>.</w:t>
      </w:r>
    </w:p>
    <w:p w14:paraId="4F56CF4C" w14:textId="6B0CF21C" w:rsidR="001E082A" w:rsidRPr="00BE5BA6" w:rsidRDefault="001E082A" w:rsidP="00D56402">
      <w:pPr>
        <w:rPr>
          <w:rFonts w:eastAsia="Times New Roman"/>
        </w:rPr>
      </w:pPr>
      <w:r>
        <w:t xml:space="preserve">The </w:t>
      </w:r>
      <w:r>
        <w:rPr>
          <w:b/>
        </w:rPr>
        <w:t>annual compliance cost</w:t>
      </w:r>
      <w:r>
        <w:t xml:space="preserve"> changes by around </w:t>
      </w:r>
      <w:r>
        <w:rPr>
          <w:b/>
        </w:rPr>
        <w:t>EUR +2 thousand</w:t>
      </w:r>
      <w:r>
        <w:t>.</w:t>
      </w:r>
    </w:p>
    <w:p w14:paraId="505B84FA" w14:textId="6AB0FD20" w:rsidR="001E082A" w:rsidRPr="00BE5BA6" w:rsidRDefault="001E082A" w:rsidP="00A979FD">
      <w:pPr>
        <w:keepNext/>
        <w:rPr>
          <w:rFonts w:eastAsia="Times New Roman"/>
          <w:b/>
        </w:rPr>
      </w:pPr>
      <w:r>
        <w:rPr>
          <w:b/>
        </w:rPr>
        <w:lastRenderedPageBreak/>
        <w:t>Requirement 12 (Information obligation): Information obligations of final distributors; Article 1 § 15(1) of the Packaging Act</w:t>
      </w:r>
    </w:p>
    <w:p w14:paraId="62095A03" w14:textId="77777777" w:rsidR="001E082A" w:rsidRPr="00BE5BA6" w:rsidRDefault="001E082A" w:rsidP="00A979FD">
      <w:pPr>
        <w:keepNext/>
      </w:pPr>
      <w:r>
        <w:t>Annual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3A22C98F" w14:textId="77777777" w:rsidTr="00745423">
        <w:tc>
          <w:tcPr>
            <w:tcW w:w="1512" w:type="dxa"/>
            <w:shd w:val="clear" w:color="auto" w:fill="BFBFBF" w:themeFill="background1" w:themeFillShade="BF"/>
          </w:tcPr>
          <w:p w14:paraId="1BCF1436" w14:textId="77777777"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72471D67" w14:textId="77777777"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2D3FE4B1" w14:textId="77777777"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07351FEA" w14:textId="77777777" w:rsidR="001E082A" w:rsidRPr="00BE5BA6" w:rsidRDefault="001E082A" w:rsidP="00A979FD">
            <w:pPr>
              <w:keepNext/>
              <w:rPr>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hemeFill="background1" w:themeFillShade="BF"/>
          </w:tcPr>
          <w:p w14:paraId="1C15FDAC" w14:textId="1B3C349C"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12B162AA" w14:textId="73897311" w:rsidR="001E082A" w:rsidRPr="00BE5BA6" w:rsidRDefault="001E082A" w:rsidP="00A979FD">
            <w:pPr>
              <w:keepNext/>
              <w:rPr>
                <w:sz w:val="18"/>
                <w:szCs w:val="18"/>
              </w:rPr>
            </w:pPr>
            <w:r>
              <w:rPr>
                <w:sz w:val="18"/>
              </w:rPr>
              <w:t>Material expenses (in thousands of EUR)</w:t>
            </w:r>
          </w:p>
        </w:tc>
      </w:tr>
      <w:tr w:rsidR="001E082A" w:rsidRPr="00BE5BA6" w14:paraId="2B2BF9F2" w14:textId="77777777" w:rsidTr="00745423">
        <w:tc>
          <w:tcPr>
            <w:tcW w:w="1512" w:type="dxa"/>
            <w:vAlign w:val="center"/>
          </w:tcPr>
          <w:p w14:paraId="639B3675" w14:textId="22EBB6A1" w:rsidR="001E082A" w:rsidRPr="00BE5BA6" w:rsidRDefault="001E082A" w:rsidP="001A3DAB">
            <w:pPr>
              <w:jc w:val="center"/>
              <w:rPr>
                <w:sz w:val="18"/>
                <w:szCs w:val="18"/>
              </w:rPr>
            </w:pPr>
            <w:r>
              <w:rPr>
                <w:sz w:val="18"/>
              </w:rPr>
              <w:t>7 400</w:t>
            </w:r>
          </w:p>
        </w:tc>
        <w:tc>
          <w:tcPr>
            <w:tcW w:w="1512" w:type="dxa"/>
            <w:vAlign w:val="center"/>
          </w:tcPr>
          <w:p w14:paraId="54851998" w14:textId="77777777" w:rsidR="001E082A" w:rsidRPr="00BE5BA6" w:rsidRDefault="001E082A" w:rsidP="001A3DAB">
            <w:pPr>
              <w:jc w:val="center"/>
              <w:rPr>
                <w:sz w:val="18"/>
                <w:szCs w:val="18"/>
              </w:rPr>
            </w:pPr>
            <w:r>
              <w:rPr>
                <w:sz w:val="18"/>
              </w:rPr>
              <w:t>72</w:t>
            </w:r>
          </w:p>
        </w:tc>
        <w:tc>
          <w:tcPr>
            <w:tcW w:w="1512" w:type="dxa"/>
            <w:vAlign w:val="center"/>
          </w:tcPr>
          <w:p w14:paraId="1133B610" w14:textId="77777777" w:rsidR="001E082A" w:rsidRPr="00BE5BA6" w:rsidRDefault="001E082A" w:rsidP="001A3DAB">
            <w:pPr>
              <w:jc w:val="center"/>
              <w:rPr>
                <w:sz w:val="18"/>
                <w:szCs w:val="18"/>
              </w:rPr>
            </w:pPr>
            <w:r>
              <w:rPr>
                <w:sz w:val="18"/>
              </w:rPr>
              <w:t>32.20</w:t>
            </w:r>
          </w:p>
        </w:tc>
        <w:tc>
          <w:tcPr>
            <w:tcW w:w="1512" w:type="dxa"/>
            <w:tcBorders>
              <w:right w:val="single" w:sz="12" w:space="0" w:color="auto"/>
            </w:tcBorders>
            <w:vAlign w:val="center"/>
          </w:tcPr>
          <w:p w14:paraId="07DC2F20" w14:textId="77777777" w:rsidR="001E082A" w:rsidRPr="00BE5BA6" w:rsidRDefault="001E082A" w:rsidP="001A3DAB">
            <w:pPr>
              <w:jc w:val="center"/>
              <w:rPr>
                <w:sz w:val="18"/>
                <w:szCs w:val="18"/>
              </w:rPr>
            </w:pPr>
            <w:r>
              <w:rPr>
                <w:sz w:val="18"/>
              </w:rPr>
              <w:t>350</w:t>
            </w:r>
          </w:p>
        </w:tc>
        <w:tc>
          <w:tcPr>
            <w:tcW w:w="1512" w:type="dxa"/>
            <w:tcBorders>
              <w:left w:val="single" w:sz="12" w:space="0" w:color="auto"/>
            </w:tcBorders>
            <w:vAlign w:val="center"/>
          </w:tcPr>
          <w:p w14:paraId="250891A7" w14:textId="77777777" w:rsidR="001E082A" w:rsidRPr="00BE5BA6" w:rsidRDefault="001E082A" w:rsidP="001A3DAB">
            <w:pPr>
              <w:jc w:val="center"/>
              <w:rPr>
                <w:sz w:val="18"/>
                <w:szCs w:val="18"/>
              </w:rPr>
            </w:pPr>
            <w:r>
              <w:rPr>
                <w:sz w:val="18"/>
              </w:rPr>
              <w:t>+286</w:t>
            </w:r>
          </w:p>
        </w:tc>
        <w:tc>
          <w:tcPr>
            <w:tcW w:w="1512" w:type="dxa"/>
            <w:tcBorders>
              <w:right w:val="single" w:sz="8" w:space="0" w:color="auto"/>
            </w:tcBorders>
            <w:vAlign w:val="center"/>
          </w:tcPr>
          <w:p w14:paraId="54C881E4" w14:textId="77777777" w:rsidR="001E082A" w:rsidRPr="00BE5BA6" w:rsidRDefault="001E082A" w:rsidP="001A3DAB">
            <w:pPr>
              <w:jc w:val="center"/>
              <w:rPr>
                <w:sz w:val="18"/>
                <w:szCs w:val="18"/>
              </w:rPr>
            </w:pPr>
            <w:r>
              <w:rPr>
                <w:sz w:val="18"/>
              </w:rPr>
              <w:t>+2,590</w:t>
            </w:r>
          </w:p>
        </w:tc>
      </w:tr>
      <w:tr w:rsidR="001E082A" w:rsidRPr="00BE5BA6" w14:paraId="26DCBDA3" w14:textId="77777777" w:rsidTr="00745423">
        <w:tc>
          <w:tcPr>
            <w:tcW w:w="6048" w:type="dxa"/>
            <w:gridSpan w:val="4"/>
            <w:tcBorders>
              <w:right w:val="single" w:sz="12" w:space="0" w:color="auto"/>
            </w:tcBorders>
            <w:shd w:val="clear" w:color="auto" w:fill="BFBFBF" w:themeFill="background1" w:themeFillShade="BF"/>
            <w:vAlign w:val="center"/>
          </w:tcPr>
          <w:p w14:paraId="512084E4" w14:textId="3C670178" w:rsidR="001E082A" w:rsidRPr="00BE5BA6" w:rsidRDefault="001E082A" w:rsidP="00745423">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6796FFB5" w14:textId="47C9F795" w:rsidR="001E082A" w:rsidRPr="00BE5BA6" w:rsidRDefault="001E082A" w:rsidP="00745423">
            <w:pPr>
              <w:jc w:val="center"/>
              <w:rPr>
                <w:sz w:val="18"/>
                <w:szCs w:val="18"/>
              </w:rPr>
            </w:pPr>
            <w:r>
              <w:rPr>
                <w:sz w:val="18"/>
              </w:rPr>
              <w:t>+2 876</w:t>
            </w:r>
          </w:p>
        </w:tc>
      </w:tr>
    </w:tbl>
    <w:p w14:paraId="7D5C21FF" w14:textId="2A2BF8B4" w:rsidR="001E082A" w:rsidRPr="00BE5BA6" w:rsidRDefault="001E082A" w:rsidP="00D56402">
      <w:pPr>
        <w:rPr>
          <w:rFonts w:eastAsia="Times New Roman"/>
        </w:rPr>
      </w:pPr>
      <w:r>
        <w:t xml:space="preserve">The amendment to § 15(1) of the Packaging Act provides that final distributors are required to inform final consumers of the appropriate measures, of the return options and of their purpose. Previously, this only applied to producers and distributors of packaging covered by § 15(1)(3) and (4) of the Packaging Act; in future, it will also apply to final distributors under subparagraphs 1, 2 and 5 (new). </w:t>
      </w:r>
    </w:p>
    <w:p w14:paraId="52913423" w14:textId="09A66A6C" w:rsidR="001E082A" w:rsidRPr="00BE5BA6" w:rsidRDefault="001E082A" w:rsidP="00D56402">
      <w:pPr>
        <w:rPr>
          <w:rFonts w:eastAsia="Times New Roman"/>
        </w:rPr>
      </w:pPr>
      <w:r>
        <w:t>The requirement is already included in the SCM database as an information obligation with a case number of 100 companies. As a result of the amendment to the Packaging Act, the parties concerned (7 500) mentioned under Requirement 4 – Business are now also included. The difference in the number of cases between future and existing parties subject to information obligations (= 7 400) is used to calculate the change in compliance costs.</w:t>
      </w:r>
    </w:p>
    <w:p w14:paraId="278A1056" w14:textId="500C5319" w:rsidR="001E082A" w:rsidRPr="00BE5BA6" w:rsidRDefault="001E082A" w:rsidP="00D56402">
      <w:pPr>
        <w:rPr>
          <w:rFonts w:eastAsia="Times New Roman"/>
        </w:rPr>
      </w:pPr>
      <w:r>
        <w:t xml:space="preserve">The time expenditure of 72 minutes and the material costs of around EUR 350 per case correspond to the requirement recorded in the SCM database ‘Information by producers and distributors of sales packaging on the final consumers’ right to return sales packaging holding filling materials containing hazardous substances free of charge’. </w:t>
      </w:r>
    </w:p>
    <w:p w14:paraId="76A1831D" w14:textId="63061D85" w:rsidR="001E082A" w:rsidRPr="00BE5BA6" w:rsidRDefault="001E082A" w:rsidP="00D56402">
      <w:pPr>
        <w:rPr>
          <w:rFonts w:eastAsia="Times New Roman"/>
        </w:rPr>
      </w:pPr>
      <w:r>
        <w:t xml:space="preserve">The value entered in the SCM dataset is transferred for the wage rate. This is EUR 32.20 and corresponds to the medium level of qualifications in the overall economy. </w:t>
      </w:r>
    </w:p>
    <w:p w14:paraId="2D2FE181" w14:textId="51AD2436" w:rsidR="001E082A" w:rsidRPr="00BE5BA6" w:rsidRDefault="001E082A" w:rsidP="00D56402">
      <w:pPr>
        <w:rPr>
          <w:rFonts w:eastAsia="Times New Roman"/>
        </w:rPr>
      </w:pPr>
      <w:r>
        <w:t xml:space="preserve">The </w:t>
      </w:r>
      <w:r>
        <w:rPr>
          <w:b/>
        </w:rPr>
        <w:t>annual compliance costs</w:t>
      </w:r>
      <w:r>
        <w:t xml:space="preserve"> change by around </w:t>
      </w:r>
      <w:r>
        <w:rPr>
          <w:b/>
        </w:rPr>
        <w:t>EUR +2.9 million</w:t>
      </w:r>
      <w:r>
        <w:t>. Of this figure, around EUR +286 thousand are attributable to personnel costs and around EUR +2.6 million to material costs.</w:t>
      </w:r>
    </w:p>
    <w:p w14:paraId="1BA98DBB" w14:textId="7A5314AA" w:rsidR="006A1648" w:rsidRPr="00BE5BA6" w:rsidRDefault="001E082A" w:rsidP="00A979FD">
      <w:pPr>
        <w:keepNext/>
        <w:rPr>
          <w:rFonts w:eastAsia="Times New Roman"/>
        </w:rPr>
      </w:pPr>
      <w:r>
        <w:rPr>
          <w:b/>
        </w:rPr>
        <w:t>Requirement 13 (Information obligation): Obligations to furnish proof; Article 1 § 15(3) of the Packaging Act</w:t>
      </w:r>
    </w:p>
    <w:p w14:paraId="6B3999E9" w14:textId="282A331B" w:rsidR="001E082A" w:rsidRPr="00BE5BA6" w:rsidRDefault="001E082A" w:rsidP="00A979FD">
      <w:pPr>
        <w:keepNext/>
      </w:pPr>
      <w:r>
        <w:t>Annual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2EF7A2BF" w14:textId="7851C0BC" w:rsidTr="00745423">
        <w:tc>
          <w:tcPr>
            <w:tcW w:w="1512" w:type="dxa"/>
            <w:shd w:val="clear" w:color="auto" w:fill="BFBFBF" w:themeFill="background1" w:themeFillShade="BF"/>
          </w:tcPr>
          <w:p w14:paraId="1BD275A9" w14:textId="2B83C25B"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73F88B2A" w14:textId="0DFE0899"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20FFC1FF" w14:textId="659C7DAB"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0EC2114E" w14:textId="424E5D45" w:rsidR="001E082A" w:rsidRPr="00BE5BA6" w:rsidRDefault="001E082A" w:rsidP="00A979FD">
            <w:pPr>
              <w:keepNext/>
              <w:rPr>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hemeFill="background1" w:themeFillShade="BF"/>
          </w:tcPr>
          <w:p w14:paraId="461EA39E" w14:textId="5E68221C"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2077CCC7" w14:textId="69302D96" w:rsidR="001E082A" w:rsidRPr="00BE5BA6" w:rsidRDefault="001E082A" w:rsidP="00A979FD">
            <w:pPr>
              <w:keepNext/>
              <w:rPr>
                <w:sz w:val="18"/>
                <w:szCs w:val="18"/>
              </w:rPr>
            </w:pPr>
            <w:r>
              <w:rPr>
                <w:sz w:val="18"/>
              </w:rPr>
              <w:t>Material expenses (in thousands of EUR)</w:t>
            </w:r>
          </w:p>
        </w:tc>
      </w:tr>
      <w:tr w:rsidR="001E082A" w:rsidRPr="00BE5BA6" w14:paraId="48468816" w14:textId="7483ADBC" w:rsidTr="00745423">
        <w:tc>
          <w:tcPr>
            <w:tcW w:w="1512" w:type="dxa"/>
            <w:vAlign w:val="center"/>
          </w:tcPr>
          <w:p w14:paraId="6D2B328E" w14:textId="604CB0EC" w:rsidR="001E082A" w:rsidRPr="00BE5BA6" w:rsidRDefault="001E082A" w:rsidP="005D2B2A">
            <w:pPr>
              <w:jc w:val="center"/>
              <w:rPr>
                <w:sz w:val="18"/>
                <w:szCs w:val="18"/>
              </w:rPr>
            </w:pPr>
            <w:r>
              <w:rPr>
                <w:sz w:val="18"/>
              </w:rPr>
              <w:t>7 400</w:t>
            </w:r>
          </w:p>
        </w:tc>
        <w:tc>
          <w:tcPr>
            <w:tcW w:w="1512" w:type="dxa"/>
            <w:vAlign w:val="center"/>
          </w:tcPr>
          <w:p w14:paraId="2D3F6221" w14:textId="150EE2B0" w:rsidR="001E082A" w:rsidRPr="00BE5BA6" w:rsidRDefault="008C71DF" w:rsidP="005D2B2A">
            <w:pPr>
              <w:jc w:val="center"/>
              <w:rPr>
                <w:sz w:val="18"/>
                <w:szCs w:val="18"/>
              </w:rPr>
            </w:pPr>
            <w:r>
              <w:rPr>
                <w:sz w:val="18"/>
              </w:rPr>
              <w:t>4</w:t>
            </w:r>
            <w:r w:rsidR="00C059FB">
              <w:rPr>
                <w:sz w:val="18"/>
              </w:rPr>
              <w:t> </w:t>
            </w:r>
            <w:r>
              <w:rPr>
                <w:sz w:val="18"/>
              </w:rPr>
              <w:t>530</w:t>
            </w:r>
          </w:p>
        </w:tc>
        <w:tc>
          <w:tcPr>
            <w:tcW w:w="1512" w:type="dxa"/>
            <w:vAlign w:val="center"/>
          </w:tcPr>
          <w:p w14:paraId="73A45F3B" w14:textId="2E770AB9" w:rsidR="001E082A" w:rsidRPr="00BE5BA6" w:rsidRDefault="001E082A" w:rsidP="00F75890">
            <w:pPr>
              <w:jc w:val="center"/>
              <w:rPr>
                <w:sz w:val="18"/>
                <w:szCs w:val="18"/>
              </w:rPr>
            </w:pPr>
            <w:r>
              <w:rPr>
                <w:sz w:val="18"/>
              </w:rPr>
              <w:t>56.37</w:t>
            </w:r>
          </w:p>
        </w:tc>
        <w:tc>
          <w:tcPr>
            <w:tcW w:w="1512" w:type="dxa"/>
            <w:tcBorders>
              <w:right w:val="single" w:sz="12" w:space="0" w:color="auto"/>
            </w:tcBorders>
            <w:vAlign w:val="center"/>
          </w:tcPr>
          <w:p w14:paraId="03E65312" w14:textId="417C7812" w:rsidR="001E082A" w:rsidRPr="00BE5BA6" w:rsidRDefault="008C71DF">
            <w:pPr>
              <w:jc w:val="center"/>
              <w:rPr>
                <w:sz w:val="18"/>
                <w:szCs w:val="18"/>
              </w:rPr>
            </w:pPr>
            <w:r>
              <w:rPr>
                <w:sz w:val="18"/>
              </w:rPr>
              <w:t>200</w:t>
            </w:r>
          </w:p>
        </w:tc>
        <w:tc>
          <w:tcPr>
            <w:tcW w:w="1512" w:type="dxa"/>
            <w:tcBorders>
              <w:left w:val="single" w:sz="12" w:space="0" w:color="auto"/>
            </w:tcBorders>
            <w:vAlign w:val="center"/>
          </w:tcPr>
          <w:p w14:paraId="360D9E19" w14:textId="26EE8DD5" w:rsidR="001E082A" w:rsidRPr="00BE5BA6" w:rsidRDefault="008C71DF">
            <w:pPr>
              <w:jc w:val="center"/>
              <w:rPr>
                <w:sz w:val="18"/>
                <w:szCs w:val="18"/>
              </w:rPr>
            </w:pPr>
            <w:r>
              <w:rPr>
                <w:sz w:val="18"/>
              </w:rPr>
              <w:t>31</w:t>
            </w:r>
            <w:r w:rsidR="00C059FB">
              <w:rPr>
                <w:sz w:val="18"/>
              </w:rPr>
              <w:t> </w:t>
            </w:r>
            <w:r>
              <w:rPr>
                <w:sz w:val="18"/>
              </w:rPr>
              <w:t>494</w:t>
            </w:r>
          </w:p>
        </w:tc>
        <w:tc>
          <w:tcPr>
            <w:tcW w:w="1512" w:type="dxa"/>
            <w:tcBorders>
              <w:right w:val="single" w:sz="8" w:space="0" w:color="auto"/>
            </w:tcBorders>
            <w:vAlign w:val="center"/>
          </w:tcPr>
          <w:p w14:paraId="437706A4" w14:textId="6C280F70" w:rsidR="001E082A" w:rsidRPr="00BE5BA6" w:rsidRDefault="008C71DF">
            <w:pPr>
              <w:jc w:val="center"/>
              <w:rPr>
                <w:sz w:val="18"/>
                <w:szCs w:val="18"/>
              </w:rPr>
            </w:pPr>
            <w:r>
              <w:rPr>
                <w:sz w:val="18"/>
              </w:rPr>
              <w:t>1</w:t>
            </w:r>
            <w:r w:rsidR="00C059FB">
              <w:rPr>
                <w:sz w:val="18"/>
              </w:rPr>
              <w:t> </w:t>
            </w:r>
            <w:r>
              <w:rPr>
                <w:sz w:val="18"/>
              </w:rPr>
              <w:t>480</w:t>
            </w:r>
          </w:p>
        </w:tc>
      </w:tr>
      <w:tr w:rsidR="001E082A" w:rsidRPr="00BE5BA6" w14:paraId="33420861" w14:textId="37704017" w:rsidTr="00745423">
        <w:tc>
          <w:tcPr>
            <w:tcW w:w="6048" w:type="dxa"/>
            <w:gridSpan w:val="4"/>
            <w:tcBorders>
              <w:right w:val="single" w:sz="12" w:space="0" w:color="auto"/>
            </w:tcBorders>
            <w:shd w:val="clear" w:color="auto" w:fill="BFBFBF" w:themeFill="background1" w:themeFillShade="BF"/>
            <w:vAlign w:val="center"/>
          </w:tcPr>
          <w:p w14:paraId="54DF8AE8" w14:textId="7782B115" w:rsidR="001E082A" w:rsidRPr="00BE5BA6" w:rsidRDefault="001E082A" w:rsidP="00745423">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1EE0DB19" w14:textId="792C2E9D" w:rsidR="001E082A" w:rsidRPr="00BE5BA6" w:rsidRDefault="008C71DF" w:rsidP="00745423">
            <w:pPr>
              <w:jc w:val="center"/>
              <w:rPr>
                <w:sz w:val="18"/>
                <w:szCs w:val="18"/>
              </w:rPr>
            </w:pPr>
            <w:r>
              <w:rPr>
                <w:sz w:val="18"/>
              </w:rPr>
              <w:t>32 974</w:t>
            </w:r>
          </w:p>
        </w:tc>
      </w:tr>
    </w:tbl>
    <w:p w14:paraId="7786FD33" w14:textId="763F0803" w:rsidR="001E082A" w:rsidRPr="00BE5BA6" w:rsidRDefault="001E082A" w:rsidP="00D56402">
      <w:pPr>
        <w:rPr>
          <w:rFonts w:eastAsia="Times New Roman"/>
        </w:rPr>
      </w:pPr>
      <w:r>
        <w:t>Up to now, under § 15(3) of the Packaging Act, only producers and downstream distributors in the supply chain of sales packaging, sales packaging with contents containing harmful substances and secondary packaging were required to provide evidence of compliance with the take-back and recovery requirements for which scheme participation was not possible because of scheme incompatibility. According to the current amendments, producers of transport packaging, sales packaging, secondary packaging and reusable packaging that does not typically accumulate as waste at private final consumers after use are now also included.</w:t>
      </w:r>
    </w:p>
    <w:p w14:paraId="10AC7DD9" w14:textId="32C7B025" w:rsidR="001E082A" w:rsidRPr="00BE5BA6" w:rsidRDefault="001E082A" w:rsidP="00D56402">
      <w:pPr>
        <w:rPr>
          <w:rFonts w:eastAsia="Times New Roman"/>
        </w:rPr>
      </w:pPr>
      <w:r>
        <w:lastRenderedPageBreak/>
        <w:t xml:space="preserve">This requirement has already been recorded in the SCM database and the information obligation has applied to 100 companies so far. As a result of the amendment to the Packaging Act, those mentioned under Requirement 4 – Business (7 500) are now additionally affected. For the further procedure, the total of the case numbers of the future and existing parties subject to information obligations (7 400) is used for the calculation of the change in the compliance costs. </w:t>
      </w:r>
    </w:p>
    <w:p w14:paraId="51D3538E" w14:textId="46C8DD1E" w:rsidR="008C71DF" w:rsidRPr="00BE5BA6" w:rsidRDefault="008C71DF" w:rsidP="008C71DF">
      <w:pPr>
        <w:rPr>
          <w:rFonts w:eastAsia="Times New Roman"/>
        </w:rPr>
      </w:pPr>
      <w:r>
        <w:t xml:space="preserve">For the requirement ‘Evidence of compliance with the take-back and recovery requirements for sales packaging holding filling materials containing hazardous substances’, a time expenditure of 45 300 minutes and material costs of around EUR 9 395 per case were assumed. </w:t>
      </w:r>
    </w:p>
    <w:p w14:paraId="333950BE" w14:textId="24EDF504" w:rsidR="008C71DF" w:rsidRPr="00BE5BA6" w:rsidRDefault="008C71DF" w:rsidP="008C71DF">
      <w:pPr>
        <w:rPr>
          <w:rFonts w:eastAsia="Times New Roman"/>
        </w:rPr>
      </w:pPr>
      <w:r>
        <w:t xml:space="preserve">These values were determined by a panel of experts on the Packaging Ordinance as part of the measurement exercise in 2007. However, it can be assumed that this time expenditure has decreased since then, partly due to automated procedures and the digitisation of process flows. Therefore, for this estimate, it is freely assumed that digitisation and automation have reduced the time spent to 10 % (4 530 minutes per year). </w:t>
      </w:r>
    </w:p>
    <w:p w14:paraId="38DB60EA" w14:textId="22D797C6" w:rsidR="008C71DF" w:rsidRPr="00BE5BA6" w:rsidRDefault="008C71DF" w:rsidP="008C71DF">
      <w:pPr>
        <w:rPr>
          <w:rFonts w:eastAsia="Times New Roman"/>
        </w:rPr>
      </w:pPr>
      <w:r>
        <w:t xml:space="preserve">It is assumed that the information technology is already available, but that material costs of around EUR 200 will be incurred for maintenance. </w:t>
      </w:r>
    </w:p>
    <w:p w14:paraId="652B12BF" w14:textId="43E65288" w:rsidR="001E082A" w:rsidRPr="00BE5BA6" w:rsidRDefault="001E082A" w:rsidP="00D56402">
      <w:pPr>
        <w:rPr>
          <w:rFonts w:eastAsia="Times New Roman"/>
        </w:rPr>
      </w:pPr>
      <w:r>
        <w:t xml:space="preserve">The value entered in the SCM dataset is transferred for the wage rate. This is EUR 56.37 per hour and corresponds to a weighted qualification level for the economy as a whole. </w:t>
      </w:r>
    </w:p>
    <w:p w14:paraId="407B1728" w14:textId="5677A83B" w:rsidR="001E082A" w:rsidRPr="00BE5BA6" w:rsidRDefault="001E082A" w:rsidP="00D56402">
      <w:pPr>
        <w:rPr>
          <w:rFonts w:eastAsia="Times New Roman"/>
          <w:b/>
          <w:sz w:val="24"/>
          <w:szCs w:val="24"/>
        </w:rPr>
      </w:pPr>
      <w:r>
        <w:t xml:space="preserve">The </w:t>
      </w:r>
      <w:r>
        <w:rPr>
          <w:b/>
        </w:rPr>
        <w:t>annual compliance costs</w:t>
      </w:r>
      <w:r>
        <w:t xml:space="preserve"> will change by around </w:t>
      </w:r>
      <w:r>
        <w:rPr>
          <w:b/>
        </w:rPr>
        <w:t>EUR 33 million</w:t>
      </w:r>
      <w:r>
        <w:t xml:space="preserve"> as a result. Of this, around EUR +14.5 million are personnel costs and around EUR 31.5 million are material costs. </w:t>
      </w:r>
    </w:p>
    <w:p w14:paraId="4D343757" w14:textId="752BE1AB" w:rsidR="001E082A" w:rsidRPr="00BE5BA6" w:rsidRDefault="001E082A" w:rsidP="00A979FD">
      <w:pPr>
        <w:keepNext/>
        <w:rPr>
          <w:rFonts w:eastAsia="Times New Roman"/>
          <w:b/>
        </w:rPr>
      </w:pPr>
      <w:r>
        <w:rPr>
          <w:b/>
        </w:rPr>
        <w:t>Requirement 14 (Further requirement):</w:t>
      </w:r>
      <w:r w:rsidR="00C059FB">
        <w:rPr>
          <w:b/>
        </w:rPr>
        <w:t xml:space="preserve"> </w:t>
      </w:r>
      <w:r>
        <w:rPr>
          <w:b/>
        </w:rPr>
        <w:t>Self-monitoring mechanisms for the obligations to furnish proof; Article 1 § 15(3) sentence 6 of the Packaging Act</w:t>
      </w:r>
    </w:p>
    <w:p w14:paraId="673BEE54" w14:textId="40DDD743" w:rsidR="001E082A" w:rsidRPr="00BE5BA6" w:rsidRDefault="001E082A" w:rsidP="003B6D5E">
      <w:pPr>
        <w:jc w:val="left"/>
        <w:rPr>
          <w:rFonts w:eastAsia="Times New Roman"/>
          <w:b/>
        </w:rPr>
      </w:pPr>
      <w:r>
        <w:t>In accordance with § 15(3) sentence 6 of the Packaging Act, final distributors of packaging are required to set up suitable mechanisms for self-monitoring of the obligations to furnish proof. The text of the Act does not specify how these self-monitoring mechanisms are to be designed.</w:t>
      </w:r>
      <w:r>
        <w:br/>
        <w:t xml:space="preserve">For this estimate, it is assumed that the final distributors of packaging have already implemented suitable controlling in the company which meets the requirements of the amendment. As such, </w:t>
      </w:r>
      <w:r>
        <w:rPr>
          <w:b/>
        </w:rPr>
        <w:t>no additional compliance costs</w:t>
      </w:r>
      <w:r>
        <w:t xml:space="preserve"> are incurred.</w:t>
      </w:r>
      <w:r>
        <w:rPr>
          <w:b/>
        </w:rPr>
        <w:t xml:space="preserve"> </w:t>
      </w:r>
    </w:p>
    <w:p w14:paraId="0132F1AC" w14:textId="2F7D54A2" w:rsidR="001E082A" w:rsidRPr="00BE5BA6" w:rsidRDefault="001E082A" w:rsidP="00A979FD">
      <w:pPr>
        <w:keepNext/>
        <w:rPr>
          <w:rFonts w:eastAsia="Times New Roman"/>
          <w:b/>
        </w:rPr>
      </w:pPr>
      <w:r>
        <w:rPr>
          <w:b/>
        </w:rPr>
        <w:t>Requirement 15 (Further requirement):</w:t>
      </w:r>
      <w:r w:rsidR="00C059FB">
        <w:rPr>
          <w:b/>
        </w:rPr>
        <w:t xml:space="preserve"> </w:t>
      </w:r>
      <w:r>
        <w:rPr>
          <w:b/>
        </w:rPr>
        <w:t>Financial and organisational resources including self-monitoring mechanism; Article 1 § 15(5) of the Packaging Act</w:t>
      </w:r>
    </w:p>
    <w:p w14:paraId="1A6E0F34" w14:textId="05A8FD27" w:rsidR="001E082A" w:rsidRPr="00BE5BA6" w:rsidRDefault="001E082A" w:rsidP="003B6D5E">
      <w:pPr>
        <w:jc w:val="left"/>
        <w:rPr>
          <w:rFonts w:eastAsia="Times New Roman"/>
        </w:rPr>
      </w:pPr>
      <w:r>
        <w:t>In accordance with § 15(5) of the Packaging Act, producers or distributors of packaging downstream in the supply chain are obliged to set up suitable mechanisms for self-monitoring. The text of the act does not specify how these self-monitoring mechanisms are to be designed.</w:t>
      </w:r>
      <w:r>
        <w:br/>
        <w:t xml:space="preserve">It is assumed that the producers or subsequent distributors of packaging in the supply chain have already implemented a suitable controlling system in the company which meets the requirements of the amendment, so </w:t>
      </w:r>
      <w:r>
        <w:rPr>
          <w:b/>
        </w:rPr>
        <w:t>no additional compliance costs</w:t>
      </w:r>
      <w:r>
        <w:t xml:space="preserve"> are incurred. </w:t>
      </w:r>
    </w:p>
    <w:p w14:paraId="0B4A0ED1" w14:textId="762499E6" w:rsidR="001E082A" w:rsidRPr="00BE5BA6" w:rsidRDefault="001E082A" w:rsidP="00A979FD">
      <w:pPr>
        <w:keepNext/>
        <w:rPr>
          <w:rFonts w:eastAsia="Times New Roman"/>
          <w:b/>
        </w:rPr>
      </w:pPr>
      <w:r>
        <w:rPr>
          <w:b/>
        </w:rPr>
        <w:t>Requirement 16 (Further requirement):</w:t>
      </w:r>
      <w:r w:rsidR="00C059FB">
        <w:rPr>
          <w:b/>
        </w:rPr>
        <w:t xml:space="preserve"> </w:t>
      </w:r>
      <w:r>
        <w:rPr>
          <w:b/>
        </w:rPr>
        <w:t>Financial and organisational resources including self-monitoring mechanism; Article 1 § 17(1) sentence 6, if applicable, in conjunction with § 8(3) sentence 1 of the Packaging Act</w:t>
      </w:r>
    </w:p>
    <w:p w14:paraId="106C5653" w14:textId="055D432E" w:rsidR="00337B44" w:rsidRPr="00BE5BA6" w:rsidRDefault="001E082A" w:rsidP="003B6D5E">
      <w:pPr>
        <w:jc w:val="left"/>
        <w:rPr>
          <w:rFonts w:eastAsia="Times New Roman"/>
        </w:rPr>
      </w:pPr>
      <w:r>
        <w:t>§ 17(1) sentence 6 of the Packaging Act obliges schemes and – via § 17(1) in conjunction with § 8(3) sentence 1 of the Packaging Act – industry solutions to set up suitable mechanisms for self-monitoring. The text of the Act does not specify how these self-</w:t>
      </w:r>
      <w:r>
        <w:lastRenderedPageBreak/>
        <w:t>monitoring mechanisms are to be designed.</w:t>
      </w:r>
      <w:r>
        <w:br/>
        <w:t xml:space="preserve">Here, too, it can be assumed that the schemes and industry solutions already have a suitable controlling system in place at the company that meets the requirements of the amendment, so </w:t>
      </w:r>
      <w:r>
        <w:rPr>
          <w:b/>
        </w:rPr>
        <w:t>no additional compliance costs</w:t>
      </w:r>
      <w:r>
        <w:t xml:space="preserve"> are incurred. </w:t>
      </w:r>
    </w:p>
    <w:p w14:paraId="34F1FCC8" w14:textId="65E6F089" w:rsidR="00337B44" w:rsidRPr="00BE5BA6" w:rsidRDefault="001E082A" w:rsidP="00A979FD">
      <w:pPr>
        <w:keepNext/>
        <w:rPr>
          <w:rFonts w:eastAsia="Times New Roman"/>
          <w:b/>
        </w:rPr>
      </w:pPr>
      <w:r>
        <w:rPr>
          <w:b/>
        </w:rPr>
        <w:t>Requirement 17 (Information obligation): Electronic filing instead of written submission, electronic signature; Article 1 § 17(3) of the Packaging Act</w:t>
      </w:r>
    </w:p>
    <w:p w14:paraId="76E6E7AB" w14:textId="7C803B97" w:rsidR="00785E19" w:rsidRPr="00BE5BA6" w:rsidRDefault="00785E19" w:rsidP="00785E19">
      <w:pPr>
        <w:rPr>
          <w:rFonts w:eastAsia="Times New Roman"/>
        </w:rPr>
      </w:pPr>
      <w:r>
        <w:t xml:space="preserve">As a result of the amendment to § 17(3) of the Packaging Act, the schemes transmit the volume flow records to the Central Authority in electronic form. Previously, this could only be done in written form. The confirmation in accordance with §17(2) sentence 1 of the Packaging Act shall be provided with an electronic signature. Since it can be assumed that the processes will require the same amount of time as before despite digitisation, it is assumed that there will not be a change in time expenditure. The amendment merely dispenses with the postage fees which are incurred for sending the documents to the Central Authority. </w:t>
      </w:r>
    </w:p>
    <w:p w14:paraId="2A1E9AD0" w14:textId="25A51880" w:rsidR="000B58B5" w:rsidRPr="00BE5BA6" w:rsidRDefault="00785E19" w:rsidP="00D56402">
      <w:pPr>
        <w:rPr>
          <w:rFonts w:eastAsia="Times New Roman"/>
        </w:rPr>
      </w:pPr>
      <w:r>
        <w:t>One euro is assumed as postage. As a result, the schemes will no longer incur annual – negligible – compliance costs of around nine euro (material costs).</w:t>
      </w:r>
    </w:p>
    <w:p w14:paraId="010940DD" w14:textId="0F64655E" w:rsidR="001E082A" w:rsidRPr="00BE5BA6" w:rsidRDefault="00337B44" w:rsidP="00A979FD">
      <w:pPr>
        <w:keepNext/>
        <w:rPr>
          <w:rFonts w:eastAsia="Times New Roman"/>
          <w:b/>
        </w:rPr>
      </w:pPr>
      <w:r>
        <w:rPr>
          <w:b/>
        </w:rPr>
        <w:t>Requirement 18 (Information obligation): Evidence of the financial standing of the schemes; Article 1 § 18(1a) of the Packaging Act</w:t>
      </w:r>
    </w:p>
    <w:p w14:paraId="4BFCEC8C" w14:textId="7BBC86EB" w:rsidR="000B58B5" w:rsidRPr="00BE5BA6" w:rsidRDefault="001E082A" w:rsidP="00D56402">
      <w:pPr>
        <w:rPr>
          <w:rFonts w:eastAsia="Times New Roman"/>
        </w:rPr>
      </w:pPr>
      <w:r>
        <w:t xml:space="preserve">The new § 18(1a) of the Packaging Act lays down the conditions for the financial standing of a scheme which are verified by the competent federal state authority when the scheme is approved. For this purpose, the schemes shall submit the annual financial statements or the balance sheet under commercial law and, at the same time or provide at least the information pursuant to § 18(1a) sentence 4 of the Packaging Act in addition. </w:t>
      </w:r>
    </w:p>
    <w:p w14:paraId="5B0A0057" w14:textId="7044A7C3" w:rsidR="001E082A" w:rsidRPr="00BE5BA6" w:rsidRDefault="001E082A" w:rsidP="00D56402">
      <w:pPr>
        <w:rPr>
          <w:rFonts w:eastAsia="Times New Roman"/>
        </w:rPr>
      </w:pPr>
      <w:r>
        <w:t xml:space="preserve">The request for approval of schemes entered in the SCM database on the basis of the ‘request for approval of schemes’ (id-ip: 200609291509054) shown is approximately 492 000 minutes per scheme. It can be assumed that this will not change significantly as a result of the additional information being submitted. </w:t>
      </w:r>
      <w:r>
        <w:rPr>
          <w:b/>
        </w:rPr>
        <w:t>Additional compliance costs</w:t>
      </w:r>
      <w:r>
        <w:t xml:space="preserve"> are therefore </w:t>
      </w:r>
      <w:r>
        <w:rPr>
          <w:b/>
        </w:rPr>
        <w:t xml:space="preserve">not </w:t>
      </w:r>
      <w:r>
        <w:t xml:space="preserve">expected. </w:t>
      </w:r>
    </w:p>
    <w:p w14:paraId="29BBE595" w14:textId="7530FE98" w:rsidR="001E082A" w:rsidRPr="00BE5BA6" w:rsidRDefault="001E082A" w:rsidP="00A979FD">
      <w:pPr>
        <w:keepNext/>
        <w:rPr>
          <w:rFonts w:eastAsia="Times New Roman"/>
          <w:b/>
        </w:rPr>
      </w:pPr>
      <w:r>
        <w:rPr>
          <w:b/>
        </w:rPr>
        <w:t>Requirement 19 (Further requirement):</w:t>
      </w:r>
      <w:r w:rsidR="00C059FB">
        <w:rPr>
          <w:b/>
        </w:rPr>
        <w:t xml:space="preserve"> </w:t>
      </w:r>
      <w:r>
        <w:rPr>
          <w:b/>
        </w:rPr>
        <w:t>Financial and organisational resources including a self-monitoring mechanism; Article 1 § 18(5) of the Packaging Act</w:t>
      </w:r>
    </w:p>
    <w:p w14:paraId="286355E7" w14:textId="609A810A" w:rsidR="001E082A" w:rsidRPr="00BE5BA6" w:rsidRDefault="001E082A" w:rsidP="003B6D5E">
      <w:pPr>
        <w:jc w:val="left"/>
        <w:rPr>
          <w:rFonts w:eastAsia="Times New Roman"/>
        </w:rPr>
      </w:pPr>
      <w:r>
        <w:t>In accordance with § 18(5) of the Packaging Act, schemes are obliged to set up suitable self-monitoring mechanisms. The text of the Act does not specify how these self-monitoring mechanisms are to be designed.</w:t>
      </w:r>
      <w:r>
        <w:br/>
        <w:t xml:space="preserve">Analogous to the previous requirements, the compliance costs are determined based on the assumption that the schemes have already implemented a suitable controlling system in the company that meets the requirements of the amendment, so </w:t>
      </w:r>
      <w:r>
        <w:rPr>
          <w:b/>
        </w:rPr>
        <w:t>no additional compliance costs</w:t>
      </w:r>
      <w:r>
        <w:t xml:space="preserve"> are incurred. </w:t>
      </w:r>
    </w:p>
    <w:p w14:paraId="05E3516B" w14:textId="73A3F8BD" w:rsidR="001E082A" w:rsidRPr="00BE5BA6" w:rsidRDefault="001E082A" w:rsidP="00A979FD">
      <w:pPr>
        <w:keepNext/>
        <w:rPr>
          <w:rFonts w:eastAsia="Times New Roman"/>
          <w:b/>
        </w:rPr>
      </w:pPr>
      <w:r>
        <w:rPr>
          <w:b/>
        </w:rPr>
        <w:t>Requirement 20 (Information obligation):</w:t>
      </w:r>
      <w:r w:rsidR="00C059FB">
        <w:rPr>
          <w:b/>
        </w:rPr>
        <w:t xml:space="preserve"> </w:t>
      </w:r>
      <w:r>
        <w:rPr>
          <w:b/>
        </w:rPr>
        <w:t>Submission of the annual financial statement/balance sheet and audit report; Article 1 § 20(5) sentence 1 of the Packaging Act</w:t>
      </w:r>
    </w:p>
    <w:p w14:paraId="7CB728D2" w14:textId="77777777" w:rsidR="001E082A" w:rsidRPr="00BE5BA6" w:rsidRDefault="001E082A" w:rsidP="00A979FD">
      <w:pPr>
        <w:keepNext/>
      </w:pPr>
      <w:r>
        <w:t>Annual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43319127" w14:textId="77777777" w:rsidTr="00745423">
        <w:tc>
          <w:tcPr>
            <w:tcW w:w="1512" w:type="dxa"/>
            <w:shd w:val="clear" w:color="auto" w:fill="BFBFBF" w:themeFill="background1" w:themeFillShade="BF"/>
          </w:tcPr>
          <w:p w14:paraId="19A5EDE9" w14:textId="77777777"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0DA4D399" w14:textId="77777777"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075640CB" w14:textId="77777777"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130065AB" w14:textId="77777777" w:rsidR="001E082A" w:rsidRPr="00BE5BA6" w:rsidRDefault="001E082A" w:rsidP="00A979FD">
            <w:pPr>
              <w:keepNext/>
              <w:rPr>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hemeFill="background1" w:themeFillShade="BF"/>
          </w:tcPr>
          <w:p w14:paraId="11491443" w14:textId="1D0D4EA9"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3B9AF83A" w14:textId="71DC1DD1" w:rsidR="001E082A" w:rsidRPr="00BE5BA6" w:rsidRDefault="001E082A" w:rsidP="00A979FD">
            <w:pPr>
              <w:keepNext/>
              <w:rPr>
                <w:sz w:val="18"/>
                <w:szCs w:val="18"/>
              </w:rPr>
            </w:pPr>
            <w:r>
              <w:rPr>
                <w:sz w:val="18"/>
              </w:rPr>
              <w:t>Material expenses (in thousands of EUR)</w:t>
            </w:r>
          </w:p>
        </w:tc>
      </w:tr>
      <w:tr w:rsidR="001E082A" w:rsidRPr="00BE5BA6" w14:paraId="76483A9C" w14:textId="77777777" w:rsidTr="00745423">
        <w:tc>
          <w:tcPr>
            <w:tcW w:w="1512" w:type="dxa"/>
            <w:vAlign w:val="center"/>
          </w:tcPr>
          <w:p w14:paraId="5F9A54F7" w14:textId="77777777" w:rsidR="001E082A" w:rsidRPr="00BE5BA6" w:rsidRDefault="001E082A" w:rsidP="005D2B2A">
            <w:pPr>
              <w:jc w:val="center"/>
              <w:rPr>
                <w:sz w:val="18"/>
                <w:szCs w:val="18"/>
              </w:rPr>
            </w:pPr>
            <w:r>
              <w:rPr>
                <w:sz w:val="18"/>
              </w:rPr>
              <w:t>9</w:t>
            </w:r>
          </w:p>
        </w:tc>
        <w:tc>
          <w:tcPr>
            <w:tcW w:w="1512" w:type="dxa"/>
            <w:vAlign w:val="center"/>
          </w:tcPr>
          <w:p w14:paraId="3EBA72BA" w14:textId="77777777" w:rsidR="001E082A" w:rsidRPr="00BE5BA6" w:rsidRDefault="001E082A" w:rsidP="00F75890">
            <w:pPr>
              <w:jc w:val="center"/>
              <w:rPr>
                <w:sz w:val="18"/>
                <w:szCs w:val="18"/>
              </w:rPr>
            </w:pPr>
            <w:r>
              <w:rPr>
                <w:sz w:val="18"/>
              </w:rPr>
              <w:t>15</w:t>
            </w:r>
          </w:p>
        </w:tc>
        <w:tc>
          <w:tcPr>
            <w:tcW w:w="1512" w:type="dxa"/>
            <w:vAlign w:val="center"/>
          </w:tcPr>
          <w:p w14:paraId="11D03219" w14:textId="77777777" w:rsidR="001E082A" w:rsidRPr="00BE5BA6" w:rsidRDefault="001E082A">
            <w:pPr>
              <w:jc w:val="center"/>
              <w:rPr>
                <w:sz w:val="18"/>
                <w:szCs w:val="18"/>
              </w:rPr>
            </w:pPr>
            <w:r>
              <w:rPr>
                <w:sz w:val="18"/>
              </w:rPr>
              <w:t>31.50</w:t>
            </w:r>
          </w:p>
        </w:tc>
        <w:tc>
          <w:tcPr>
            <w:tcW w:w="1512" w:type="dxa"/>
            <w:tcBorders>
              <w:right w:val="single" w:sz="12" w:space="0" w:color="auto"/>
            </w:tcBorders>
            <w:vAlign w:val="center"/>
          </w:tcPr>
          <w:p w14:paraId="7B1EAB77" w14:textId="77777777" w:rsidR="001E082A" w:rsidRPr="00BE5BA6" w:rsidRDefault="001E082A">
            <w:pPr>
              <w:jc w:val="center"/>
              <w:rPr>
                <w:sz w:val="18"/>
                <w:szCs w:val="18"/>
              </w:rPr>
            </w:pPr>
            <w:r>
              <w:rPr>
                <w:sz w:val="18"/>
              </w:rPr>
              <w:t>-</w:t>
            </w:r>
          </w:p>
        </w:tc>
        <w:tc>
          <w:tcPr>
            <w:tcW w:w="1512" w:type="dxa"/>
            <w:tcBorders>
              <w:left w:val="single" w:sz="12" w:space="0" w:color="auto"/>
            </w:tcBorders>
            <w:vAlign w:val="center"/>
          </w:tcPr>
          <w:p w14:paraId="62A4F1E2" w14:textId="77777777" w:rsidR="001E082A" w:rsidRPr="00BE5BA6" w:rsidRDefault="001E082A">
            <w:pPr>
              <w:jc w:val="center"/>
              <w:rPr>
                <w:sz w:val="18"/>
                <w:szCs w:val="18"/>
              </w:rPr>
            </w:pPr>
            <w:r>
              <w:rPr>
                <w:sz w:val="18"/>
              </w:rPr>
              <w:t>+0.1</w:t>
            </w:r>
          </w:p>
        </w:tc>
        <w:tc>
          <w:tcPr>
            <w:tcW w:w="1512" w:type="dxa"/>
            <w:tcBorders>
              <w:right w:val="single" w:sz="8" w:space="0" w:color="auto"/>
            </w:tcBorders>
            <w:vAlign w:val="center"/>
          </w:tcPr>
          <w:p w14:paraId="6CE05C77" w14:textId="77777777" w:rsidR="001E082A" w:rsidRPr="00BE5BA6" w:rsidRDefault="001E082A">
            <w:pPr>
              <w:jc w:val="center"/>
              <w:rPr>
                <w:sz w:val="18"/>
                <w:szCs w:val="18"/>
              </w:rPr>
            </w:pPr>
            <w:r>
              <w:rPr>
                <w:sz w:val="18"/>
              </w:rPr>
              <w:t>-</w:t>
            </w:r>
          </w:p>
        </w:tc>
      </w:tr>
      <w:tr w:rsidR="001E082A" w:rsidRPr="00BE5BA6" w14:paraId="0F149831" w14:textId="77777777" w:rsidTr="00745423">
        <w:tc>
          <w:tcPr>
            <w:tcW w:w="6048" w:type="dxa"/>
            <w:gridSpan w:val="4"/>
            <w:tcBorders>
              <w:right w:val="single" w:sz="12" w:space="0" w:color="auto"/>
            </w:tcBorders>
            <w:shd w:val="clear" w:color="auto" w:fill="BFBFBF" w:themeFill="background1" w:themeFillShade="BF"/>
            <w:vAlign w:val="center"/>
          </w:tcPr>
          <w:p w14:paraId="4BFD7CC4" w14:textId="185F9511" w:rsidR="001E082A" w:rsidRPr="00BE5BA6" w:rsidRDefault="001E082A" w:rsidP="00745423">
            <w:pPr>
              <w:jc w:val="right"/>
              <w:rPr>
                <w:sz w:val="18"/>
                <w:szCs w:val="18"/>
              </w:rPr>
            </w:pPr>
            <w:r>
              <w:rPr>
                <w:sz w:val="18"/>
              </w:rPr>
              <w:lastRenderedPageBreak/>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56A83C0D" w14:textId="77777777" w:rsidR="001E082A" w:rsidRPr="00BE5BA6" w:rsidRDefault="001E082A" w:rsidP="00745423">
            <w:pPr>
              <w:jc w:val="center"/>
              <w:rPr>
                <w:sz w:val="18"/>
                <w:szCs w:val="18"/>
              </w:rPr>
            </w:pPr>
            <w:r>
              <w:rPr>
                <w:sz w:val="18"/>
              </w:rPr>
              <w:t>+0.1</w:t>
            </w:r>
          </w:p>
        </w:tc>
      </w:tr>
    </w:tbl>
    <w:p w14:paraId="5DB2947B" w14:textId="5A3B9F59" w:rsidR="001E082A" w:rsidRPr="00BE5BA6" w:rsidRDefault="001E082A" w:rsidP="00D56402">
      <w:r>
        <w:t xml:space="preserve">In accordance with § 20(5) sentence 1 of the Packaging Act, the schemes are required to submit their annual financial statement or a balance sheet under commercial law and an audit report, together with or in addition to the information specified in § 18(1a) sentence 4 of the Packaging Act, to the Central Authority once a year. The required documents should already be available to the schemes and can be sent to the Central Authority without further research. It is expected that it will only require a small amount of time to compile the information pursuant to § 18(1a) sentence 4 of the Packaging Act. </w:t>
      </w:r>
    </w:p>
    <w:p w14:paraId="26F72567" w14:textId="57DACEC6" w:rsidR="001E082A" w:rsidRPr="00BE5BA6" w:rsidRDefault="001E082A" w:rsidP="00D56402">
      <w:pPr>
        <w:rPr>
          <w:rFonts w:eastAsia="Times New Roman"/>
        </w:rPr>
      </w:pPr>
      <w:r>
        <w:t xml:space="preserve">According to the Packaging Register, the arrangement pertains to the existing nine schemes at present. </w:t>
      </w:r>
    </w:p>
    <w:p w14:paraId="5269A079" w14:textId="003ADFE9" w:rsidR="001E082A" w:rsidRPr="00BE5BA6" w:rsidRDefault="001E082A" w:rsidP="00D56402">
      <w:pPr>
        <w:rPr>
          <w:rFonts w:eastAsia="Times New Roman"/>
        </w:rPr>
      </w:pPr>
      <w:r>
        <w:t xml:space="preserve">The following standard activities are used as the basis to derive the time required: Data and information acquisition and filling out forms. A total of 15 minutes is expected for the rest of the procedure. </w:t>
      </w:r>
    </w:p>
    <w:p w14:paraId="393E23E4" w14:textId="3229F44D" w:rsidR="001E082A" w:rsidRPr="00BE5BA6" w:rsidRDefault="001E082A" w:rsidP="00D56402">
      <w:pPr>
        <w:rPr>
          <w:rFonts w:eastAsia="Times New Roman"/>
        </w:rPr>
      </w:pPr>
      <w:r>
        <w:t xml:space="preserve">The average wage rate of EUR 31.50 per hour applies. This corresponds to Economic Section E of the Statistical Business Register ‘Water supply; sewerage, waste management and remediation activities’. </w:t>
      </w:r>
    </w:p>
    <w:p w14:paraId="1FF3A4D1" w14:textId="0E8DECB1" w:rsidR="001E082A" w:rsidRPr="00BE5BA6" w:rsidRDefault="001E082A" w:rsidP="00D56402">
      <w:pPr>
        <w:rPr>
          <w:rFonts w:eastAsia="Times New Roman"/>
        </w:rPr>
      </w:pPr>
      <w:r>
        <w:t xml:space="preserve">The </w:t>
      </w:r>
      <w:r>
        <w:rPr>
          <w:b/>
        </w:rPr>
        <w:t>annual compliance costs</w:t>
      </w:r>
      <w:r>
        <w:t xml:space="preserve"> change by around </w:t>
      </w:r>
      <w:r>
        <w:rPr>
          <w:b/>
        </w:rPr>
        <w:t>EUR +100 thousand</w:t>
      </w:r>
      <w:r>
        <w:t xml:space="preserve">. </w:t>
      </w:r>
    </w:p>
    <w:p w14:paraId="6106A83C" w14:textId="748A5DAC" w:rsidR="001E082A" w:rsidRPr="00BE5BA6" w:rsidRDefault="001E082A" w:rsidP="00A979FD">
      <w:pPr>
        <w:keepNext/>
      </w:pPr>
      <w:r>
        <w:rPr>
          <w:b/>
        </w:rPr>
        <w:t>Requirement 28 (Further requirement):</w:t>
      </w:r>
      <w:r w:rsidR="00C059FB">
        <w:rPr>
          <w:b/>
        </w:rPr>
        <w:t xml:space="preserve"> </w:t>
      </w:r>
      <w:r>
        <w:rPr>
          <w:b/>
        </w:rPr>
        <w:t>Minimum recyclate content of single-use plastic beverage bottles; Article 1 § 30a of the Packaging Act</w:t>
      </w:r>
      <w:r>
        <w:t xml:space="preserve"> </w:t>
      </w:r>
    </w:p>
    <w:p w14:paraId="031CDF8C" w14:textId="77777777" w:rsidR="00293C12" w:rsidRPr="00BE5BA6" w:rsidRDefault="00293C12" w:rsidP="00A979FD">
      <w:pPr>
        <w:keepNext/>
      </w:pPr>
      <w:r>
        <w:t>Annual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293C12" w:rsidRPr="00BE5BA6" w14:paraId="27417345" w14:textId="77777777" w:rsidTr="00745423">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B8B8C2" w14:textId="77777777" w:rsidR="00293C12" w:rsidRPr="00BE5BA6" w:rsidRDefault="00293C12" w:rsidP="00A979FD">
            <w:pPr>
              <w:keepNext/>
              <w:spacing w:after="0"/>
              <w:rPr>
                <w:rFonts w:asciiTheme="minorHAnsi" w:hAnsiTheme="minorHAnsi" w:cstheme="minorBidi"/>
                <w:sz w:val="18"/>
                <w:szCs w:val="18"/>
              </w:rPr>
            </w:pPr>
            <w:r>
              <w:rPr>
                <w:sz w:val="18"/>
              </w:rPr>
              <w:t>Number of cases</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94951E" w14:textId="77777777" w:rsidR="00293C12" w:rsidRPr="00BE5BA6" w:rsidRDefault="00293C12" w:rsidP="00A979FD">
            <w:pPr>
              <w:keepNext/>
              <w:spacing w:after="0"/>
              <w:rPr>
                <w:sz w:val="18"/>
                <w:szCs w:val="18"/>
              </w:rPr>
            </w:pPr>
            <w:r>
              <w:rPr>
                <w:sz w:val="18"/>
              </w:rPr>
              <w:t>Time expended per case (in minutes)</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295191" w14:textId="77777777" w:rsidR="00293C12" w:rsidRPr="00BE5BA6" w:rsidRDefault="00293C12" w:rsidP="00A979FD">
            <w:pPr>
              <w:keepNext/>
              <w:spacing w:after="0"/>
              <w:rPr>
                <w:sz w:val="18"/>
                <w:szCs w:val="18"/>
              </w:rPr>
            </w:pPr>
            <w:r>
              <w:rPr>
                <w:sz w:val="18"/>
              </w:rPr>
              <w:t>Hourly wage (in EUR)</w:t>
            </w:r>
          </w:p>
        </w:tc>
        <w:tc>
          <w:tcPr>
            <w:tcW w:w="1512" w:type="dxa"/>
            <w:tcBorders>
              <w:top w:val="single" w:sz="4" w:space="0" w:color="auto"/>
              <w:left w:val="single" w:sz="4" w:space="0" w:color="auto"/>
              <w:bottom w:val="single" w:sz="4" w:space="0" w:color="auto"/>
              <w:right w:val="single" w:sz="12" w:space="0" w:color="auto"/>
            </w:tcBorders>
            <w:shd w:val="clear" w:color="auto" w:fill="BFBFBF" w:themeFill="background1" w:themeFillShade="BF"/>
            <w:hideMark/>
          </w:tcPr>
          <w:p w14:paraId="392B02AD" w14:textId="77777777" w:rsidR="00293C12" w:rsidRPr="00BE5BA6" w:rsidRDefault="00293C12" w:rsidP="00A979FD">
            <w:pPr>
              <w:keepNext/>
              <w:spacing w:after="0"/>
              <w:rPr>
                <w:sz w:val="18"/>
                <w:szCs w:val="18"/>
              </w:rPr>
            </w:pPr>
            <w:r>
              <w:rPr>
                <w:sz w:val="18"/>
              </w:rPr>
              <w:t xml:space="preserve">Material expenses per case (in EUR) </w:t>
            </w:r>
          </w:p>
        </w:tc>
        <w:tc>
          <w:tcPr>
            <w:tcW w:w="1512" w:type="dxa"/>
            <w:tcBorders>
              <w:top w:val="single" w:sz="8" w:space="0" w:color="auto"/>
              <w:left w:val="single" w:sz="12" w:space="0" w:color="auto"/>
              <w:bottom w:val="single" w:sz="4" w:space="0" w:color="auto"/>
              <w:right w:val="single" w:sz="4" w:space="0" w:color="auto"/>
            </w:tcBorders>
            <w:shd w:val="clear" w:color="auto" w:fill="BFBFBF" w:themeFill="background1" w:themeFillShade="BF"/>
            <w:hideMark/>
          </w:tcPr>
          <w:p w14:paraId="421284A8" w14:textId="5699DED6" w:rsidR="00293C12" w:rsidRPr="00BE5BA6" w:rsidRDefault="006E4E98" w:rsidP="00A979FD">
            <w:pPr>
              <w:keepNext/>
              <w:spacing w:after="0"/>
              <w:rPr>
                <w:sz w:val="18"/>
                <w:szCs w:val="18"/>
              </w:rPr>
            </w:pPr>
            <w:r>
              <w:rPr>
                <w:sz w:val="18"/>
              </w:rPr>
              <w:t>Personnel costs (in thousands of EUR)</w:t>
            </w:r>
          </w:p>
        </w:tc>
        <w:tc>
          <w:tcPr>
            <w:tcW w:w="1512" w:type="dxa"/>
            <w:tcBorders>
              <w:top w:val="single" w:sz="8" w:space="0" w:color="auto"/>
              <w:left w:val="single" w:sz="4" w:space="0" w:color="auto"/>
              <w:bottom w:val="single" w:sz="4" w:space="0" w:color="auto"/>
              <w:right w:val="single" w:sz="8" w:space="0" w:color="auto"/>
            </w:tcBorders>
            <w:shd w:val="clear" w:color="auto" w:fill="BFBFBF" w:themeFill="background1" w:themeFillShade="BF"/>
            <w:hideMark/>
          </w:tcPr>
          <w:p w14:paraId="5B780AC1" w14:textId="1FBB8F8C" w:rsidR="00293C12" w:rsidRPr="00BE5BA6" w:rsidRDefault="00293C12" w:rsidP="00A979FD">
            <w:pPr>
              <w:keepNext/>
              <w:spacing w:after="0"/>
              <w:rPr>
                <w:sz w:val="18"/>
                <w:szCs w:val="18"/>
              </w:rPr>
            </w:pPr>
            <w:r>
              <w:rPr>
                <w:sz w:val="18"/>
              </w:rPr>
              <w:t>Material expenses (in thousands of EUR)</w:t>
            </w:r>
          </w:p>
        </w:tc>
      </w:tr>
      <w:tr w:rsidR="00293C12" w:rsidRPr="00BE5BA6" w14:paraId="15A0FFD0" w14:textId="77777777" w:rsidTr="00745423">
        <w:tc>
          <w:tcPr>
            <w:tcW w:w="1512" w:type="dxa"/>
            <w:tcBorders>
              <w:top w:val="single" w:sz="4" w:space="0" w:color="auto"/>
              <w:left w:val="single" w:sz="4" w:space="0" w:color="auto"/>
              <w:bottom w:val="single" w:sz="4" w:space="0" w:color="auto"/>
              <w:right w:val="single" w:sz="4" w:space="0" w:color="auto"/>
            </w:tcBorders>
            <w:vAlign w:val="center"/>
            <w:hideMark/>
          </w:tcPr>
          <w:p w14:paraId="14EFD9CA" w14:textId="77777777" w:rsidR="00293C12" w:rsidRPr="00BE5BA6" w:rsidRDefault="00293C12">
            <w:pPr>
              <w:spacing w:after="0"/>
              <w:jc w:val="center"/>
              <w:rPr>
                <w:sz w:val="18"/>
                <w:szCs w:val="18"/>
              </w:rPr>
            </w:pPr>
            <w:r>
              <w:rPr>
                <w:sz w:val="18"/>
              </w:rPr>
              <w:t>4</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082C4F1" w14:textId="77777777" w:rsidR="00293C12" w:rsidRPr="00BE5BA6" w:rsidRDefault="00293C12">
            <w:pPr>
              <w:spacing w:after="0"/>
              <w:jc w:val="center"/>
              <w:rPr>
                <w:sz w:val="18"/>
                <w:szCs w:val="18"/>
              </w:rPr>
            </w:pPr>
            <w:r>
              <w:rPr>
                <w:sz w:val="18"/>
              </w:rPr>
              <w:t>4 530</w:t>
            </w:r>
          </w:p>
        </w:tc>
        <w:tc>
          <w:tcPr>
            <w:tcW w:w="1512" w:type="dxa"/>
            <w:tcBorders>
              <w:top w:val="single" w:sz="4" w:space="0" w:color="auto"/>
              <w:left w:val="single" w:sz="4" w:space="0" w:color="auto"/>
              <w:bottom w:val="single" w:sz="4" w:space="0" w:color="auto"/>
              <w:right w:val="single" w:sz="4" w:space="0" w:color="auto"/>
            </w:tcBorders>
            <w:vAlign w:val="center"/>
            <w:hideMark/>
          </w:tcPr>
          <w:p w14:paraId="43CA31FC" w14:textId="77777777" w:rsidR="00293C12" w:rsidRPr="00BE5BA6" w:rsidRDefault="00293C12">
            <w:pPr>
              <w:spacing w:after="0"/>
              <w:jc w:val="center"/>
              <w:rPr>
                <w:sz w:val="18"/>
                <w:szCs w:val="18"/>
              </w:rPr>
            </w:pPr>
            <w:r>
              <w:rPr>
                <w:sz w:val="18"/>
              </w:rPr>
              <w:t>56.37</w:t>
            </w:r>
          </w:p>
        </w:tc>
        <w:tc>
          <w:tcPr>
            <w:tcW w:w="1512" w:type="dxa"/>
            <w:tcBorders>
              <w:top w:val="single" w:sz="4" w:space="0" w:color="auto"/>
              <w:left w:val="single" w:sz="4" w:space="0" w:color="auto"/>
              <w:bottom w:val="single" w:sz="4" w:space="0" w:color="auto"/>
              <w:right w:val="single" w:sz="12" w:space="0" w:color="auto"/>
            </w:tcBorders>
            <w:vAlign w:val="center"/>
            <w:hideMark/>
          </w:tcPr>
          <w:p w14:paraId="3EEC619F" w14:textId="77777777" w:rsidR="00293C12" w:rsidRPr="00BE5BA6" w:rsidRDefault="00293C12">
            <w:pPr>
              <w:spacing w:after="0"/>
              <w:jc w:val="center"/>
              <w:rPr>
                <w:sz w:val="18"/>
                <w:szCs w:val="18"/>
              </w:rPr>
            </w:pPr>
            <w:r>
              <w:rPr>
                <w:sz w:val="18"/>
              </w:rPr>
              <w:t>200</w:t>
            </w:r>
          </w:p>
        </w:tc>
        <w:tc>
          <w:tcPr>
            <w:tcW w:w="1512" w:type="dxa"/>
            <w:tcBorders>
              <w:top w:val="single" w:sz="4" w:space="0" w:color="auto"/>
              <w:left w:val="single" w:sz="12" w:space="0" w:color="auto"/>
              <w:bottom w:val="single" w:sz="4" w:space="0" w:color="auto"/>
              <w:right w:val="single" w:sz="4" w:space="0" w:color="auto"/>
            </w:tcBorders>
            <w:vAlign w:val="center"/>
            <w:hideMark/>
          </w:tcPr>
          <w:p w14:paraId="0D69D8C5" w14:textId="77777777" w:rsidR="00293C12" w:rsidRPr="00BE5BA6" w:rsidRDefault="00293C12">
            <w:pPr>
              <w:spacing w:after="0"/>
              <w:jc w:val="center"/>
              <w:rPr>
                <w:sz w:val="18"/>
                <w:szCs w:val="18"/>
              </w:rPr>
            </w:pPr>
            <w:r>
              <w:rPr>
                <w:sz w:val="18"/>
              </w:rPr>
              <w:t>+17</w:t>
            </w:r>
          </w:p>
        </w:tc>
        <w:tc>
          <w:tcPr>
            <w:tcW w:w="1512" w:type="dxa"/>
            <w:tcBorders>
              <w:top w:val="single" w:sz="4" w:space="0" w:color="auto"/>
              <w:left w:val="single" w:sz="4" w:space="0" w:color="auto"/>
              <w:bottom w:val="single" w:sz="4" w:space="0" w:color="auto"/>
              <w:right w:val="single" w:sz="8" w:space="0" w:color="auto"/>
            </w:tcBorders>
            <w:vAlign w:val="center"/>
            <w:hideMark/>
          </w:tcPr>
          <w:p w14:paraId="30ADC666" w14:textId="77777777" w:rsidR="00293C12" w:rsidRPr="00BE5BA6" w:rsidRDefault="00293C12">
            <w:pPr>
              <w:spacing w:after="0"/>
              <w:jc w:val="center"/>
              <w:rPr>
                <w:sz w:val="18"/>
                <w:szCs w:val="18"/>
              </w:rPr>
            </w:pPr>
            <w:r>
              <w:rPr>
                <w:sz w:val="18"/>
              </w:rPr>
              <w:t>+0.8</w:t>
            </w:r>
          </w:p>
        </w:tc>
      </w:tr>
      <w:tr w:rsidR="00293C12" w:rsidRPr="00BE5BA6" w14:paraId="504D09D7" w14:textId="77777777" w:rsidTr="00745423">
        <w:tc>
          <w:tcPr>
            <w:tcW w:w="6048" w:type="dxa"/>
            <w:gridSpan w:val="4"/>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hideMark/>
          </w:tcPr>
          <w:p w14:paraId="5C829059" w14:textId="64282751" w:rsidR="00293C12" w:rsidRPr="00BE5BA6" w:rsidRDefault="006E4E98" w:rsidP="00745423">
            <w:pPr>
              <w:spacing w:after="0"/>
              <w:jc w:val="right"/>
              <w:rPr>
                <w:sz w:val="18"/>
                <w:szCs w:val="18"/>
              </w:rPr>
            </w:pPr>
            <w:r>
              <w:rPr>
                <w:sz w:val="18"/>
              </w:rPr>
              <w:t>Compliance costs (in thousands of EUR)</w:t>
            </w:r>
          </w:p>
        </w:tc>
        <w:tc>
          <w:tcPr>
            <w:tcW w:w="3024" w:type="dxa"/>
            <w:gridSpan w:val="2"/>
            <w:tcBorders>
              <w:top w:val="single" w:sz="4" w:space="0" w:color="auto"/>
              <w:left w:val="single" w:sz="12" w:space="0" w:color="auto"/>
              <w:bottom w:val="single" w:sz="8" w:space="0" w:color="auto"/>
              <w:right w:val="single" w:sz="8" w:space="0" w:color="auto"/>
            </w:tcBorders>
            <w:vAlign w:val="center"/>
            <w:hideMark/>
          </w:tcPr>
          <w:p w14:paraId="17E8929B" w14:textId="77777777" w:rsidR="00293C12" w:rsidRPr="00BE5BA6" w:rsidRDefault="00293C12" w:rsidP="00745423">
            <w:pPr>
              <w:spacing w:after="0"/>
              <w:jc w:val="center"/>
              <w:rPr>
                <w:sz w:val="18"/>
                <w:szCs w:val="18"/>
              </w:rPr>
            </w:pPr>
            <w:r>
              <w:rPr>
                <w:sz w:val="18"/>
              </w:rPr>
              <w:t>+18</w:t>
            </w:r>
          </w:p>
        </w:tc>
      </w:tr>
    </w:tbl>
    <w:p w14:paraId="5770FC7B" w14:textId="51A1BE53" w:rsidR="001E082A" w:rsidRPr="00BE5BA6" w:rsidRDefault="001E082A" w:rsidP="00D56402">
      <w:r>
        <w:t>Due to the entry into force of § 30a of the Packaging Act, the minimum recyclate content of single-use plastic beverage bottles is increased. This is to increase from an initial 25 % by mass from 1 January 2025 to at least 30 % by mass from 1 January 2030.</w:t>
      </w:r>
    </w:p>
    <w:p w14:paraId="3C91EF8E" w14:textId="3653A124" w:rsidR="00B7369E" w:rsidRPr="00BE5BA6" w:rsidRDefault="00B7369E" w:rsidP="00B7369E">
      <w:r>
        <w:t xml:space="preserve">PET beverage bottles already contained an average of 26 % recyclate in 2015, with individual companies able to use 38 % and others as much as 59 % recyclate in the production of single-use plastic bottles. The average proportion rose from 24 % to 26 % within two years. The technical prerequisites for producing beverage bottles from 100 % recyclate have already been established, but various reasons are cited as to why this has not yet been implemented across the board. For example, the Institute for Energy and Environmental Research in Heidelberg cites, among other things, the discolouration of the end product, the emergence of black spots (increased risk of tearing of the bottle wall), the IV index, the problem of multiple recycling and the price difference between primary PET and recycled PET as reasons why a larger proportion of beverage bottles with higher recyclate content are not yet being produced. </w:t>
      </w:r>
    </w:p>
    <w:p w14:paraId="2492F019" w14:textId="4D5295BC" w:rsidR="001E082A" w:rsidRPr="00BE5BA6" w:rsidRDefault="00B7369E" w:rsidP="00D56402">
      <w:r>
        <w:t xml:space="preserve">In view of the fact that the 25 % proportion – which must be achieved from 2025 onwards – was already achieved on average in 2015, that the recyclate proportion is increasing by around 1 % by mass per year and that the technical requirements for the production of beverage bottles with a 100 % share by mass are possible, it is not expected that the amendment will necessitate the renewal or purchase of new machines. Accordingly, </w:t>
      </w:r>
      <w:r>
        <w:rPr>
          <w:b/>
        </w:rPr>
        <w:t>no one-off change in compliance costs</w:t>
      </w:r>
      <w:r>
        <w:t xml:space="preserve"> for the acquisition of new machinery or other adjustments is assumed for this purpose. </w:t>
      </w:r>
    </w:p>
    <w:p w14:paraId="7A5160D7" w14:textId="687F2C7F" w:rsidR="00293C12" w:rsidRPr="00BE5BA6" w:rsidRDefault="00293C12" w:rsidP="003B6D5E">
      <w:pPr>
        <w:jc w:val="left"/>
      </w:pPr>
      <w:r>
        <w:lastRenderedPageBreak/>
        <w:t xml:space="preserve">Since it is expected that not all companies will achieve this target by 2025 or 2030, or have achieved it at the present time, reference may be made to the possibility provided for in § 30a(2) of the Packaging Act. This gives producers of single-use plastic beverage bottles the option of fulfilling the bottle-related recyclate input quotas provided for in § 30a(1) with a recyclate input quota related to the total mass of single-use plastic beverage bottles placed on the market by them in Germany as an alternative. In order to be able to use this option, the producers concerned must document the single-use plastic beverage bottles they produce in a verifiable manner. </w:t>
      </w:r>
      <w:r>
        <w:br/>
        <w:t xml:space="preserve">The concrete number of companies that will make use of this option cannot be determined due to existing confidentiality obligations. For this reason, it is assumed that about 20 % of the producers of single-use plastic beverage bottles (this includes those companies that produce single-use plastic beverage bottles and place them on the market as packaging – filled or unfilled – for the first time in Germany) make use of the option under § 30a(2). </w:t>
      </w:r>
    </w:p>
    <w:p w14:paraId="1EFD13E4" w14:textId="71DAFD11" w:rsidR="00293C12" w:rsidRPr="00BE5BA6" w:rsidRDefault="00293C12" w:rsidP="00293C12">
      <w:r>
        <w:t xml:space="preserve">The membership directory of the PET Forum is used as a basis for determining the number of cases. According to the latter, a total of 20 companies can be classified as companies affected by the provision (PET bottle producer, PET closure producers, bottlers). It is not possible to make any statements about the number of companies importing single-use plastic beverage bottles produced abroad into Germany. After taking into account the assumed factor of 20 %, the further course of action is based on a case number of 4 companies to which the documentation obligation pursuant to § 30a(2) applies. </w:t>
      </w:r>
    </w:p>
    <w:p w14:paraId="6DF0C800" w14:textId="143A10DE" w:rsidR="00293C12" w:rsidRPr="00BE5BA6" w:rsidRDefault="00293C12" w:rsidP="00293C12">
      <w:r>
        <w:t xml:space="preserve">Since the documentation obligation is a similar procedure to that for the obligation to provide evidence pursuant to § 15(3) sentence 3 (see Requirement 12), the time and material expenditures assumed in that requirement, as well as the wage cost rate, are also adopted for this requirement. </w:t>
      </w:r>
    </w:p>
    <w:p w14:paraId="75A9D99D" w14:textId="3FD7D626" w:rsidR="00293C12" w:rsidRPr="00BE5BA6" w:rsidRDefault="00293C12" w:rsidP="00D56402">
      <w:r>
        <w:t>This results in annual compliance costs of around EUR +18 thousand.</w:t>
      </w:r>
    </w:p>
    <w:p w14:paraId="3411BAC3" w14:textId="7B3888CA" w:rsidR="001E082A" w:rsidRPr="00BE5BA6" w:rsidRDefault="001E082A" w:rsidP="00A979FD">
      <w:pPr>
        <w:keepNext/>
      </w:pPr>
      <w:r>
        <w:rPr>
          <w:b/>
        </w:rPr>
        <w:t>Requirement 29 (Information obligation):</w:t>
      </w:r>
      <w:r w:rsidR="00C059FB">
        <w:rPr>
          <w:b/>
        </w:rPr>
        <w:t xml:space="preserve"> </w:t>
      </w:r>
      <w:r>
        <w:rPr>
          <w:b/>
        </w:rPr>
        <w:t>Information obligations towards consumers; Article 1 §</w:t>
      </w:r>
      <w:r>
        <w:t xml:space="preserve"> </w:t>
      </w:r>
      <w:r>
        <w:rPr>
          <w:b/>
        </w:rPr>
        <w:t>31(1) sentence 4 of the Packaging Act</w:t>
      </w:r>
      <w:r>
        <w:t xml:space="preserve"> </w:t>
      </w:r>
    </w:p>
    <w:p w14:paraId="446CC6C3" w14:textId="28D69AAD" w:rsidR="001E082A" w:rsidRPr="00BE5BA6" w:rsidRDefault="001E082A" w:rsidP="00D56402">
      <w:r>
        <w:t xml:space="preserve">§ 31(1) sentence 4 of the Packaging Act obliges the uniform deposit system to inform final consumers of the take-back and collection systems for single-use drinks packaging subject to a deposit. This information is to be published on the website of the nationwide uniform deposit system pursuant to § 31(1) sentence 4 of the Packaging Act. Relevant information is already published on the website of Deutsche Pfand Gesellschaft mbH (DPG) at this point in time. Accordingly, no change in compliance costs is expected as a result of the statutory anchoring of a matter that has already been carried out. </w:t>
      </w:r>
    </w:p>
    <w:p w14:paraId="678FAF8D" w14:textId="42E4B095" w:rsidR="005A5CD9" w:rsidRPr="00BE5BA6" w:rsidRDefault="005A5CD9" w:rsidP="00A979FD">
      <w:pPr>
        <w:keepNext/>
        <w:rPr>
          <w:b/>
        </w:rPr>
      </w:pPr>
      <w:r>
        <w:rPr>
          <w:b/>
        </w:rPr>
        <w:t>Requirement 30 (information obligation): Addition of a duty to provide evidence and to have self-monitoring mechanisms for single-use drinks packaging; Article 1 § 31(3) sentence 3 of the Packaging Act</w:t>
      </w:r>
    </w:p>
    <w:p w14:paraId="5C5CCA03" w14:textId="77777777" w:rsidR="00542611" w:rsidRPr="00BE5BA6" w:rsidRDefault="00542611" w:rsidP="00A979FD">
      <w:pPr>
        <w:keepNext/>
      </w:pPr>
      <w:r>
        <w:t>Annual compliance costs:</w:t>
      </w:r>
    </w:p>
    <w:tbl>
      <w:tblPr>
        <w:tblStyle w:val="TableGrid"/>
        <w:tblW w:w="9072" w:type="dxa"/>
        <w:tblInd w:w="108" w:type="dxa"/>
        <w:tblLayout w:type="fixed"/>
        <w:tblLook w:val="04A0" w:firstRow="1" w:lastRow="0" w:firstColumn="1" w:lastColumn="0" w:noHBand="0" w:noVBand="1"/>
      </w:tblPr>
      <w:tblGrid>
        <w:gridCol w:w="1512"/>
        <w:gridCol w:w="1512"/>
        <w:gridCol w:w="1512"/>
        <w:gridCol w:w="1512"/>
        <w:gridCol w:w="1512"/>
        <w:gridCol w:w="1512"/>
      </w:tblGrid>
      <w:tr w:rsidR="00542611" w:rsidRPr="00BE5BA6" w14:paraId="01442433" w14:textId="77777777" w:rsidTr="008D5A39">
        <w:tc>
          <w:tcPr>
            <w:tcW w:w="1512" w:type="dxa"/>
            <w:shd w:val="clear" w:color="auto" w:fill="BFBFBF" w:themeFill="background1" w:themeFillShade="BF"/>
          </w:tcPr>
          <w:p w14:paraId="6EBEAB08" w14:textId="77777777" w:rsidR="00542611" w:rsidRPr="00BE5BA6" w:rsidRDefault="00542611" w:rsidP="00A979FD">
            <w:pPr>
              <w:keepNext/>
              <w:rPr>
                <w:sz w:val="18"/>
                <w:szCs w:val="18"/>
              </w:rPr>
            </w:pPr>
            <w:r>
              <w:rPr>
                <w:sz w:val="18"/>
              </w:rPr>
              <w:t>Number of cases</w:t>
            </w:r>
          </w:p>
        </w:tc>
        <w:tc>
          <w:tcPr>
            <w:tcW w:w="1512" w:type="dxa"/>
            <w:shd w:val="clear" w:color="auto" w:fill="BFBFBF" w:themeFill="background1" w:themeFillShade="BF"/>
          </w:tcPr>
          <w:p w14:paraId="23B438DC" w14:textId="77777777" w:rsidR="00542611" w:rsidRPr="00BE5BA6" w:rsidRDefault="00542611" w:rsidP="00A979FD">
            <w:pPr>
              <w:keepNext/>
              <w:rPr>
                <w:sz w:val="18"/>
                <w:szCs w:val="18"/>
              </w:rPr>
            </w:pPr>
            <w:r>
              <w:rPr>
                <w:sz w:val="18"/>
              </w:rPr>
              <w:t>Time expended per case (in minutes)</w:t>
            </w:r>
          </w:p>
        </w:tc>
        <w:tc>
          <w:tcPr>
            <w:tcW w:w="1512" w:type="dxa"/>
            <w:shd w:val="clear" w:color="auto" w:fill="BFBFBF" w:themeFill="background1" w:themeFillShade="BF"/>
          </w:tcPr>
          <w:p w14:paraId="53F61993" w14:textId="77777777" w:rsidR="00542611" w:rsidRPr="00BE5BA6" w:rsidRDefault="00542611"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23400B73" w14:textId="77777777" w:rsidR="00542611" w:rsidRPr="00BE5BA6" w:rsidRDefault="00542611" w:rsidP="00A979FD">
            <w:pPr>
              <w:keepNext/>
              <w:rPr>
                <w:sz w:val="18"/>
                <w:szCs w:val="18"/>
              </w:rPr>
            </w:pPr>
            <w:r>
              <w:rPr>
                <w:sz w:val="18"/>
              </w:rPr>
              <w:t>Material expenses per case (in EUR)</w:t>
            </w:r>
          </w:p>
        </w:tc>
        <w:tc>
          <w:tcPr>
            <w:tcW w:w="1512" w:type="dxa"/>
            <w:tcBorders>
              <w:top w:val="single" w:sz="8" w:space="0" w:color="auto"/>
              <w:left w:val="single" w:sz="12" w:space="0" w:color="auto"/>
            </w:tcBorders>
            <w:shd w:val="clear" w:color="auto" w:fill="BFBFBF" w:themeFill="background1" w:themeFillShade="BF"/>
          </w:tcPr>
          <w:p w14:paraId="6B03F598" w14:textId="3F6D800C" w:rsidR="00542611" w:rsidRPr="00BE5BA6" w:rsidRDefault="00542611"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11F1B89D" w14:textId="6FB838A2" w:rsidR="00542611" w:rsidRPr="00BE5BA6" w:rsidRDefault="00542611" w:rsidP="00A979FD">
            <w:pPr>
              <w:keepNext/>
              <w:rPr>
                <w:sz w:val="18"/>
                <w:szCs w:val="18"/>
              </w:rPr>
            </w:pPr>
            <w:r>
              <w:rPr>
                <w:sz w:val="18"/>
              </w:rPr>
              <w:t>Material expenses (in thousands of EUR)</w:t>
            </w:r>
          </w:p>
        </w:tc>
      </w:tr>
      <w:tr w:rsidR="00542611" w:rsidRPr="00BE5BA6" w14:paraId="040A4AFC" w14:textId="77777777" w:rsidTr="008D5A39">
        <w:tc>
          <w:tcPr>
            <w:tcW w:w="1512" w:type="dxa"/>
            <w:vAlign w:val="center"/>
          </w:tcPr>
          <w:p w14:paraId="2E2D5EBE" w14:textId="289397DA" w:rsidR="00542611" w:rsidRPr="00BE5BA6" w:rsidRDefault="00542611" w:rsidP="00C64689">
            <w:pPr>
              <w:jc w:val="center"/>
              <w:rPr>
                <w:sz w:val="18"/>
                <w:szCs w:val="18"/>
              </w:rPr>
            </w:pPr>
            <w:r>
              <w:rPr>
                <w:sz w:val="18"/>
              </w:rPr>
              <w:t>4 200</w:t>
            </w:r>
          </w:p>
        </w:tc>
        <w:tc>
          <w:tcPr>
            <w:tcW w:w="1512" w:type="dxa"/>
            <w:vAlign w:val="center"/>
          </w:tcPr>
          <w:p w14:paraId="1D986AEE" w14:textId="6681A200" w:rsidR="00542611" w:rsidRPr="00BE5BA6" w:rsidRDefault="00542611" w:rsidP="00C64689">
            <w:pPr>
              <w:jc w:val="center"/>
              <w:rPr>
                <w:sz w:val="18"/>
                <w:szCs w:val="18"/>
              </w:rPr>
            </w:pPr>
            <w:r>
              <w:rPr>
                <w:sz w:val="18"/>
              </w:rPr>
              <w:t>4</w:t>
            </w:r>
            <w:r w:rsidR="00C059FB">
              <w:rPr>
                <w:sz w:val="18"/>
              </w:rPr>
              <w:t> </w:t>
            </w:r>
            <w:r>
              <w:rPr>
                <w:sz w:val="18"/>
              </w:rPr>
              <w:t>530</w:t>
            </w:r>
          </w:p>
        </w:tc>
        <w:tc>
          <w:tcPr>
            <w:tcW w:w="1512" w:type="dxa"/>
            <w:vAlign w:val="center"/>
          </w:tcPr>
          <w:p w14:paraId="7B4AEB83" w14:textId="77777777" w:rsidR="00542611" w:rsidRPr="00BE5BA6" w:rsidRDefault="00542611" w:rsidP="00C64689">
            <w:pPr>
              <w:jc w:val="center"/>
              <w:rPr>
                <w:sz w:val="18"/>
                <w:szCs w:val="18"/>
              </w:rPr>
            </w:pPr>
            <w:r>
              <w:rPr>
                <w:sz w:val="18"/>
              </w:rPr>
              <w:t>56.37</w:t>
            </w:r>
          </w:p>
        </w:tc>
        <w:tc>
          <w:tcPr>
            <w:tcW w:w="1512" w:type="dxa"/>
            <w:tcBorders>
              <w:right w:val="single" w:sz="12" w:space="0" w:color="auto"/>
            </w:tcBorders>
            <w:vAlign w:val="center"/>
          </w:tcPr>
          <w:p w14:paraId="0439E7E2" w14:textId="77777777" w:rsidR="00542611" w:rsidRPr="00BE5BA6" w:rsidRDefault="00542611" w:rsidP="00C64689">
            <w:pPr>
              <w:jc w:val="center"/>
              <w:rPr>
                <w:sz w:val="18"/>
                <w:szCs w:val="18"/>
              </w:rPr>
            </w:pPr>
            <w:r>
              <w:rPr>
                <w:sz w:val="18"/>
              </w:rPr>
              <w:t>200</w:t>
            </w:r>
          </w:p>
        </w:tc>
        <w:tc>
          <w:tcPr>
            <w:tcW w:w="1512" w:type="dxa"/>
            <w:tcBorders>
              <w:left w:val="single" w:sz="12" w:space="0" w:color="auto"/>
            </w:tcBorders>
            <w:vAlign w:val="center"/>
          </w:tcPr>
          <w:p w14:paraId="3C817888" w14:textId="679AD7D1" w:rsidR="00542611" w:rsidRPr="00BE5BA6" w:rsidRDefault="00542611" w:rsidP="00C64689">
            <w:pPr>
              <w:jc w:val="center"/>
              <w:rPr>
                <w:sz w:val="18"/>
                <w:szCs w:val="18"/>
              </w:rPr>
            </w:pPr>
            <w:r>
              <w:rPr>
                <w:sz w:val="18"/>
              </w:rPr>
              <w:t>17</w:t>
            </w:r>
            <w:r w:rsidR="00C059FB">
              <w:rPr>
                <w:sz w:val="18"/>
              </w:rPr>
              <w:t> </w:t>
            </w:r>
            <w:r>
              <w:rPr>
                <w:sz w:val="18"/>
              </w:rPr>
              <w:t>875</w:t>
            </w:r>
          </w:p>
        </w:tc>
        <w:tc>
          <w:tcPr>
            <w:tcW w:w="1512" w:type="dxa"/>
            <w:tcBorders>
              <w:right w:val="single" w:sz="8" w:space="0" w:color="auto"/>
            </w:tcBorders>
            <w:vAlign w:val="center"/>
          </w:tcPr>
          <w:p w14:paraId="4DF9D26C" w14:textId="77777777" w:rsidR="00542611" w:rsidRPr="00BE5BA6" w:rsidRDefault="00542611" w:rsidP="00C64689">
            <w:pPr>
              <w:jc w:val="center"/>
              <w:rPr>
                <w:sz w:val="18"/>
                <w:szCs w:val="18"/>
              </w:rPr>
            </w:pPr>
            <w:r>
              <w:rPr>
                <w:sz w:val="18"/>
              </w:rPr>
              <w:t>840</w:t>
            </w:r>
          </w:p>
        </w:tc>
      </w:tr>
      <w:tr w:rsidR="00542611" w:rsidRPr="00BE5BA6" w14:paraId="73BEDD12" w14:textId="77777777" w:rsidTr="008D5A39">
        <w:tc>
          <w:tcPr>
            <w:tcW w:w="6048" w:type="dxa"/>
            <w:gridSpan w:val="4"/>
            <w:tcBorders>
              <w:right w:val="single" w:sz="12" w:space="0" w:color="auto"/>
            </w:tcBorders>
            <w:shd w:val="clear" w:color="auto" w:fill="BFBFBF" w:themeFill="background1" w:themeFillShade="BF"/>
            <w:vAlign w:val="center"/>
          </w:tcPr>
          <w:p w14:paraId="19EB5F8B" w14:textId="74AA6F11" w:rsidR="00542611" w:rsidRPr="00BE5BA6" w:rsidRDefault="00542611" w:rsidP="008D5A39">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75BD2199" w14:textId="413543DD" w:rsidR="00542611" w:rsidRPr="00BE5BA6" w:rsidRDefault="00542611" w:rsidP="008D5A39">
            <w:pPr>
              <w:jc w:val="center"/>
              <w:rPr>
                <w:sz w:val="18"/>
                <w:szCs w:val="18"/>
              </w:rPr>
            </w:pPr>
            <w:r>
              <w:rPr>
                <w:sz w:val="18"/>
              </w:rPr>
              <w:t>18 715</w:t>
            </w:r>
          </w:p>
        </w:tc>
      </w:tr>
    </w:tbl>
    <w:p w14:paraId="21467879" w14:textId="0A94578A" w:rsidR="00542611" w:rsidRPr="00BE5BA6" w:rsidRDefault="00542611" w:rsidP="00542611">
      <w:r>
        <w:t xml:space="preserve">In accordance with § 31(3) sentence 3 of the Packaging Act, the obligations laid down in § 15(3) sentences 3 to 7 of the Packaging Act also apply accordingly to producers of beverages with filled single-use drinks packaging. For one thing, these include the obligation to provide evidence of compliance with the take-back and recovery requirements </w:t>
      </w:r>
      <w:r>
        <w:lastRenderedPageBreak/>
        <w:t xml:space="preserve">(see also Requirement 12 – Business) and the introduction of self-monitoring mechanisms (see also Requirement 13 – Business). </w:t>
      </w:r>
    </w:p>
    <w:p w14:paraId="3CFCB1E5" w14:textId="3A1ADEB9" w:rsidR="00542611" w:rsidRPr="00BE5BA6" w:rsidRDefault="00542611" w:rsidP="00542611">
      <w:r>
        <w:t>The number of cases corresponds to the data in Document 800/07 of 9/11/2007 on the Fifth Ordinance amending the Packaging Ordinance (see page 24). For this purpose, the number of cases is expected to reach 4 200 producers for the requirement ‘Labelling of packaging for single-use beverage containers subject to a deposit’ (id_ip: 2009112315395203).</w:t>
      </w:r>
    </w:p>
    <w:p w14:paraId="1EF05C6E" w14:textId="13F2E62D" w:rsidR="00542611" w:rsidRPr="00BE5BA6" w:rsidRDefault="00542611" w:rsidP="00542611">
      <w:r>
        <w:t xml:space="preserve">In terms of content, this requirement reflects the same obligations as Requirement 12 – Business and Requirement 13 – Business. Accordingly, the time expenditure assumed there (4 530 minutes for the verification obligations and 0 minutes for the introduction of self-monitoring mechanisms), material costs (EUR 200 for information technology maintenance) and wage costs (weighted EUR 56.37 per hour) can be taken here. </w:t>
      </w:r>
    </w:p>
    <w:p w14:paraId="60031DAF" w14:textId="791100A9" w:rsidR="00156D48" w:rsidRPr="00BE5BA6" w:rsidRDefault="00542611" w:rsidP="00542611">
      <w:r>
        <w:t>This will result in annual compliance costs of approximately EUR 18.7 million. Of this amount, around EUR 17.9 million is accounted for by personnel costs and around EUR 840 thousand by material costs.</w:t>
      </w:r>
    </w:p>
    <w:p w14:paraId="33BD8FAD" w14:textId="5A572011" w:rsidR="001E082A" w:rsidRPr="00BE5BA6" w:rsidRDefault="00542611" w:rsidP="00A979FD">
      <w:pPr>
        <w:keepNext/>
        <w:rPr>
          <w:rFonts w:eastAsia="Times New Roman"/>
          <w:b/>
        </w:rPr>
      </w:pPr>
      <w:r>
        <w:t xml:space="preserve"> </w:t>
      </w:r>
      <w:r>
        <w:rPr>
          <w:b/>
        </w:rPr>
        <w:t>Requirement 31 (Further requirement):</w:t>
      </w:r>
      <w:r w:rsidR="00C059FB">
        <w:rPr>
          <w:b/>
        </w:rPr>
        <w:t xml:space="preserve"> </w:t>
      </w:r>
      <w:r>
        <w:rPr>
          <w:b/>
        </w:rPr>
        <w:t>Expansion of the single-use deposit-refund obligation; Article 1 § 31(4)(7) of the Packaging Act</w:t>
      </w:r>
    </w:p>
    <w:p w14:paraId="0A3DA0F7" w14:textId="77777777" w:rsidR="001E082A" w:rsidRPr="00BE5BA6" w:rsidRDefault="001E082A" w:rsidP="00A979FD">
      <w:pPr>
        <w:keepNext/>
      </w:pPr>
      <w:r>
        <w:t>One-off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09B9A798" w14:textId="77777777" w:rsidTr="008D5A39">
        <w:tc>
          <w:tcPr>
            <w:tcW w:w="1512" w:type="dxa"/>
            <w:shd w:val="clear" w:color="auto" w:fill="BFBFBF" w:themeFill="background1" w:themeFillShade="BF"/>
          </w:tcPr>
          <w:p w14:paraId="7954D149" w14:textId="77777777"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45EDC824" w14:textId="77777777"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4E23F933" w14:textId="77777777"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551BF77D" w14:textId="77777777" w:rsidR="001E082A" w:rsidRPr="00BE5BA6" w:rsidRDefault="001E082A" w:rsidP="00A979FD">
            <w:pPr>
              <w:keepNext/>
              <w:rPr>
                <w:sz w:val="18"/>
                <w:szCs w:val="18"/>
              </w:rPr>
            </w:pPr>
            <w:r>
              <w:rPr>
                <w:sz w:val="18"/>
              </w:rPr>
              <w:t>Material expenses per case (in EUR)</w:t>
            </w:r>
          </w:p>
        </w:tc>
        <w:tc>
          <w:tcPr>
            <w:tcW w:w="1512" w:type="dxa"/>
            <w:tcBorders>
              <w:top w:val="single" w:sz="8" w:space="0" w:color="auto"/>
              <w:left w:val="single" w:sz="12" w:space="0" w:color="auto"/>
            </w:tcBorders>
            <w:shd w:val="clear" w:color="auto" w:fill="BFBFBF" w:themeFill="background1" w:themeFillShade="BF"/>
          </w:tcPr>
          <w:p w14:paraId="2CF247B5" w14:textId="4DAA9AEF"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65B5C7AA" w14:textId="0AAF0C2F" w:rsidR="001E082A" w:rsidRPr="00BE5BA6" w:rsidRDefault="001E082A" w:rsidP="00A979FD">
            <w:pPr>
              <w:keepNext/>
              <w:rPr>
                <w:sz w:val="18"/>
                <w:szCs w:val="18"/>
              </w:rPr>
            </w:pPr>
            <w:r>
              <w:rPr>
                <w:sz w:val="18"/>
              </w:rPr>
              <w:t>Material expenses (in thousands of EUR)</w:t>
            </w:r>
          </w:p>
        </w:tc>
      </w:tr>
      <w:tr w:rsidR="001E082A" w:rsidRPr="00BE5BA6" w14:paraId="593ADF9E" w14:textId="77777777" w:rsidTr="008D5A39">
        <w:tc>
          <w:tcPr>
            <w:tcW w:w="1512" w:type="dxa"/>
            <w:vAlign w:val="center"/>
          </w:tcPr>
          <w:p w14:paraId="325F15BC" w14:textId="77777777" w:rsidR="001E082A" w:rsidRPr="00BE5BA6" w:rsidRDefault="001E082A" w:rsidP="005D2B2A">
            <w:pPr>
              <w:jc w:val="center"/>
              <w:rPr>
                <w:sz w:val="18"/>
                <w:szCs w:val="18"/>
              </w:rPr>
            </w:pPr>
            <w:r>
              <w:rPr>
                <w:sz w:val="18"/>
              </w:rPr>
              <w:t>20</w:t>
            </w:r>
          </w:p>
        </w:tc>
        <w:tc>
          <w:tcPr>
            <w:tcW w:w="1512" w:type="dxa"/>
            <w:vAlign w:val="center"/>
          </w:tcPr>
          <w:p w14:paraId="04D1AAE3" w14:textId="77777777" w:rsidR="001E082A" w:rsidRPr="00BE5BA6" w:rsidRDefault="001E082A" w:rsidP="00F75890">
            <w:pPr>
              <w:jc w:val="center"/>
              <w:rPr>
                <w:sz w:val="18"/>
                <w:szCs w:val="18"/>
              </w:rPr>
            </w:pPr>
            <w:r>
              <w:rPr>
                <w:sz w:val="18"/>
              </w:rPr>
              <w:t>-</w:t>
            </w:r>
          </w:p>
        </w:tc>
        <w:tc>
          <w:tcPr>
            <w:tcW w:w="1512" w:type="dxa"/>
            <w:vAlign w:val="center"/>
          </w:tcPr>
          <w:p w14:paraId="7A9574EB" w14:textId="77777777" w:rsidR="001E082A" w:rsidRPr="00BE5BA6" w:rsidRDefault="001E082A">
            <w:pPr>
              <w:jc w:val="center"/>
              <w:rPr>
                <w:sz w:val="18"/>
                <w:szCs w:val="18"/>
              </w:rPr>
            </w:pPr>
            <w:r>
              <w:rPr>
                <w:sz w:val="18"/>
              </w:rPr>
              <w:t>-</w:t>
            </w:r>
          </w:p>
        </w:tc>
        <w:tc>
          <w:tcPr>
            <w:tcW w:w="1512" w:type="dxa"/>
            <w:tcBorders>
              <w:right w:val="single" w:sz="12" w:space="0" w:color="auto"/>
            </w:tcBorders>
            <w:vAlign w:val="center"/>
          </w:tcPr>
          <w:p w14:paraId="52B34CE3" w14:textId="400EF08B" w:rsidR="001E082A" w:rsidRPr="00BE5BA6" w:rsidRDefault="001E082A">
            <w:pPr>
              <w:jc w:val="center"/>
              <w:rPr>
                <w:sz w:val="18"/>
                <w:szCs w:val="18"/>
              </w:rPr>
            </w:pPr>
            <w:r>
              <w:rPr>
                <w:sz w:val="18"/>
              </w:rPr>
              <w:t>4 290</w:t>
            </w:r>
          </w:p>
        </w:tc>
        <w:tc>
          <w:tcPr>
            <w:tcW w:w="1512" w:type="dxa"/>
            <w:tcBorders>
              <w:left w:val="single" w:sz="12" w:space="0" w:color="auto"/>
            </w:tcBorders>
            <w:vAlign w:val="center"/>
          </w:tcPr>
          <w:p w14:paraId="4399817F" w14:textId="77777777" w:rsidR="001E082A" w:rsidRPr="00BE5BA6" w:rsidRDefault="001E082A">
            <w:pPr>
              <w:jc w:val="center"/>
              <w:rPr>
                <w:sz w:val="18"/>
                <w:szCs w:val="18"/>
              </w:rPr>
            </w:pPr>
            <w:r>
              <w:rPr>
                <w:sz w:val="18"/>
              </w:rPr>
              <w:t>-</w:t>
            </w:r>
          </w:p>
        </w:tc>
        <w:tc>
          <w:tcPr>
            <w:tcW w:w="1512" w:type="dxa"/>
            <w:tcBorders>
              <w:right w:val="single" w:sz="8" w:space="0" w:color="auto"/>
            </w:tcBorders>
            <w:vAlign w:val="center"/>
          </w:tcPr>
          <w:p w14:paraId="7309C797" w14:textId="77777777" w:rsidR="001E082A" w:rsidRPr="00BE5BA6" w:rsidRDefault="001E082A">
            <w:pPr>
              <w:jc w:val="center"/>
              <w:rPr>
                <w:sz w:val="18"/>
                <w:szCs w:val="18"/>
              </w:rPr>
            </w:pPr>
            <w:r>
              <w:rPr>
                <w:sz w:val="18"/>
              </w:rPr>
              <w:t>86</w:t>
            </w:r>
          </w:p>
        </w:tc>
      </w:tr>
      <w:tr w:rsidR="001E082A" w:rsidRPr="00BE5BA6" w14:paraId="1808CA8F" w14:textId="77777777" w:rsidTr="008D5A39">
        <w:tc>
          <w:tcPr>
            <w:tcW w:w="1512" w:type="dxa"/>
            <w:vAlign w:val="center"/>
          </w:tcPr>
          <w:p w14:paraId="42A1A2AA" w14:textId="77777777" w:rsidR="001E082A" w:rsidRPr="00BE5BA6" w:rsidRDefault="001E082A" w:rsidP="005D2B2A">
            <w:pPr>
              <w:jc w:val="center"/>
              <w:rPr>
                <w:sz w:val="18"/>
                <w:szCs w:val="18"/>
              </w:rPr>
            </w:pPr>
            <w:r>
              <w:rPr>
                <w:sz w:val="18"/>
              </w:rPr>
              <w:t>400</w:t>
            </w:r>
          </w:p>
        </w:tc>
        <w:tc>
          <w:tcPr>
            <w:tcW w:w="1512" w:type="dxa"/>
            <w:vAlign w:val="center"/>
          </w:tcPr>
          <w:p w14:paraId="4DEA2DAC" w14:textId="77777777" w:rsidR="001E082A" w:rsidRPr="00BE5BA6" w:rsidRDefault="001E082A" w:rsidP="00F75890">
            <w:pPr>
              <w:jc w:val="center"/>
              <w:rPr>
                <w:sz w:val="18"/>
                <w:szCs w:val="18"/>
              </w:rPr>
            </w:pPr>
            <w:r>
              <w:rPr>
                <w:sz w:val="18"/>
              </w:rPr>
              <w:t>-</w:t>
            </w:r>
          </w:p>
        </w:tc>
        <w:tc>
          <w:tcPr>
            <w:tcW w:w="1512" w:type="dxa"/>
            <w:vAlign w:val="center"/>
          </w:tcPr>
          <w:p w14:paraId="2BE6F820" w14:textId="77777777" w:rsidR="001E082A" w:rsidRPr="00BE5BA6" w:rsidRDefault="001E082A">
            <w:pPr>
              <w:jc w:val="center"/>
              <w:rPr>
                <w:sz w:val="18"/>
                <w:szCs w:val="18"/>
              </w:rPr>
            </w:pPr>
            <w:r>
              <w:rPr>
                <w:sz w:val="18"/>
              </w:rPr>
              <w:t>-</w:t>
            </w:r>
          </w:p>
        </w:tc>
        <w:tc>
          <w:tcPr>
            <w:tcW w:w="1512" w:type="dxa"/>
            <w:tcBorders>
              <w:right w:val="single" w:sz="12" w:space="0" w:color="auto"/>
            </w:tcBorders>
            <w:vAlign w:val="center"/>
          </w:tcPr>
          <w:p w14:paraId="56C9B8E4" w14:textId="182EE2C2" w:rsidR="001E082A" w:rsidRPr="00BE5BA6" w:rsidRDefault="001E082A">
            <w:pPr>
              <w:jc w:val="center"/>
              <w:rPr>
                <w:sz w:val="18"/>
                <w:szCs w:val="18"/>
              </w:rPr>
            </w:pPr>
            <w:r>
              <w:rPr>
                <w:sz w:val="18"/>
              </w:rPr>
              <w:t>16 575</w:t>
            </w:r>
          </w:p>
        </w:tc>
        <w:tc>
          <w:tcPr>
            <w:tcW w:w="1512" w:type="dxa"/>
            <w:tcBorders>
              <w:left w:val="single" w:sz="12" w:space="0" w:color="auto"/>
            </w:tcBorders>
            <w:vAlign w:val="center"/>
          </w:tcPr>
          <w:p w14:paraId="13C6F7CB" w14:textId="77777777" w:rsidR="001E082A" w:rsidRPr="00BE5BA6" w:rsidRDefault="001E082A">
            <w:pPr>
              <w:jc w:val="center"/>
              <w:rPr>
                <w:sz w:val="18"/>
                <w:szCs w:val="18"/>
              </w:rPr>
            </w:pPr>
            <w:r>
              <w:rPr>
                <w:sz w:val="18"/>
              </w:rPr>
              <w:t>-</w:t>
            </w:r>
          </w:p>
        </w:tc>
        <w:tc>
          <w:tcPr>
            <w:tcW w:w="1512" w:type="dxa"/>
            <w:tcBorders>
              <w:right w:val="single" w:sz="8" w:space="0" w:color="auto"/>
            </w:tcBorders>
            <w:vAlign w:val="center"/>
          </w:tcPr>
          <w:p w14:paraId="531CEEFA" w14:textId="59BDF348" w:rsidR="001E082A" w:rsidRPr="00BE5BA6" w:rsidRDefault="001E082A">
            <w:pPr>
              <w:jc w:val="center"/>
              <w:rPr>
                <w:sz w:val="18"/>
                <w:szCs w:val="18"/>
              </w:rPr>
            </w:pPr>
            <w:r>
              <w:rPr>
                <w:sz w:val="18"/>
              </w:rPr>
              <w:t>6 630</w:t>
            </w:r>
          </w:p>
        </w:tc>
      </w:tr>
      <w:tr w:rsidR="001E082A" w:rsidRPr="00BE5BA6" w14:paraId="7E586F71" w14:textId="77777777" w:rsidTr="008D5A39">
        <w:tc>
          <w:tcPr>
            <w:tcW w:w="6048" w:type="dxa"/>
            <w:gridSpan w:val="4"/>
            <w:tcBorders>
              <w:right w:val="single" w:sz="12" w:space="0" w:color="auto"/>
            </w:tcBorders>
            <w:shd w:val="clear" w:color="auto" w:fill="BFBFBF" w:themeFill="background1" w:themeFillShade="BF"/>
            <w:vAlign w:val="center"/>
          </w:tcPr>
          <w:p w14:paraId="244F8C58" w14:textId="70C05C8F" w:rsidR="001E082A" w:rsidRPr="00BE5BA6" w:rsidRDefault="001E082A" w:rsidP="008D5A39">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1AC7CEE2" w14:textId="672B03F2" w:rsidR="001E082A" w:rsidRPr="00BE5BA6" w:rsidRDefault="001E082A" w:rsidP="008D5A39">
            <w:pPr>
              <w:jc w:val="center"/>
              <w:rPr>
                <w:sz w:val="18"/>
                <w:szCs w:val="18"/>
              </w:rPr>
            </w:pPr>
            <w:r>
              <w:rPr>
                <w:sz w:val="18"/>
              </w:rPr>
              <w:t>6 716</w:t>
            </w:r>
          </w:p>
        </w:tc>
      </w:tr>
    </w:tbl>
    <w:p w14:paraId="340392AC" w14:textId="77777777" w:rsidR="001E082A" w:rsidRPr="00BE5BA6" w:rsidRDefault="001E082A" w:rsidP="00A979FD">
      <w:pPr>
        <w:keepNext/>
        <w:spacing w:after="0"/>
        <w:rPr>
          <w:sz w:val="20"/>
        </w:rPr>
      </w:pPr>
      <w:r>
        <w:t>In order to increase transparency with regard to the one-off compliance costs for business and delineate them, they are assigned to one or more categories:</w:t>
      </w:r>
    </w:p>
    <w:tbl>
      <w:tblPr>
        <w:tblStyle w:val="TableGrid"/>
        <w:tblW w:w="9072" w:type="dxa"/>
        <w:tblInd w:w="108" w:type="dxa"/>
        <w:tblLayout w:type="fixed"/>
        <w:tblLook w:val="04A0" w:firstRow="1" w:lastRow="0" w:firstColumn="1" w:lastColumn="0" w:noHBand="0" w:noVBand="1"/>
      </w:tblPr>
      <w:tblGrid>
        <w:gridCol w:w="6047"/>
        <w:gridCol w:w="1498"/>
        <w:gridCol w:w="1527"/>
      </w:tblGrid>
      <w:tr w:rsidR="001E082A" w:rsidRPr="00BE5BA6" w14:paraId="711A4A66" w14:textId="77777777" w:rsidTr="008D5A39">
        <w:tc>
          <w:tcPr>
            <w:tcW w:w="6047" w:type="dxa"/>
            <w:vMerge w:val="restart"/>
            <w:shd w:val="clear" w:color="auto" w:fill="BFBFBF" w:themeFill="background1" w:themeFillShade="BF"/>
            <w:vAlign w:val="center"/>
          </w:tcPr>
          <w:p w14:paraId="081EA6A8" w14:textId="77777777" w:rsidR="001E082A" w:rsidRPr="00BE5BA6" w:rsidRDefault="001E082A" w:rsidP="00A979FD">
            <w:pPr>
              <w:keepNext/>
              <w:rPr>
                <w:sz w:val="18"/>
                <w:szCs w:val="18"/>
              </w:rPr>
            </w:pPr>
            <w:r>
              <w:rPr>
                <w:sz w:val="18"/>
              </w:rPr>
              <w:t>Category of one-off compliance costs</w:t>
            </w:r>
          </w:p>
        </w:tc>
        <w:tc>
          <w:tcPr>
            <w:tcW w:w="3025" w:type="dxa"/>
            <w:gridSpan w:val="2"/>
            <w:tcBorders>
              <w:top w:val="single" w:sz="8" w:space="0" w:color="auto"/>
              <w:left w:val="single" w:sz="12" w:space="0" w:color="auto"/>
              <w:right w:val="single" w:sz="4" w:space="0" w:color="auto"/>
            </w:tcBorders>
            <w:shd w:val="clear" w:color="auto" w:fill="BFBFBF" w:themeFill="background1" w:themeFillShade="BF"/>
            <w:vAlign w:val="center"/>
          </w:tcPr>
          <w:p w14:paraId="1AEC2A2A" w14:textId="77777777" w:rsidR="001E082A" w:rsidRPr="00BE5BA6" w:rsidRDefault="001E082A" w:rsidP="00A979FD">
            <w:pPr>
              <w:keepNext/>
              <w:jc w:val="center"/>
              <w:rPr>
                <w:sz w:val="18"/>
                <w:szCs w:val="18"/>
              </w:rPr>
            </w:pPr>
            <w:r>
              <w:rPr>
                <w:sz w:val="18"/>
              </w:rPr>
              <w:t>Proportion of the category in the one-off compliance costs</w:t>
            </w:r>
          </w:p>
        </w:tc>
      </w:tr>
      <w:tr w:rsidR="001E082A" w:rsidRPr="00BE5BA6" w14:paraId="61A1BCAC" w14:textId="77777777" w:rsidTr="008D5A39">
        <w:tc>
          <w:tcPr>
            <w:tcW w:w="6047" w:type="dxa"/>
            <w:vMerge/>
            <w:shd w:val="clear" w:color="auto" w:fill="BFBFBF" w:themeFill="background1" w:themeFillShade="BF"/>
          </w:tcPr>
          <w:p w14:paraId="18A50D4A" w14:textId="77777777" w:rsidR="001E082A" w:rsidRPr="00BE5BA6" w:rsidRDefault="001E082A" w:rsidP="00A979FD">
            <w:pPr>
              <w:keepNext/>
              <w:rPr>
                <w:sz w:val="18"/>
                <w:szCs w:val="18"/>
              </w:rPr>
            </w:pPr>
          </w:p>
        </w:tc>
        <w:tc>
          <w:tcPr>
            <w:tcW w:w="1498" w:type="dxa"/>
            <w:tcBorders>
              <w:top w:val="single" w:sz="8" w:space="0" w:color="auto"/>
              <w:left w:val="single" w:sz="12" w:space="0" w:color="auto"/>
              <w:right w:val="single" w:sz="4" w:space="0" w:color="auto"/>
            </w:tcBorders>
            <w:shd w:val="clear" w:color="auto" w:fill="BFBFBF" w:themeFill="background1" w:themeFillShade="BF"/>
          </w:tcPr>
          <w:p w14:paraId="0EFB8875" w14:textId="3FD77332" w:rsidR="001E082A" w:rsidRPr="00BE5BA6" w:rsidRDefault="001E082A" w:rsidP="00A979FD">
            <w:pPr>
              <w:keepNext/>
              <w:rPr>
                <w:sz w:val="18"/>
                <w:szCs w:val="18"/>
              </w:rPr>
            </w:pPr>
            <w:r>
              <w:rPr>
                <w:sz w:val="18"/>
              </w:rPr>
              <w:t>Personnel costs (in thousands of EUR)</w:t>
            </w:r>
          </w:p>
        </w:tc>
        <w:tc>
          <w:tcPr>
            <w:tcW w:w="1527" w:type="dxa"/>
            <w:tcBorders>
              <w:top w:val="single" w:sz="8" w:space="0" w:color="auto"/>
              <w:left w:val="single" w:sz="4" w:space="0" w:color="auto"/>
              <w:right w:val="single" w:sz="4" w:space="0" w:color="auto"/>
            </w:tcBorders>
            <w:shd w:val="clear" w:color="auto" w:fill="BFBFBF" w:themeFill="background1" w:themeFillShade="BF"/>
          </w:tcPr>
          <w:p w14:paraId="62AEA94C" w14:textId="70B9FBC0" w:rsidR="001E082A" w:rsidRPr="00BE5BA6" w:rsidRDefault="001E082A" w:rsidP="00A979FD">
            <w:pPr>
              <w:keepNext/>
              <w:rPr>
                <w:sz w:val="18"/>
                <w:szCs w:val="18"/>
              </w:rPr>
            </w:pPr>
            <w:r>
              <w:rPr>
                <w:sz w:val="18"/>
              </w:rPr>
              <w:t>Material expenses (in thousands of EUR)</w:t>
            </w:r>
          </w:p>
        </w:tc>
      </w:tr>
      <w:tr w:rsidR="001E082A" w:rsidRPr="00BE5BA6" w14:paraId="3D6CA6BC" w14:textId="77777777" w:rsidTr="008D5A39">
        <w:tc>
          <w:tcPr>
            <w:tcW w:w="6047" w:type="dxa"/>
            <w:vAlign w:val="center"/>
          </w:tcPr>
          <w:p w14:paraId="14CFFA30" w14:textId="3406CA46" w:rsidR="001E082A" w:rsidRPr="00BE5BA6" w:rsidRDefault="00467FCE" w:rsidP="005D2B2A">
            <w:pPr>
              <w:rPr>
                <w:sz w:val="18"/>
                <w:szCs w:val="18"/>
              </w:rPr>
            </w:pPr>
            <w:sdt>
              <w:sdtPr>
                <w:rPr>
                  <w:sz w:val="18"/>
                </w:rPr>
                <w:alias w:val="Category of one-off compliance costs"/>
                <w:tag w:val="Kategorie des einmaligen Erfüllungsaufwand"/>
                <w:id w:val="19140294"/>
                <w:placeholder>
                  <w:docPart w:val="D70666095692499E9A1DB70D7E062BDD"/>
                </w:placeholder>
                <w:dropDownList>
                  <w:listItem w:displayText="[select a category of one-off compliance cost here]" w:value="[hier eine Kategorie des einmaligen Erfüllungsaufwands auswählen]"/>
                  <w:listItem w:displayText="Acquisition or retrofitting of machinery, equipment, buildings and infrastructure facilities " w:value="Anschaffung oder Nachrüstung von Maschinen, Anlagen, Gebäuden und Infrastruktureinrichtungen "/>
                  <w:listItem w:displayText="Introduction or adaptation of digital process flows " w:value="Einführung oder Anpassung digitaler Prozessabläufe "/>
                  <w:listItem w:displayText="One-off information obligation " w:value="Einmalige Informationspflicht "/>
                  <w:listItem w:displayText="Training costs" w:value="Schulungskosten"/>
                  <w:listItem w:displayText="Adaptation of organisational structures " w:value="Anpassung von Organisationsstrukturen "/>
                  <w:listItem w:displayText="Anpassung von Produkten, Fertigungsprozessen und Beschaffungswegen " w:value="Anpassung von Produkten, Fertigungsprozessen und Beschaffungswegen "/>
                  <w:listItem w:displayText="Other" w:value="Sonstiges"/>
                </w:dropDownList>
              </w:sdtPr>
              <w:sdtEndPr/>
              <w:sdtContent>
                <w:r w:rsidR="005C32D2">
                  <w:rPr>
                    <w:sz w:val="18"/>
                  </w:rPr>
                  <w:t xml:space="preserve">Adaptation of products, manufacturing processes and procurement channels </w:t>
                </w:r>
              </w:sdtContent>
            </w:sdt>
          </w:p>
        </w:tc>
        <w:tc>
          <w:tcPr>
            <w:tcW w:w="1498" w:type="dxa"/>
            <w:tcBorders>
              <w:left w:val="single" w:sz="12" w:space="0" w:color="auto"/>
              <w:right w:val="single" w:sz="4" w:space="0" w:color="auto"/>
            </w:tcBorders>
            <w:vAlign w:val="center"/>
          </w:tcPr>
          <w:p w14:paraId="09BDC5E7" w14:textId="77777777" w:rsidR="001E082A" w:rsidRPr="00BE5BA6" w:rsidRDefault="001E082A" w:rsidP="00F75890">
            <w:pPr>
              <w:jc w:val="center"/>
              <w:rPr>
                <w:sz w:val="18"/>
                <w:szCs w:val="18"/>
              </w:rPr>
            </w:pPr>
            <w:r>
              <w:rPr>
                <w:sz w:val="18"/>
              </w:rPr>
              <w:t>-</w:t>
            </w:r>
          </w:p>
        </w:tc>
        <w:tc>
          <w:tcPr>
            <w:tcW w:w="1527" w:type="dxa"/>
            <w:tcBorders>
              <w:left w:val="single" w:sz="4" w:space="0" w:color="auto"/>
              <w:right w:val="single" w:sz="4" w:space="0" w:color="auto"/>
            </w:tcBorders>
            <w:vAlign w:val="center"/>
          </w:tcPr>
          <w:p w14:paraId="505DE6D0" w14:textId="4558FF22" w:rsidR="001E082A" w:rsidRPr="00BE5BA6" w:rsidRDefault="001E082A">
            <w:pPr>
              <w:jc w:val="center"/>
              <w:rPr>
                <w:sz w:val="18"/>
                <w:szCs w:val="18"/>
              </w:rPr>
            </w:pPr>
            <w:r>
              <w:rPr>
                <w:sz w:val="18"/>
              </w:rPr>
              <w:t>6 716</w:t>
            </w:r>
          </w:p>
        </w:tc>
      </w:tr>
    </w:tbl>
    <w:p w14:paraId="75C43362" w14:textId="77777777" w:rsidR="006A1648" w:rsidRPr="00BE5BA6" w:rsidRDefault="006A1648" w:rsidP="00A979FD">
      <w:pPr>
        <w:keepNext/>
        <w:spacing w:before="0" w:after="200" w:line="276" w:lineRule="auto"/>
        <w:jc w:val="left"/>
        <w:rPr>
          <w:rFonts w:eastAsia="MetaNormalLF-Roman"/>
        </w:rPr>
      </w:pPr>
      <w:r>
        <w:t>Annual compliance costs:</w:t>
      </w:r>
    </w:p>
    <w:tbl>
      <w:tblPr>
        <w:tblStyle w:val="Tabellenraster2"/>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6A1648" w:rsidRPr="00BE5BA6" w14:paraId="14336E8B" w14:textId="77777777" w:rsidTr="008D5A39">
        <w:tc>
          <w:tcPr>
            <w:tcW w:w="1512" w:type="dxa"/>
            <w:shd w:val="clear" w:color="auto" w:fill="BFBFBF"/>
          </w:tcPr>
          <w:p w14:paraId="02F43742" w14:textId="77777777" w:rsidR="006A1648" w:rsidRPr="00BE5BA6" w:rsidRDefault="006A1648" w:rsidP="00A979FD">
            <w:pPr>
              <w:keepNext/>
              <w:spacing w:before="0" w:after="200" w:line="276" w:lineRule="auto"/>
              <w:jc w:val="left"/>
              <w:rPr>
                <w:rFonts w:eastAsia="MetaNormalLF-Roman"/>
                <w:sz w:val="18"/>
                <w:szCs w:val="18"/>
              </w:rPr>
            </w:pPr>
            <w:r>
              <w:rPr>
                <w:sz w:val="18"/>
              </w:rPr>
              <w:t>Number of cases</w:t>
            </w:r>
          </w:p>
        </w:tc>
        <w:tc>
          <w:tcPr>
            <w:tcW w:w="1512" w:type="dxa"/>
            <w:shd w:val="clear" w:color="auto" w:fill="BFBFBF"/>
          </w:tcPr>
          <w:p w14:paraId="6DF88DCE" w14:textId="77777777" w:rsidR="006A1648" w:rsidRPr="00BE5BA6" w:rsidRDefault="006A1648" w:rsidP="00A979FD">
            <w:pPr>
              <w:keepNext/>
              <w:spacing w:before="0" w:after="200" w:line="276" w:lineRule="auto"/>
              <w:jc w:val="left"/>
              <w:rPr>
                <w:rFonts w:eastAsia="MetaNormalLF-Roman"/>
                <w:sz w:val="18"/>
                <w:szCs w:val="18"/>
              </w:rPr>
            </w:pPr>
            <w:r>
              <w:rPr>
                <w:sz w:val="18"/>
              </w:rPr>
              <w:t>Time expended per case (in minutes)</w:t>
            </w:r>
          </w:p>
        </w:tc>
        <w:tc>
          <w:tcPr>
            <w:tcW w:w="1512" w:type="dxa"/>
            <w:shd w:val="clear" w:color="auto" w:fill="BFBFBF"/>
          </w:tcPr>
          <w:p w14:paraId="736505D5" w14:textId="77777777" w:rsidR="006A1648" w:rsidRPr="00BE5BA6" w:rsidRDefault="006A1648" w:rsidP="00A979FD">
            <w:pPr>
              <w:keepNext/>
              <w:spacing w:before="0" w:after="200" w:line="276" w:lineRule="auto"/>
              <w:jc w:val="left"/>
              <w:rPr>
                <w:rFonts w:eastAsia="MetaNormalLF-Roman"/>
                <w:sz w:val="18"/>
                <w:szCs w:val="18"/>
              </w:rPr>
            </w:pPr>
            <w:r>
              <w:rPr>
                <w:sz w:val="18"/>
              </w:rPr>
              <w:t>Hourly wage (in EUR)</w:t>
            </w:r>
          </w:p>
        </w:tc>
        <w:tc>
          <w:tcPr>
            <w:tcW w:w="1512" w:type="dxa"/>
            <w:tcBorders>
              <w:right w:val="single" w:sz="12" w:space="0" w:color="auto"/>
            </w:tcBorders>
            <w:shd w:val="clear" w:color="auto" w:fill="BFBFBF"/>
          </w:tcPr>
          <w:p w14:paraId="059D9FD0" w14:textId="77777777" w:rsidR="006A1648" w:rsidRPr="00BE5BA6" w:rsidRDefault="006A1648" w:rsidP="00A979FD">
            <w:pPr>
              <w:keepNext/>
              <w:spacing w:before="0" w:after="200" w:line="276" w:lineRule="auto"/>
              <w:jc w:val="left"/>
              <w:rPr>
                <w:rFonts w:eastAsia="MetaNormalLF-Roman"/>
                <w:sz w:val="18"/>
                <w:szCs w:val="18"/>
              </w:rPr>
            </w:pPr>
            <w:r>
              <w:rPr>
                <w:sz w:val="18"/>
              </w:rPr>
              <w:t>Material expenses per case (in EUR)</w:t>
            </w:r>
          </w:p>
        </w:tc>
        <w:tc>
          <w:tcPr>
            <w:tcW w:w="1512" w:type="dxa"/>
            <w:tcBorders>
              <w:top w:val="single" w:sz="8" w:space="0" w:color="auto"/>
              <w:left w:val="single" w:sz="12" w:space="0" w:color="auto"/>
            </w:tcBorders>
            <w:shd w:val="clear" w:color="auto" w:fill="BFBFBF"/>
          </w:tcPr>
          <w:p w14:paraId="0B08A38A" w14:textId="3CD313AD" w:rsidR="006A1648" w:rsidRPr="00BE5BA6" w:rsidRDefault="006A1648" w:rsidP="00A979FD">
            <w:pPr>
              <w:keepNext/>
              <w:spacing w:before="0" w:after="200" w:line="276" w:lineRule="auto"/>
              <w:jc w:val="left"/>
              <w:rPr>
                <w:rFonts w:eastAsia="MetaNormalLF-Roman"/>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cPr>
          <w:p w14:paraId="6576A8B7" w14:textId="3C5AAE32" w:rsidR="006A1648" w:rsidRPr="00BE5BA6" w:rsidRDefault="006A1648" w:rsidP="00A979FD">
            <w:pPr>
              <w:keepNext/>
              <w:spacing w:before="0" w:after="200" w:line="276" w:lineRule="auto"/>
              <w:jc w:val="left"/>
              <w:rPr>
                <w:rFonts w:eastAsia="MetaNormalLF-Roman"/>
                <w:sz w:val="18"/>
                <w:szCs w:val="18"/>
              </w:rPr>
            </w:pPr>
            <w:r>
              <w:rPr>
                <w:sz w:val="18"/>
              </w:rPr>
              <w:t>Material expenses (in thousands of EUR)</w:t>
            </w:r>
          </w:p>
        </w:tc>
      </w:tr>
      <w:tr w:rsidR="006A1648" w:rsidRPr="00BE5BA6" w14:paraId="36A55D11" w14:textId="77777777" w:rsidTr="008D5A39">
        <w:tc>
          <w:tcPr>
            <w:tcW w:w="1512" w:type="dxa"/>
            <w:vAlign w:val="center"/>
          </w:tcPr>
          <w:p w14:paraId="142479DB" w14:textId="77777777" w:rsidR="006A1648" w:rsidRPr="00BE5BA6" w:rsidRDefault="006A1648" w:rsidP="006A1648">
            <w:pPr>
              <w:spacing w:before="0" w:after="200" w:line="276" w:lineRule="auto"/>
              <w:jc w:val="center"/>
              <w:rPr>
                <w:rFonts w:eastAsia="MetaNormalLF-Roman"/>
                <w:sz w:val="18"/>
                <w:szCs w:val="18"/>
              </w:rPr>
            </w:pPr>
            <w:r>
              <w:rPr>
                <w:sz w:val="18"/>
              </w:rPr>
              <w:t>20</w:t>
            </w:r>
          </w:p>
        </w:tc>
        <w:tc>
          <w:tcPr>
            <w:tcW w:w="1512" w:type="dxa"/>
            <w:vAlign w:val="center"/>
          </w:tcPr>
          <w:p w14:paraId="5663723E" w14:textId="77777777" w:rsidR="006A1648" w:rsidRPr="00BE5BA6" w:rsidRDefault="006A1648" w:rsidP="006A1648">
            <w:pPr>
              <w:spacing w:before="0" w:after="200" w:line="276" w:lineRule="auto"/>
              <w:jc w:val="center"/>
              <w:rPr>
                <w:rFonts w:eastAsia="MetaNormalLF-Roman"/>
                <w:sz w:val="18"/>
                <w:szCs w:val="18"/>
              </w:rPr>
            </w:pPr>
            <w:r>
              <w:rPr>
                <w:sz w:val="18"/>
              </w:rPr>
              <w:t>-</w:t>
            </w:r>
          </w:p>
        </w:tc>
        <w:tc>
          <w:tcPr>
            <w:tcW w:w="1512" w:type="dxa"/>
            <w:vAlign w:val="center"/>
          </w:tcPr>
          <w:p w14:paraId="40228A64" w14:textId="77777777" w:rsidR="006A1648" w:rsidRPr="00BE5BA6" w:rsidRDefault="006A1648" w:rsidP="006A1648">
            <w:pPr>
              <w:spacing w:before="0" w:after="200" w:line="276" w:lineRule="auto"/>
              <w:jc w:val="center"/>
              <w:rPr>
                <w:rFonts w:eastAsia="MetaNormalLF-Roman"/>
                <w:sz w:val="18"/>
                <w:szCs w:val="18"/>
              </w:rPr>
            </w:pPr>
            <w:r>
              <w:rPr>
                <w:sz w:val="18"/>
              </w:rPr>
              <w:t>-</w:t>
            </w:r>
          </w:p>
        </w:tc>
        <w:tc>
          <w:tcPr>
            <w:tcW w:w="1512" w:type="dxa"/>
            <w:tcBorders>
              <w:right w:val="single" w:sz="12" w:space="0" w:color="auto"/>
            </w:tcBorders>
            <w:vAlign w:val="center"/>
          </w:tcPr>
          <w:p w14:paraId="0823FE51" w14:textId="77777777" w:rsidR="006A1648" w:rsidRPr="00BE5BA6" w:rsidRDefault="006A1648" w:rsidP="006A1648">
            <w:pPr>
              <w:spacing w:before="0" w:after="200" w:line="276" w:lineRule="auto"/>
              <w:jc w:val="center"/>
              <w:rPr>
                <w:rFonts w:eastAsia="MetaNormalLF-Roman"/>
                <w:sz w:val="18"/>
                <w:szCs w:val="18"/>
              </w:rPr>
            </w:pPr>
            <w:r>
              <w:rPr>
                <w:sz w:val="18"/>
              </w:rPr>
              <w:t>-10 000</w:t>
            </w:r>
          </w:p>
        </w:tc>
        <w:tc>
          <w:tcPr>
            <w:tcW w:w="1512" w:type="dxa"/>
            <w:tcBorders>
              <w:left w:val="single" w:sz="12" w:space="0" w:color="auto"/>
            </w:tcBorders>
            <w:vAlign w:val="center"/>
          </w:tcPr>
          <w:p w14:paraId="67E010B0" w14:textId="77777777" w:rsidR="006A1648" w:rsidRPr="00BE5BA6" w:rsidRDefault="006A1648" w:rsidP="006A1648">
            <w:pPr>
              <w:spacing w:before="0" w:after="200" w:line="276" w:lineRule="auto"/>
              <w:jc w:val="center"/>
              <w:rPr>
                <w:rFonts w:eastAsia="MetaNormalLF-Roman"/>
                <w:sz w:val="18"/>
                <w:szCs w:val="18"/>
              </w:rPr>
            </w:pPr>
            <w:r>
              <w:rPr>
                <w:sz w:val="18"/>
              </w:rPr>
              <w:t>-</w:t>
            </w:r>
          </w:p>
        </w:tc>
        <w:tc>
          <w:tcPr>
            <w:tcW w:w="1512" w:type="dxa"/>
            <w:tcBorders>
              <w:right w:val="single" w:sz="8" w:space="0" w:color="auto"/>
            </w:tcBorders>
            <w:vAlign w:val="center"/>
          </w:tcPr>
          <w:p w14:paraId="19ED10AC" w14:textId="77777777" w:rsidR="006A1648" w:rsidRPr="00BE5BA6" w:rsidRDefault="006A1648" w:rsidP="006A1648">
            <w:pPr>
              <w:spacing w:before="0" w:after="200" w:line="276" w:lineRule="auto"/>
              <w:jc w:val="center"/>
              <w:rPr>
                <w:rFonts w:eastAsia="MetaNormalLF-Roman"/>
                <w:sz w:val="18"/>
                <w:szCs w:val="18"/>
              </w:rPr>
            </w:pPr>
            <w:r>
              <w:rPr>
                <w:sz w:val="18"/>
              </w:rPr>
              <w:t>-200</w:t>
            </w:r>
          </w:p>
        </w:tc>
      </w:tr>
      <w:tr w:rsidR="006A1648" w:rsidRPr="00BE5BA6" w14:paraId="000E4A29" w14:textId="77777777" w:rsidTr="008D5A39">
        <w:tc>
          <w:tcPr>
            <w:tcW w:w="1512" w:type="dxa"/>
            <w:vAlign w:val="center"/>
          </w:tcPr>
          <w:p w14:paraId="00F03311" w14:textId="77777777" w:rsidR="006A1648" w:rsidRPr="00BE5BA6" w:rsidRDefault="006A1648" w:rsidP="006A1648">
            <w:pPr>
              <w:spacing w:before="0" w:after="200" w:line="276" w:lineRule="auto"/>
              <w:jc w:val="center"/>
              <w:rPr>
                <w:rFonts w:eastAsia="MetaNormalLF-Roman"/>
                <w:sz w:val="18"/>
                <w:szCs w:val="18"/>
              </w:rPr>
            </w:pPr>
            <w:r>
              <w:rPr>
                <w:sz w:val="18"/>
              </w:rPr>
              <w:t>400</w:t>
            </w:r>
          </w:p>
        </w:tc>
        <w:tc>
          <w:tcPr>
            <w:tcW w:w="1512" w:type="dxa"/>
            <w:vAlign w:val="center"/>
          </w:tcPr>
          <w:p w14:paraId="19E3B725" w14:textId="77777777" w:rsidR="006A1648" w:rsidRPr="00BE5BA6" w:rsidRDefault="006A1648" w:rsidP="006A1648">
            <w:pPr>
              <w:spacing w:before="0" w:after="200" w:line="276" w:lineRule="auto"/>
              <w:jc w:val="center"/>
              <w:rPr>
                <w:rFonts w:eastAsia="MetaNormalLF-Roman"/>
                <w:sz w:val="18"/>
                <w:szCs w:val="18"/>
              </w:rPr>
            </w:pPr>
            <w:r>
              <w:rPr>
                <w:sz w:val="18"/>
              </w:rPr>
              <w:t>-</w:t>
            </w:r>
          </w:p>
        </w:tc>
        <w:tc>
          <w:tcPr>
            <w:tcW w:w="1512" w:type="dxa"/>
            <w:vAlign w:val="center"/>
          </w:tcPr>
          <w:p w14:paraId="4FF5C11C" w14:textId="77777777" w:rsidR="006A1648" w:rsidRPr="00BE5BA6" w:rsidRDefault="006A1648" w:rsidP="006A1648">
            <w:pPr>
              <w:spacing w:before="0" w:after="200" w:line="276" w:lineRule="auto"/>
              <w:jc w:val="center"/>
              <w:rPr>
                <w:rFonts w:eastAsia="MetaNormalLF-Roman"/>
                <w:sz w:val="18"/>
                <w:szCs w:val="18"/>
              </w:rPr>
            </w:pPr>
            <w:r>
              <w:rPr>
                <w:sz w:val="18"/>
              </w:rPr>
              <w:t>-</w:t>
            </w:r>
          </w:p>
        </w:tc>
        <w:tc>
          <w:tcPr>
            <w:tcW w:w="1512" w:type="dxa"/>
            <w:tcBorders>
              <w:right w:val="single" w:sz="12" w:space="0" w:color="auto"/>
            </w:tcBorders>
            <w:vAlign w:val="center"/>
          </w:tcPr>
          <w:p w14:paraId="21FE3D22" w14:textId="77777777" w:rsidR="006A1648" w:rsidRPr="00BE5BA6" w:rsidRDefault="006A1648" w:rsidP="006A1648">
            <w:pPr>
              <w:spacing w:before="0" w:after="200" w:line="276" w:lineRule="auto"/>
              <w:jc w:val="center"/>
              <w:rPr>
                <w:rFonts w:eastAsia="MetaNormalLF-Roman"/>
                <w:sz w:val="18"/>
                <w:szCs w:val="18"/>
              </w:rPr>
            </w:pPr>
            <w:r>
              <w:rPr>
                <w:sz w:val="18"/>
              </w:rPr>
              <w:t>-89 000</w:t>
            </w:r>
          </w:p>
        </w:tc>
        <w:tc>
          <w:tcPr>
            <w:tcW w:w="1512" w:type="dxa"/>
            <w:tcBorders>
              <w:left w:val="single" w:sz="12" w:space="0" w:color="auto"/>
            </w:tcBorders>
            <w:vAlign w:val="center"/>
          </w:tcPr>
          <w:p w14:paraId="317BF700" w14:textId="77777777" w:rsidR="006A1648" w:rsidRPr="00BE5BA6" w:rsidRDefault="006A1648" w:rsidP="006A1648">
            <w:pPr>
              <w:spacing w:before="0" w:after="200" w:line="276" w:lineRule="auto"/>
              <w:jc w:val="center"/>
              <w:rPr>
                <w:rFonts w:eastAsia="MetaNormalLF-Roman"/>
                <w:sz w:val="18"/>
                <w:szCs w:val="18"/>
              </w:rPr>
            </w:pPr>
            <w:r>
              <w:rPr>
                <w:sz w:val="18"/>
              </w:rPr>
              <w:t>-</w:t>
            </w:r>
          </w:p>
        </w:tc>
        <w:tc>
          <w:tcPr>
            <w:tcW w:w="1512" w:type="dxa"/>
            <w:tcBorders>
              <w:right w:val="single" w:sz="8" w:space="0" w:color="auto"/>
            </w:tcBorders>
            <w:vAlign w:val="center"/>
          </w:tcPr>
          <w:p w14:paraId="7BBF96EF" w14:textId="024088D5" w:rsidR="006A1648" w:rsidRPr="00BE5BA6" w:rsidRDefault="006A1648" w:rsidP="006A1648">
            <w:pPr>
              <w:spacing w:before="0" w:after="200" w:line="276" w:lineRule="auto"/>
              <w:jc w:val="center"/>
              <w:rPr>
                <w:rFonts w:eastAsia="MetaNormalLF-Roman"/>
                <w:sz w:val="18"/>
                <w:szCs w:val="18"/>
              </w:rPr>
            </w:pPr>
            <w:r>
              <w:rPr>
                <w:sz w:val="18"/>
              </w:rPr>
              <w:t>-35 600</w:t>
            </w:r>
          </w:p>
        </w:tc>
      </w:tr>
      <w:tr w:rsidR="006A1648" w:rsidRPr="00BE5BA6" w14:paraId="0123C2FB" w14:textId="77777777" w:rsidTr="008D5A39">
        <w:tc>
          <w:tcPr>
            <w:tcW w:w="6048" w:type="dxa"/>
            <w:gridSpan w:val="4"/>
            <w:tcBorders>
              <w:right w:val="single" w:sz="12" w:space="0" w:color="auto"/>
            </w:tcBorders>
            <w:shd w:val="clear" w:color="auto" w:fill="BFBFBF"/>
            <w:vAlign w:val="center"/>
          </w:tcPr>
          <w:p w14:paraId="3F3FB9C5" w14:textId="77777777" w:rsidR="006A1648" w:rsidRPr="00BE5BA6" w:rsidRDefault="006A1648" w:rsidP="008D5A39">
            <w:pPr>
              <w:spacing w:before="0" w:after="200" w:line="276" w:lineRule="auto"/>
              <w:jc w:val="right"/>
              <w:rPr>
                <w:rFonts w:eastAsia="MetaNormalLF-Roman"/>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0AC6A139" w14:textId="00CDFFD1" w:rsidR="006A1648" w:rsidRPr="00BE5BA6" w:rsidRDefault="006A1648" w:rsidP="008D5A39">
            <w:pPr>
              <w:spacing w:before="0" w:after="200" w:line="276" w:lineRule="auto"/>
              <w:jc w:val="center"/>
              <w:rPr>
                <w:rFonts w:eastAsia="MetaNormalLF-Roman"/>
                <w:sz w:val="18"/>
                <w:szCs w:val="18"/>
              </w:rPr>
            </w:pPr>
            <w:r>
              <w:rPr>
                <w:sz w:val="18"/>
              </w:rPr>
              <w:t>-35 800</w:t>
            </w:r>
          </w:p>
        </w:tc>
      </w:tr>
    </w:tbl>
    <w:p w14:paraId="58B70B89" w14:textId="79DB9D63" w:rsidR="001E082A" w:rsidRPr="00BE5BA6" w:rsidRDefault="001E082A" w:rsidP="00D56402">
      <w:pPr>
        <w:rPr>
          <w:rFonts w:eastAsia="Times New Roman"/>
        </w:rPr>
      </w:pPr>
      <w:r>
        <w:lastRenderedPageBreak/>
        <w:t xml:space="preserve">The statutory amendment to § 31(4)(7) of the Packaging Act means that, in addition to the drinks packaging previously subject to a deposit, almost all single-use plastic beverage bottles and cans for beverages will be subject to the deposit-refund obligation in the future. Before the amendment, these were exempt from the deposit-refund obligation provided they were filled with special beverages (e.g. fruit juices and others; see § 31(4) of the Packaging Act). </w:t>
      </w:r>
      <w:r>
        <w:br/>
        <w:t>In order to comply with this obligation, initial distributors must now register with the German deposit system and conclude a contract with Deutsche Pfandsystem GmbH (DPG). At the same time, annual licence fees cease to apply, as the licensing of the corresponding packaging is no longer required in a dual system.</w:t>
      </w:r>
    </w:p>
    <w:p w14:paraId="583A4CA2" w14:textId="44F20F61" w:rsidR="006A1648" w:rsidRPr="00BE5BA6" w:rsidRDefault="006A1648" w:rsidP="006A1648">
      <w:pPr>
        <w:rPr>
          <w:rFonts w:eastAsia="Times New Roman"/>
        </w:rPr>
      </w:pPr>
      <w:r>
        <w:t xml:space="preserve">Participation fees for the use of the DPG system are incurred each calendar year, and are divided into broadly defined quantity clusters. These are based on the number of packages placed on the market and range from EUR 500 (up to 20 000 packages) to around EUR 21 000 (more than 80 million packages). An average participation fee of around EUR 11 000 is expected for the further procedure. </w:t>
      </w:r>
    </w:p>
    <w:p w14:paraId="014268EE" w14:textId="1544C66C" w:rsidR="001E082A" w:rsidRPr="00BE5BA6" w:rsidRDefault="006A1648" w:rsidP="006A1648">
      <w:pPr>
        <w:rPr>
          <w:rFonts w:eastAsia="Times New Roman"/>
        </w:rPr>
      </w:pPr>
      <w:r>
        <w:t xml:space="preserve">It is assumed that distributors of single-use plastic bottles are exclusively registered in dual systems at present. The annual participation fee is now incurred for these. It is assumed that most distributors of single-use drinks packaging are already participating in the DPG (with packaging for beverages that were already subject to the deposit-refund obligation before the statutory amendment). The participation fees are scaled according to the quantity of packaging placed on the market in quantity clusters. These quantity clusters are defined in such wide ranges that it is not anticipated that the initial distributors already registered will slip into a higher cluster. Therefore it is assumed that there will not be any change in compliance costs. </w:t>
      </w:r>
    </w:p>
    <w:p w14:paraId="6BC023FC" w14:textId="0A7CC9F8" w:rsidR="001E082A" w:rsidRPr="00BE5BA6" w:rsidRDefault="001E082A" w:rsidP="00D56402">
      <w:pPr>
        <w:rPr>
          <w:rFonts w:eastAsia="Times New Roman"/>
        </w:rPr>
      </w:pPr>
      <w:r>
        <w:t>In addition, all initial distributors are subject to registration fees which must be paid to the DPG on a one-time basis per item. These fees are also scaled according to the quantity declared, ranging from EUR 80 to EUR 33 000 per item.</w:t>
      </w:r>
    </w:p>
    <w:p w14:paraId="45317D39" w14:textId="502BCC10" w:rsidR="001E082A" w:rsidRPr="00BE5BA6" w:rsidRDefault="001E082A" w:rsidP="003B6D5E">
      <w:pPr>
        <w:jc w:val="left"/>
        <w:rPr>
          <w:rFonts w:eastAsia="Times New Roman"/>
        </w:rPr>
      </w:pPr>
      <w:r>
        <w:t xml:space="preserve">On the basis that both single-use plastic beverage bottles and cans for beverages are affected by the amendment, the price intervals of the registration fees for these two groups are assessed differently. </w:t>
      </w:r>
      <w:r>
        <w:br/>
        <w:t xml:space="preserve">For single-use plastic beverage bottles, it is assumed that the range of bottles distributed by initial distributors is from 0.8 million to 50 million packages. Accordingly, the price range is between EUR 150 and EUR 33 thousand. </w:t>
      </w:r>
      <w:r>
        <w:br/>
        <w:t>Cans for beverages which are currently not subject to a deposit only include individual products such as cider, cider, mixed alcoholic beverages and individual energy drinks. In many cases these are niche products, which is why the range of cans for beverages distributed by the initial distributors is between EUR 80 (0.1 million packages per year) and EUR 8 500 (up to 50 million packages).</w:t>
      </w:r>
    </w:p>
    <w:p w14:paraId="6E00D13B" w14:textId="2E3FB065" w:rsidR="006A1648" w:rsidRPr="00BE5BA6" w:rsidRDefault="006A1648" w:rsidP="006A1648">
      <w:pPr>
        <w:rPr>
          <w:rFonts w:eastAsia="Times New Roman"/>
        </w:rPr>
      </w:pPr>
      <w:r>
        <w:t xml:space="preserve">Since the licence fee is based on the weight of the packaging subject to the scheme participation obligation, the average waste weight of the above-mentioned items per company is examined: </w:t>
      </w:r>
    </w:p>
    <w:p w14:paraId="3067A445" w14:textId="61CB2728" w:rsidR="006A1648" w:rsidRPr="00BE5BA6" w:rsidRDefault="006A1648" w:rsidP="006A1648">
      <w:pPr>
        <w:rPr>
          <w:rFonts w:eastAsia="Times New Roman"/>
        </w:rPr>
      </w:pPr>
      <w:r>
        <w:t xml:space="preserve">At an average weight per non-returnable plastic bottle of about 20 grams, this corresponds – based on the previously assumed interval limits – to a waste weight of 16 000 kilograms (20 grams*0.8 million packages) to 1 000 000 kilograms (20 grams*50 million packages). The average waste weight for single-use plastic bottles is expected to be around 500 000 kilograms. According to the webshop offer of the dual system ‘BellandVision’ it can be approximately calculated that this weight will incur an annual licence fee of about EUR 100 000. </w:t>
      </w:r>
    </w:p>
    <w:p w14:paraId="1315AAD5" w14:textId="49AA20BE" w:rsidR="006A1648" w:rsidRPr="00BE5BA6" w:rsidRDefault="006A1648" w:rsidP="006A1648">
      <w:pPr>
        <w:rPr>
          <w:rFonts w:eastAsia="Times New Roman"/>
        </w:rPr>
      </w:pPr>
      <w:r>
        <w:t xml:space="preserve">For cans, the average weight is about 14 grams. Using the same basis of calculation, the waste weight is therefore between 140 kilograms (14 grams*0.1 million cans) and 28 000 </w:t>
      </w:r>
      <w:r>
        <w:lastRenderedPageBreak/>
        <w:t xml:space="preserve">kilograms (14 grams*2 million cans). For the further procedure, an average value of about 14 000 kilograms is expected, which will incur an annual licence fee of about EUR 10 000. </w:t>
      </w:r>
    </w:p>
    <w:p w14:paraId="169DD0B2" w14:textId="6C4BC911" w:rsidR="001E082A" w:rsidRPr="00BE5BA6" w:rsidRDefault="006A1648" w:rsidP="00D56402">
      <w:pPr>
        <w:rPr>
          <w:rFonts w:eastAsia="Times New Roman"/>
        </w:rPr>
      </w:pPr>
      <w:r>
        <w:t xml:space="preserve">In summary, the annual material costs for initial distributors of plastic bottles will change by around EUR -89 000 per year (EUR +11 000 due to DPG participation - EUR 100 000 licence fee for dual systems) and the annual material costs for initial distributors of cans by around EUR -10 000 (EUR +0 due to DPG participation - EUR 10 000 licence fee for dual systems). According to DPG, 650 participants are currently registered. These include initial distributors, refund claimants and take-back firms. Only the initial distributors are pertinent when it comes to examining the costs since it must be assumed that as far as the other two groups are concerned, there is no need to adapt processes or machines. </w:t>
      </w:r>
    </w:p>
    <w:p w14:paraId="3F5C001A" w14:textId="77777777" w:rsidR="001E082A" w:rsidRPr="00BE5BA6" w:rsidRDefault="001E082A" w:rsidP="00D56402">
      <w:pPr>
        <w:rPr>
          <w:rFonts w:eastAsia="Times New Roman"/>
        </w:rPr>
      </w:pPr>
      <w:r>
        <w:t>400 affected parties are assumed for the group of initial distributors of single-use plastic beverage bottles; 20 affected parties are assumed for initial distributors of cans for beverages that are not yet subject to a deposit.</w:t>
      </w:r>
    </w:p>
    <w:p w14:paraId="477CAB34" w14:textId="0A86C5EF" w:rsidR="001E082A" w:rsidRPr="00BE5BA6" w:rsidRDefault="001E082A" w:rsidP="00D56402">
      <w:pPr>
        <w:rPr>
          <w:rFonts w:eastAsia="Times New Roman"/>
        </w:rPr>
      </w:pPr>
      <w:r>
        <w:t xml:space="preserve">The </w:t>
      </w:r>
      <w:r>
        <w:rPr>
          <w:b/>
        </w:rPr>
        <w:t>one-off conversion costs for</w:t>
      </w:r>
      <w:r>
        <w:t xml:space="preserve"> </w:t>
      </w:r>
      <w:r>
        <w:rPr>
          <w:b/>
        </w:rPr>
        <w:t>initial distributors of single-use plastic beverage bottles</w:t>
      </w:r>
      <w:r>
        <w:t xml:space="preserve"> therefore range from EUR 60 thousand to EUR 13.2 million (</w:t>
      </w:r>
      <w:r>
        <w:rPr>
          <w:b/>
        </w:rPr>
        <w:t>an average of around EUR 6.6 million is estimated</w:t>
      </w:r>
      <w:r>
        <w:t>).</w:t>
      </w:r>
    </w:p>
    <w:p w14:paraId="3E0F0C48" w14:textId="74A4A906" w:rsidR="006A1648" w:rsidRPr="00BE5BA6" w:rsidRDefault="001E082A" w:rsidP="00D56402">
      <w:pPr>
        <w:rPr>
          <w:rFonts w:eastAsia="Times New Roman"/>
        </w:rPr>
      </w:pPr>
      <w:r>
        <w:t xml:space="preserve">The </w:t>
      </w:r>
      <w:r>
        <w:rPr>
          <w:b/>
        </w:rPr>
        <w:t>one-off conversion costs for initial distributors of cans for beverages</w:t>
      </w:r>
      <w:r>
        <w:t xml:space="preserve"> range from EUR 1 600 to EUR 170 thousand (</w:t>
      </w:r>
      <w:r>
        <w:rPr>
          <w:b/>
        </w:rPr>
        <w:t>around EUR 86 thousand estimated on average</w:t>
      </w:r>
      <w:r>
        <w:t>).</w:t>
      </w:r>
    </w:p>
    <w:p w14:paraId="02C54F3C" w14:textId="3B376D7C" w:rsidR="006A1648" w:rsidRPr="00BE5BA6" w:rsidRDefault="006A1648" w:rsidP="006A1648">
      <w:pPr>
        <w:rPr>
          <w:rFonts w:eastAsia="Times New Roman"/>
        </w:rPr>
      </w:pPr>
      <w:r>
        <w:t>These costs are to be attributed to the category ‘Adaptation of products, manufacturing processes and procurement channels’.</w:t>
      </w:r>
    </w:p>
    <w:p w14:paraId="14C0C7DB" w14:textId="6BB3246D" w:rsidR="001E082A" w:rsidRPr="00BE5BA6" w:rsidRDefault="006A1648" w:rsidP="006A1648">
      <w:pPr>
        <w:rPr>
          <w:rFonts w:eastAsia="Times New Roman"/>
        </w:rPr>
      </w:pPr>
      <w:r>
        <w:t>The annual compliance costs for initial distributors of non-returnable plastic bottles will change by around EUR -35.6 million and the annual compliance costs for initial distributors of cans by around EUR -200 thousand.</w:t>
      </w:r>
    </w:p>
    <w:p w14:paraId="42BFC77E" w14:textId="5B760125" w:rsidR="001E082A" w:rsidRPr="00BE5BA6" w:rsidRDefault="001E082A" w:rsidP="00A979FD">
      <w:pPr>
        <w:keepNext/>
        <w:rPr>
          <w:rFonts w:eastAsia="Times New Roman"/>
          <w:b/>
        </w:rPr>
      </w:pPr>
      <w:r>
        <w:rPr>
          <w:b/>
        </w:rPr>
        <w:t>Requirement 32 (Further requirement):</w:t>
      </w:r>
      <w:r w:rsidR="00C059FB">
        <w:rPr>
          <w:b/>
        </w:rPr>
        <w:t xml:space="preserve"> </w:t>
      </w:r>
      <w:r>
        <w:rPr>
          <w:b/>
        </w:rPr>
        <w:t>Financial and organisational resources including self-monitoring mechanism; Article 1 § 31(5) of the Packaging Act</w:t>
      </w:r>
    </w:p>
    <w:p w14:paraId="525509AF" w14:textId="2D1371DA" w:rsidR="001E082A" w:rsidRPr="00BE5BA6" w:rsidRDefault="001E082A" w:rsidP="003B6D5E">
      <w:pPr>
        <w:jc w:val="left"/>
        <w:rPr>
          <w:rFonts w:eastAsia="Times New Roman"/>
        </w:rPr>
      </w:pPr>
      <w:r>
        <w:t>Pursuant to § 31(5) of the Packaging Act, producers of single-use drinks packaging are obliged to set up suitable mechanisms for self-monitoring. The text of the Act does not specify how these self-monitoring mechanisms are to be designed.</w:t>
      </w:r>
      <w:r>
        <w:br/>
        <w:t xml:space="preserve">As with the comparable assumptions above, it also holds true here that the producers of single-use drinks packaging have already implemented a suitable controlling system in their company which meets the requirements of the amendment, so that </w:t>
      </w:r>
      <w:r>
        <w:rPr>
          <w:b/>
        </w:rPr>
        <w:t>no additional compliance costs</w:t>
      </w:r>
      <w:r>
        <w:t xml:space="preserve"> are incurred. </w:t>
      </w:r>
    </w:p>
    <w:p w14:paraId="23616168" w14:textId="5916C188" w:rsidR="001E082A" w:rsidRPr="00BE5BA6" w:rsidRDefault="001E082A" w:rsidP="00A979FD">
      <w:pPr>
        <w:keepNext/>
        <w:rPr>
          <w:rFonts w:eastAsia="Times New Roman"/>
          <w:b/>
        </w:rPr>
      </w:pPr>
      <w:r>
        <w:rPr>
          <w:b/>
        </w:rPr>
        <w:t>Requirement 33 (Further requirement):</w:t>
      </w:r>
      <w:r w:rsidR="00C059FB">
        <w:rPr>
          <w:b/>
        </w:rPr>
        <w:t xml:space="preserve"> </w:t>
      </w:r>
      <w:r>
        <w:rPr>
          <w:b/>
        </w:rPr>
        <w:t>Reusable alternatives for single-use plastic food packaging and single-use cups for beverages; Article 1 § 33 of the Packaging Act</w:t>
      </w:r>
    </w:p>
    <w:p w14:paraId="69E29CA9" w14:textId="77777777" w:rsidR="001E082A" w:rsidRPr="00BE5BA6" w:rsidRDefault="001E082A" w:rsidP="00A979FD">
      <w:pPr>
        <w:keepNext/>
      </w:pPr>
      <w:r>
        <w:t>One-off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40D540EC" w14:textId="77777777" w:rsidTr="00F8269C">
        <w:tc>
          <w:tcPr>
            <w:tcW w:w="1512" w:type="dxa"/>
            <w:shd w:val="clear" w:color="auto" w:fill="BFBFBF" w:themeFill="background1" w:themeFillShade="BF"/>
          </w:tcPr>
          <w:p w14:paraId="35A0DCFB" w14:textId="77777777"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774A5E00" w14:textId="77777777"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7B051783" w14:textId="77777777"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0D6403FD" w14:textId="77777777" w:rsidR="001E082A" w:rsidRPr="00BE5BA6" w:rsidRDefault="001E082A" w:rsidP="00A979FD">
            <w:pPr>
              <w:keepNext/>
              <w:rPr>
                <w:sz w:val="18"/>
                <w:szCs w:val="18"/>
              </w:rPr>
            </w:pPr>
            <w:r>
              <w:rPr>
                <w:sz w:val="18"/>
              </w:rPr>
              <w:t>Material expenses per case (in EUR)</w:t>
            </w:r>
          </w:p>
        </w:tc>
        <w:tc>
          <w:tcPr>
            <w:tcW w:w="1512" w:type="dxa"/>
            <w:tcBorders>
              <w:top w:val="single" w:sz="8" w:space="0" w:color="auto"/>
              <w:left w:val="single" w:sz="12" w:space="0" w:color="auto"/>
            </w:tcBorders>
            <w:shd w:val="clear" w:color="auto" w:fill="BFBFBF" w:themeFill="background1" w:themeFillShade="BF"/>
          </w:tcPr>
          <w:p w14:paraId="50F9BD14" w14:textId="77FC95D9"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17D77CA3" w14:textId="13601EC8" w:rsidR="001E082A" w:rsidRPr="00BE5BA6" w:rsidRDefault="001E082A" w:rsidP="00A979FD">
            <w:pPr>
              <w:keepNext/>
              <w:rPr>
                <w:sz w:val="18"/>
                <w:szCs w:val="18"/>
              </w:rPr>
            </w:pPr>
            <w:r>
              <w:rPr>
                <w:sz w:val="18"/>
              </w:rPr>
              <w:t>Material expenses (in thousands of EUR)</w:t>
            </w:r>
          </w:p>
        </w:tc>
      </w:tr>
      <w:tr w:rsidR="001E082A" w:rsidRPr="00BE5BA6" w14:paraId="503FD82A" w14:textId="77777777" w:rsidTr="00F8269C">
        <w:tc>
          <w:tcPr>
            <w:tcW w:w="1512" w:type="dxa"/>
            <w:vAlign w:val="center"/>
          </w:tcPr>
          <w:p w14:paraId="5028710E" w14:textId="463D8086" w:rsidR="001E082A" w:rsidRPr="00BE5BA6" w:rsidRDefault="001E082A" w:rsidP="005D2B2A">
            <w:pPr>
              <w:jc w:val="center"/>
              <w:rPr>
                <w:sz w:val="18"/>
                <w:szCs w:val="18"/>
              </w:rPr>
            </w:pPr>
            <w:r>
              <w:rPr>
                <w:sz w:val="18"/>
              </w:rPr>
              <w:t>34 200</w:t>
            </w:r>
          </w:p>
        </w:tc>
        <w:tc>
          <w:tcPr>
            <w:tcW w:w="1512" w:type="dxa"/>
            <w:vAlign w:val="center"/>
          </w:tcPr>
          <w:p w14:paraId="3A85FF54" w14:textId="77777777" w:rsidR="001E082A" w:rsidRPr="00BE5BA6" w:rsidRDefault="001E082A" w:rsidP="00F75890">
            <w:pPr>
              <w:jc w:val="center"/>
              <w:rPr>
                <w:sz w:val="18"/>
                <w:szCs w:val="18"/>
              </w:rPr>
            </w:pPr>
            <w:r>
              <w:rPr>
                <w:sz w:val="18"/>
              </w:rPr>
              <w:t>3</w:t>
            </w:r>
          </w:p>
        </w:tc>
        <w:tc>
          <w:tcPr>
            <w:tcW w:w="1512" w:type="dxa"/>
            <w:vAlign w:val="center"/>
          </w:tcPr>
          <w:p w14:paraId="41A0F9CE" w14:textId="77777777" w:rsidR="001E082A" w:rsidRPr="00BE5BA6" w:rsidRDefault="001E082A">
            <w:pPr>
              <w:jc w:val="center"/>
              <w:rPr>
                <w:sz w:val="18"/>
                <w:szCs w:val="18"/>
              </w:rPr>
            </w:pPr>
            <w:r>
              <w:rPr>
                <w:sz w:val="18"/>
              </w:rPr>
              <w:t>29.50</w:t>
            </w:r>
          </w:p>
        </w:tc>
        <w:tc>
          <w:tcPr>
            <w:tcW w:w="1512" w:type="dxa"/>
            <w:tcBorders>
              <w:right w:val="single" w:sz="12" w:space="0" w:color="auto"/>
            </w:tcBorders>
            <w:vAlign w:val="center"/>
          </w:tcPr>
          <w:p w14:paraId="579C27D4" w14:textId="77777777" w:rsidR="001E082A" w:rsidRPr="00BE5BA6" w:rsidRDefault="001E082A">
            <w:pPr>
              <w:jc w:val="center"/>
              <w:rPr>
                <w:sz w:val="18"/>
                <w:szCs w:val="18"/>
              </w:rPr>
            </w:pPr>
            <w:r>
              <w:rPr>
                <w:sz w:val="18"/>
              </w:rPr>
              <w:t>2.75</w:t>
            </w:r>
          </w:p>
        </w:tc>
        <w:tc>
          <w:tcPr>
            <w:tcW w:w="1512" w:type="dxa"/>
            <w:tcBorders>
              <w:left w:val="single" w:sz="12" w:space="0" w:color="auto"/>
            </w:tcBorders>
            <w:vAlign w:val="center"/>
          </w:tcPr>
          <w:p w14:paraId="1CB0E19C" w14:textId="77777777" w:rsidR="001E082A" w:rsidRPr="00BE5BA6" w:rsidRDefault="001E082A">
            <w:pPr>
              <w:jc w:val="center"/>
              <w:rPr>
                <w:sz w:val="18"/>
                <w:szCs w:val="18"/>
              </w:rPr>
            </w:pPr>
            <w:r>
              <w:rPr>
                <w:sz w:val="18"/>
              </w:rPr>
              <w:t>50</w:t>
            </w:r>
          </w:p>
        </w:tc>
        <w:tc>
          <w:tcPr>
            <w:tcW w:w="1512" w:type="dxa"/>
            <w:tcBorders>
              <w:right w:val="single" w:sz="8" w:space="0" w:color="auto"/>
            </w:tcBorders>
            <w:vAlign w:val="center"/>
          </w:tcPr>
          <w:p w14:paraId="48CBDF3C" w14:textId="77777777" w:rsidR="001E082A" w:rsidRPr="00BE5BA6" w:rsidRDefault="001E082A">
            <w:pPr>
              <w:jc w:val="center"/>
              <w:rPr>
                <w:sz w:val="18"/>
                <w:szCs w:val="18"/>
              </w:rPr>
            </w:pPr>
            <w:r>
              <w:rPr>
                <w:sz w:val="18"/>
              </w:rPr>
              <w:t>94</w:t>
            </w:r>
          </w:p>
        </w:tc>
      </w:tr>
      <w:tr w:rsidR="001E082A" w:rsidRPr="00BE5BA6" w14:paraId="63201F50" w14:textId="77777777" w:rsidTr="00F8269C">
        <w:tc>
          <w:tcPr>
            <w:tcW w:w="1512" w:type="dxa"/>
            <w:vAlign w:val="center"/>
          </w:tcPr>
          <w:p w14:paraId="3C549528" w14:textId="25F6A719" w:rsidR="001E082A" w:rsidRPr="00BE5BA6" w:rsidRDefault="001E082A" w:rsidP="005D2B2A">
            <w:pPr>
              <w:jc w:val="center"/>
              <w:rPr>
                <w:sz w:val="18"/>
                <w:szCs w:val="18"/>
              </w:rPr>
            </w:pPr>
            <w:r>
              <w:rPr>
                <w:sz w:val="18"/>
              </w:rPr>
              <w:t>92</w:t>
            </w:r>
            <w:r w:rsidR="00C059FB">
              <w:rPr>
                <w:sz w:val="18"/>
              </w:rPr>
              <w:t> </w:t>
            </w:r>
            <w:r>
              <w:rPr>
                <w:sz w:val="18"/>
              </w:rPr>
              <w:t>200</w:t>
            </w:r>
          </w:p>
        </w:tc>
        <w:tc>
          <w:tcPr>
            <w:tcW w:w="1512" w:type="dxa"/>
            <w:vAlign w:val="center"/>
          </w:tcPr>
          <w:p w14:paraId="13EAE777" w14:textId="77777777" w:rsidR="001E082A" w:rsidRPr="00BE5BA6" w:rsidRDefault="001E082A" w:rsidP="00F75890">
            <w:pPr>
              <w:jc w:val="center"/>
              <w:rPr>
                <w:sz w:val="18"/>
                <w:szCs w:val="18"/>
              </w:rPr>
            </w:pPr>
            <w:r>
              <w:rPr>
                <w:sz w:val="18"/>
              </w:rPr>
              <w:t>6</w:t>
            </w:r>
          </w:p>
        </w:tc>
        <w:tc>
          <w:tcPr>
            <w:tcW w:w="1512" w:type="dxa"/>
            <w:vAlign w:val="center"/>
          </w:tcPr>
          <w:p w14:paraId="35BE8218" w14:textId="77777777" w:rsidR="001E082A" w:rsidRPr="00BE5BA6" w:rsidRDefault="001E082A">
            <w:pPr>
              <w:jc w:val="center"/>
              <w:rPr>
                <w:sz w:val="18"/>
                <w:szCs w:val="18"/>
              </w:rPr>
            </w:pPr>
            <w:r>
              <w:rPr>
                <w:sz w:val="18"/>
              </w:rPr>
              <w:t>29.50</w:t>
            </w:r>
          </w:p>
        </w:tc>
        <w:tc>
          <w:tcPr>
            <w:tcW w:w="1512" w:type="dxa"/>
            <w:tcBorders>
              <w:right w:val="single" w:sz="12" w:space="0" w:color="auto"/>
            </w:tcBorders>
            <w:vAlign w:val="center"/>
          </w:tcPr>
          <w:p w14:paraId="68919F98" w14:textId="77777777" w:rsidR="001E082A" w:rsidRPr="00BE5BA6" w:rsidRDefault="001E082A">
            <w:pPr>
              <w:jc w:val="center"/>
              <w:rPr>
                <w:sz w:val="18"/>
                <w:szCs w:val="18"/>
              </w:rPr>
            </w:pPr>
            <w:r>
              <w:rPr>
                <w:sz w:val="18"/>
              </w:rPr>
              <w:t>2.75</w:t>
            </w:r>
          </w:p>
        </w:tc>
        <w:tc>
          <w:tcPr>
            <w:tcW w:w="1512" w:type="dxa"/>
            <w:tcBorders>
              <w:left w:val="single" w:sz="12" w:space="0" w:color="auto"/>
            </w:tcBorders>
            <w:vAlign w:val="center"/>
          </w:tcPr>
          <w:p w14:paraId="35A471FF" w14:textId="77777777" w:rsidR="001E082A" w:rsidRPr="00BE5BA6" w:rsidRDefault="001E082A">
            <w:pPr>
              <w:jc w:val="center"/>
              <w:rPr>
                <w:sz w:val="18"/>
                <w:szCs w:val="18"/>
              </w:rPr>
            </w:pPr>
            <w:r>
              <w:rPr>
                <w:sz w:val="18"/>
              </w:rPr>
              <w:t>272</w:t>
            </w:r>
          </w:p>
        </w:tc>
        <w:tc>
          <w:tcPr>
            <w:tcW w:w="1512" w:type="dxa"/>
            <w:tcBorders>
              <w:right w:val="single" w:sz="8" w:space="0" w:color="auto"/>
            </w:tcBorders>
            <w:vAlign w:val="center"/>
          </w:tcPr>
          <w:p w14:paraId="00B60D12" w14:textId="77777777" w:rsidR="001E082A" w:rsidRPr="00BE5BA6" w:rsidRDefault="001E082A">
            <w:pPr>
              <w:jc w:val="center"/>
              <w:rPr>
                <w:sz w:val="18"/>
                <w:szCs w:val="18"/>
              </w:rPr>
            </w:pPr>
            <w:r>
              <w:rPr>
                <w:sz w:val="18"/>
              </w:rPr>
              <w:t>254</w:t>
            </w:r>
          </w:p>
        </w:tc>
      </w:tr>
      <w:tr w:rsidR="001E082A" w:rsidRPr="00BE5BA6" w14:paraId="2D3E03B4" w14:textId="77777777" w:rsidTr="00F8269C">
        <w:tc>
          <w:tcPr>
            <w:tcW w:w="6048" w:type="dxa"/>
            <w:gridSpan w:val="4"/>
            <w:tcBorders>
              <w:right w:val="single" w:sz="12" w:space="0" w:color="auto"/>
            </w:tcBorders>
            <w:shd w:val="clear" w:color="auto" w:fill="BFBFBF" w:themeFill="background1" w:themeFillShade="BF"/>
            <w:vAlign w:val="center"/>
          </w:tcPr>
          <w:p w14:paraId="625E2D9B" w14:textId="60CE7075" w:rsidR="001E082A" w:rsidRPr="00BE5BA6" w:rsidRDefault="001E082A" w:rsidP="00F8269C">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52088E0A" w14:textId="77777777" w:rsidR="001E082A" w:rsidRPr="00BE5BA6" w:rsidRDefault="001E082A" w:rsidP="00F8269C">
            <w:pPr>
              <w:jc w:val="center"/>
              <w:rPr>
                <w:sz w:val="18"/>
                <w:szCs w:val="18"/>
              </w:rPr>
            </w:pPr>
            <w:r>
              <w:rPr>
                <w:sz w:val="18"/>
              </w:rPr>
              <w:t>670</w:t>
            </w:r>
          </w:p>
        </w:tc>
      </w:tr>
    </w:tbl>
    <w:p w14:paraId="6BCC965B" w14:textId="77777777" w:rsidR="001E082A" w:rsidRPr="00BE5BA6" w:rsidRDefault="001E082A" w:rsidP="00A979FD">
      <w:pPr>
        <w:keepNext/>
        <w:spacing w:after="0"/>
        <w:rPr>
          <w:sz w:val="20"/>
        </w:rPr>
      </w:pPr>
      <w:r>
        <w:lastRenderedPageBreak/>
        <w:t>In order to increase transparency with regard to the one-off compliance costs for business and delineate them, they are assigned to one or more categories:</w:t>
      </w:r>
    </w:p>
    <w:tbl>
      <w:tblPr>
        <w:tblStyle w:val="TableGrid"/>
        <w:tblW w:w="9072" w:type="dxa"/>
        <w:tblInd w:w="108" w:type="dxa"/>
        <w:tblLayout w:type="fixed"/>
        <w:tblLook w:val="04A0" w:firstRow="1" w:lastRow="0" w:firstColumn="1" w:lastColumn="0" w:noHBand="0" w:noVBand="1"/>
      </w:tblPr>
      <w:tblGrid>
        <w:gridCol w:w="6047"/>
        <w:gridCol w:w="1498"/>
        <w:gridCol w:w="1527"/>
      </w:tblGrid>
      <w:tr w:rsidR="001E082A" w:rsidRPr="00BE5BA6" w14:paraId="14ADD482" w14:textId="77777777" w:rsidTr="00F8269C">
        <w:tc>
          <w:tcPr>
            <w:tcW w:w="6047" w:type="dxa"/>
            <w:vMerge w:val="restart"/>
            <w:shd w:val="clear" w:color="auto" w:fill="BFBFBF" w:themeFill="background1" w:themeFillShade="BF"/>
            <w:vAlign w:val="center"/>
          </w:tcPr>
          <w:p w14:paraId="22B107B6" w14:textId="77777777" w:rsidR="001E082A" w:rsidRPr="00BE5BA6" w:rsidRDefault="001E082A" w:rsidP="00A979FD">
            <w:pPr>
              <w:keepNext/>
              <w:rPr>
                <w:sz w:val="18"/>
                <w:szCs w:val="18"/>
              </w:rPr>
            </w:pPr>
            <w:r>
              <w:rPr>
                <w:sz w:val="18"/>
              </w:rPr>
              <w:t>Category of one-off compliance costs</w:t>
            </w:r>
          </w:p>
        </w:tc>
        <w:tc>
          <w:tcPr>
            <w:tcW w:w="3025" w:type="dxa"/>
            <w:gridSpan w:val="2"/>
            <w:tcBorders>
              <w:top w:val="single" w:sz="8" w:space="0" w:color="auto"/>
              <w:left w:val="single" w:sz="12" w:space="0" w:color="auto"/>
              <w:right w:val="single" w:sz="4" w:space="0" w:color="auto"/>
            </w:tcBorders>
            <w:shd w:val="clear" w:color="auto" w:fill="BFBFBF" w:themeFill="background1" w:themeFillShade="BF"/>
            <w:vAlign w:val="center"/>
          </w:tcPr>
          <w:p w14:paraId="7C81A542" w14:textId="77777777" w:rsidR="001E082A" w:rsidRPr="00BE5BA6" w:rsidRDefault="001E082A" w:rsidP="00A979FD">
            <w:pPr>
              <w:keepNext/>
              <w:jc w:val="center"/>
              <w:rPr>
                <w:sz w:val="18"/>
                <w:szCs w:val="18"/>
              </w:rPr>
            </w:pPr>
            <w:r>
              <w:rPr>
                <w:sz w:val="18"/>
              </w:rPr>
              <w:t>Proportion of the category in the one-off compliance costs</w:t>
            </w:r>
          </w:p>
        </w:tc>
      </w:tr>
      <w:tr w:rsidR="001E082A" w:rsidRPr="00BE5BA6" w14:paraId="4ABBA927" w14:textId="77777777" w:rsidTr="00F8269C">
        <w:tc>
          <w:tcPr>
            <w:tcW w:w="6047" w:type="dxa"/>
            <w:vMerge/>
            <w:shd w:val="clear" w:color="auto" w:fill="BFBFBF" w:themeFill="background1" w:themeFillShade="BF"/>
          </w:tcPr>
          <w:p w14:paraId="6BBE38B2" w14:textId="77777777" w:rsidR="001E082A" w:rsidRPr="00BE5BA6" w:rsidRDefault="001E082A" w:rsidP="00A979FD">
            <w:pPr>
              <w:keepNext/>
              <w:rPr>
                <w:sz w:val="18"/>
                <w:szCs w:val="18"/>
              </w:rPr>
            </w:pPr>
          </w:p>
        </w:tc>
        <w:tc>
          <w:tcPr>
            <w:tcW w:w="1498" w:type="dxa"/>
            <w:tcBorders>
              <w:top w:val="single" w:sz="8" w:space="0" w:color="auto"/>
              <w:left w:val="single" w:sz="12" w:space="0" w:color="auto"/>
              <w:right w:val="single" w:sz="4" w:space="0" w:color="auto"/>
            </w:tcBorders>
            <w:shd w:val="clear" w:color="auto" w:fill="BFBFBF" w:themeFill="background1" w:themeFillShade="BF"/>
          </w:tcPr>
          <w:p w14:paraId="7B91EAB7" w14:textId="7507CE06" w:rsidR="001E082A" w:rsidRPr="00BE5BA6" w:rsidRDefault="001E082A" w:rsidP="00A979FD">
            <w:pPr>
              <w:keepNext/>
              <w:rPr>
                <w:sz w:val="18"/>
                <w:szCs w:val="18"/>
              </w:rPr>
            </w:pPr>
            <w:r>
              <w:rPr>
                <w:sz w:val="18"/>
              </w:rPr>
              <w:t>Personnel costs (in thousands of EUR)</w:t>
            </w:r>
          </w:p>
        </w:tc>
        <w:tc>
          <w:tcPr>
            <w:tcW w:w="1527" w:type="dxa"/>
            <w:tcBorders>
              <w:top w:val="single" w:sz="8" w:space="0" w:color="auto"/>
              <w:left w:val="single" w:sz="4" w:space="0" w:color="auto"/>
              <w:right w:val="single" w:sz="4" w:space="0" w:color="auto"/>
            </w:tcBorders>
            <w:shd w:val="clear" w:color="auto" w:fill="BFBFBF" w:themeFill="background1" w:themeFillShade="BF"/>
          </w:tcPr>
          <w:p w14:paraId="27E6579B" w14:textId="53FF15E7" w:rsidR="001E082A" w:rsidRPr="00BE5BA6" w:rsidRDefault="001E082A" w:rsidP="00A979FD">
            <w:pPr>
              <w:keepNext/>
              <w:rPr>
                <w:sz w:val="18"/>
                <w:szCs w:val="18"/>
              </w:rPr>
            </w:pPr>
            <w:r>
              <w:rPr>
                <w:sz w:val="18"/>
              </w:rPr>
              <w:t>Material expenses (in thousands of EUR)</w:t>
            </w:r>
          </w:p>
        </w:tc>
      </w:tr>
      <w:tr w:rsidR="001E082A" w:rsidRPr="00BE5BA6" w14:paraId="1C834934" w14:textId="77777777" w:rsidTr="00F8269C">
        <w:tc>
          <w:tcPr>
            <w:tcW w:w="6047" w:type="dxa"/>
            <w:vAlign w:val="center"/>
          </w:tcPr>
          <w:p w14:paraId="1C5520D3" w14:textId="75D5C45F" w:rsidR="001E082A" w:rsidRPr="00BE5BA6" w:rsidRDefault="00467FCE" w:rsidP="005D2B2A">
            <w:pPr>
              <w:rPr>
                <w:sz w:val="18"/>
                <w:szCs w:val="18"/>
              </w:rPr>
            </w:pPr>
            <w:sdt>
              <w:sdtPr>
                <w:rPr>
                  <w:sz w:val="18"/>
                </w:rPr>
                <w:alias w:val="Category of one-off compliance costs"/>
                <w:tag w:val="Kategorie des einmaligen Erfüllungsaufwand"/>
                <w:id w:val="1215850071"/>
                <w:placeholder>
                  <w:docPart w:val="856F3FA0DE42406E81B1F0F1DB114393"/>
                </w:placeholder>
                <w:dropDownList>
                  <w:listItem w:displayText="[select a category of one-off compliance cost here]" w:value="[hier eine Kategorie des einmaligen Erfüllungsaufwands auswählen]"/>
                  <w:listItem w:displayText="Acquisition or retrofitting of machinery, equipment, buildings and infrastructure facilities " w:value="Anschaffung oder Nachrüstung von Maschinen, Anlagen, Gebäuden und Infrastruktureinrichtungen "/>
                  <w:listItem w:displayText="Introduction or adaptation of digital process flows " w:value="Einführung oder Anpassung digitaler Prozessabläufe "/>
                  <w:listItem w:displayText="One-off information obligation " w:value="Einmalige Informationspflicht "/>
                  <w:listItem w:displayText="Training costs" w:value="Schulungskosten"/>
                  <w:listItem w:displayText="Anpassung von Organisationsstrukturen " w:value="Anpassung von Organisationsstrukturen "/>
                  <w:listItem w:displayText="Adaptation of products, manufacturing processes and procurement channels " w:value="Anpassung von Produkten, Fertigungsprozessen und Beschaffungswegen "/>
                  <w:listItem w:displayText="Other" w:value="Sonstiges"/>
                </w:dropDownList>
              </w:sdtPr>
              <w:sdtEndPr/>
              <w:sdtContent>
                <w:r w:rsidR="005C32D2">
                  <w:rPr>
                    <w:sz w:val="18"/>
                  </w:rPr>
                  <w:t xml:space="preserve">Adaptation of organisational structures </w:t>
                </w:r>
              </w:sdtContent>
            </w:sdt>
          </w:p>
        </w:tc>
        <w:tc>
          <w:tcPr>
            <w:tcW w:w="1498" w:type="dxa"/>
            <w:tcBorders>
              <w:left w:val="single" w:sz="12" w:space="0" w:color="auto"/>
              <w:right w:val="single" w:sz="4" w:space="0" w:color="auto"/>
            </w:tcBorders>
            <w:vAlign w:val="center"/>
          </w:tcPr>
          <w:p w14:paraId="08D90876" w14:textId="77777777" w:rsidR="001E082A" w:rsidRPr="00BE5BA6" w:rsidRDefault="001E082A" w:rsidP="005D2B2A">
            <w:pPr>
              <w:jc w:val="center"/>
              <w:rPr>
                <w:sz w:val="18"/>
                <w:szCs w:val="18"/>
              </w:rPr>
            </w:pPr>
            <w:r>
              <w:rPr>
                <w:sz w:val="18"/>
              </w:rPr>
              <w:t>136</w:t>
            </w:r>
          </w:p>
        </w:tc>
        <w:tc>
          <w:tcPr>
            <w:tcW w:w="1527" w:type="dxa"/>
            <w:tcBorders>
              <w:left w:val="single" w:sz="4" w:space="0" w:color="auto"/>
              <w:right w:val="single" w:sz="4" w:space="0" w:color="auto"/>
            </w:tcBorders>
            <w:vAlign w:val="center"/>
          </w:tcPr>
          <w:p w14:paraId="09264720" w14:textId="77777777" w:rsidR="001E082A" w:rsidRPr="00BE5BA6" w:rsidRDefault="001E082A" w:rsidP="00F75890">
            <w:pPr>
              <w:jc w:val="center"/>
              <w:rPr>
                <w:sz w:val="18"/>
                <w:szCs w:val="18"/>
              </w:rPr>
            </w:pPr>
            <w:r>
              <w:rPr>
                <w:sz w:val="18"/>
              </w:rPr>
              <w:t>-</w:t>
            </w:r>
          </w:p>
        </w:tc>
      </w:tr>
      <w:tr w:rsidR="001E082A" w:rsidRPr="00BE5BA6" w14:paraId="2B0D0B5E" w14:textId="77777777" w:rsidTr="00F8269C">
        <w:tc>
          <w:tcPr>
            <w:tcW w:w="6047" w:type="dxa"/>
            <w:vAlign w:val="center"/>
          </w:tcPr>
          <w:p w14:paraId="739C1AAB" w14:textId="372F57C6" w:rsidR="001E082A" w:rsidRPr="00BE5BA6" w:rsidRDefault="00467FCE" w:rsidP="005D2B2A">
            <w:pPr>
              <w:rPr>
                <w:sz w:val="18"/>
                <w:szCs w:val="18"/>
              </w:rPr>
            </w:pPr>
            <w:sdt>
              <w:sdtPr>
                <w:rPr>
                  <w:sz w:val="18"/>
                </w:rPr>
                <w:alias w:val="Category of one-off compliance costs"/>
                <w:tag w:val="Kategorie des einmaligen Erfüllungsaufwand"/>
                <w:id w:val="643703498"/>
                <w:placeholder>
                  <w:docPart w:val="18EEE4D8CBFC4E94870E101CF4030EB9"/>
                </w:placeholder>
                <w:dropDownList>
                  <w:listItem w:displayText="[select a category of one-off compliance cost here]" w:value="[hier eine Kategorie des einmaligen Erfüllungsaufwands auswählen]"/>
                  <w:listItem w:displayText="Acquisition or retrofitting of machinery, equipment, buildings and infrastructure facilities " w:value="Anschaffung oder Nachrüstung von Maschinen, Anlagen, Gebäuden und Infrastruktureinrichtungen "/>
                  <w:listItem w:displayText="Introduction or adaptation of digital process flows " w:value="Einführung oder Anpassung digitaler Prozessabläufe "/>
                  <w:listItem w:displayText="Einmalige Informationspflicht " w:value="Einmalige Informationspflicht "/>
                  <w:listItem w:displayText="Training costs" w:value="Schulungskosten"/>
                  <w:listItem w:displayText="Adaptation of organisational structures " w:value="Anpassung von Organisationsstrukturen "/>
                  <w:listItem w:displayText="Adaptation of products, manufacturing processes and procurement channels " w:value="Anpassung von Produkten, Fertigungsprozessen und Beschaffungswegen "/>
                  <w:listItem w:displayText="Other" w:value="Sonstiges"/>
                </w:dropDownList>
              </w:sdtPr>
              <w:sdtEndPr/>
              <w:sdtContent>
                <w:r w:rsidR="005C32D2">
                  <w:rPr>
                    <w:sz w:val="18"/>
                  </w:rPr>
                  <w:t xml:space="preserve">One-off information obligation </w:t>
                </w:r>
              </w:sdtContent>
            </w:sdt>
          </w:p>
        </w:tc>
        <w:tc>
          <w:tcPr>
            <w:tcW w:w="1498" w:type="dxa"/>
            <w:tcBorders>
              <w:left w:val="single" w:sz="12" w:space="0" w:color="auto"/>
              <w:right w:val="single" w:sz="4" w:space="0" w:color="auto"/>
            </w:tcBorders>
            <w:vAlign w:val="center"/>
          </w:tcPr>
          <w:p w14:paraId="46B7F69A" w14:textId="77777777" w:rsidR="001E082A" w:rsidRPr="00BE5BA6" w:rsidRDefault="001E082A" w:rsidP="005D2B2A">
            <w:pPr>
              <w:jc w:val="center"/>
              <w:rPr>
                <w:sz w:val="18"/>
                <w:szCs w:val="18"/>
              </w:rPr>
            </w:pPr>
            <w:r>
              <w:rPr>
                <w:sz w:val="18"/>
              </w:rPr>
              <w:t>186</w:t>
            </w:r>
          </w:p>
        </w:tc>
        <w:tc>
          <w:tcPr>
            <w:tcW w:w="1527" w:type="dxa"/>
            <w:tcBorders>
              <w:left w:val="single" w:sz="4" w:space="0" w:color="auto"/>
              <w:right w:val="single" w:sz="4" w:space="0" w:color="auto"/>
            </w:tcBorders>
            <w:vAlign w:val="center"/>
          </w:tcPr>
          <w:p w14:paraId="1A7C3BC1" w14:textId="77777777" w:rsidR="001E082A" w:rsidRPr="00BE5BA6" w:rsidRDefault="001E082A" w:rsidP="00F75890">
            <w:pPr>
              <w:jc w:val="center"/>
              <w:rPr>
                <w:sz w:val="18"/>
                <w:szCs w:val="18"/>
              </w:rPr>
            </w:pPr>
            <w:r>
              <w:rPr>
                <w:sz w:val="18"/>
              </w:rPr>
              <w:t>348</w:t>
            </w:r>
          </w:p>
        </w:tc>
      </w:tr>
    </w:tbl>
    <w:p w14:paraId="16AFB323" w14:textId="77777777" w:rsidR="001E082A" w:rsidRPr="00BE5BA6" w:rsidRDefault="001E082A" w:rsidP="00A979FD">
      <w:pPr>
        <w:keepNext/>
      </w:pPr>
      <w:r>
        <w:t>Annual compliance costs:</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1E082A" w:rsidRPr="00BE5BA6" w14:paraId="1EF9C3F7" w14:textId="77777777" w:rsidTr="00F8269C">
        <w:tc>
          <w:tcPr>
            <w:tcW w:w="1512" w:type="dxa"/>
            <w:shd w:val="clear" w:color="auto" w:fill="BFBFBF" w:themeFill="background1" w:themeFillShade="BF"/>
          </w:tcPr>
          <w:p w14:paraId="6D7803D4" w14:textId="77777777" w:rsidR="001E082A" w:rsidRPr="00BE5BA6" w:rsidRDefault="001E082A" w:rsidP="00A979FD">
            <w:pPr>
              <w:keepNext/>
              <w:rPr>
                <w:sz w:val="18"/>
                <w:szCs w:val="18"/>
              </w:rPr>
            </w:pPr>
            <w:r>
              <w:rPr>
                <w:sz w:val="18"/>
              </w:rPr>
              <w:t>Number of cases</w:t>
            </w:r>
          </w:p>
        </w:tc>
        <w:tc>
          <w:tcPr>
            <w:tcW w:w="1512" w:type="dxa"/>
            <w:shd w:val="clear" w:color="auto" w:fill="BFBFBF" w:themeFill="background1" w:themeFillShade="BF"/>
          </w:tcPr>
          <w:p w14:paraId="3037CC1C" w14:textId="77777777" w:rsidR="001E082A" w:rsidRPr="00BE5BA6" w:rsidRDefault="001E082A" w:rsidP="00A979FD">
            <w:pPr>
              <w:keepNext/>
              <w:rPr>
                <w:sz w:val="18"/>
                <w:szCs w:val="18"/>
              </w:rPr>
            </w:pPr>
            <w:r>
              <w:rPr>
                <w:sz w:val="18"/>
              </w:rPr>
              <w:t>Time expended per case (in minutes)</w:t>
            </w:r>
          </w:p>
        </w:tc>
        <w:tc>
          <w:tcPr>
            <w:tcW w:w="1512" w:type="dxa"/>
            <w:shd w:val="clear" w:color="auto" w:fill="BFBFBF" w:themeFill="background1" w:themeFillShade="BF"/>
          </w:tcPr>
          <w:p w14:paraId="679E1DD2" w14:textId="77777777" w:rsidR="001E082A" w:rsidRPr="00BE5BA6" w:rsidRDefault="001E082A"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37EADE5A" w14:textId="77777777" w:rsidR="001E082A" w:rsidRPr="00BE5BA6" w:rsidRDefault="001E082A" w:rsidP="00A979FD">
            <w:pPr>
              <w:keepNext/>
              <w:rPr>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hemeFill="background1" w:themeFillShade="BF"/>
          </w:tcPr>
          <w:p w14:paraId="4860ED19" w14:textId="2E798CCA" w:rsidR="001E082A" w:rsidRPr="00BE5BA6" w:rsidRDefault="001E082A"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4974C015" w14:textId="0A75B5CD" w:rsidR="001E082A" w:rsidRPr="00BE5BA6" w:rsidRDefault="001E082A" w:rsidP="00A979FD">
            <w:pPr>
              <w:keepNext/>
              <w:rPr>
                <w:sz w:val="18"/>
                <w:szCs w:val="18"/>
              </w:rPr>
            </w:pPr>
            <w:r>
              <w:rPr>
                <w:sz w:val="18"/>
              </w:rPr>
              <w:t>Material expenses (in thousands of EUR)</w:t>
            </w:r>
          </w:p>
        </w:tc>
      </w:tr>
      <w:tr w:rsidR="001E082A" w:rsidRPr="00BE5BA6" w14:paraId="08D04929" w14:textId="77777777" w:rsidTr="00F8269C">
        <w:tc>
          <w:tcPr>
            <w:tcW w:w="1512" w:type="dxa"/>
            <w:vAlign w:val="center"/>
          </w:tcPr>
          <w:p w14:paraId="6EDFA881" w14:textId="158866C9" w:rsidR="001E082A" w:rsidRPr="00BE5BA6" w:rsidRDefault="001E082A" w:rsidP="005D2B2A">
            <w:pPr>
              <w:jc w:val="center"/>
              <w:rPr>
                <w:sz w:val="18"/>
                <w:szCs w:val="18"/>
              </w:rPr>
            </w:pPr>
            <w:r>
              <w:rPr>
                <w:sz w:val="18"/>
              </w:rPr>
              <w:t>34 200</w:t>
            </w:r>
          </w:p>
        </w:tc>
        <w:tc>
          <w:tcPr>
            <w:tcW w:w="1512" w:type="dxa"/>
            <w:vAlign w:val="center"/>
          </w:tcPr>
          <w:p w14:paraId="15504B89" w14:textId="77777777" w:rsidR="001E082A" w:rsidRPr="00BE5BA6" w:rsidRDefault="001E082A" w:rsidP="005D2B2A">
            <w:pPr>
              <w:jc w:val="center"/>
              <w:rPr>
                <w:sz w:val="18"/>
                <w:szCs w:val="18"/>
              </w:rPr>
            </w:pPr>
            <w:r>
              <w:rPr>
                <w:sz w:val="18"/>
              </w:rPr>
              <w:t>-</w:t>
            </w:r>
          </w:p>
        </w:tc>
        <w:tc>
          <w:tcPr>
            <w:tcW w:w="1512" w:type="dxa"/>
            <w:vAlign w:val="center"/>
          </w:tcPr>
          <w:p w14:paraId="446E852F" w14:textId="77777777" w:rsidR="001E082A" w:rsidRPr="00BE5BA6" w:rsidRDefault="001E082A" w:rsidP="00F75890">
            <w:pPr>
              <w:jc w:val="center"/>
              <w:rPr>
                <w:sz w:val="18"/>
                <w:szCs w:val="18"/>
              </w:rPr>
            </w:pPr>
            <w:r>
              <w:rPr>
                <w:sz w:val="18"/>
              </w:rPr>
              <w:t>-</w:t>
            </w:r>
          </w:p>
        </w:tc>
        <w:tc>
          <w:tcPr>
            <w:tcW w:w="1512" w:type="dxa"/>
            <w:tcBorders>
              <w:right w:val="single" w:sz="12" w:space="0" w:color="auto"/>
            </w:tcBorders>
            <w:vAlign w:val="center"/>
          </w:tcPr>
          <w:p w14:paraId="5EF841AD" w14:textId="3C2D8F6A" w:rsidR="001E082A" w:rsidRPr="00BE5BA6" w:rsidRDefault="00D8011E">
            <w:pPr>
              <w:jc w:val="center"/>
              <w:rPr>
                <w:sz w:val="18"/>
                <w:szCs w:val="18"/>
              </w:rPr>
            </w:pPr>
            <w:r>
              <w:rPr>
                <w:sz w:val="18"/>
              </w:rPr>
              <w:t>0</w:t>
            </w:r>
          </w:p>
        </w:tc>
        <w:tc>
          <w:tcPr>
            <w:tcW w:w="1512" w:type="dxa"/>
            <w:tcBorders>
              <w:left w:val="single" w:sz="12" w:space="0" w:color="auto"/>
            </w:tcBorders>
            <w:vAlign w:val="center"/>
          </w:tcPr>
          <w:p w14:paraId="74FC6F5F" w14:textId="77777777" w:rsidR="001E082A" w:rsidRPr="00BE5BA6" w:rsidRDefault="001E082A">
            <w:pPr>
              <w:jc w:val="center"/>
              <w:rPr>
                <w:sz w:val="18"/>
                <w:szCs w:val="18"/>
              </w:rPr>
            </w:pPr>
            <w:r>
              <w:rPr>
                <w:sz w:val="18"/>
              </w:rPr>
              <w:t>-</w:t>
            </w:r>
          </w:p>
        </w:tc>
        <w:tc>
          <w:tcPr>
            <w:tcW w:w="1512" w:type="dxa"/>
            <w:tcBorders>
              <w:right w:val="single" w:sz="8" w:space="0" w:color="auto"/>
            </w:tcBorders>
            <w:vAlign w:val="center"/>
          </w:tcPr>
          <w:p w14:paraId="13499470" w14:textId="3AE39B7E" w:rsidR="001E082A" w:rsidRPr="00BE5BA6" w:rsidRDefault="00D8011E">
            <w:pPr>
              <w:jc w:val="center"/>
              <w:rPr>
                <w:sz w:val="18"/>
                <w:szCs w:val="18"/>
              </w:rPr>
            </w:pPr>
            <w:r>
              <w:rPr>
                <w:sz w:val="18"/>
              </w:rPr>
              <w:t>0</w:t>
            </w:r>
          </w:p>
        </w:tc>
      </w:tr>
      <w:tr w:rsidR="001E082A" w:rsidRPr="00BE5BA6" w14:paraId="552B759F" w14:textId="77777777" w:rsidTr="00F8269C">
        <w:tc>
          <w:tcPr>
            <w:tcW w:w="1512" w:type="dxa"/>
            <w:vAlign w:val="center"/>
          </w:tcPr>
          <w:p w14:paraId="39934D69" w14:textId="77777777" w:rsidR="001E082A" w:rsidRPr="00BE5BA6" w:rsidRDefault="001E082A" w:rsidP="005D2B2A">
            <w:pPr>
              <w:jc w:val="center"/>
              <w:rPr>
                <w:sz w:val="18"/>
                <w:szCs w:val="18"/>
              </w:rPr>
            </w:pPr>
            <w:r>
              <w:rPr>
                <w:sz w:val="18"/>
              </w:rPr>
              <w:t>92,200</w:t>
            </w:r>
          </w:p>
        </w:tc>
        <w:tc>
          <w:tcPr>
            <w:tcW w:w="1512" w:type="dxa"/>
            <w:vAlign w:val="center"/>
          </w:tcPr>
          <w:p w14:paraId="630D92BA" w14:textId="77777777" w:rsidR="001E082A" w:rsidRPr="00BE5BA6" w:rsidRDefault="001E082A" w:rsidP="005D2B2A">
            <w:pPr>
              <w:jc w:val="center"/>
              <w:rPr>
                <w:sz w:val="18"/>
                <w:szCs w:val="18"/>
              </w:rPr>
            </w:pPr>
            <w:r>
              <w:rPr>
                <w:sz w:val="18"/>
              </w:rPr>
              <w:t>-</w:t>
            </w:r>
          </w:p>
        </w:tc>
        <w:tc>
          <w:tcPr>
            <w:tcW w:w="1512" w:type="dxa"/>
            <w:vAlign w:val="center"/>
          </w:tcPr>
          <w:p w14:paraId="1AC2E4C1" w14:textId="77777777" w:rsidR="001E082A" w:rsidRPr="00BE5BA6" w:rsidRDefault="001E082A" w:rsidP="00F75890">
            <w:pPr>
              <w:jc w:val="center"/>
              <w:rPr>
                <w:sz w:val="18"/>
                <w:szCs w:val="18"/>
              </w:rPr>
            </w:pPr>
            <w:r>
              <w:rPr>
                <w:sz w:val="18"/>
              </w:rPr>
              <w:t>-</w:t>
            </w:r>
          </w:p>
        </w:tc>
        <w:tc>
          <w:tcPr>
            <w:tcW w:w="1512" w:type="dxa"/>
            <w:tcBorders>
              <w:right w:val="single" w:sz="12" w:space="0" w:color="auto"/>
            </w:tcBorders>
            <w:vAlign w:val="center"/>
          </w:tcPr>
          <w:p w14:paraId="41CE8B44" w14:textId="48D0FD46" w:rsidR="001E082A" w:rsidRPr="00BE5BA6" w:rsidRDefault="00D8011E">
            <w:pPr>
              <w:jc w:val="center"/>
              <w:rPr>
                <w:sz w:val="18"/>
                <w:szCs w:val="18"/>
              </w:rPr>
            </w:pPr>
            <w:r>
              <w:rPr>
                <w:sz w:val="18"/>
              </w:rPr>
              <w:t>115</w:t>
            </w:r>
          </w:p>
        </w:tc>
        <w:tc>
          <w:tcPr>
            <w:tcW w:w="1512" w:type="dxa"/>
            <w:tcBorders>
              <w:left w:val="single" w:sz="12" w:space="0" w:color="auto"/>
            </w:tcBorders>
            <w:vAlign w:val="center"/>
          </w:tcPr>
          <w:p w14:paraId="2BC190A9" w14:textId="77777777" w:rsidR="001E082A" w:rsidRPr="00BE5BA6" w:rsidRDefault="001E082A">
            <w:pPr>
              <w:jc w:val="center"/>
              <w:rPr>
                <w:sz w:val="18"/>
                <w:szCs w:val="18"/>
              </w:rPr>
            </w:pPr>
            <w:r>
              <w:rPr>
                <w:sz w:val="18"/>
              </w:rPr>
              <w:t>-</w:t>
            </w:r>
          </w:p>
        </w:tc>
        <w:tc>
          <w:tcPr>
            <w:tcW w:w="1512" w:type="dxa"/>
            <w:tcBorders>
              <w:right w:val="single" w:sz="8" w:space="0" w:color="auto"/>
            </w:tcBorders>
            <w:vAlign w:val="center"/>
          </w:tcPr>
          <w:p w14:paraId="3BD77EE2" w14:textId="2CDBE014" w:rsidR="001E082A" w:rsidRPr="00BE5BA6" w:rsidRDefault="00D8011E">
            <w:pPr>
              <w:jc w:val="center"/>
              <w:rPr>
                <w:sz w:val="18"/>
                <w:szCs w:val="18"/>
              </w:rPr>
            </w:pPr>
            <w:r>
              <w:rPr>
                <w:sz w:val="18"/>
              </w:rPr>
              <w:t>10 603</w:t>
            </w:r>
          </w:p>
        </w:tc>
      </w:tr>
      <w:tr w:rsidR="001E082A" w:rsidRPr="00BE5BA6" w14:paraId="25F732F4" w14:textId="77777777" w:rsidTr="00F8269C">
        <w:tc>
          <w:tcPr>
            <w:tcW w:w="6048" w:type="dxa"/>
            <w:gridSpan w:val="4"/>
            <w:tcBorders>
              <w:right w:val="single" w:sz="12" w:space="0" w:color="auto"/>
            </w:tcBorders>
            <w:shd w:val="clear" w:color="auto" w:fill="BFBFBF" w:themeFill="background1" w:themeFillShade="BF"/>
            <w:vAlign w:val="center"/>
          </w:tcPr>
          <w:p w14:paraId="7F4C4693" w14:textId="152CE935" w:rsidR="001E082A" w:rsidRPr="00BE5BA6" w:rsidRDefault="001E082A" w:rsidP="00F8269C">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2C3C723C" w14:textId="0A303C89" w:rsidR="001E082A" w:rsidRPr="00BE5BA6" w:rsidRDefault="00D8011E" w:rsidP="00F8269C">
            <w:pPr>
              <w:jc w:val="center"/>
              <w:rPr>
                <w:sz w:val="18"/>
                <w:szCs w:val="18"/>
              </w:rPr>
            </w:pPr>
            <w:r>
              <w:rPr>
                <w:sz w:val="18"/>
              </w:rPr>
              <w:t>10 603</w:t>
            </w:r>
          </w:p>
        </w:tc>
      </w:tr>
    </w:tbl>
    <w:p w14:paraId="6A205A48" w14:textId="4715768A" w:rsidR="001E082A" w:rsidRPr="00BE5BA6" w:rsidRDefault="001E082A" w:rsidP="00D56402">
      <w:pPr>
        <w:rPr>
          <w:rFonts w:eastAsia="Times New Roman"/>
        </w:rPr>
      </w:pPr>
      <w:r>
        <w:t xml:space="preserve">Article 1 § 33 of the Packaging Act adapts requirements of Directive (EU) 2019/904 into national law and provides that in the future the final distributors of single-use plastic food packaging and single-use cups for beverages must offer a reusable alternative. If the single-use cups for beverages are not partly or completely made of plastic, i.e. do not have a plastic coating (coating by polyethylene (PE) or similar plastic), the obligation goes beyond the transposition of EU law and is consequently affected by the one-in-one-out provision. </w:t>
      </w:r>
    </w:p>
    <w:p w14:paraId="7634740A" w14:textId="77777777" w:rsidR="001E082A" w:rsidRPr="00BE5BA6" w:rsidRDefault="001E082A" w:rsidP="00A979FD">
      <w:pPr>
        <w:keepNext/>
        <w:rPr>
          <w:rFonts w:eastAsia="Times New Roman"/>
        </w:rPr>
      </w:pPr>
      <w:r>
        <w:t xml:space="preserve">It is not yet possible to specify in detail how the future obligation on the part of the final distributors will be met. Based on this, assumptions are made which are plausible based on research, experience from similar regulatory arrangements and consultation with the field: </w:t>
      </w:r>
    </w:p>
    <w:p w14:paraId="55549573" w14:textId="22660918" w:rsidR="001E082A" w:rsidRPr="00BE5BA6" w:rsidRDefault="001E082A" w:rsidP="00A979B5">
      <w:pPr>
        <w:pStyle w:val="ListParagraph"/>
        <w:numPr>
          <w:ilvl w:val="0"/>
          <w:numId w:val="5"/>
        </w:numPr>
        <w:spacing w:after="120" w:line="240" w:lineRule="auto"/>
        <w:jc w:val="both"/>
        <w:rPr>
          <w:rFonts w:ascii="Arial" w:eastAsia="Times New Roman" w:hAnsi="Arial" w:cs="Arial"/>
          <w:sz w:val="22"/>
        </w:rPr>
      </w:pPr>
      <w:r>
        <w:rPr>
          <w:rFonts w:ascii="Arial" w:hAnsi="Arial"/>
          <w:sz w:val="22"/>
        </w:rPr>
        <w:t>The final distributor offers single-use plastic food packaging or single-use cups for beverages and, due to the amendment, must obtain a reusable alternative for its own point of sale. In most cases, this is implemented by means of a deposit system limited to the point of sale or chain or another closed system, or – for small enterprises as defined by § 34 of the Packaging Act – the possibility is offered of filling food or beverages in containers brought in by customers.</w:t>
      </w:r>
    </w:p>
    <w:p w14:paraId="28F63352" w14:textId="1D7160E1" w:rsidR="001E082A" w:rsidRPr="00BE5BA6" w:rsidRDefault="001E082A" w:rsidP="00A979B5">
      <w:pPr>
        <w:pStyle w:val="ListParagraph"/>
        <w:numPr>
          <w:ilvl w:val="0"/>
          <w:numId w:val="5"/>
        </w:numPr>
        <w:spacing w:after="120" w:line="240" w:lineRule="auto"/>
        <w:jc w:val="both"/>
        <w:rPr>
          <w:rFonts w:ascii="Arial" w:eastAsia="Times New Roman" w:hAnsi="Arial" w:cs="Arial"/>
          <w:sz w:val="22"/>
        </w:rPr>
      </w:pPr>
      <w:r>
        <w:rPr>
          <w:rFonts w:ascii="Arial" w:hAnsi="Arial"/>
          <w:sz w:val="22"/>
        </w:rPr>
        <w:t xml:space="preserve">The final distributor shall offer single-use plastic food packaging or single-use cups for beverages and, due to the amendment, shall participate in a return system (e.g. returnable deposit systems). </w:t>
      </w:r>
    </w:p>
    <w:p w14:paraId="081BA2C4" w14:textId="590473AD" w:rsidR="001E082A" w:rsidRPr="00BE5BA6" w:rsidRDefault="001E082A" w:rsidP="00A979B5">
      <w:pPr>
        <w:pStyle w:val="ListParagraph"/>
        <w:numPr>
          <w:ilvl w:val="0"/>
          <w:numId w:val="5"/>
        </w:numPr>
        <w:spacing w:after="120" w:line="240" w:lineRule="auto"/>
        <w:jc w:val="both"/>
        <w:rPr>
          <w:rFonts w:ascii="Arial" w:eastAsia="Times New Roman" w:hAnsi="Arial" w:cs="Arial"/>
          <w:sz w:val="22"/>
        </w:rPr>
      </w:pPr>
      <w:r>
        <w:rPr>
          <w:rFonts w:ascii="Arial" w:hAnsi="Arial"/>
          <w:sz w:val="22"/>
        </w:rPr>
        <w:t xml:space="preserve">The final distributor shall already be offering a returnable alternative or already be taking part in a return system. </w:t>
      </w:r>
    </w:p>
    <w:p w14:paraId="273FE1BE" w14:textId="77777777" w:rsidR="001E082A" w:rsidRPr="00BE5BA6" w:rsidRDefault="001E082A" w:rsidP="00D56402">
      <w:pPr>
        <w:rPr>
          <w:rFonts w:eastAsia="Times New Roman"/>
        </w:rPr>
      </w:pPr>
      <w:r>
        <w:t xml:space="preserve">The distribution of the number of final distributors according to the variant mentioned is determined both by the range of products offered and the size of the establishment. </w:t>
      </w:r>
    </w:p>
    <w:p w14:paraId="58C3F3C3" w14:textId="5D512609" w:rsidR="001E082A" w:rsidRPr="00BE5BA6" w:rsidRDefault="001E082A" w:rsidP="00D56402">
      <w:pPr>
        <w:rPr>
          <w:rFonts w:eastAsia="Times New Roman"/>
        </w:rPr>
      </w:pPr>
      <w:r>
        <w:t>For variant (1), larger shops in the food retail sector are particularly suitable, as they already have a suitable infrastructure due to the interlinking of several sales outlets. Due to the amendment, they will incur annual costs for the purchase of the reusable alternative and one-off costs for the installation of signs (or similar) with information about the available alternative.</w:t>
      </w:r>
    </w:p>
    <w:p w14:paraId="706B7374" w14:textId="77777777" w:rsidR="001E082A" w:rsidRPr="00BE5BA6" w:rsidRDefault="001E082A" w:rsidP="00D56402">
      <w:pPr>
        <w:rPr>
          <w:rFonts w:eastAsia="Times New Roman"/>
        </w:rPr>
      </w:pPr>
      <w:r>
        <w:lastRenderedPageBreak/>
        <w:t>For variant (2), it is assumed that final distributors of single-use cups in particular, but also of take-away boxes and single-use trays, will use this offer. These include mainly kiosks, coffee bars, snack bars, petrol stations and bakeries. The deposit systems established so far offer in their service to supply the final distributors with the reusable alternative and collect, wash and redistribute it to their partners (mainly regional systems</w:t>
      </w:r>
      <w:r w:rsidRPr="00BE5BA6">
        <w:rPr>
          <w:rStyle w:val="FootnoteReference"/>
          <w:rFonts w:eastAsia="Times New Roman"/>
          <w:lang w:eastAsia="de-DE"/>
        </w:rPr>
        <w:footnoteReference w:id="3"/>
      </w:r>
      <w:r>
        <w:t>). Or they supply the final distributors with the reusable alternative, in which case the latter are responsible for cleaning the cups themselves (supraregional or nationwide systems</w:t>
      </w:r>
      <w:r w:rsidRPr="00BE5BA6">
        <w:rPr>
          <w:rStyle w:val="FootnoteReference"/>
          <w:rFonts w:eastAsia="Times New Roman"/>
          <w:lang w:eastAsia="de-DE"/>
        </w:rPr>
        <w:footnoteReference w:id="4"/>
      </w:r>
      <w:r>
        <w:t xml:space="preserve">). </w:t>
      </w:r>
    </w:p>
    <w:p w14:paraId="65390D65" w14:textId="77777777" w:rsidR="001E082A" w:rsidRPr="00BE5BA6" w:rsidRDefault="001E082A" w:rsidP="00D56402">
      <w:pPr>
        <w:rPr>
          <w:rFonts w:eastAsia="Times New Roman"/>
        </w:rPr>
      </w:pPr>
      <w:r>
        <w:t xml:space="preserve">For variant (3), it is assumed that both variant (1) and variant (2) have already been partially implemented, which is why the case figures for these variants should be put into perspective. </w:t>
      </w:r>
    </w:p>
    <w:p w14:paraId="58C3B707" w14:textId="0AB51CD0" w:rsidR="001E082A" w:rsidRPr="00BE5BA6" w:rsidRDefault="001E082A" w:rsidP="00D56402">
      <w:pPr>
        <w:rPr>
          <w:rFonts w:eastAsia="Times New Roman"/>
        </w:rPr>
      </w:pPr>
      <w:r>
        <w:t xml:space="preserve">In order to derive the number of cases, it is first examined how many final distributors of single-use plastic food packaging there are. These are then assigned to the variants mentioned above. In addition, the proportion of non-plastic coated cups is examined. </w:t>
      </w:r>
    </w:p>
    <w:p w14:paraId="6751717D" w14:textId="590B571F" w:rsidR="001E082A" w:rsidRPr="00BE5BA6" w:rsidRDefault="001E082A" w:rsidP="00D56402">
      <w:pPr>
        <w:rPr>
          <w:rFonts w:eastAsia="Times New Roman"/>
        </w:rPr>
      </w:pPr>
      <w:r>
        <w:rPr>
          <w:u w:val="single"/>
        </w:rPr>
        <w:t>Final distributor of single-use plastic food packaging and single-use cups for beverages:</w:t>
      </w:r>
      <w:r>
        <w:br/>
        <w:t>According to research, some 141 000 shops (or similar places) throughout Germany can be counted among the final distributors of the packaging referred to.</w:t>
      </w:r>
      <w:r w:rsidR="00C059FB">
        <w:t xml:space="preserve"> </w:t>
      </w:r>
      <w:r>
        <w:t xml:space="preserve">These are distributed among around 40 000 kiosks, around 2 300 coffee bars, around 14 500 petrol stations, around 10 000 bakeries, around 36 400 snack bars and around 38 000 shops in the food retail sector. </w:t>
      </w:r>
    </w:p>
    <w:p w14:paraId="3A7BC278" w14:textId="1AD688E5" w:rsidR="001E082A" w:rsidRPr="00BE5BA6" w:rsidRDefault="001E082A" w:rsidP="00D56402">
      <w:pPr>
        <w:rPr>
          <w:rFonts w:eastAsia="Times New Roman"/>
        </w:rPr>
      </w:pPr>
      <w:r>
        <w:t xml:space="preserve">According to the breakdown listed above, around 38 000 final distributors belong to variant (1) and around 103 200 final distributors to variant (2). </w:t>
      </w:r>
    </w:p>
    <w:p w14:paraId="38E04B50" w14:textId="77777777" w:rsidR="001E082A" w:rsidRPr="00BE5BA6" w:rsidRDefault="001E082A" w:rsidP="00D56402">
      <w:pPr>
        <w:rPr>
          <w:rFonts w:eastAsia="Times New Roman"/>
        </w:rPr>
      </w:pPr>
      <w:r>
        <w:t>The case numbers are put into perspective in order to take into account the current offer of reusable alternatives. Thus, for variant (1) it is freely assumed that about 10 % of final distributors already offer a reusable alternative (about 34 200 final distributors = 36 400 final distributors * 0.9).</w:t>
      </w:r>
    </w:p>
    <w:p w14:paraId="0FB60E1D" w14:textId="3525D48C" w:rsidR="001E082A" w:rsidRPr="00BE5BA6" w:rsidRDefault="001E082A" w:rsidP="00D56402">
      <w:pPr>
        <w:rPr>
          <w:rFonts w:eastAsia="Times New Roman"/>
        </w:rPr>
      </w:pPr>
      <w:r>
        <w:t xml:space="preserve">The number of cases in variant (2) is reduced by around 11 000 final distributors and is thus around 92 200. This number is based on the number of partners of the largest nationwide reusable deposit providers ‘ReCup’, ‘ReBowl’ and ‘Recircle’ (a total of around 6 000 partners) and the assumption that regional systems have been established in the major German cities (e.g. FairCup, CupForCup, FreiburgCup, Con-Cup, CupCycle) whose number of partners is between 20 and 100 per major city. With an average of 60 partners per major city and 81 major German cities, this means that an additional 5 000 final distributors can be expected who already participate in a regional returnable deposit system. </w:t>
      </w:r>
    </w:p>
    <w:p w14:paraId="56481E0A" w14:textId="77777777" w:rsidR="001E082A" w:rsidRPr="00BE5BA6" w:rsidRDefault="001E082A" w:rsidP="00A979FD">
      <w:pPr>
        <w:keepNext/>
        <w:rPr>
          <w:rFonts w:eastAsia="Times New Roman"/>
          <w:u w:val="single"/>
        </w:rPr>
      </w:pPr>
      <w:r>
        <w:rPr>
          <w:u w:val="single"/>
        </w:rPr>
        <w:t>Proportion of beverage cups without coating made of plastic:</w:t>
      </w:r>
    </w:p>
    <w:p w14:paraId="27B5459E" w14:textId="409EE530" w:rsidR="001E082A" w:rsidRPr="00BE5BA6" w:rsidRDefault="001E082A" w:rsidP="00D56402">
      <w:pPr>
        <w:rPr>
          <w:rFonts w:eastAsia="Times New Roman"/>
        </w:rPr>
      </w:pPr>
      <w:r>
        <w:t xml:space="preserve">After researching the proportion of beverage cups without a plastic coating, no alternatives could be identified. The Federal Environment Agency also states that 40 % of beverage cups are made of plastic and 60 % are made of cardboard, with cardboard cups always consisting of at least 4 % plastic. Alternatives to this, where no plastic content is present, could not be identified at this stage and it is assumed that this content is negligible. </w:t>
      </w:r>
    </w:p>
    <w:p w14:paraId="703C8C06" w14:textId="77777777" w:rsidR="001E082A" w:rsidRPr="00BE5BA6" w:rsidRDefault="001E082A" w:rsidP="00D56402">
      <w:pPr>
        <w:rPr>
          <w:rFonts w:eastAsia="Times New Roman"/>
        </w:rPr>
      </w:pPr>
      <w:r>
        <w:t xml:space="preserve">For variant (1), no additional time expenditure is required. </w:t>
      </w:r>
    </w:p>
    <w:p w14:paraId="5DD4A2E9" w14:textId="6ECB79C9" w:rsidR="001E082A" w:rsidRPr="00BE5BA6" w:rsidRDefault="001E082A" w:rsidP="00D56402">
      <w:pPr>
        <w:rPr>
          <w:rFonts w:eastAsia="Times New Roman"/>
        </w:rPr>
      </w:pPr>
      <w:r>
        <w:t>For variant (2), there is a one-off time expenditure for concluding a partnership with a returnable deposit system. This is done at very little cost via the systems</w:t>
      </w:r>
      <w:r w:rsidR="00C059FB">
        <w:t>’</w:t>
      </w:r>
      <w:r>
        <w:t xml:space="preserve"> website and </w:t>
      </w:r>
      <w:r>
        <w:lastRenderedPageBreak/>
        <w:t xml:space="preserve">should take just a few minutes to implement. 3 minutes for further calculation are assumed for this one-time registration. This also corresponds to the standard activity ‘Fill in forms’ from the time value table of the guide for the determination and presentation of the compliance effort. </w:t>
      </w:r>
    </w:p>
    <w:p w14:paraId="417AB1AA" w14:textId="3244B289" w:rsidR="001E082A" w:rsidRPr="00BE5BA6" w:rsidRDefault="001E082A" w:rsidP="00D56402">
      <w:pPr>
        <w:rPr>
          <w:rFonts w:eastAsia="Times New Roman"/>
        </w:rPr>
      </w:pPr>
      <w:r>
        <w:t xml:space="preserve">There is a one-off time expenditure for all final distributors (variants (1) and (2)) for setting up signs. The basis for the material expenses is the information obligation already included in the SCM database concerning the setting up of signboards by distributors of secondary packaging. A small time expenditure of 3 minutes per case is assumed here. </w:t>
      </w:r>
    </w:p>
    <w:p w14:paraId="1AFEAB9D" w14:textId="79E6ED9C" w:rsidR="001E082A" w:rsidRPr="00BE5BA6" w:rsidRDefault="001E082A" w:rsidP="00D56402">
      <w:pPr>
        <w:rPr>
          <w:rFonts w:eastAsia="Times New Roman"/>
        </w:rPr>
      </w:pPr>
      <w:r>
        <w:t xml:space="preserve">The average wage rate of EUR 29.50 per hour shall apply. This corresponds to Economic Section G of the Statistical Business Register ‘Wholesale and retail trade, repair of motor vehicles and motorcycles’. </w:t>
      </w:r>
    </w:p>
    <w:p w14:paraId="370A6C3E" w14:textId="2B3665DF" w:rsidR="001E082A" w:rsidRPr="00BE5BA6" w:rsidRDefault="001E082A" w:rsidP="00D56402">
      <w:pPr>
        <w:rPr>
          <w:rFonts w:eastAsia="Times New Roman"/>
        </w:rPr>
      </w:pPr>
      <w:r>
        <w:t>For variant (1), annual material costs are incurred the purchasing sufficient reusable alternatives. Since the amendment does not prohibit single-use plastic food packaging and single-use cups for beverages, but only obliges the provision of an alternative, it is assumed that about 50 reusable packages are purchased per point of sale on average. These have to be replaced by new products after about 500 uses. It is assumed that material costs of about EUR 5 per product are incurred, which, assuming that the product is washed each day, will be incurred again after every two years of use. This results in an annual cost of around EUR 125 per case.</w:t>
      </w:r>
    </w:p>
    <w:p w14:paraId="25E767EF" w14:textId="60EEDA93" w:rsidR="001E082A" w:rsidRPr="00BE5BA6" w:rsidRDefault="00D8011E" w:rsidP="00D56402">
      <w:pPr>
        <w:rPr>
          <w:rFonts w:eastAsia="Times New Roman"/>
        </w:rPr>
      </w:pPr>
      <w:r>
        <w:t xml:space="preserve">It is expected that the corresponding number of potential uses of reusable alternatives (250 uses per item per year corresponds to around 12 500 single-use items per outlet for 50 reusable items) will no longer have to be provided as single-use items by the sale outlets in the future. This reduces the costs for the sales outlets by about EUR 0.01 per elimination of one piece of single-use packaging per year. This corresponds to a relief of about EUR 125 per year. Thus, a cost-neutral change can be expected for the further procedure (EUR 125 by offering a reusable alternative EUR -125 by eliminating the single-use items). For variant (2), monthly system fees amounting to an average of around EUR 20 are incurred for the service of the deposit systems. This results in material costs of around EUR 240 per year. </w:t>
      </w:r>
    </w:p>
    <w:p w14:paraId="5E00C8AB" w14:textId="15164F0E" w:rsidR="00D8011E" w:rsidRPr="00BE5BA6" w:rsidRDefault="00D8011E" w:rsidP="00D56402">
      <w:pPr>
        <w:rPr>
          <w:rFonts w:eastAsia="Times New Roman"/>
        </w:rPr>
      </w:pPr>
      <w:r>
        <w:t xml:space="preserve">After the potential savings for variant (1) have been discussed, a reduction of about EUR 125 per year can also be assumed for this variant. This implies a charge of around EUR 115 (EUR 240 for participation in a deposit system EUR -125 for the elimination of single-use packaging). </w:t>
      </w:r>
    </w:p>
    <w:p w14:paraId="398AF465" w14:textId="426C4E8E" w:rsidR="001E082A" w:rsidRPr="00BE5BA6" w:rsidRDefault="001E082A" w:rsidP="00D56402">
      <w:pPr>
        <w:rPr>
          <w:rFonts w:eastAsia="Times New Roman"/>
        </w:rPr>
      </w:pPr>
      <w:r>
        <w:t xml:space="preserve">For all final distributors (variants (1) and (2)), there are one-off material costs for the purchase of signs. The material expenses are based on the information obligation already included in the SCM database concerning the setting up of signboards by distributors of secondary packaging. Here, the acquisition costs for the signboards are EUR 2.75 each. </w:t>
      </w:r>
    </w:p>
    <w:p w14:paraId="4C1333FD" w14:textId="797787FF" w:rsidR="009C29B3" w:rsidRPr="00BE5BA6" w:rsidRDefault="009C29B3" w:rsidP="00D56402">
      <w:pPr>
        <w:rPr>
          <w:rFonts w:eastAsia="Times New Roman"/>
        </w:rPr>
      </w:pPr>
      <w:r>
        <w:t>Variant (1) does not change the annual material costs due to the purchase of suitable reusable alternatives and the elimination of single-use packaging.</w:t>
      </w:r>
    </w:p>
    <w:p w14:paraId="6CBD69E5" w14:textId="13E3815D" w:rsidR="001E082A" w:rsidRPr="00BE5BA6" w:rsidRDefault="001E082A" w:rsidP="00D56402">
      <w:pPr>
        <w:rPr>
          <w:rFonts w:eastAsia="Times New Roman"/>
        </w:rPr>
      </w:pPr>
      <w:r>
        <w:t>Variant (2) results in one-off personnel costs of around EUR 136 thousand and there are annual material costs of around EUR 10.6 million.</w:t>
      </w:r>
    </w:p>
    <w:p w14:paraId="39945DE5" w14:textId="0F0C149A" w:rsidR="001E082A" w:rsidRPr="00BE5BA6" w:rsidRDefault="001E082A" w:rsidP="00D56402">
      <w:pPr>
        <w:rPr>
          <w:rFonts w:eastAsia="Times New Roman"/>
        </w:rPr>
      </w:pPr>
      <w:r>
        <w:t xml:space="preserve">A </w:t>
      </w:r>
      <w:r>
        <w:rPr>
          <w:b/>
        </w:rPr>
        <w:t xml:space="preserve">one-off personnel cost </w:t>
      </w:r>
      <w:r>
        <w:t xml:space="preserve">of around </w:t>
      </w:r>
      <w:r>
        <w:rPr>
          <w:b/>
        </w:rPr>
        <w:t xml:space="preserve">EUR 186 thousand </w:t>
      </w:r>
      <w:r>
        <w:t xml:space="preserve">will be incurred for setting up the signs and around </w:t>
      </w:r>
      <w:r>
        <w:rPr>
          <w:b/>
        </w:rPr>
        <w:t xml:space="preserve">EUR 348 thousand </w:t>
      </w:r>
      <w:r>
        <w:t>will be incurred for material costs.</w:t>
      </w:r>
    </w:p>
    <w:p w14:paraId="0BE2DCA8" w14:textId="0CF3780D" w:rsidR="001E082A" w:rsidRPr="00BE5BA6" w:rsidRDefault="001E082A" w:rsidP="00D56402">
      <w:pPr>
        <w:rPr>
          <w:rFonts w:eastAsia="Times New Roman"/>
        </w:rPr>
      </w:pPr>
      <w:r>
        <w:t xml:space="preserve">In total, this requirement will result in around </w:t>
      </w:r>
      <w:r>
        <w:rPr>
          <w:b/>
        </w:rPr>
        <w:t>EUR 322 thousand in one-off personnel costs</w:t>
      </w:r>
      <w:r>
        <w:t>, around</w:t>
      </w:r>
      <w:r>
        <w:rPr>
          <w:b/>
        </w:rPr>
        <w:t xml:space="preserve"> EUR 348 thousand in one-off material costs</w:t>
      </w:r>
      <w:r>
        <w:t xml:space="preserve"> and around </w:t>
      </w:r>
      <w:r>
        <w:rPr>
          <w:b/>
        </w:rPr>
        <w:t>EUR 10.6 million in annual material costs.</w:t>
      </w:r>
    </w:p>
    <w:p w14:paraId="1937D0EE" w14:textId="31C25959" w:rsidR="001E082A" w:rsidRPr="00BE5BA6" w:rsidRDefault="001E082A" w:rsidP="003B6D5E">
      <w:pPr>
        <w:jc w:val="left"/>
        <w:rPr>
          <w:rFonts w:eastAsia="Times New Roman"/>
        </w:rPr>
      </w:pPr>
      <w:r>
        <w:lastRenderedPageBreak/>
        <w:t>These costs are entirely due to the implementation of EU legislation, with around EUR 136 thousand in one-off personnel costs of the category ‘Adaptation of organisational structures’ and around EUR 186 thousand in personnel costs and around EUR 348 thousand of the category ‘One-off information obligation’.</w:t>
      </w:r>
      <w:r>
        <w:br/>
        <w:t>Since the mandatory replacement of a product with only a minor proportion of plastic also falls under the transposition of Directive (EU) 2019/904, the share of the compliance costs resulting from the transposition of national law is zero according to current knowledge.</w:t>
      </w:r>
    </w:p>
    <w:p w14:paraId="6A2754DE" w14:textId="5D7EFFBB" w:rsidR="00337B44" w:rsidRPr="00BE5BA6" w:rsidRDefault="00337B44" w:rsidP="00A979FD">
      <w:pPr>
        <w:keepNext/>
        <w:rPr>
          <w:rFonts w:eastAsia="Times New Roman"/>
          <w:b/>
        </w:rPr>
      </w:pPr>
      <w:r>
        <w:rPr>
          <w:b/>
        </w:rPr>
        <w:t>Requirement 34 (Other requirements):</w:t>
      </w:r>
      <w:r w:rsidR="00C059FB">
        <w:rPr>
          <w:b/>
        </w:rPr>
        <w:t xml:space="preserve"> </w:t>
      </w:r>
      <w:r>
        <w:rPr>
          <w:b/>
        </w:rPr>
        <w:t>Enabling the appointment of an authorised representative for producers from abroad; Article 1 § 35 of the Packaging Act</w:t>
      </w:r>
    </w:p>
    <w:p w14:paraId="1CA93FDE" w14:textId="77777777" w:rsidR="00C64689" w:rsidRPr="00BE5BA6" w:rsidRDefault="00C64689" w:rsidP="00A979FD">
      <w:pPr>
        <w:keepNext/>
      </w:pPr>
      <w:r>
        <w:t>One-off compliance costs:</w:t>
      </w:r>
    </w:p>
    <w:tbl>
      <w:tblPr>
        <w:tblStyle w:val="TableGrid"/>
        <w:tblW w:w="9072" w:type="dxa"/>
        <w:tblInd w:w="108" w:type="dxa"/>
        <w:tblLayout w:type="fixed"/>
        <w:tblLook w:val="04A0" w:firstRow="1" w:lastRow="0" w:firstColumn="1" w:lastColumn="0" w:noHBand="0" w:noVBand="1"/>
      </w:tblPr>
      <w:tblGrid>
        <w:gridCol w:w="1512"/>
        <w:gridCol w:w="1512"/>
        <w:gridCol w:w="1512"/>
        <w:gridCol w:w="1512"/>
        <w:gridCol w:w="1512"/>
        <w:gridCol w:w="1512"/>
      </w:tblGrid>
      <w:tr w:rsidR="00C64689" w:rsidRPr="00BE5BA6" w14:paraId="0881D7B0" w14:textId="77777777" w:rsidTr="00F8269C">
        <w:tc>
          <w:tcPr>
            <w:tcW w:w="1512" w:type="dxa"/>
            <w:shd w:val="clear" w:color="auto" w:fill="BFBFBF" w:themeFill="background1" w:themeFillShade="BF"/>
          </w:tcPr>
          <w:p w14:paraId="2403EF22" w14:textId="77777777" w:rsidR="00C64689" w:rsidRPr="00BE5BA6" w:rsidRDefault="00C64689" w:rsidP="00A979FD">
            <w:pPr>
              <w:keepNext/>
              <w:rPr>
                <w:sz w:val="18"/>
                <w:szCs w:val="18"/>
              </w:rPr>
            </w:pPr>
            <w:r>
              <w:rPr>
                <w:sz w:val="18"/>
              </w:rPr>
              <w:t>Number of cases</w:t>
            </w:r>
          </w:p>
        </w:tc>
        <w:tc>
          <w:tcPr>
            <w:tcW w:w="1512" w:type="dxa"/>
            <w:shd w:val="clear" w:color="auto" w:fill="BFBFBF" w:themeFill="background1" w:themeFillShade="BF"/>
          </w:tcPr>
          <w:p w14:paraId="45F9A9C4" w14:textId="77777777" w:rsidR="00C64689" w:rsidRPr="00BE5BA6" w:rsidRDefault="00C64689" w:rsidP="00A979FD">
            <w:pPr>
              <w:keepNext/>
              <w:rPr>
                <w:sz w:val="18"/>
                <w:szCs w:val="18"/>
              </w:rPr>
            </w:pPr>
            <w:r>
              <w:rPr>
                <w:sz w:val="18"/>
              </w:rPr>
              <w:t>Time expended per case (in minutes)</w:t>
            </w:r>
          </w:p>
        </w:tc>
        <w:tc>
          <w:tcPr>
            <w:tcW w:w="1512" w:type="dxa"/>
            <w:shd w:val="clear" w:color="auto" w:fill="BFBFBF" w:themeFill="background1" w:themeFillShade="BF"/>
          </w:tcPr>
          <w:p w14:paraId="15F2A9CF" w14:textId="77777777" w:rsidR="00C64689" w:rsidRPr="00BE5BA6" w:rsidRDefault="00C64689"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1969295E" w14:textId="77777777" w:rsidR="00C64689" w:rsidRPr="00BE5BA6" w:rsidRDefault="00C64689" w:rsidP="00A979FD">
            <w:pPr>
              <w:keepNext/>
              <w:rPr>
                <w:sz w:val="18"/>
                <w:szCs w:val="18"/>
              </w:rPr>
            </w:pPr>
            <w:r>
              <w:rPr>
                <w:sz w:val="18"/>
              </w:rPr>
              <w:t>Material expenses per case (in EUR)</w:t>
            </w:r>
          </w:p>
        </w:tc>
        <w:tc>
          <w:tcPr>
            <w:tcW w:w="1512" w:type="dxa"/>
            <w:tcBorders>
              <w:top w:val="single" w:sz="8" w:space="0" w:color="auto"/>
              <w:left w:val="single" w:sz="12" w:space="0" w:color="auto"/>
            </w:tcBorders>
            <w:shd w:val="clear" w:color="auto" w:fill="BFBFBF" w:themeFill="background1" w:themeFillShade="BF"/>
          </w:tcPr>
          <w:p w14:paraId="7264B358" w14:textId="5BB101C6" w:rsidR="00C64689" w:rsidRPr="00BE5BA6" w:rsidRDefault="00C64689"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1C4119A7" w14:textId="309DF820" w:rsidR="00C64689" w:rsidRPr="00BE5BA6" w:rsidRDefault="00C64689" w:rsidP="00A979FD">
            <w:pPr>
              <w:keepNext/>
              <w:rPr>
                <w:sz w:val="18"/>
                <w:szCs w:val="18"/>
              </w:rPr>
            </w:pPr>
            <w:r>
              <w:rPr>
                <w:sz w:val="18"/>
              </w:rPr>
              <w:t>Material expenses (in thousands of EUR)</w:t>
            </w:r>
          </w:p>
        </w:tc>
      </w:tr>
      <w:tr w:rsidR="00C64689" w:rsidRPr="00BE5BA6" w14:paraId="0E9E6F0C" w14:textId="77777777" w:rsidTr="00F8269C">
        <w:tc>
          <w:tcPr>
            <w:tcW w:w="1512" w:type="dxa"/>
            <w:vAlign w:val="center"/>
          </w:tcPr>
          <w:p w14:paraId="783C415E" w14:textId="77777777" w:rsidR="00C64689" w:rsidRPr="00BE5BA6" w:rsidRDefault="00C64689" w:rsidP="00C64689">
            <w:pPr>
              <w:jc w:val="center"/>
              <w:rPr>
                <w:sz w:val="18"/>
                <w:szCs w:val="18"/>
              </w:rPr>
            </w:pPr>
            <w:r>
              <w:rPr>
                <w:sz w:val="18"/>
              </w:rPr>
              <w:t>365</w:t>
            </w:r>
          </w:p>
        </w:tc>
        <w:tc>
          <w:tcPr>
            <w:tcW w:w="1512" w:type="dxa"/>
            <w:vAlign w:val="center"/>
          </w:tcPr>
          <w:p w14:paraId="3AA4A976" w14:textId="77777777" w:rsidR="00C64689" w:rsidRPr="00BE5BA6" w:rsidRDefault="00C64689" w:rsidP="00C64689">
            <w:pPr>
              <w:jc w:val="center"/>
              <w:rPr>
                <w:sz w:val="18"/>
                <w:szCs w:val="18"/>
              </w:rPr>
            </w:pPr>
            <w:r>
              <w:rPr>
                <w:sz w:val="18"/>
              </w:rPr>
              <w:t>60</w:t>
            </w:r>
          </w:p>
        </w:tc>
        <w:tc>
          <w:tcPr>
            <w:tcW w:w="1512" w:type="dxa"/>
            <w:vAlign w:val="center"/>
          </w:tcPr>
          <w:p w14:paraId="5A05E683" w14:textId="77777777" w:rsidR="00C64689" w:rsidRPr="00BE5BA6" w:rsidRDefault="00C64689" w:rsidP="00C64689">
            <w:pPr>
              <w:jc w:val="center"/>
              <w:rPr>
                <w:sz w:val="18"/>
                <w:szCs w:val="18"/>
              </w:rPr>
            </w:pPr>
            <w:r>
              <w:rPr>
                <w:sz w:val="18"/>
              </w:rPr>
              <w:t>68.70</w:t>
            </w:r>
          </w:p>
        </w:tc>
        <w:tc>
          <w:tcPr>
            <w:tcW w:w="1512" w:type="dxa"/>
            <w:tcBorders>
              <w:right w:val="single" w:sz="12" w:space="0" w:color="auto"/>
            </w:tcBorders>
            <w:vAlign w:val="center"/>
          </w:tcPr>
          <w:p w14:paraId="2F6916D8" w14:textId="77777777" w:rsidR="00C64689" w:rsidRPr="00BE5BA6" w:rsidRDefault="00C64689" w:rsidP="00C64689">
            <w:pPr>
              <w:jc w:val="center"/>
              <w:rPr>
                <w:sz w:val="18"/>
                <w:szCs w:val="18"/>
              </w:rPr>
            </w:pPr>
            <w:r>
              <w:rPr>
                <w:sz w:val="18"/>
              </w:rPr>
              <w:t>-</w:t>
            </w:r>
          </w:p>
        </w:tc>
        <w:tc>
          <w:tcPr>
            <w:tcW w:w="1512" w:type="dxa"/>
            <w:tcBorders>
              <w:left w:val="single" w:sz="12" w:space="0" w:color="auto"/>
            </w:tcBorders>
            <w:vAlign w:val="center"/>
          </w:tcPr>
          <w:p w14:paraId="6D9E1B7B" w14:textId="77777777" w:rsidR="00C64689" w:rsidRPr="00BE5BA6" w:rsidRDefault="00C64689" w:rsidP="00C64689">
            <w:pPr>
              <w:jc w:val="center"/>
              <w:rPr>
                <w:sz w:val="18"/>
                <w:szCs w:val="18"/>
              </w:rPr>
            </w:pPr>
            <w:r>
              <w:rPr>
                <w:sz w:val="18"/>
              </w:rPr>
              <w:t>25</w:t>
            </w:r>
          </w:p>
        </w:tc>
        <w:tc>
          <w:tcPr>
            <w:tcW w:w="1512" w:type="dxa"/>
            <w:tcBorders>
              <w:right w:val="single" w:sz="8" w:space="0" w:color="auto"/>
            </w:tcBorders>
            <w:vAlign w:val="center"/>
          </w:tcPr>
          <w:p w14:paraId="659134AB" w14:textId="77777777" w:rsidR="00C64689" w:rsidRPr="00BE5BA6" w:rsidRDefault="00C64689" w:rsidP="00C64689">
            <w:pPr>
              <w:jc w:val="center"/>
              <w:rPr>
                <w:sz w:val="18"/>
                <w:szCs w:val="18"/>
              </w:rPr>
            </w:pPr>
            <w:r>
              <w:rPr>
                <w:sz w:val="18"/>
              </w:rPr>
              <w:t>-</w:t>
            </w:r>
          </w:p>
        </w:tc>
      </w:tr>
      <w:tr w:rsidR="00C64689" w:rsidRPr="00BE5BA6" w14:paraId="4266AFB6" w14:textId="77777777" w:rsidTr="00F8269C">
        <w:tc>
          <w:tcPr>
            <w:tcW w:w="6048" w:type="dxa"/>
            <w:gridSpan w:val="4"/>
            <w:tcBorders>
              <w:right w:val="single" w:sz="12" w:space="0" w:color="auto"/>
            </w:tcBorders>
            <w:shd w:val="clear" w:color="auto" w:fill="BFBFBF" w:themeFill="background1" w:themeFillShade="BF"/>
            <w:vAlign w:val="center"/>
          </w:tcPr>
          <w:p w14:paraId="6F16DA8D" w14:textId="3744AC62" w:rsidR="00C64689" w:rsidRPr="00BE5BA6" w:rsidRDefault="00C64689" w:rsidP="00F8269C">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5ACB4018" w14:textId="77777777" w:rsidR="00C64689" w:rsidRPr="00BE5BA6" w:rsidRDefault="00C64689" w:rsidP="00F8269C">
            <w:pPr>
              <w:jc w:val="center"/>
              <w:rPr>
                <w:sz w:val="18"/>
                <w:szCs w:val="18"/>
              </w:rPr>
            </w:pPr>
            <w:r>
              <w:rPr>
                <w:sz w:val="18"/>
              </w:rPr>
              <w:t>25</w:t>
            </w:r>
          </w:p>
        </w:tc>
      </w:tr>
    </w:tbl>
    <w:p w14:paraId="0E45C733" w14:textId="37B36AF3" w:rsidR="00C64689" w:rsidRPr="00BE5BA6" w:rsidRDefault="00C64689" w:rsidP="00A979FD">
      <w:pPr>
        <w:keepNext/>
        <w:spacing w:after="0"/>
        <w:rPr>
          <w:sz w:val="20"/>
        </w:rPr>
      </w:pPr>
      <w:r>
        <w:t>In order to increase transparency with regard to the one-off compliance costs for business and delineate them, they are assigned to one or more categories:</w:t>
      </w:r>
    </w:p>
    <w:tbl>
      <w:tblPr>
        <w:tblStyle w:val="TableGrid"/>
        <w:tblW w:w="9072" w:type="dxa"/>
        <w:tblInd w:w="108" w:type="dxa"/>
        <w:tblLayout w:type="fixed"/>
        <w:tblLook w:val="04A0" w:firstRow="1" w:lastRow="0" w:firstColumn="1" w:lastColumn="0" w:noHBand="0" w:noVBand="1"/>
      </w:tblPr>
      <w:tblGrid>
        <w:gridCol w:w="6047"/>
        <w:gridCol w:w="1498"/>
        <w:gridCol w:w="1527"/>
      </w:tblGrid>
      <w:tr w:rsidR="00C64689" w:rsidRPr="00BE5BA6" w14:paraId="25592E68" w14:textId="77777777" w:rsidTr="00F8269C">
        <w:tc>
          <w:tcPr>
            <w:tcW w:w="6047" w:type="dxa"/>
            <w:vMerge w:val="restart"/>
            <w:shd w:val="clear" w:color="auto" w:fill="BFBFBF" w:themeFill="background1" w:themeFillShade="BF"/>
            <w:vAlign w:val="center"/>
          </w:tcPr>
          <w:p w14:paraId="25F79D03" w14:textId="77777777" w:rsidR="00C64689" w:rsidRPr="00BE5BA6" w:rsidRDefault="00C64689" w:rsidP="00A979FD">
            <w:pPr>
              <w:keepNext/>
              <w:rPr>
                <w:sz w:val="18"/>
                <w:szCs w:val="18"/>
              </w:rPr>
            </w:pPr>
            <w:r>
              <w:rPr>
                <w:sz w:val="18"/>
              </w:rPr>
              <w:t>Category of one-off compliance costs</w:t>
            </w:r>
          </w:p>
        </w:tc>
        <w:tc>
          <w:tcPr>
            <w:tcW w:w="3025" w:type="dxa"/>
            <w:gridSpan w:val="2"/>
            <w:tcBorders>
              <w:top w:val="single" w:sz="8" w:space="0" w:color="auto"/>
              <w:left w:val="single" w:sz="12" w:space="0" w:color="auto"/>
              <w:right w:val="single" w:sz="4" w:space="0" w:color="auto"/>
            </w:tcBorders>
            <w:shd w:val="clear" w:color="auto" w:fill="BFBFBF" w:themeFill="background1" w:themeFillShade="BF"/>
            <w:vAlign w:val="center"/>
          </w:tcPr>
          <w:p w14:paraId="274F3962" w14:textId="77777777" w:rsidR="00C64689" w:rsidRPr="00BE5BA6" w:rsidRDefault="00C64689" w:rsidP="00A979FD">
            <w:pPr>
              <w:keepNext/>
              <w:jc w:val="center"/>
              <w:rPr>
                <w:sz w:val="18"/>
                <w:szCs w:val="18"/>
              </w:rPr>
            </w:pPr>
            <w:r>
              <w:rPr>
                <w:sz w:val="18"/>
              </w:rPr>
              <w:t>Proportion of the category in the one-off compliance costs</w:t>
            </w:r>
          </w:p>
        </w:tc>
      </w:tr>
      <w:tr w:rsidR="00C64689" w:rsidRPr="00BE5BA6" w14:paraId="1A7BB6FD" w14:textId="77777777" w:rsidTr="00F8269C">
        <w:tc>
          <w:tcPr>
            <w:tcW w:w="6047" w:type="dxa"/>
            <w:vMerge/>
            <w:shd w:val="clear" w:color="auto" w:fill="BFBFBF" w:themeFill="background1" w:themeFillShade="BF"/>
          </w:tcPr>
          <w:p w14:paraId="69562265" w14:textId="77777777" w:rsidR="00C64689" w:rsidRPr="00BE5BA6" w:rsidRDefault="00C64689" w:rsidP="00A979FD">
            <w:pPr>
              <w:keepNext/>
              <w:rPr>
                <w:sz w:val="18"/>
                <w:szCs w:val="18"/>
              </w:rPr>
            </w:pPr>
          </w:p>
        </w:tc>
        <w:tc>
          <w:tcPr>
            <w:tcW w:w="1498" w:type="dxa"/>
            <w:tcBorders>
              <w:top w:val="single" w:sz="8" w:space="0" w:color="auto"/>
              <w:left w:val="single" w:sz="12" w:space="0" w:color="auto"/>
              <w:right w:val="single" w:sz="4" w:space="0" w:color="auto"/>
            </w:tcBorders>
            <w:shd w:val="clear" w:color="auto" w:fill="BFBFBF" w:themeFill="background1" w:themeFillShade="BF"/>
          </w:tcPr>
          <w:p w14:paraId="28727BFF" w14:textId="6095ED63" w:rsidR="00C64689" w:rsidRPr="00BE5BA6" w:rsidRDefault="00C64689" w:rsidP="00A979FD">
            <w:pPr>
              <w:keepNext/>
              <w:rPr>
                <w:sz w:val="18"/>
                <w:szCs w:val="18"/>
              </w:rPr>
            </w:pPr>
            <w:r>
              <w:rPr>
                <w:sz w:val="18"/>
              </w:rPr>
              <w:t>Personnel costs (in thousands of EUR)</w:t>
            </w:r>
          </w:p>
        </w:tc>
        <w:tc>
          <w:tcPr>
            <w:tcW w:w="1527" w:type="dxa"/>
            <w:tcBorders>
              <w:top w:val="single" w:sz="8" w:space="0" w:color="auto"/>
              <w:left w:val="single" w:sz="4" w:space="0" w:color="auto"/>
              <w:right w:val="single" w:sz="4" w:space="0" w:color="auto"/>
            </w:tcBorders>
            <w:shd w:val="clear" w:color="auto" w:fill="BFBFBF" w:themeFill="background1" w:themeFillShade="BF"/>
          </w:tcPr>
          <w:p w14:paraId="4B0BB06A" w14:textId="72C0DB3C" w:rsidR="00C64689" w:rsidRPr="00BE5BA6" w:rsidRDefault="00C64689" w:rsidP="00A979FD">
            <w:pPr>
              <w:keepNext/>
              <w:rPr>
                <w:sz w:val="18"/>
                <w:szCs w:val="18"/>
              </w:rPr>
            </w:pPr>
            <w:r>
              <w:rPr>
                <w:sz w:val="18"/>
              </w:rPr>
              <w:t>Material expenses (in thousands of EUR)</w:t>
            </w:r>
          </w:p>
        </w:tc>
      </w:tr>
      <w:tr w:rsidR="00C64689" w:rsidRPr="00BE5BA6" w14:paraId="3E7B48E8" w14:textId="77777777" w:rsidTr="00F8269C">
        <w:tc>
          <w:tcPr>
            <w:tcW w:w="6047" w:type="dxa"/>
            <w:vAlign w:val="center"/>
          </w:tcPr>
          <w:p w14:paraId="1727D1A4" w14:textId="7DB6CA2C" w:rsidR="00C64689" w:rsidRPr="00BE5BA6" w:rsidRDefault="00467FCE" w:rsidP="00C64689">
            <w:pPr>
              <w:rPr>
                <w:sz w:val="18"/>
                <w:szCs w:val="18"/>
              </w:rPr>
            </w:pPr>
            <w:sdt>
              <w:sdtPr>
                <w:rPr>
                  <w:sz w:val="18"/>
                </w:rPr>
                <w:alias w:val="Category of one-off compliance costs"/>
                <w:tag w:val="Kategorie des einmaligen Erfüllungsaufwand"/>
                <w:id w:val="432175187"/>
                <w:placeholder>
                  <w:docPart w:val="B875BADDA0C04248B9FBCDF86C519DCF"/>
                </w:placeholder>
                <w:dropDownList>
                  <w:listItem w:displayText="[select a category of one-off compliance cost here]" w:value="[hier eine Kategorie des einmaligen Erfüllungsaufwands auswählen]"/>
                  <w:listItem w:displayText="Acquisition or retrofitting of machinery, equipment, buildings and infrastructure facilities " w:value="Anschaffung oder Nachrüstung von Maschinen, Anlagen, Gebäuden und Infrastruktureinrichtungen "/>
                  <w:listItem w:displayText="Introduction or adaptation of digital process flows " w:value="Einführung oder Anpassung digitaler Prozessabläufe "/>
                  <w:listItem w:displayText="One-off information obligation " w:value="Einmalige Informationspflicht "/>
                  <w:listItem w:displayText="Training costs" w:value="Schulungskosten"/>
                  <w:listItem w:displayText="Anpassung von Organisationsstrukturen " w:value="Anpassung von Organisationsstrukturen "/>
                  <w:listItem w:displayText="Adaptation of products, manufacturing processes and procurement channels " w:value="Anpassung von Produkten, Fertigungsprozessen und Beschaffungswegen "/>
                  <w:listItem w:displayText="Other" w:value="Sonstiges"/>
                </w:dropDownList>
              </w:sdtPr>
              <w:sdtEndPr/>
              <w:sdtContent>
                <w:r w:rsidR="005C32D2">
                  <w:rPr>
                    <w:sz w:val="18"/>
                  </w:rPr>
                  <w:t xml:space="preserve">Adaptation of organisational structures </w:t>
                </w:r>
              </w:sdtContent>
            </w:sdt>
          </w:p>
        </w:tc>
        <w:tc>
          <w:tcPr>
            <w:tcW w:w="1498" w:type="dxa"/>
            <w:tcBorders>
              <w:left w:val="single" w:sz="12" w:space="0" w:color="auto"/>
              <w:right w:val="single" w:sz="4" w:space="0" w:color="auto"/>
            </w:tcBorders>
            <w:vAlign w:val="center"/>
          </w:tcPr>
          <w:p w14:paraId="6DA25039" w14:textId="77777777" w:rsidR="00C64689" w:rsidRPr="00BE5BA6" w:rsidRDefault="00C64689" w:rsidP="00C64689">
            <w:pPr>
              <w:jc w:val="center"/>
              <w:rPr>
                <w:sz w:val="18"/>
                <w:szCs w:val="18"/>
              </w:rPr>
            </w:pPr>
            <w:r>
              <w:rPr>
                <w:sz w:val="18"/>
              </w:rPr>
              <w:t>25</w:t>
            </w:r>
          </w:p>
        </w:tc>
        <w:tc>
          <w:tcPr>
            <w:tcW w:w="1527" w:type="dxa"/>
            <w:tcBorders>
              <w:left w:val="single" w:sz="4" w:space="0" w:color="auto"/>
              <w:right w:val="single" w:sz="4" w:space="0" w:color="auto"/>
            </w:tcBorders>
            <w:vAlign w:val="center"/>
          </w:tcPr>
          <w:p w14:paraId="06EC9E23" w14:textId="77777777" w:rsidR="00C64689" w:rsidRPr="00BE5BA6" w:rsidRDefault="00C64689" w:rsidP="00C64689">
            <w:pPr>
              <w:jc w:val="center"/>
              <w:rPr>
                <w:sz w:val="18"/>
                <w:szCs w:val="18"/>
              </w:rPr>
            </w:pPr>
            <w:r>
              <w:rPr>
                <w:sz w:val="18"/>
              </w:rPr>
              <w:t>-</w:t>
            </w:r>
          </w:p>
        </w:tc>
      </w:tr>
    </w:tbl>
    <w:p w14:paraId="04D5E5D4" w14:textId="77777777" w:rsidR="00C64689" w:rsidRPr="00BE5BA6" w:rsidRDefault="00C64689" w:rsidP="00A979FD">
      <w:pPr>
        <w:keepNext/>
      </w:pPr>
      <w:r>
        <w:t>Annual compliance costs:</w:t>
      </w:r>
    </w:p>
    <w:tbl>
      <w:tblPr>
        <w:tblStyle w:val="TableGrid"/>
        <w:tblW w:w="9072" w:type="dxa"/>
        <w:tblInd w:w="108" w:type="dxa"/>
        <w:tblLayout w:type="fixed"/>
        <w:tblLook w:val="04A0" w:firstRow="1" w:lastRow="0" w:firstColumn="1" w:lastColumn="0" w:noHBand="0" w:noVBand="1"/>
      </w:tblPr>
      <w:tblGrid>
        <w:gridCol w:w="1512"/>
        <w:gridCol w:w="1512"/>
        <w:gridCol w:w="1512"/>
        <w:gridCol w:w="1512"/>
        <w:gridCol w:w="1512"/>
        <w:gridCol w:w="1512"/>
      </w:tblGrid>
      <w:tr w:rsidR="00C64689" w:rsidRPr="00BE5BA6" w14:paraId="53B06DD4" w14:textId="77777777" w:rsidTr="00F8269C">
        <w:tc>
          <w:tcPr>
            <w:tcW w:w="1512" w:type="dxa"/>
            <w:shd w:val="clear" w:color="auto" w:fill="BFBFBF" w:themeFill="background1" w:themeFillShade="BF"/>
          </w:tcPr>
          <w:p w14:paraId="1CDEA5BF" w14:textId="77777777" w:rsidR="00C64689" w:rsidRPr="00BE5BA6" w:rsidRDefault="00C64689" w:rsidP="00A979FD">
            <w:pPr>
              <w:keepNext/>
              <w:rPr>
                <w:sz w:val="18"/>
                <w:szCs w:val="18"/>
              </w:rPr>
            </w:pPr>
            <w:r>
              <w:rPr>
                <w:sz w:val="18"/>
              </w:rPr>
              <w:t>Number of cases</w:t>
            </w:r>
          </w:p>
        </w:tc>
        <w:tc>
          <w:tcPr>
            <w:tcW w:w="1512" w:type="dxa"/>
            <w:shd w:val="clear" w:color="auto" w:fill="BFBFBF" w:themeFill="background1" w:themeFillShade="BF"/>
          </w:tcPr>
          <w:p w14:paraId="24895EEA" w14:textId="77777777" w:rsidR="00C64689" w:rsidRPr="00BE5BA6" w:rsidRDefault="00C64689" w:rsidP="00A979FD">
            <w:pPr>
              <w:keepNext/>
              <w:rPr>
                <w:sz w:val="18"/>
                <w:szCs w:val="18"/>
              </w:rPr>
            </w:pPr>
            <w:r>
              <w:rPr>
                <w:sz w:val="18"/>
              </w:rPr>
              <w:t>Time expended per case (in minutes)</w:t>
            </w:r>
          </w:p>
        </w:tc>
        <w:tc>
          <w:tcPr>
            <w:tcW w:w="1512" w:type="dxa"/>
            <w:shd w:val="clear" w:color="auto" w:fill="BFBFBF" w:themeFill="background1" w:themeFillShade="BF"/>
          </w:tcPr>
          <w:p w14:paraId="450AF845" w14:textId="77777777" w:rsidR="00C64689" w:rsidRPr="00BE5BA6" w:rsidRDefault="00C64689"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50E350EC" w14:textId="77777777" w:rsidR="00C64689" w:rsidRPr="00BE5BA6" w:rsidRDefault="00C64689" w:rsidP="00A979FD">
            <w:pPr>
              <w:keepNext/>
              <w:rPr>
                <w:sz w:val="18"/>
                <w:szCs w:val="18"/>
              </w:rPr>
            </w:pPr>
            <w:r>
              <w:rPr>
                <w:sz w:val="18"/>
              </w:rPr>
              <w:t>Material expenses per case (in EUR)</w:t>
            </w:r>
          </w:p>
        </w:tc>
        <w:tc>
          <w:tcPr>
            <w:tcW w:w="1512" w:type="dxa"/>
            <w:tcBorders>
              <w:top w:val="single" w:sz="8" w:space="0" w:color="auto"/>
              <w:left w:val="single" w:sz="12" w:space="0" w:color="auto"/>
            </w:tcBorders>
            <w:shd w:val="clear" w:color="auto" w:fill="BFBFBF" w:themeFill="background1" w:themeFillShade="BF"/>
          </w:tcPr>
          <w:p w14:paraId="3BA4501E" w14:textId="629AA425" w:rsidR="00C64689" w:rsidRPr="00BE5BA6" w:rsidRDefault="00C64689"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29A25555" w14:textId="77777777" w:rsidR="00C64689" w:rsidRPr="00BE5BA6" w:rsidRDefault="00C64689" w:rsidP="00A979FD">
            <w:pPr>
              <w:keepNext/>
              <w:rPr>
                <w:sz w:val="18"/>
                <w:szCs w:val="18"/>
              </w:rPr>
            </w:pPr>
            <w:r>
              <w:rPr>
                <w:sz w:val="18"/>
              </w:rPr>
              <w:t>Material expenses (in thousands of EUR)</w:t>
            </w:r>
          </w:p>
        </w:tc>
      </w:tr>
      <w:tr w:rsidR="00C64689" w:rsidRPr="00BE5BA6" w14:paraId="3A8D078B" w14:textId="77777777" w:rsidTr="00F8269C">
        <w:tc>
          <w:tcPr>
            <w:tcW w:w="1512" w:type="dxa"/>
            <w:vAlign w:val="center"/>
          </w:tcPr>
          <w:p w14:paraId="32723096" w14:textId="77777777" w:rsidR="00C64689" w:rsidRPr="00BE5BA6" w:rsidRDefault="00C64689" w:rsidP="00C64689">
            <w:pPr>
              <w:jc w:val="center"/>
              <w:rPr>
                <w:sz w:val="18"/>
                <w:szCs w:val="18"/>
              </w:rPr>
            </w:pPr>
            <w:r>
              <w:rPr>
                <w:sz w:val="18"/>
              </w:rPr>
              <w:t>37</w:t>
            </w:r>
          </w:p>
        </w:tc>
        <w:tc>
          <w:tcPr>
            <w:tcW w:w="1512" w:type="dxa"/>
            <w:vAlign w:val="center"/>
          </w:tcPr>
          <w:p w14:paraId="61BECAC6" w14:textId="77777777" w:rsidR="00C64689" w:rsidRPr="00BE5BA6" w:rsidRDefault="00C64689" w:rsidP="00C64689">
            <w:pPr>
              <w:jc w:val="center"/>
              <w:rPr>
                <w:sz w:val="18"/>
                <w:szCs w:val="18"/>
              </w:rPr>
            </w:pPr>
            <w:r>
              <w:rPr>
                <w:sz w:val="18"/>
              </w:rPr>
              <w:t>60</w:t>
            </w:r>
          </w:p>
        </w:tc>
        <w:tc>
          <w:tcPr>
            <w:tcW w:w="1512" w:type="dxa"/>
            <w:vAlign w:val="center"/>
          </w:tcPr>
          <w:p w14:paraId="6F75F76D" w14:textId="77777777" w:rsidR="00C64689" w:rsidRPr="00BE5BA6" w:rsidRDefault="00C64689" w:rsidP="00C64689">
            <w:pPr>
              <w:jc w:val="center"/>
              <w:rPr>
                <w:sz w:val="18"/>
                <w:szCs w:val="18"/>
              </w:rPr>
            </w:pPr>
            <w:r>
              <w:rPr>
                <w:sz w:val="18"/>
              </w:rPr>
              <w:t>68.70</w:t>
            </w:r>
          </w:p>
        </w:tc>
        <w:tc>
          <w:tcPr>
            <w:tcW w:w="1512" w:type="dxa"/>
            <w:tcBorders>
              <w:right w:val="single" w:sz="12" w:space="0" w:color="auto"/>
            </w:tcBorders>
            <w:vAlign w:val="center"/>
          </w:tcPr>
          <w:p w14:paraId="1BA20736" w14:textId="77777777" w:rsidR="00C64689" w:rsidRPr="00BE5BA6" w:rsidRDefault="00C64689" w:rsidP="00C64689">
            <w:pPr>
              <w:jc w:val="center"/>
              <w:rPr>
                <w:sz w:val="18"/>
                <w:szCs w:val="18"/>
              </w:rPr>
            </w:pPr>
            <w:r>
              <w:rPr>
                <w:sz w:val="18"/>
              </w:rPr>
              <w:t>-</w:t>
            </w:r>
          </w:p>
        </w:tc>
        <w:tc>
          <w:tcPr>
            <w:tcW w:w="1512" w:type="dxa"/>
            <w:tcBorders>
              <w:left w:val="single" w:sz="12" w:space="0" w:color="auto"/>
            </w:tcBorders>
            <w:vAlign w:val="center"/>
          </w:tcPr>
          <w:p w14:paraId="31FB6AC6" w14:textId="77777777" w:rsidR="00C64689" w:rsidRPr="00BE5BA6" w:rsidRDefault="00C64689" w:rsidP="00C64689">
            <w:pPr>
              <w:jc w:val="center"/>
              <w:rPr>
                <w:sz w:val="18"/>
                <w:szCs w:val="18"/>
              </w:rPr>
            </w:pPr>
            <w:r>
              <w:rPr>
                <w:sz w:val="18"/>
              </w:rPr>
              <w:t>3</w:t>
            </w:r>
          </w:p>
        </w:tc>
        <w:tc>
          <w:tcPr>
            <w:tcW w:w="1512" w:type="dxa"/>
            <w:tcBorders>
              <w:right w:val="single" w:sz="8" w:space="0" w:color="auto"/>
            </w:tcBorders>
            <w:vAlign w:val="center"/>
          </w:tcPr>
          <w:p w14:paraId="153C04B3" w14:textId="77777777" w:rsidR="00C64689" w:rsidRPr="00BE5BA6" w:rsidRDefault="00C64689" w:rsidP="00C64689">
            <w:pPr>
              <w:jc w:val="center"/>
              <w:rPr>
                <w:sz w:val="18"/>
                <w:szCs w:val="18"/>
              </w:rPr>
            </w:pPr>
            <w:r>
              <w:rPr>
                <w:sz w:val="18"/>
              </w:rPr>
              <w:t>-</w:t>
            </w:r>
          </w:p>
        </w:tc>
      </w:tr>
      <w:tr w:rsidR="00C64689" w:rsidRPr="00BE5BA6" w14:paraId="60D46B66" w14:textId="77777777" w:rsidTr="00F8269C">
        <w:tc>
          <w:tcPr>
            <w:tcW w:w="6048" w:type="dxa"/>
            <w:gridSpan w:val="4"/>
            <w:tcBorders>
              <w:right w:val="single" w:sz="12" w:space="0" w:color="auto"/>
            </w:tcBorders>
            <w:shd w:val="clear" w:color="auto" w:fill="BFBFBF" w:themeFill="background1" w:themeFillShade="BF"/>
            <w:vAlign w:val="center"/>
          </w:tcPr>
          <w:p w14:paraId="4F672208" w14:textId="6198142E" w:rsidR="00C64689" w:rsidRPr="00BE5BA6" w:rsidRDefault="00C64689" w:rsidP="00F8269C">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42917222" w14:textId="77777777" w:rsidR="00C64689" w:rsidRPr="00BE5BA6" w:rsidRDefault="00C64689" w:rsidP="00F8269C">
            <w:pPr>
              <w:jc w:val="center"/>
              <w:rPr>
                <w:sz w:val="18"/>
                <w:szCs w:val="18"/>
              </w:rPr>
            </w:pPr>
            <w:r>
              <w:rPr>
                <w:sz w:val="18"/>
              </w:rPr>
              <w:t>3</w:t>
            </w:r>
          </w:p>
        </w:tc>
      </w:tr>
    </w:tbl>
    <w:p w14:paraId="49E18822" w14:textId="77777777" w:rsidR="00F8269C" w:rsidRPr="00BE5BA6" w:rsidRDefault="00F8269C" w:rsidP="00C64689">
      <w:pPr>
        <w:spacing w:before="0"/>
        <w:rPr>
          <w:rFonts w:eastAsia="Times New Roman"/>
          <w:szCs w:val="24"/>
          <w:lang w:eastAsia="de-DE"/>
        </w:rPr>
      </w:pPr>
    </w:p>
    <w:p w14:paraId="6212BF0B" w14:textId="77F4ACFF" w:rsidR="00C64689" w:rsidRPr="00BE5BA6" w:rsidRDefault="00C64689" w:rsidP="00C64689">
      <w:pPr>
        <w:spacing w:before="0"/>
        <w:rPr>
          <w:rFonts w:eastAsia="Times New Roman"/>
          <w:szCs w:val="24"/>
        </w:rPr>
      </w:pPr>
      <w:r>
        <w:t xml:space="preserve">§ 35 of the Packaging Act enables producers who do not have a place of business within the area covered by this Act to assign the obligations – with the exception of registration under § 9 of the Packaging Act – of this Act to an authorised representative. The delegation of authority must be made in written form. </w:t>
      </w:r>
    </w:p>
    <w:p w14:paraId="73DA05CD" w14:textId="77777777" w:rsidR="00C64689" w:rsidRPr="00BE5BA6" w:rsidRDefault="00C64689" w:rsidP="00C64689">
      <w:pPr>
        <w:spacing w:before="0"/>
        <w:rPr>
          <w:rFonts w:eastAsia="Times New Roman"/>
        </w:rPr>
      </w:pPr>
      <w:r>
        <w:t xml:space="preserve">It is not possible to definitively determine the number of producers from abroad who do not have a subsidiary within the area covered by this Act. 7 300 cases are taken as a basis for approximation. </w:t>
      </w:r>
    </w:p>
    <w:p w14:paraId="0E1D81E3" w14:textId="2E026273" w:rsidR="00C64689" w:rsidRPr="00BE5BA6" w:rsidRDefault="00C64689" w:rsidP="00C64689">
      <w:pPr>
        <w:spacing w:before="0"/>
        <w:rPr>
          <w:rFonts w:eastAsia="Times New Roman"/>
        </w:rPr>
      </w:pPr>
      <w:r>
        <w:t xml:space="preserve">This assessment is based on the following considerations: As of March 2020, approximately 179 000 producers of packaging subject to the scheme participation obligation were registered in the LUCID producer register. Of these, around 172 000 producers are assigned to Germany. The difference corresponds to the foreign producers (7 000 or about 4 %). Adding the producers of packaging not subject to the scheme participation obligation (7 400 producers; see Requirement 12 – Business) and applying the same factor (4 % or </w:t>
      </w:r>
      <w:r>
        <w:lastRenderedPageBreak/>
        <w:t xml:space="preserve">about 300 producers (7 400 producers*0.04)), this results in about 7 300 foreign producers who can transfer the obligations to an authorised representative. As the appointment of an authorised representative entails additional costs, it can be assumed that only a small proportion of producers make use of this option. Only 5 % are assumed (365 producers=7 300 producers*0.05) to commission a third party for the further procedure. It is also assumed that about 10 % of new foreign producers will enter the market each year (37 producers = 365 producers*0.1). </w:t>
      </w:r>
    </w:p>
    <w:p w14:paraId="062539F4" w14:textId="454757C4" w:rsidR="00C64689" w:rsidRPr="00BE5BA6" w:rsidRDefault="00C64689" w:rsidP="00C64689">
      <w:pPr>
        <w:spacing w:before="0"/>
        <w:rPr>
          <w:rFonts w:eastAsia="Times New Roman"/>
        </w:rPr>
      </w:pPr>
      <w:r>
        <w:t>In line with the estimate for the draft for a First Act Amending the Battery Act, which introduced a similar requirement, the time required for this requirement is also expected to be around one hour.</w:t>
      </w:r>
    </w:p>
    <w:p w14:paraId="1EEB21C4" w14:textId="2C879E3C" w:rsidR="00C64689" w:rsidRPr="00BE5BA6" w:rsidRDefault="00C64689" w:rsidP="00C64689">
      <w:pPr>
        <w:spacing w:before="0"/>
        <w:rPr>
          <w:rFonts w:eastAsia="Times New Roman"/>
        </w:rPr>
      </w:pPr>
      <w:r>
        <w:t xml:space="preserve">Since the authorisation must normally be written by the management, the high qualification level of Economic Section C (manufacturing industry) and a wage cost rate of EUR 68.70 per hour are assumed. </w:t>
      </w:r>
    </w:p>
    <w:p w14:paraId="376B3CFC" w14:textId="770EA134" w:rsidR="00C64689" w:rsidRPr="00BE5BA6" w:rsidRDefault="00C64689" w:rsidP="00C64689">
      <w:pPr>
        <w:spacing w:before="0"/>
        <w:rPr>
          <w:rFonts w:eastAsia="Times New Roman"/>
        </w:rPr>
      </w:pPr>
      <w:r>
        <w:t>The one-off compliance costs thus amount to around EUR 25 thousand and the annual compliance costs are around EUR 3 thousand.</w:t>
      </w:r>
    </w:p>
    <w:p w14:paraId="0E9003A4" w14:textId="074B45B3" w:rsidR="00C64689" w:rsidRPr="00BE5BA6" w:rsidRDefault="00C64689" w:rsidP="00C64689">
      <w:pPr>
        <w:spacing w:before="0"/>
        <w:rPr>
          <w:rFonts w:eastAsia="Calibri"/>
          <w:color w:val="000000"/>
        </w:rPr>
      </w:pPr>
      <w:r>
        <w:t>The one-off compliance costs are allocated to the category of adaptation of organisational structures.</w:t>
      </w:r>
    </w:p>
    <w:p w14:paraId="1D723EB8" w14:textId="02CEBF0A" w:rsidR="00337B44" w:rsidRPr="00BE5BA6" w:rsidRDefault="00337B44" w:rsidP="00337B44">
      <w:pPr>
        <w:spacing w:before="0" w:after="160" w:line="259" w:lineRule="auto"/>
        <w:jc w:val="left"/>
        <w:rPr>
          <w:rFonts w:eastAsia="Calibri"/>
          <w:color w:val="000000"/>
        </w:rPr>
      </w:pPr>
      <w:r>
        <w:rPr>
          <w:color w:val="000000"/>
        </w:rPr>
        <w:t>Article 2 (Amendment to the Circular Economy Act – KrwG)</w:t>
      </w:r>
    </w:p>
    <w:p w14:paraId="7108EC30" w14:textId="1D478317" w:rsidR="00337B44" w:rsidRPr="00BE5BA6" w:rsidRDefault="00337B44" w:rsidP="00A979FD">
      <w:pPr>
        <w:keepNext/>
        <w:spacing w:before="0" w:after="160" w:line="259" w:lineRule="auto"/>
        <w:jc w:val="left"/>
        <w:rPr>
          <w:rFonts w:eastAsia="Calibri"/>
          <w:color w:val="000000"/>
        </w:rPr>
      </w:pPr>
      <w:r>
        <w:rPr>
          <w:b/>
          <w:color w:val="000000"/>
        </w:rPr>
        <w:t>Requirement 39: Information obligations on waste prevention measures; Article 2 § 46 of the Circular Economy Act</w:t>
      </w:r>
    </w:p>
    <w:p w14:paraId="7E59DE93" w14:textId="5B7CC79F" w:rsidR="00337B44" w:rsidRPr="00BE5BA6" w:rsidRDefault="00337B44" w:rsidP="00337B44">
      <w:pPr>
        <w:spacing w:before="0" w:after="160" w:line="259" w:lineRule="auto"/>
        <w:jc w:val="left"/>
        <w:rPr>
          <w:rFonts w:eastAsia="Calibri"/>
          <w:color w:val="000000"/>
        </w:rPr>
      </w:pPr>
      <w:r>
        <w:rPr>
          <w:color w:val="000000"/>
        </w:rPr>
        <w:t>The amendments under Article 2(3) merely define the existing obligation to provide advice on waste in greater detail, which does not give rise to any additional compliance costs.</w:t>
      </w:r>
    </w:p>
    <w:p w14:paraId="747727EB" w14:textId="5D02F66D" w:rsidR="00DE6647" w:rsidRPr="00BE5BA6" w:rsidRDefault="00DE6647" w:rsidP="00310788">
      <w:pPr>
        <w:spacing w:before="0" w:after="160" w:line="259" w:lineRule="auto"/>
        <w:jc w:val="left"/>
        <w:rPr>
          <w:rFonts w:eastAsia="Calibri"/>
          <w:color w:val="000000"/>
        </w:rPr>
      </w:pPr>
      <w:r>
        <w:rPr>
          <w:color w:val="000000"/>
        </w:rPr>
        <w:t>Article 3 (Amendment to the Water Resources Act – WHG)</w:t>
      </w:r>
    </w:p>
    <w:p w14:paraId="45F0CFDB" w14:textId="55B4A15E" w:rsidR="008309FD" w:rsidRPr="00BE5BA6" w:rsidRDefault="008309FD" w:rsidP="00310788">
      <w:pPr>
        <w:spacing w:before="0" w:after="160" w:line="259" w:lineRule="auto"/>
        <w:jc w:val="left"/>
        <w:rPr>
          <w:rFonts w:eastAsia="Calibri"/>
          <w:color w:val="000000"/>
        </w:rPr>
      </w:pPr>
      <w:r>
        <w:rPr>
          <w:color w:val="000000"/>
        </w:rPr>
        <w:t>The amendments to Article 3 do not address business, so that no additional compliance costs arise for business in this respect.</w:t>
      </w:r>
    </w:p>
    <w:p w14:paraId="62D728BF" w14:textId="4049A0F6" w:rsidR="003B0B72" w:rsidRPr="00BE5BA6" w:rsidRDefault="00FC7187" w:rsidP="00A979FD">
      <w:pPr>
        <w:keepNext/>
        <w:spacing w:before="0" w:after="160" w:line="259" w:lineRule="auto"/>
        <w:jc w:val="left"/>
        <w:rPr>
          <w:rFonts w:eastAsia="Calibri"/>
          <w:b/>
          <w:color w:val="000000"/>
        </w:rPr>
      </w:pPr>
      <w:r>
        <w:rPr>
          <w:b/>
          <w:color w:val="000000"/>
        </w:rPr>
        <w:t>e) Administrative compliance costs</w:t>
      </w:r>
    </w:p>
    <w:p w14:paraId="601AC986" w14:textId="2C20B585" w:rsidR="00337B44" w:rsidRPr="00BE5BA6" w:rsidRDefault="00337B44" w:rsidP="00D56402">
      <w:pPr>
        <w:spacing w:before="0" w:after="160"/>
        <w:jc w:val="left"/>
        <w:rPr>
          <w:rFonts w:eastAsia="Calibri"/>
          <w:color w:val="000000"/>
        </w:rPr>
      </w:pPr>
      <w:r>
        <w:rPr>
          <w:color w:val="000000"/>
        </w:rPr>
        <w:t>Article 1 (Amendment to the Packaging Act)</w:t>
      </w:r>
    </w:p>
    <w:p w14:paraId="39CB8A2F" w14:textId="51CED4B9" w:rsidR="005A5CD9" w:rsidRPr="00BE5BA6" w:rsidRDefault="005A5CD9" w:rsidP="00A979FD">
      <w:pPr>
        <w:keepNext/>
        <w:spacing w:before="0" w:after="200"/>
        <w:rPr>
          <w:rFonts w:eastAsia="Times New Roman"/>
          <w:b/>
        </w:rPr>
      </w:pPr>
      <w:r>
        <w:rPr>
          <w:b/>
        </w:rPr>
        <w:t>Requirement 4 in conjunction with Requirements 6 and 7: Expansion of the obligation to register, registration in the case of an authorised representative and determination of the information to be provided in the registration; Article 1 § 9(1) sentence 1 in conjunction with § 9(2)(2), (6) and (7) of the Packaging Act</w:t>
      </w:r>
    </w:p>
    <w:p w14:paraId="4F213694" w14:textId="77777777" w:rsidR="00394905" w:rsidRPr="00BE5BA6" w:rsidRDefault="00394905" w:rsidP="00A979FD">
      <w:pPr>
        <w:keepNext/>
      </w:pPr>
      <w:r>
        <w:t>One-off compliance costs at federal level:</w:t>
      </w:r>
    </w:p>
    <w:tbl>
      <w:tblPr>
        <w:tblStyle w:val="TableGrid"/>
        <w:tblW w:w="9072" w:type="dxa"/>
        <w:tblInd w:w="108" w:type="dxa"/>
        <w:tblLayout w:type="fixed"/>
        <w:tblLook w:val="04A0" w:firstRow="1" w:lastRow="0" w:firstColumn="1" w:lastColumn="0" w:noHBand="0" w:noVBand="1"/>
      </w:tblPr>
      <w:tblGrid>
        <w:gridCol w:w="1512"/>
        <w:gridCol w:w="1512"/>
        <w:gridCol w:w="1512"/>
        <w:gridCol w:w="1512"/>
        <w:gridCol w:w="1512"/>
        <w:gridCol w:w="1512"/>
      </w:tblGrid>
      <w:tr w:rsidR="00394905" w:rsidRPr="00BE5BA6" w14:paraId="42C1162C" w14:textId="77777777" w:rsidTr="00F8269C">
        <w:tc>
          <w:tcPr>
            <w:tcW w:w="1512" w:type="dxa"/>
            <w:shd w:val="clear" w:color="auto" w:fill="BFBFBF" w:themeFill="background1" w:themeFillShade="BF"/>
          </w:tcPr>
          <w:p w14:paraId="4837AE4C" w14:textId="77777777" w:rsidR="00394905" w:rsidRPr="00BE5BA6" w:rsidRDefault="00394905" w:rsidP="00A979FD">
            <w:pPr>
              <w:keepNext/>
              <w:rPr>
                <w:sz w:val="18"/>
                <w:szCs w:val="18"/>
              </w:rPr>
            </w:pPr>
            <w:r>
              <w:rPr>
                <w:sz w:val="18"/>
              </w:rPr>
              <w:t>Number of cases</w:t>
            </w:r>
          </w:p>
        </w:tc>
        <w:tc>
          <w:tcPr>
            <w:tcW w:w="1512" w:type="dxa"/>
            <w:shd w:val="clear" w:color="auto" w:fill="BFBFBF" w:themeFill="background1" w:themeFillShade="BF"/>
          </w:tcPr>
          <w:p w14:paraId="1B266DFB" w14:textId="77777777" w:rsidR="00394905" w:rsidRPr="00BE5BA6" w:rsidRDefault="00394905" w:rsidP="00A979FD">
            <w:pPr>
              <w:keepNext/>
              <w:rPr>
                <w:sz w:val="18"/>
                <w:szCs w:val="18"/>
              </w:rPr>
            </w:pPr>
            <w:r>
              <w:rPr>
                <w:sz w:val="18"/>
              </w:rPr>
              <w:t>Time expended per case (in minutes)</w:t>
            </w:r>
          </w:p>
        </w:tc>
        <w:tc>
          <w:tcPr>
            <w:tcW w:w="1512" w:type="dxa"/>
            <w:shd w:val="clear" w:color="auto" w:fill="BFBFBF" w:themeFill="background1" w:themeFillShade="BF"/>
          </w:tcPr>
          <w:p w14:paraId="2C55FDE4" w14:textId="77777777" w:rsidR="00394905" w:rsidRPr="00BE5BA6" w:rsidRDefault="00394905"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79F9E725" w14:textId="77777777" w:rsidR="00394905" w:rsidRPr="00BE5BA6" w:rsidRDefault="00394905" w:rsidP="00A979FD">
            <w:pPr>
              <w:keepNext/>
              <w:rPr>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hemeFill="background1" w:themeFillShade="BF"/>
          </w:tcPr>
          <w:p w14:paraId="0325760C" w14:textId="1BDA2C89" w:rsidR="00394905" w:rsidRPr="00BE5BA6" w:rsidRDefault="00394905"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4F2E6AB9" w14:textId="1BEB3A3F" w:rsidR="00394905" w:rsidRPr="00BE5BA6" w:rsidRDefault="00394905" w:rsidP="00A979FD">
            <w:pPr>
              <w:keepNext/>
              <w:rPr>
                <w:sz w:val="18"/>
                <w:szCs w:val="18"/>
              </w:rPr>
            </w:pPr>
            <w:r>
              <w:rPr>
                <w:sz w:val="18"/>
              </w:rPr>
              <w:t>Material expenses (in thousands of EUR)</w:t>
            </w:r>
          </w:p>
        </w:tc>
      </w:tr>
      <w:tr w:rsidR="00394905" w:rsidRPr="00BE5BA6" w14:paraId="5B132CA8" w14:textId="77777777" w:rsidTr="00F8269C">
        <w:tc>
          <w:tcPr>
            <w:tcW w:w="1512" w:type="dxa"/>
            <w:vAlign w:val="center"/>
          </w:tcPr>
          <w:p w14:paraId="047C7419" w14:textId="77777777" w:rsidR="00394905" w:rsidRPr="00BE5BA6" w:rsidRDefault="00394905" w:rsidP="00C74B5C">
            <w:pPr>
              <w:jc w:val="center"/>
              <w:rPr>
                <w:sz w:val="18"/>
                <w:szCs w:val="18"/>
              </w:rPr>
            </w:pPr>
            <w:r>
              <w:rPr>
                <w:sz w:val="18"/>
              </w:rPr>
              <w:t>1</w:t>
            </w:r>
          </w:p>
        </w:tc>
        <w:tc>
          <w:tcPr>
            <w:tcW w:w="1512" w:type="dxa"/>
            <w:vAlign w:val="center"/>
          </w:tcPr>
          <w:p w14:paraId="357E9BF4" w14:textId="77777777" w:rsidR="00394905" w:rsidRPr="00BE5BA6" w:rsidRDefault="00394905" w:rsidP="00C74B5C">
            <w:pPr>
              <w:jc w:val="center"/>
              <w:rPr>
                <w:sz w:val="18"/>
                <w:szCs w:val="18"/>
              </w:rPr>
            </w:pPr>
            <w:r>
              <w:rPr>
                <w:sz w:val="18"/>
              </w:rPr>
              <w:t>-</w:t>
            </w:r>
          </w:p>
        </w:tc>
        <w:tc>
          <w:tcPr>
            <w:tcW w:w="1512" w:type="dxa"/>
            <w:vAlign w:val="center"/>
          </w:tcPr>
          <w:p w14:paraId="5531B44F" w14:textId="77777777" w:rsidR="00394905" w:rsidRPr="00BE5BA6" w:rsidRDefault="00394905" w:rsidP="00C74B5C">
            <w:pPr>
              <w:jc w:val="center"/>
              <w:rPr>
                <w:sz w:val="18"/>
                <w:szCs w:val="18"/>
              </w:rPr>
            </w:pPr>
            <w:r>
              <w:rPr>
                <w:sz w:val="18"/>
              </w:rPr>
              <w:t>-</w:t>
            </w:r>
          </w:p>
        </w:tc>
        <w:tc>
          <w:tcPr>
            <w:tcW w:w="1512" w:type="dxa"/>
            <w:tcBorders>
              <w:right w:val="single" w:sz="12" w:space="0" w:color="auto"/>
            </w:tcBorders>
            <w:vAlign w:val="center"/>
          </w:tcPr>
          <w:p w14:paraId="6EDF1E47" w14:textId="77777777" w:rsidR="00394905" w:rsidRPr="00BE5BA6" w:rsidRDefault="00394905" w:rsidP="00C74B5C">
            <w:pPr>
              <w:jc w:val="center"/>
              <w:rPr>
                <w:sz w:val="18"/>
                <w:szCs w:val="18"/>
              </w:rPr>
            </w:pPr>
            <w:r>
              <w:rPr>
                <w:sz w:val="18"/>
              </w:rPr>
              <w:t>-</w:t>
            </w:r>
          </w:p>
        </w:tc>
        <w:tc>
          <w:tcPr>
            <w:tcW w:w="1512" w:type="dxa"/>
            <w:tcBorders>
              <w:left w:val="single" w:sz="12" w:space="0" w:color="auto"/>
            </w:tcBorders>
            <w:vAlign w:val="center"/>
          </w:tcPr>
          <w:p w14:paraId="009972FF" w14:textId="77777777" w:rsidR="00394905" w:rsidRPr="00BE5BA6" w:rsidRDefault="00394905" w:rsidP="00C74B5C">
            <w:pPr>
              <w:jc w:val="center"/>
              <w:rPr>
                <w:sz w:val="18"/>
                <w:szCs w:val="18"/>
              </w:rPr>
            </w:pPr>
            <w:r>
              <w:rPr>
                <w:sz w:val="18"/>
              </w:rPr>
              <w:t>+320</w:t>
            </w:r>
          </w:p>
        </w:tc>
        <w:tc>
          <w:tcPr>
            <w:tcW w:w="1512" w:type="dxa"/>
            <w:tcBorders>
              <w:right w:val="single" w:sz="8" w:space="0" w:color="auto"/>
            </w:tcBorders>
            <w:vAlign w:val="center"/>
          </w:tcPr>
          <w:p w14:paraId="19DD5504" w14:textId="77777777" w:rsidR="00394905" w:rsidRPr="00BE5BA6" w:rsidRDefault="00394905" w:rsidP="00C74B5C">
            <w:pPr>
              <w:jc w:val="center"/>
              <w:rPr>
                <w:sz w:val="18"/>
                <w:szCs w:val="18"/>
              </w:rPr>
            </w:pPr>
            <w:r>
              <w:rPr>
                <w:sz w:val="18"/>
              </w:rPr>
              <w:t>-</w:t>
            </w:r>
          </w:p>
        </w:tc>
      </w:tr>
      <w:tr w:rsidR="00394905" w:rsidRPr="00BE5BA6" w14:paraId="03C1ABF5" w14:textId="77777777" w:rsidTr="00F8269C">
        <w:tc>
          <w:tcPr>
            <w:tcW w:w="6048" w:type="dxa"/>
            <w:gridSpan w:val="4"/>
            <w:tcBorders>
              <w:right w:val="single" w:sz="12" w:space="0" w:color="auto"/>
            </w:tcBorders>
            <w:shd w:val="clear" w:color="auto" w:fill="BFBFBF" w:themeFill="background1" w:themeFillShade="BF"/>
            <w:vAlign w:val="center"/>
          </w:tcPr>
          <w:p w14:paraId="09A502D6" w14:textId="2A263863" w:rsidR="00394905" w:rsidRPr="00BE5BA6" w:rsidRDefault="00394905" w:rsidP="00F8269C">
            <w:pPr>
              <w:jc w:val="right"/>
              <w:rPr>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1A6A86CA" w14:textId="77777777" w:rsidR="00394905" w:rsidRPr="00BE5BA6" w:rsidRDefault="00394905" w:rsidP="00F8269C">
            <w:pPr>
              <w:jc w:val="center"/>
              <w:rPr>
                <w:sz w:val="18"/>
                <w:szCs w:val="18"/>
              </w:rPr>
            </w:pPr>
            <w:r>
              <w:rPr>
                <w:sz w:val="18"/>
              </w:rPr>
              <w:t>+320</w:t>
            </w:r>
          </w:p>
        </w:tc>
      </w:tr>
    </w:tbl>
    <w:p w14:paraId="52EAF7A4" w14:textId="77777777" w:rsidR="00394905" w:rsidRPr="00BE5BA6" w:rsidRDefault="00394905" w:rsidP="00A979FD">
      <w:pPr>
        <w:keepNext/>
      </w:pPr>
      <w:r>
        <w:t>One-off compliance costs at federal level:</w:t>
      </w:r>
    </w:p>
    <w:tbl>
      <w:tblPr>
        <w:tblStyle w:val="TableGrid"/>
        <w:tblW w:w="9072" w:type="dxa"/>
        <w:tblInd w:w="108" w:type="dxa"/>
        <w:tblLayout w:type="fixed"/>
        <w:tblLook w:val="04A0" w:firstRow="1" w:lastRow="0" w:firstColumn="1" w:lastColumn="0" w:noHBand="0" w:noVBand="1"/>
      </w:tblPr>
      <w:tblGrid>
        <w:gridCol w:w="1512"/>
        <w:gridCol w:w="1512"/>
        <w:gridCol w:w="1512"/>
        <w:gridCol w:w="1512"/>
        <w:gridCol w:w="1512"/>
        <w:gridCol w:w="1512"/>
      </w:tblGrid>
      <w:tr w:rsidR="00394905" w:rsidRPr="00BE5BA6" w14:paraId="4F77018E" w14:textId="77777777" w:rsidTr="00F8269C">
        <w:tc>
          <w:tcPr>
            <w:tcW w:w="1512" w:type="dxa"/>
            <w:shd w:val="clear" w:color="auto" w:fill="BFBFBF" w:themeFill="background1" w:themeFillShade="BF"/>
          </w:tcPr>
          <w:p w14:paraId="1B2B3382" w14:textId="77777777" w:rsidR="00394905" w:rsidRPr="00BE5BA6" w:rsidRDefault="00394905" w:rsidP="00A979FD">
            <w:pPr>
              <w:keepNext/>
              <w:rPr>
                <w:sz w:val="18"/>
                <w:szCs w:val="18"/>
              </w:rPr>
            </w:pPr>
            <w:r>
              <w:rPr>
                <w:sz w:val="18"/>
              </w:rPr>
              <w:t>Number of cases</w:t>
            </w:r>
          </w:p>
        </w:tc>
        <w:tc>
          <w:tcPr>
            <w:tcW w:w="1512" w:type="dxa"/>
            <w:shd w:val="clear" w:color="auto" w:fill="BFBFBF" w:themeFill="background1" w:themeFillShade="BF"/>
          </w:tcPr>
          <w:p w14:paraId="6363CF67" w14:textId="77777777" w:rsidR="00394905" w:rsidRPr="00BE5BA6" w:rsidRDefault="00394905" w:rsidP="00A979FD">
            <w:pPr>
              <w:keepNext/>
              <w:rPr>
                <w:sz w:val="18"/>
                <w:szCs w:val="18"/>
              </w:rPr>
            </w:pPr>
            <w:r>
              <w:rPr>
                <w:sz w:val="18"/>
              </w:rPr>
              <w:t>Time expended per case (in minutes)</w:t>
            </w:r>
          </w:p>
        </w:tc>
        <w:tc>
          <w:tcPr>
            <w:tcW w:w="1512" w:type="dxa"/>
            <w:shd w:val="clear" w:color="auto" w:fill="BFBFBF" w:themeFill="background1" w:themeFillShade="BF"/>
          </w:tcPr>
          <w:p w14:paraId="07187FB5" w14:textId="77777777" w:rsidR="00394905" w:rsidRPr="00BE5BA6" w:rsidRDefault="00394905" w:rsidP="00A979FD">
            <w:pPr>
              <w:keepNext/>
              <w:rPr>
                <w:sz w:val="18"/>
                <w:szCs w:val="18"/>
              </w:rPr>
            </w:pPr>
            <w:r>
              <w:rPr>
                <w:sz w:val="18"/>
              </w:rPr>
              <w:t>Hourly wage (in EUR)</w:t>
            </w:r>
          </w:p>
        </w:tc>
        <w:tc>
          <w:tcPr>
            <w:tcW w:w="1512" w:type="dxa"/>
            <w:tcBorders>
              <w:right w:val="single" w:sz="12" w:space="0" w:color="auto"/>
            </w:tcBorders>
            <w:shd w:val="clear" w:color="auto" w:fill="BFBFBF" w:themeFill="background1" w:themeFillShade="BF"/>
          </w:tcPr>
          <w:p w14:paraId="51E7FBB3" w14:textId="77777777" w:rsidR="00394905" w:rsidRPr="00BE5BA6" w:rsidRDefault="00394905" w:rsidP="00A979FD">
            <w:pPr>
              <w:keepNext/>
              <w:rPr>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hemeFill="background1" w:themeFillShade="BF"/>
          </w:tcPr>
          <w:p w14:paraId="4BAFDDAA" w14:textId="174DFBF8" w:rsidR="00394905" w:rsidRPr="00BE5BA6" w:rsidRDefault="00394905" w:rsidP="00A979FD">
            <w:pPr>
              <w:keepNext/>
              <w:rPr>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hemeFill="background1" w:themeFillShade="BF"/>
          </w:tcPr>
          <w:p w14:paraId="34D7A238" w14:textId="25C80FF1" w:rsidR="00394905" w:rsidRPr="00BE5BA6" w:rsidRDefault="00394905" w:rsidP="00A979FD">
            <w:pPr>
              <w:keepNext/>
              <w:rPr>
                <w:sz w:val="18"/>
                <w:szCs w:val="18"/>
              </w:rPr>
            </w:pPr>
            <w:r>
              <w:rPr>
                <w:sz w:val="18"/>
              </w:rPr>
              <w:t>Material expenses (in thousands of EUR)</w:t>
            </w:r>
          </w:p>
        </w:tc>
      </w:tr>
      <w:tr w:rsidR="00394905" w:rsidRPr="00BE5BA6" w14:paraId="312DAB7C" w14:textId="77777777" w:rsidTr="00F8269C">
        <w:tc>
          <w:tcPr>
            <w:tcW w:w="1512" w:type="dxa"/>
            <w:vAlign w:val="center"/>
          </w:tcPr>
          <w:p w14:paraId="23837BCE" w14:textId="77777777" w:rsidR="00394905" w:rsidRPr="00BE5BA6" w:rsidRDefault="00394905" w:rsidP="00C74B5C">
            <w:pPr>
              <w:jc w:val="center"/>
              <w:rPr>
                <w:sz w:val="18"/>
                <w:szCs w:val="18"/>
              </w:rPr>
            </w:pPr>
            <w:r>
              <w:rPr>
                <w:sz w:val="18"/>
              </w:rPr>
              <w:t>1</w:t>
            </w:r>
          </w:p>
        </w:tc>
        <w:tc>
          <w:tcPr>
            <w:tcW w:w="1512" w:type="dxa"/>
            <w:vAlign w:val="center"/>
          </w:tcPr>
          <w:p w14:paraId="063151CD" w14:textId="77777777" w:rsidR="00394905" w:rsidRPr="00BE5BA6" w:rsidRDefault="00394905" w:rsidP="00C74B5C">
            <w:pPr>
              <w:jc w:val="center"/>
              <w:rPr>
                <w:sz w:val="18"/>
                <w:szCs w:val="18"/>
              </w:rPr>
            </w:pPr>
            <w:r>
              <w:rPr>
                <w:sz w:val="18"/>
              </w:rPr>
              <w:t>-</w:t>
            </w:r>
          </w:p>
        </w:tc>
        <w:tc>
          <w:tcPr>
            <w:tcW w:w="1512" w:type="dxa"/>
            <w:vAlign w:val="center"/>
          </w:tcPr>
          <w:p w14:paraId="2D1BCF49" w14:textId="77777777" w:rsidR="00394905" w:rsidRPr="00BE5BA6" w:rsidRDefault="00394905" w:rsidP="00C74B5C">
            <w:pPr>
              <w:jc w:val="center"/>
              <w:rPr>
                <w:sz w:val="18"/>
                <w:szCs w:val="18"/>
              </w:rPr>
            </w:pPr>
            <w:r>
              <w:rPr>
                <w:sz w:val="18"/>
              </w:rPr>
              <w:t>-</w:t>
            </w:r>
          </w:p>
        </w:tc>
        <w:tc>
          <w:tcPr>
            <w:tcW w:w="1512" w:type="dxa"/>
            <w:tcBorders>
              <w:right w:val="single" w:sz="12" w:space="0" w:color="auto"/>
            </w:tcBorders>
            <w:vAlign w:val="center"/>
          </w:tcPr>
          <w:p w14:paraId="1EEBE4A2" w14:textId="77777777" w:rsidR="00394905" w:rsidRPr="00BE5BA6" w:rsidRDefault="00394905" w:rsidP="00C74B5C">
            <w:pPr>
              <w:jc w:val="center"/>
              <w:rPr>
                <w:sz w:val="18"/>
                <w:szCs w:val="18"/>
              </w:rPr>
            </w:pPr>
            <w:r>
              <w:rPr>
                <w:sz w:val="18"/>
              </w:rPr>
              <w:t>-</w:t>
            </w:r>
          </w:p>
        </w:tc>
        <w:tc>
          <w:tcPr>
            <w:tcW w:w="1512" w:type="dxa"/>
            <w:tcBorders>
              <w:left w:val="single" w:sz="12" w:space="0" w:color="auto"/>
            </w:tcBorders>
            <w:vAlign w:val="center"/>
          </w:tcPr>
          <w:p w14:paraId="5AAEEEC5" w14:textId="77777777" w:rsidR="00394905" w:rsidRPr="00BE5BA6" w:rsidRDefault="00394905" w:rsidP="00C74B5C">
            <w:pPr>
              <w:jc w:val="center"/>
              <w:rPr>
                <w:sz w:val="18"/>
                <w:szCs w:val="18"/>
              </w:rPr>
            </w:pPr>
            <w:r>
              <w:rPr>
                <w:sz w:val="18"/>
              </w:rPr>
              <w:t>+32</w:t>
            </w:r>
          </w:p>
        </w:tc>
        <w:tc>
          <w:tcPr>
            <w:tcW w:w="1512" w:type="dxa"/>
            <w:tcBorders>
              <w:right w:val="single" w:sz="8" w:space="0" w:color="auto"/>
            </w:tcBorders>
            <w:vAlign w:val="center"/>
          </w:tcPr>
          <w:p w14:paraId="040AE631" w14:textId="77777777" w:rsidR="00394905" w:rsidRPr="00BE5BA6" w:rsidRDefault="00394905" w:rsidP="00C74B5C">
            <w:pPr>
              <w:jc w:val="center"/>
              <w:rPr>
                <w:sz w:val="18"/>
                <w:szCs w:val="18"/>
              </w:rPr>
            </w:pPr>
            <w:r>
              <w:rPr>
                <w:sz w:val="18"/>
              </w:rPr>
              <w:t>-</w:t>
            </w:r>
          </w:p>
        </w:tc>
      </w:tr>
      <w:tr w:rsidR="00394905" w:rsidRPr="00BE5BA6" w14:paraId="36C5D343" w14:textId="77777777" w:rsidTr="00F8269C">
        <w:tc>
          <w:tcPr>
            <w:tcW w:w="6048" w:type="dxa"/>
            <w:gridSpan w:val="4"/>
            <w:tcBorders>
              <w:right w:val="single" w:sz="12" w:space="0" w:color="auto"/>
            </w:tcBorders>
            <w:shd w:val="clear" w:color="auto" w:fill="BFBFBF" w:themeFill="background1" w:themeFillShade="BF"/>
            <w:vAlign w:val="center"/>
          </w:tcPr>
          <w:p w14:paraId="40188B0A" w14:textId="071868E5" w:rsidR="00394905" w:rsidRPr="00BE5BA6" w:rsidRDefault="00394905" w:rsidP="00F8269C">
            <w:pPr>
              <w:jc w:val="right"/>
              <w:rPr>
                <w:sz w:val="18"/>
                <w:szCs w:val="18"/>
              </w:rPr>
            </w:pPr>
            <w:r>
              <w:rPr>
                <w:sz w:val="18"/>
              </w:rPr>
              <w:lastRenderedPageBreak/>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089AD40E" w14:textId="77777777" w:rsidR="00394905" w:rsidRPr="00BE5BA6" w:rsidRDefault="00394905" w:rsidP="00F8269C">
            <w:pPr>
              <w:jc w:val="center"/>
              <w:rPr>
                <w:sz w:val="18"/>
                <w:szCs w:val="18"/>
              </w:rPr>
            </w:pPr>
            <w:r>
              <w:rPr>
                <w:sz w:val="18"/>
              </w:rPr>
              <w:t>+32</w:t>
            </w:r>
          </w:p>
        </w:tc>
      </w:tr>
    </w:tbl>
    <w:p w14:paraId="7A2AF17E" w14:textId="6857A6E0" w:rsidR="00394905" w:rsidRPr="00BE5BA6" w:rsidRDefault="00394905" w:rsidP="003B6D5E">
      <w:pPr>
        <w:jc w:val="left"/>
        <w:rPr>
          <w:rFonts w:eastAsia="Times New Roman"/>
        </w:rPr>
      </w:pPr>
      <w:r>
        <w:t xml:space="preserve">As described in Requirement 4 – Business, the group of producers subject to registration obligations is expanded in accordance with § 9(1) sentence 1 of the Packaging Act. In addition, there are about 7 500 producers who have to register with the Central Authority Packaging Register on a one-time basis and about 750 producers who have to register annually. </w:t>
      </w:r>
      <w:r>
        <w:br/>
        <w:t>Moreover, pursuant to § 9(2)(2) of the Packaging Act, the details of the delegation of authority and the written commissioning by the producer and, pursuant to § 9(2)(6) of the Packaging Act, the itemised details of the packaging shall be confirmed and published by the Central Authority Packaging Register. The producers affected by this are both companies that have been obliged to register up to now and the newly affected producers of packaging that is not subject to the scheme participation obligation. However, only the newly affected producers are relevant for the further procedure, since the previously obligated parties are only marginally affected by the amendment (see Requirements 5 and 6 – Business) and the effects are also likely to be minor for the administration.</w:t>
      </w:r>
      <w:r>
        <w:br/>
        <w:t>It is not possible to make a clear assessment of a change in compliance costs, as no concrete information is currently available. For this reason, the further procedure will be based on data from the estimate for the enactment of the Packaging Act. For the purposes of the estimate at that time, the Central Authority Packaging Register calculated its personnel and material costs independently, with the areas of responsibility then being allocated on a pro rata basis.</w:t>
      </w:r>
      <w:r>
        <w:br/>
        <w:t>Overall, the annual change in compliance costs was expected to be around EUR 1.7 million. Approximately EUR 215 thousand per year was spent on the operation and publication of the register of producers. This estimate was based on around 5 000 annual registrations by producers of packaging subject to the scheme participation obligation (10 % of one-off registrations). In proportion, this corresponds to approximately 15 % (750 producers of packaging not subject to the scheme participation obligation/5 000 producers of packaging subject to the scheme participation obligation).</w:t>
      </w:r>
    </w:p>
    <w:p w14:paraId="48ADED24" w14:textId="5B8C60A4" w:rsidR="00394905" w:rsidRPr="00BE5BA6" w:rsidRDefault="00394905" w:rsidP="00394905">
      <w:pPr>
        <w:rPr>
          <w:rFonts w:eastAsia="Times New Roman"/>
        </w:rPr>
      </w:pPr>
      <w:r>
        <w:t>Based on this information, the Central Authority Packaging Register will incur annual compliance costs of around EUR 32 thousand.</w:t>
      </w:r>
    </w:p>
    <w:p w14:paraId="37EE8ECD" w14:textId="4143BA0A" w:rsidR="00394905" w:rsidRPr="00BE5BA6" w:rsidRDefault="00394905" w:rsidP="00394905">
      <w:pPr>
        <w:rPr>
          <w:rFonts w:eastAsia="Times New Roman"/>
        </w:rPr>
      </w:pPr>
      <w:r>
        <w:t>Since, as described, this makes up about 10 % of the one-time registrations and this proportion is also to be found for this requirement, the one-off compliance costs amount to about EUR 320 thousand.</w:t>
      </w:r>
    </w:p>
    <w:p w14:paraId="768C8A27" w14:textId="5E44EB05" w:rsidR="00AE5CDE" w:rsidRPr="00BE5BA6" w:rsidRDefault="00AE5CDE" w:rsidP="00A979FD">
      <w:pPr>
        <w:keepNext/>
        <w:spacing w:before="0" w:after="200"/>
        <w:rPr>
          <w:rFonts w:eastAsia="Times New Roman"/>
          <w:b/>
        </w:rPr>
      </w:pPr>
      <w:r>
        <w:rPr>
          <w:b/>
        </w:rPr>
        <w:t>Requirement 5:Change in the transmission of registration data; Article 1 § 9(2)(1) and (4) of the Packaging Act</w:t>
      </w:r>
    </w:p>
    <w:p w14:paraId="3C03761B" w14:textId="326D7BBF" w:rsidR="002A795A" w:rsidRPr="00BE5BA6" w:rsidRDefault="00AE5CDE" w:rsidP="002A795A">
      <w:pPr>
        <w:spacing w:before="0"/>
        <w:rPr>
          <w:rFonts w:eastAsia="Times New Roman"/>
          <w:b/>
        </w:rPr>
      </w:pPr>
      <w:r>
        <w:t xml:space="preserve">In § 9(2)(1) and (4) of the Packaging Act, additional features are added which are already requested when companies register with the Central Authority (European tax number of the producer), but can now also be published by the Central Authority. It is assumed that changing the publicly visible information on the website of the Central Authority will lead to </w:t>
      </w:r>
      <w:r>
        <w:rPr>
          <w:b/>
        </w:rPr>
        <w:t>no or negligible one-off compliance costs</w:t>
      </w:r>
      <w:r>
        <w:t xml:space="preserve">. </w:t>
      </w:r>
      <w:r>
        <w:rPr>
          <w:b/>
        </w:rPr>
        <w:t>Requirement 13 in conjunction with Requirement 30: Obligations to furnish proof and addition of an obligation to maintain evidence and an obligation on self-monitoring mechanisms for single-use drinks packaging; Article 1 § 15(3) in conjunction with § 31(3) sentence 3 of the Packaging Act</w:t>
      </w:r>
    </w:p>
    <w:p w14:paraId="49C79D2B" w14:textId="3563C7CB" w:rsidR="002A795A" w:rsidRPr="00BE5BA6" w:rsidRDefault="002A795A" w:rsidP="002A795A">
      <w:pPr>
        <w:spacing w:before="0"/>
        <w:rPr>
          <w:rFonts w:eastAsia="Times New Roman"/>
        </w:rPr>
      </w:pPr>
      <w:r>
        <w:t xml:space="preserve">The amendments to § 15(3) sentence 3 of the Packaging Act and to § 31(3) sentence 3 of the Packaging Act implicitly affect the competent federal state authorities as well by increasing the number of companies which have to comply with the obligation to furnish proof. In accordance with § 15(3) sentence 7 of the Packaging Act (new), the latter may require producers or distributors to send documentation. </w:t>
      </w:r>
    </w:p>
    <w:p w14:paraId="09E564A6" w14:textId="7223F5EF" w:rsidR="002A795A" w:rsidRPr="00BE5BA6" w:rsidRDefault="00880E6B" w:rsidP="002A795A">
      <w:pPr>
        <w:spacing w:before="0"/>
        <w:rPr>
          <w:rFonts w:eastAsia="Times New Roman"/>
        </w:rPr>
      </w:pPr>
      <w:r>
        <w:t xml:space="preserve">It is assumed that there will probably be no change in compliance costs as a result of the amendment. </w:t>
      </w:r>
    </w:p>
    <w:p w14:paraId="1133DD26" w14:textId="74615BE7" w:rsidR="002A795A" w:rsidRPr="00BE5BA6" w:rsidRDefault="002A795A" w:rsidP="00D56402">
      <w:pPr>
        <w:spacing w:before="0"/>
        <w:rPr>
          <w:rFonts w:eastAsia="Times New Roman"/>
          <w:b/>
        </w:rPr>
      </w:pPr>
      <w:r>
        <w:lastRenderedPageBreak/>
        <w:t xml:space="preserve">This assumption is based on the following consideration: Since producers or distributors only have to send the documents upon request and the administration only carries out its related administrative activities for this number of documents, it can be assumed that the number of documents sent annually will not change, since the financial means of the federal state administrations are the same. On the contrary, it is clear that the competent federal state authorities oblige other companies to transmit documents on an annual basis, in which the annual number is kept constant. </w:t>
      </w:r>
    </w:p>
    <w:p w14:paraId="1E463F6B" w14:textId="560FA46D" w:rsidR="00E20EAF" w:rsidRPr="00BE5BA6" w:rsidRDefault="00E20EAF" w:rsidP="00A979FD">
      <w:pPr>
        <w:keepNext/>
        <w:spacing w:before="0"/>
        <w:rPr>
          <w:rFonts w:eastAsia="Times New Roman"/>
          <w:b/>
        </w:rPr>
      </w:pPr>
      <w:r>
        <w:rPr>
          <w:b/>
        </w:rPr>
        <w:t>Requirement 17: Electronic filing instead of written submission, electronic signature; Article 1 § 17(3) of the Packaging Act</w:t>
      </w:r>
    </w:p>
    <w:p w14:paraId="5316E501" w14:textId="0D455446" w:rsidR="00E20EAF" w:rsidRPr="00BE5BA6" w:rsidRDefault="00D2446C" w:rsidP="00D56402">
      <w:pPr>
        <w:spacing w:before="0"/>
        <w:rPr>
          <w:rFonts w:eastAsia="Times New Roman"/>
        </w:rPr>
      </w:pPr>
      <w:r>
        <w:t xml:space="preserve">It is assumed that the effort required for electronic filing is the same as the effort required for the previous written submission. </w:t>
      </w:r>
    </w:p>
    <w:p w14:paraId="0607C540" w14:textId="482F41C4" w:rsidR="00AE5CDE" w:rsidRPr="00BE5BA6" w:rsidRDefault="00AE5CDE" w:rsidP="00A979FD">
      <w:pPr>
        <w:keepNext/>
        <w:spacing w:before="0"/>
        <w:rPr>
          <w:rFonts w:eastAsia="Times New Roman"/>
          <w:b/>
        </w:rPr>
      </w:pPr>
      <w:r>
        <w:rPr>
          <w:b/>
        </w:rPr>
        <w:t>Requirement 18: Evidence of the financial standing of the schemes; Article 1 § 18(1a) of the Packaging Act</w:t>
      </w:r>
    </w:p>
    <w:p w14:paraId="7326D79A" w14:textId="4F92D768" w:rsidR="00AE5CDE" w:rsidRPr="00BE5BA6" w:rsidRDefault="00AE5CDE" w:rsidP="00D56402">
      <w:pPr>
        <w:spacing w:before="0"/>
        <w:rPr>
          <w:rFonts w:eastAsia="Times New Roman"/>
        </w:rPr>
      </w:pPr>
      <w:r>
        <w:t xml:space="preserve">The new wording of § 18(1a) of the Packaging Act lays down the conditions for the financial standing of a scheme. These must be verified by the competent federal state authority on the basis of the annual financial statement in accordance with commercial law or on the basis of a balance sheet. </w:t>
      </w:r>
      <w:r>
        <w:rPr>
          <w:b/>
        </w:rPr>
        <w:t>No change in compliance costs</w:t>
      </w:r>
      <w:r>
        <w:t xml:space="preserve"> is expected for the competent federal state authority for this verification (see also Requirement 18 – Business). </w:t>
      </w:r>
    </w:p>
    <w:p w14:paraId="342A275B" w14:textId="09EC6356" w:rsidR="00AE5CDE" w:rsidRPr="00BE5BA6" w:rsidRDefault="00AE5CDE" w:rsidP="00A979FD">
      <w:pPr>
        <w:keepNext/>
        <w:spacing w:before="0"/>
        <w:rPr>
          <w:rFonts w:eastAsia="Times New Roman"/>
        </w:rPr>
      </w:pPr>
      <w:r>
        <w:rPr>
          <w:b/>
        </w:rPr>
        <w:t xml:space="preserve">Requirements 21 and 25: Verification of the annual financial statements/balance sheet and the audit report; Article 1 § 20(5) sentence 3 in conjunction with § 26(1) sentence 2, subparagraph 8a of the Packaging Act </w:t>
      </w:r>
    </w:p>
    <w:p w14:paraId="5034A400" w14:textId="77777777" w:rsidR="00AE5CDE" w:rsidRPr="00BE5BA6" w:rsidRDefault="00AE5CDE" w:rsidP="00A979FD">
      <w:pPr>
        <w:keepNext/>
        <w:spacing w:before="0" w:after="200"/>
        <w:jc w:val="left"/>
        <w:rPr>
          <w:rFonts w:eastAsia="MetaNormalLF-Roman"/>
        </w:rPr>
      </w:pPr>
      <w:r>
        <w:t>Annual compliance costs at federal level:</w:t>
      </w:r>
    </w:p>
    <w:tbl>
      <w:tblPr>
        <w:tblStyle w:val="Tabellenraster1"/>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AE5CDE" w:rsidRPr="00BE5BA6" w14:paraId="37E88D04" w14:textId="77777777" w:rsidTr="00F8269C">
        <w:tc>
          <w:tcPr>
            <w:tcW w:w="1512" w:type="dxa"/>
            <w:shd w:val="clear" w:color="auto" w:fill="BFBFBF"/>
          </w:tcPr>
          <w:p w14:paraId="0E847AF4" w14:textId="77777777" w:rsidR="00AE5CDE" w:rsidRPr="00BE5BA6" w:rsidRDefault="00AE5CDE" w:rsidP="00A979FD">
            <w:pPr>
              <w:keepNext/>
              <w:spacing w:before="0" w:after="0"/>
              <w:jc w:val="left"/>
              <w:rPr>
                <w:rFonts w:eastAsia="MetaNormalLF-Roman"/>
                <w:sz w:val="18"/>
                <w:szCs w:val="18"/>
              </w:rPr>
            </w:pPr>
            <w:r>
              <w:rPr>
                <w:sz w:val="18"/>
              </w:rPr>
              <w:t>Number of cases</w:t>
            </w:r>
          </w:p>
        </w:tc>
        <w:tc>
          <w:tcPr>
            <w:tcW w:w="1512" w:type="dxa"/>
            <w:shd w:val="clear" w:color="auto" w:fill="BFBFBF"/>
          </w:tcPr>
          <w:p w14:paraId="0B6DAC26" w14:textId="77777777" w:rsidR="00AE5CDE" w:rsidRPr="00BE5BA6" w:rsidRDefault="00AE5CDE" w:rsidP="00A979FD">
            <w:pPr>
              <w:keepNext/>
              <w:spacing w:before="0" w:after="0"/>
              <w:jc w:val="left"/>
              <w:rPr>
                <w:rFonts w:eastAsia="MetaNormalLF-Roman"/>
                <w:sz w:val="18"/>
                <w:szCs w:val="18"/>
              </w:rPr>
            </w:pPr>
            <w:r>
              <w:rPr>
                <w:sz w:val="18"/>
              </w:rPr>
              <w:t>Time expended per case (in minutes)</w:t>
            </w:r>
          </w:p>
        </w:tc>
        <w:tc>
          <w:tcPr>
            <w:tcW w:w="1512" w:type="dxa"/>
            <w:shd w:val="clear" w:color="auto" w:fill="BFBFBF"/>
          </w:tcPr>
          <w:p w14:paraId="0971E88D" w14:textId="77777777" w:rsidR="00AE5CDE" w:rsidRPr="00BE5BA6" w:rsidRDefault="00AE5CDE" w:rsidP="00A979FD">
            <w:pPr>
              <w:keepNext/>
              <w:spacing w:before="0" w:after="0"/>
              <w:jc w:val="left"/>
              <w:rPr>
                <w:rFonts w:eastAsia="MetaNormalLF-Roman"/>
                <w:sz w:val="18"/>
                <w:szCs w:val="18"/>
              </w:rPr>
            </w:pPr>
            <w:r>
              <w:rPr>
                <w:sz w:val="18"/>
              </w:rPr>
              <w:t>Hourly wage (in EUR)</w:t>
            </w:r>
          </w:p>
        </w:tc>
        <w:tc>
          <w:tcPr>
            <w:tcW w:w="1512" w:type="dxa"/>
            <w:tcBorders>
              <w:right w:val="single" w:sz="12" w:space="0" w:color="auto"/>
            </w:tcBorders>
            <w:shd w:val="clear" w:color="auto" w:fill="BFBFBF"/>
          </w:tcPr>
          <w:p w14:paraId="71F32C48" w14:textId="77777777" w:rsidR="00AE5CDE" w:rsidRPr="00BE5BA6" w:rsidRDefault="00AE5CDE" w:rsidP="00A979FD">
            <w:pPr>
              <w:keepNext/>
              <w:spacing w:before="0" w:after="0"/>
              <w:jc w:val="left"/>
              <w:rPr>
                <w:rFonts w:eastAsia="MetaNormalLF-Roman"/>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cPr>
          <w:p w14:paraId="18F6B5CD" w14:textId="258CAB77" w:rsidR="00AE5CDE" w:rsidRPr="00BE5BA6" w:rsidRDefault="00AE5CDE" w:rsidP="00A979FD">
            <w:pPr>
              <w:keepNext/>
              <w:spacing w:before="0" w:after="0"/>
              <w:jc w:val="left"/>
              <w:rPr>
                <w:rFonts w:eastAsia="MetaNormalLF-Roman"/>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cPr>
          <w:p w14:paraId="4BA945D3" w14:textId="691D910B" w:rsidR="00AE5CDE" w:rsidRPr="00BE5BA6" w:rsidRDefault="00AE5CDE" w:rsidP="00A979FD">
            <w:pPr>
              <w:keepNext/>
              <w:spacing w:before="0" w:after="0"/>
              <w:jc w:val="left"/>
              <w:rPr>
                <w:rFonts w:eastAsia="MetaNormalLF-Roman"/>
                <w:sz w:val="18"/>
                <w:szCs w:val="18"/>
              </w:rPr>
            </w:pPr>
            <w:r>
              <w:rPr>
                <w:sz w:val="18"/>
              </w:rPr>
              <w:t>Material expenses (in thousands of EUR)</w:t>
            </w:r>
          </w:p>
        </w:tc>
      </w:tr>
      <w:tr w:rsidR="00AE5CDE" w:rsidRPr="00BE5BA6" w14:paraId="43DEE9E9" w14:textId="77777777" w:rsidTr="00F8269C">
        <w:tc>
          <w:tcPr>
            <w:tcW w:w="1512" w:type="dxa"/>
            <w:vAlign w:val="center"/>
          </w:tcPr>
          <w:p w14:paraId="6F76925D" w14:textId="77777777" w:rsidR="00AE5CDE" w:rsidRPr="00BE5BA6" w:rsidRDefault="00AE5CDE" w:rsidP="00270CD4">
            <w:pPr>
              <w:spacing w:before="0" w:after="0"/>
              <w:jc w:val="center"/>
              <w:rPr>
                <w:rFonts w:eastAsia="MetaNormalLF-Roman"/>
                <w:sz w:val="18"/>
                <w:szCs w:val="18"/>
              </w:rPr>
            </w:pPr>
            <w:r>
              <w:rPr>
                <w:sz w:val="18"/>
              </w:rPr>
              <w:t>1</w:t>
            </w:r>
          </w:p>
        </w:tc>
        <w:tc>
          <w:tcPr>
            <w:tcW w:w="1512" w:type="dxa"/>
            <w:vAlign w:val="center"/>
          </w:tcPr>
          <w:p w14:paraId="32D9F7AA" w14:textId="3FBA7B85" w:rsidR="00AE5CDE" w:rsidRPr="00BE5BA6" w:rsidRDefault="00785E19" w:rsidP="004034AE">
            <w:pPr>
              <w:spacing w:before="0" w:after="0"/>
              <w:jc w:val="center"/>
              <w:rPr>
                <w:rFonts w:eastAsia="MetaNormalLF-Roman"/>
                <w:sz w:val="18"/>
                <w:szCs w:val="18"/>
              </w:rPr>
            </w:pPr>
            <w:r>
              <w:rPr>
                <w:sz w:val="18"/>
              </w:rPr>
              <w:t>9</w:t>
            </w:r>
            <w:r w:rsidR="00C059FB">
              <w:rPr>
                <w:sz w:val="18"/>
              </w:rPr>
              <w:t> </w:t>
            </w:r>
            <w:r>
              <w:rPr>
                <w:sz w:val="18"/>
              </w:rPr>
              <w:t>081</w:t>
            </w:r>
          </w:p>
        </w:tc>
        <w:tc>
          <w:tcPr>
            <w:tcW w:w="1512" w:type="dxa"/>
            <w:vAlign w:val="center"/>
          </w:tcPr>
          <w:p w14:paraId="6EFF1497" w14:textId="77777777" w:rsidR="00AE5CDE" w:rsidRPr="00BE5BA6" w:rsidRDefault="00AE5CDE" w:rsidP="00D94F0C">
            <w:pPr>
              <w:spacing w:before="0" w:after="0"/>
              <w:jc w:val="center"/>
              <w:rPr>
                <w:rFonts w:eastAsia="MetaNormalLF-Roman"/>
                <w:sz w:val="18"/>
                <w:szCs w:val="18"/>
              </w:rPr>
            </w:pPr>
            <w:r>
              <w:rPr>
                <w:sz w:val="18"/>
              </w:rPr>
              <w:t>38.80</w:t>
            </w:r>
          </w:p>
        </w:tc>
        <w:tc>
          <w:tcPr>
            <w:tcW w:w="1512" w:type="dxa"/>
            <w:tcBorders>
              <w:right w:val="single" w:sz="12" w:space="0" w:color="auto"/>
            </w:tcBorders>
            <w:vAlign w:val="center"/>
          </w:tcPr>
          <w:p w14:paraId="4AC5CAE8" w14:textId="77777777" w:rsidR="00AE5CDE" w:rsidRPr="00BE5BA6" w:rsidRDefault="00AE5CDE">
            <w:pPr>
              <w:spacing w:before="0" w:after="0"/>
              <w:jc w:val="center"/>
              <w:rPr>
                <w:rFonts w:eastAsia="MetaNormalLF-Roman"/>
                <w:sz w:val="18"/>
                <w:szCs w:val="18"/>
              </w:rPr>
            </w:pPr>
            <w:r>
              <w:rPr>
                <w:sz w:val="18"/>
              </w:rPr>
              <w:t>-</w:t>
            </w:r>
          </w:p>
        </w:tc>
        <w:tc>
          <w:tcPr>
            <w:tcW w:w="1512" w:type="dxa"/>
            <w:tcBorders>
              <w:left w:val="single" w:sz="12" w:space="0" w:color="auto"/>
            </w:tcBorders>
            <w:vAlign w:val="center"/>
          </w:tcPr>
          <w:p w14:paraId="21060F68" w14:textId="5897380F" w:rsidR="00AE5CDE" w:rsidRPr="00BE5BA6" w:rsidRDefault="00AE5CDE">
            <w:pPr>
              <w:spacing w:before="0" w:after="0"/>
              <w:jc w:val="center"/>
              <w:rPr>
                <w:rFonts w:eastAsia="MetaNormalLF-Roman"/>
                <w:sz w:val="18"/>
                <w:szCs w:val="18"/>
              </w:rPr>
            </w:pPr>
            <w:r>
              <w:rPr>
                <w:sz w:val="18"/>
              </w:rPr>
              <w:t>+6</w:t>
            </w:r>
          </w:p>
        </w:tc>
        <w:tc>
          <w:tcPr>
            <w:tcW w:w="1512" w:type="dxa"/>
            <w:tcBorders>
              <w:right w:val="single" w:sz="8" w:space="0" w:color="auto"/>
            </w:tcBorders>
            <w:vAlign w:val="center"/>
          </w:tcPr>
          <w:p w14:paraId="0089DC8E" w14:textId="77777777" w:rsidR="00AE5CDE" w:rsidRPr="00BE5BA6" w:rsidRDefault="00AE5CDE">
            <w:pPr>
              <w:spacing w:before="0" w:after="0"/>
              <w:jc w:val="center"/>
              <w:rPr>
                <w:rFonts w:eastAsia="MetaNormalLF-Roman"/>
                <w:sz w:val="18"/>
                <w:szCs w:val="18"/>
              </w:rPr>
            </w:pPr>
          </w:p>
        </w:tc>
      </w:tr>
      <w:tr w:rsidR="00AE5CDE" w:rsidRPr="00BE5BA6" w14:paraId="7F47F2D4" w14:textId="77777777" w:rsidTr="00F8269C">
        <w:tc>
          <w:tcPr>
            <w:tcW w:w="6048" w:type="dxa"/>
            <w:gridSpan w:val="4"/>
            <w:tcBorders>
              <w:right w:val="single" w:sz="12" w:space="0" w:color="auto"/>
            </w:tcBorders>
            <w:shd w:val="clear" w:color="auto" w:fill="BFBFBF"/>
            <w:vAlign w:val="center"/>
          </w:tcPr>
          <w:p w14:paraId="59C05D92" w14:textId="24A27BFB" w:rsidR="00AE5CDE" w:rsidRPr="00BE5BA6" w:rsidRDefault="00AE5CDE" w:rsidP="00F8269C">
            <w:pPr>
              <w:spacing w:before="0" w:after="0"/>
              <w:jc w:val="right"/>
              <w:rPr>
                <w:rFonts w:eastAsia="MetaNormalLF-Roman"/>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43D28BBF" w14:textId="3C4E78DB" w:rsidR="00AE5CDE" w:rsidRPr="00BE5BA6" w:rsidRDefault="00AE5CDE" w:rsidP="00F8269C">
            <w:pPr>
              <w:spacing w:before="0" w:after="0"/>
              <w:jc w:val="center"/>
              <w:rPr>
                <w:rFonts w:eastAsia="MetaNormalLF-Roman"/>
                <w:sz w:val="18"/>
                <w:szCs w:val="18"/>
              </w:rPr>
            </w:pPr>
            <w:r>
              <w:rPr>
                <w:sz w:val="18"/>
              </w:rPr>
              <w:t>+6</w:t>
            </w:r>
          </w:p>
        </w:tc>
      </w:tr>
    </w:tbl>
    <w:p w14:paraId="5BB70B07" w14:textId="77777777" w:rsidR="00785E19" w:rsidRPr="00BE5BA6" w:rsidRDefault="00785E19" w:rsidP="00D56402">
      <w:pPr>
        <w:spacing w:before="0"/>
        <w:rPr>
          <w:rFonts w:eastAsia="Times New Roman"/>
          <w:szCs w:val="24"/>
          <w:lang w:eastAsia="de-DE"/>
        </w:rPr>
      </w:pPr>
    </w:p>
    <w:p w14:paraId="6EDF95DF" w14:textId="5A34CB38" w:rsidR="00AE5CDE" w:rsidRPr="00BE5BA6" w:rsidRDefault="00AE5CDE" w:rsidP="003B6D5E">
      <w:pPr>
        <w:spacing w:before="0"/>
        <w:jc w:val="left"/>
        <w:rPr>
          <w:rFonts w:eastAsia="Times New Roman"/>
        </w:rPr>
      </w:pPr>
      <w:r>
        <w:t xml:space="preserve">§ 20(5) sentence 3 of the Packaging Act requires the documents and information submitted by the schemes to be verified by the Central Authority. This includes the verification of the annual financial statements, if necessary the balance sheet, the audit report and, at the same time or in addition, the information pursuant to § 18(1a) sentence 4 of the Packaging Act. </w:t>
      </w:r>
      <w:r>
        <w:br/>
        <w:t xml:space="preserve">The activity of checking the documents is considered to be one of the sovereign tasks of the Central Authority. The change in compliance costs in connection with this requirement is accordingly attributed to the norm addressee Administration. If a notification pursuant to § 20(5) sentence 1 of the Packaging Act is not made, the competent federal state authority shall be informed by the Central Authority (see § 26(1) sentence 2, subparagraph 8a of the Packaging Act). </w:t>
      </w:r>
    </w:p>
    <w:p w14:paraId="12858D44" w14:textId="297F487F" w:rsidR="00AE5CDE" w:rsidRPr="00BE5BA6" w:rsidRDefault="00AE5CDE" w:rsidP="00D56402">
      <w:pPr>
        <w:spacing w:before="0"/>
        <w:rPr>
          <w:rFonts w:eastAsia="Times New Roman"/>
        </w:rPr>
      </w:pPr>
      <w:r>
        <w:t xml:space="preserve">The Central Authority is responsible for the verification (number of cases: 1). </w:t>
      </w:r>
    </w:p>
    <w:p w14:paraId="1862C6CC" w14:textId="36650307" w:rsidR="00785E19" w:rsidRPr="00BE5BA6" w:rsidRDefault="00785E19" w:rsidP="00785E19">
      <w:pPr>
        <w:spacing w:before="0"/>
        <w:rPr>
          <w:rFonts w:eastAsia="Times New Roman"/>
        </w:rPr>
      </w:pPr>
      <w:r>
        <w:t>As only nine reports are sent to the Central Authority per year, it is assumed that the time expenditure is of high complexity since the verifications are sporadic. Medium complexity is assumed for other administrative tasks, such as preparing the information and archiving the data. According to an evaluation by the SCM database based on similar administrative guidelines, a total of 1 009 minutes per case is expected to be required for the rest of the procedure. This includes the standard activities of formal checking, data screening, content verification, preparing information, creating notifications, copying, archiving and distribution.</w:t>
      </w:r>
    </w:p>
    <w:p w14:paraId="288929EB" w14:textId="5C31FBA8" w:rsidR="00AE5CDE" w:rsidRPr="00BE5BA6" w:rsidRDefault="00AE5CDE" w:rsidP="00D56402">
      <w:pPr>
        <w:spacing w:before="0"/>
        <w:rPr>
          <w:rFonts w:eastAsia="Times New Roman"/>
        </w:rPr>
      </w:pPr>
      <w:r>
        <w:t>Since the records of nine systems have to be checked each year, the total annual time spent corresponds to approximately 9 081 minutes.</w:t>
      </w:r>
    </w:p>
    <w:p w14:paraId="3119E966" w14:textId="04904D40" w:rsidR="00AE5CDE" w:rsidRPr="00BE5BA6" w:rsidRDefault="00AE5CDE" w:rsidP="00D56402">
      <w:pPr>
        <w:spacing w:before="0"/>
        <w:rPr>
          <w:rFonts w:eastAsia="Times New Roman"/>
        </w:rPr>
      </w:pPr>
      <w:r>
        <w:t xml:space="preserve">The average wage rate of EUR 38.80 per hour at federal level applies. </w:t>
      </w:r>
    </w:p>
    <w:p w14:paraId="4A1BBD67" w14:textId="550689DA" w:rsidR="00AE5CDE" w:rsidRPr="00BE5BA6" w:rsidRDefault="00AE5CDE" w:rsidP="00D56402">
      <w:pPr>
        <w:spacing w:before="0"/>
        <w:rPr>
          <w:rFonts w:eastAsia="Times New Roman"/>
        </w:rPr>
      </w:pPr>
      <w:r>
        <w:lastRenderedPageBreak/>
        <w:t xml:space="preserve">The </w:t>
      </w:r>
      <w:r>
        <w:rPr>
          <w:b/>
        </w:rPr>
        <w:t>annual compliance costs</w:t>
      </w:r>
      <w:r>
        <w:t xml:space="preserve"> for the Central Authority change by around </w:t>
      </w:r>
      <w:r>
        <w:rPr>
          <w:b/>
        </w:rPr>
        <w:t>EUR +6 thousand</w:t>
      </w:r>
      <w:r>
        <w:t>.</w:t>
      </w:r>
    </w:p>
    <w:p w14:paraId="253DFFF9" w14:textId="7BD58B15" w:rsidR="00AE5CDE" w:rsidRPr="00BE5BA6" w:rsidRDefault="00AE5CDE" w:rsidP="00A979FD">
      <w:pPr>
        <w:keepNext/>
        <w:spacing w:before="0"/>
        <w:rPr>
          <w:rFonts w:eastAsia="Times New Roman"/>
          <w:b/>
        </w:rPr>
      </w:pPr>
      <w:r>
        <w:rPr>
          <w:b/>
        </w:rPr>
        <w:t>Requirement 22 in conjunction with Requirement 26: Determination of the form of the report and possibility of defining a report format; Article 1 § 21(2) in conjunction with § 26(1) sentence 2, subparagraph 10a of the Packaging Act</w:t>
      </w:r>
    </w:p>
    <w:p w14:paraId="5691A7FB" w14:textId="7A00915D" w:rsidR="00AE5CDE" w:rsidRPr="00BE5BA6" w:rsidRDefault="00331E40" w:rsidP="00A979FD">
      <w:pPr>
        <w:keepNext/>
        <w:spacing w:before="0" w:after="200"/>
        <w:jc w:val="left"/>
        <w:rPr>
          <w:rFonts w:eastAsia="MetaNormalLF-Roman"/>
        </w:rPr>
      </w:pPr>
      <w:r>
        <w:t>One-off compliance costs at federal level:</w:t>
      </w:r>
    </w:p>
    <w:tbl>
      <w:tblPr>
        <w:tblStyle w:val="Tabellenraster1"/>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AE5CDE" w:rsidRPr="00BE5BA6" w14:paraId="3FC22070" w14:textId="77777777" w:rsidTr="00F8269C">
        <w:tc>
          <w:tcPr>
            <w:tcW w:w="1512" w:type="dxa"/>
            <w:shd w:val="clear" w:color="auto" w:fill="BFBFBF"/>
          </w:tcPr>
          <w:p w14:paraId="2CE62EB0" w14:textId="77777777" w:rsidR="00AE5CDE" w:rsidRPr="00BE5BA6" w:rsidRDefault="00AE5CDE" w:rsidP="00A979FD">
            <w:pPr>
              <w:keepNext/>
              <w:spacing w:before="0" w:after="0"/>
              <w:jc w:val="left"/>
              <w:rPr>
                <w:rFonts w:eastAsia="MetaNormalLF-Roman"/>
                <w:sz w:val="18"/>
                <w:szCs w:val="18"/>
              </w:rPr>
            </w:pPr>
            <w:r>
              <w:rPr>
                <w:sz w:val="18"/>
              </w:rPr>
              <w:t>Number of cases</w:t>
            </w:r>
          </w:p>
        </w:tc>
        <w:tc>
          <w:tcPr>
            <w:tcW w:w="1512" w:type="dxa"/>
            <w:shd w:val="clear" w:color="auto" w:fill="BFBFBF"/>
          </w:tcPr>
          <w:p w14:paraId="1599DC00" w14:textId="77777777" w:rsidR="00AE5CDE" w:rsidRPr="00BE5BA6" w:rsidRDefault="00AE5CDE" w:rsidP="00A979FD">
            <w:pPr>
              <w:keepNext/>
              <w:spacing w:before="0" w:after="0"/>
              <w:jc w:val="left"/>
              <w:rPr>
                <w:rFonts w:eastAsia="MetaNormalLF-Roman"/>
                <w:sz w:val="18"/>
                <w:szCs w:val="18"/>
              </w:rPr>
            </w:pPr>
            <w:r>
              <w:rPr>
                <w:sz w:val="18"/>
              </w:rPr>
              <w:t>Time expended per case (in minutes)</w:t>
            </w:r>
          </w:p>
        </w:tc>
        <w:tc>
          <w:tcPr>
            <w:tcW w:w="1512" w:type="dxa"/>
            <w:shd w:val="clear" w:color="auto" w:fill="BFBFBF"/>
          </w:tcPr>
          <w:p w14:paraId="4A99991B" w14:textId="77777777" w:rsidR="00AE5CDE" w:rsidRPr="00BE5BA6" w:rsidRDefault="00AE5CDE" w:rsidP="00A979FD">
            <w:pPr>
              <w:keepNext/>
              <w:spacing w:before="0" w:after="0"/>
              <w:jc w:val="left"/>
              <w:rPr>
                <w:rFonts w:eastAsia="MetaNormalLF-Roman"/>
                <w:sz w:val="18"/>
                <w:szCs w:val="18"/>
              </w:rPr>
            </w:pPr>
            <w:r>
              <w:rPr>
                <w:sz w:val="18"/>
              </w:rPr>
              <w:t>Hourly wage (in EUR)</w:t>
            </w:r>
          </w:p>
        </w:tc>
        <w:tc>
          <w:tcPr>
            <w:tcW w:w="1512" w:type="dxa"/>
            <w:tcBorders>
              <w:right w:val="single" w:sz="12" w:space="0" w:color="auto"/>
            </w:tcBorders>
            <w:shd w:val="clear" w:color="auto" w:fill="BFBFBF"/>
          </w:tcPr>
          <w:p w14:paraId="019387FD" w14:textId="77777777" w:rsidR="00AE5CDE" w:rsidRPr="00BE5BA6" w:rsidRDefault="00AE5CDE" w:rsidP="00A979FD">
            <w:pPr>
              <w:keepNext/>
              <w:spacing w:before="0" w:after="0"/>
              <w:jc w:val="left"/>
              <w:rPr>
                <w:rFonts w:eastAsia="MetaNormalLF-Roman"/>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cPr>
          <w:p w14:paraId="13D4ACF6" w14:textId="74DF2356" w:rsidR="00AE5CDE" w:rsidRPr="00BE5BA6" w:rsidRDefault="00AE5CDE" w:rsidP="00A979FD">
            <w:pPr>
              <w:keepNext/>
              <w:spacing w:before="0" w:after="0"/>
              <w:jc w:val="left"/>
              <w:rPr>
                <w:rFonts w:eastAsia="MetaNormalLF-Roman"/>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cPr>
          <w:p w14:paraId="60FC07BF" w14:textId="65443B8F" w:rsidR="00AE5CDE" w:rsidRPr="00BE5BA6" w:rsidRDefault="00AE5CDE" w:rsidP="00A979FD">
            <w:pPr>
              <w:keepNext/>
              <w:spacing w:before="0" w:after="0"/>
              <w:jc w:val="left"/>
              <w:rPr>
                <w:rFonts w:eastAsia="MetaNormalLF-Roman"/>
                <w:sz w:val="18"/>
                <w:szCs w:val="18"/>
              </w:rPr>
            </w:pPr>
            <w:r>
              <w:rPr>
                <w:sz w:val="18"/>
              </w:rPr>
              <w:t>Material expenses (in thousands of EUR)</w:t>
            </w:r>
          </w:p>
        </w:tc>
      </w:tr>
      <w:tr w:rsidR="00AE5CDE" w:rsidRPr="00BE5BA6" w14:paraId="422BDDB6" w14:textId="77777777" w:rsidTr="00F8269C">
        <w:tc>
          <w:tcPr>
            <w:tcW w:w="1512" w:type="dxa"/>
            <w:vAlign w:val="center"/>
          </w:tcPr>
          <w:p w14:paraId="15633604" w14:textId="77777777" w:rsidR="00AE5CDE" w:rsidRPr="00BE5BA6" w:rsidRDefault="00AE5CDE" w:rsidP="00270CD4">
            <w:pPr>
              <w:spacing w:before="0" w:after="0"/>
              <w:jc w:val="center"/>
              <w:rPr>
                <w:rFonts w:eastAsia="MetaNormalLF-Roman"/>
                <w:sz w:val="18"/>
                <w:szCs w:val="18"/>
              </w:rPr>
            </w:pPr>
            <w:r>
              <w:rPr>
                <w:sz w:val="18"/>
              </w:rPr>
              <w:t>6</w:t>
            </w:r>
          </w:p>
        </w:tc>
        <w:tc>
          <w:tcPr>
            <w:tcW w:w="1512" w:type="dxa"/>
            <w:vAlign w:val="center"/>
          </w:tcPr>
          <w:p w14:paraId="1A1BFC51" w14:textId="5496D007" w:rsidR="00AE5CDE" w:rsidRPr="00BE5BA6" w:rsidRDefault="009C29B3" w:rsidP="004034AE">
            <w:pPr>
              <w:spacing w:before="0" w:after="0"/>
              <w:jc w:val="center"/>
              <w:rPr>
                <w:rFonts w:eastAsia="MetaNormalLF-Roman"/>
                <w:sz w:val="18"/>
                <w:szCs w:val="18"/>
              </w:rPr>
            </w:pPr>
            <w:r>
              <w:rPr>
                <w:sz w:val="18"/>
              </w:rPr>
              <w:t>1</w:t>
            </w:r>
            <w:r w:rsidR="00C059FB">
              <w:rPr>
                <w:sz w:val="18"/>
              </w:rPr>
              <w:t> </w:t>
            </w:r>
            <w:r>
              <w:rPr>
                <w:sz w:val="18"/>
              </w:rPr>
              <w:t>586</w:t>
            </w:r>
          </w:p>
        </w:tc>
        <w:tc>
          <w:tcPr>
            <w:tcW w:w="1512" w:type="dxa"/>
            <w:vAlign w:val="center"/>
          </w:tcPr>
          <w:p w14:paraId="3EAB6021" w14:textId="77777777" w:rsidR="00AE5CDE" w:rsidRPr="00BE5BA6" w:rsidRDefault="00AE5CDE">
            <w:pPr>
              <w:spacing w:before="0" w:after="0"/>
              <w:jc w:val="center"/>
              <w:rPr>
                <w:rFonts w:eastAsia="MetaNormalLF-Roman"/>
                <w:sz w:val="18"/>
                <w:szCs w:val="18"/>
              </w:rPr>
            </w:pPr>
            <w:r>
              <w:rPr>
                <w:sz w:val="18"/>
              </w:rPr>
              <w:t>65.40</w:t>
            </w:r>
          </w:p>
        </w:tc>
        <w:tc>
          <w:tcPr>
            <w:tcW w:w="1512" w:type="dxa"/>
            <w:tcBorders>
              <w:right w:val="single" w:sz="12" w:space="0" w:color="auto"/>
            </w:tcBorders>
            <w:vAlign w:val="center"/>
          </w:tcPr>
          <w:p w14:paraId="4F93AE60" w14:textId="77777777" w:rsidR="00AE5CDE" w:rsidRPr="00BE5BA6" w:rsidRDefault="00AE5CDE">
            <w:pPr>
              <w:spacing w:before="0" w:after="0"/>
              <w:jc w:val="center"/>
              <w:rPr>
                <w:rFonts w:eastAsia="MetaNormalLF-Roman"/>
                <w:sz w:val="18"/>
                <w:szCs w:val="18"/>
              </w:rPr>
            </w:pPr>
            <w:r>
              <w:rPr>
                <w:sz w:val="18"/>
              </w:rPr>
              <w:t>-</w:t>
            </w:r>
          </w:p>
        </w:tc>
        <w:tc>
          <w:tcPr>
            <w:tcW w:w="1512" w:type="dxa"/>
            <w:tcBorders>
              <w:left w:val="single" w:sz="12" w:space="0" w:color="auto"/>
            </w:tcBorders>
            <w:vAlign w:val="center"/>
          </w:tcPr>
          <w:p w14:paraId="6F95714A" w14:textId="1D8487B6" w:rsidR="00AE5CDE" w:rsidRPr="00BE5BA6" w:rsidRDefault="009C29B3">
            <w:pPr>
              <w:spacing w:before="0" w:after="0"/>
              <w:jc w:val="center"/>
              <w:rPr>
                <w:rFonts w:eastAsia="MetaNormalLF-Roman"/>
                <w:sz w:val="18"/>
                <w:szCs w:val="18"/>
              </w:rPr>
            </w:pPr>
            <w:r>
              <w:rPr>
                <w:sz w:val="18"/>
              </w:rPr>
              <w:t>10</w:t>
            </w:r>
          </w:p>
        </w:tc>
        <w:tc>
          <w:tcPr>
            <w:tcW w:w="1512" w:type="dxa"/>
            <w:tcBorders>
              <w:right w:val="single" w:sz="8" w:space="0" w:color="auto"/>
            </w:tcBorders>
            <w:vAlign w:val="center"/>
          </w:tcPr>
          <w:p w14:paraId="53280A9C" w14:textId="77777777" w:rsidR="00AE5CDE" w:rsidRPr="00BE5BA6" w:rsidRDefault="00AE5CDE">
            <w:pPr>
              <w:spacing w:before="0" w:after="0"/>
              <w:jc w:val="center"/>
              <w:rPr>
                <w:rFonts w:eastAsia="MetaNormalLF-Roman"/>
                <w:sz w:val="18"/>
                <w:szCs w:val="18"/>
              </w:rPr>
            </w:pPr>
            <w:r>
              <w:rPr>
                <w:sz w:val="18"/>
              </w:rPr>
              <w:t>-</w:t>
            </w:r>
          </w:p>
        </w:tc>
      </w:tr>
      <w:tr w:rsidR="00AE5CDE" w:rsidRPr="00BE5BA6" w14:paraId="7E0CE566" w14:textId="77777777" w:rsidTr="00F8269C">
        <w:tc>
          <w:tcPr>
            <w:tcW w:w="6048" w:type="dxa"/>
            <w:gridSpan w:val="4"/>
            <w:tcBorders>
              <w:right w:val="single" w:sz="12" w:space="0" w:color="auto"/>
            </w:tcBorders>
            <w:shd w:val="clear" w:color="auto" w:fill="BFBFBF"/>
            <w:vAlign w:val="center"/>
          </w:tcPr>
          <w:p w14:paraId="27E55D32" w14:textId="789163C7" w:rsidR="00AE5CDE" w:rsidRPr="00BE5BA6" w:rsidRDefault="00AE5CDE" w:rsidP="00F8269C">
            <w:pPr>
              <w:spacing w:before="0" w:after="0"/>
              <w:jc w:val="right"/>
              <w:rPr>
                <w:rFonts w:eastAsia="MetaNormalLF-Roman"/>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253504FB" w14:textId="00571D8C" w:rsidR="00AE5CDE" w:rsidRPr="00BE5BA6" w:rsidRDefault="009C29B3" w:rsidP="00F8269C">
            <w:pPr>
              <w:spacing w:before="0" w:after="0"/>
              <w:jc w:val="center"/>
              <w:rPr>
                <w:rFonts w:eastAsia="MetaNormalLF-Roman"/>
                <w:sz w:val="18"/>
                <w:szCs w:val="18"/>
              </w:rPr>
            </w:pPr>
            <w:r>
              <w:rPr>
                <w:sz w:val="18"/>
              </w:rPr>
              <w:t>10</w:t>
            </w:r>
          </w:p>
        </w:tc>
      </w:tr>
    </w:tbl>
    <w:p w14:paraId="30E9C526" w14:textId="77777777" w:rsidR="00F8269C" w:rsidRPr="00BE5BA6" w:rsidRDefault="00F8269C" w:rsidP="00D56402">
      <w:pPr>
        <w:spacing w:before="0" w:after="200"/>
        <w:rPr>
          <w:rFonts w:eastAsia="MetaNormalLF-Roman"/>
          <w:lang w:eastAsia="de-DE"/>
        </w:rPr>
      </w:pPr>
    </w:p>
    <w:p w14:paraId="6AA3E361" w14:textId="6E381AC4" w:rsidR="00AE5CDE" w:rsidRPr="00BE5BA6" w:rsidRDefault="00AE5CDE" w:rsidP="00D56402">
      <w:pPr>
        <w:spacing w:before="0" w:after="200"/>
        <w:rPr>
          <w:rFonts w:eastAsia="MetaNormalLF-Roman"/>
        </w:rPr>
      </w:pPr>
      <w:r>
        <w:t>It is assumed that, through the amendments to § 21(2) of the Packaging Act and § 26(1) sentence 2, subparagraph 10a of the Packaging Act, the Central Authority, in cooperation with the Federal Environment Agency, will standardise the form of the reports which the schemes are to submit annually pursuant to § 21(2) sentence 1 of the Packaging Act on a one-time basis only. Standardisation will ensure comparability of the schemes’ reports. It is assumed that the staff of the Central Authority and the Federal Environment Agency will meet in order to compare, weigh up and standardise the current forms of presentation for the purpose of specifying the binding requirements regarding the preparation of reports.</w:t>
      </w:r>
    </w:p>
    <w:p w14:paraId="2C56E9D1" w14:textId="268E6028" w:rsidR="00AE5CDE" w:rsidRPr="00BE5BA6" w:rsidRDefault="00AE5CDE" w:rsidP="00D56402">
      <w:pPr>
        <w:spacing w:before="0" w:after="200"/>
        <w:rPr>
          <w:rFonts w:eastAsia="MetaNormalLF-Roman"/>
        </w:rPr>
      </w:pPr>
      <w:r>
        <w:t xml:space="preserve">This activity is considered to be part of the sovereign tasks of the Central Authority. The change in compliance costs in connection with this requirement is accordingly attributed to the norm addressee Administration. </w:t>
      </w:r>
    </w:p>
    <w:p w14:paraId="44C2BF3E" w14:textId="7967BAA0" w:rsidR="009C29B3" w:rsidRPr="00BE5BA6" w:rsidRDefault="00AE5CDE" w:rsidP="009C29B3">
      <w:pPr>
        <w:spacing w:before="0"/>
        <w:rPr>
          <w:rFonts w:eastAsia="Times New Roman"/>
        </w:rPr>
      </w:pPr>
      <w:r>
        <w:t>These two bodies are relevant for the number of cases: the Central Authority and Federal Environmental Agency. It is assumed that three staff members from each of the two bodies are assigned to this activity (number of cases: 6). After evaluating the database based on similar administrative requirements, it is assumed that the staff members concerned will spend time preparing, holding an internal and one external meeting and following up. In total, this results in a one-off time expenditure of 1 586 minutes per staff member.</w:t>
      </w:r>
    </w:p>
    <w:p w14:paraId="26245395" w14:textId="1B6F7BD8" w:rsidR="00AE5CDE" w:rsidRPr="00BE5BA6" w:rsidRDefault="00AE5CDE" w:rsidP="00D56402">
      <w:pPr>
        <w:spacing w:before="0"/>
        <w:rPr>
          <w:rFonts w:eastAsia="Times New Roman"/>
        </w:rPr>
      </w:pPr>
      <w:r>
        <w:t xml:space="preserve">It is estimated that professional grade staff members will be responsible. Accordingly, the wage rate of EUR 65.40 per hour applies. </w:t>
      </w:r>
    </w:p>
    <w:p w14:paraId="5AA73772" w14:textId="10FCE6E7" w:rsidR="00AE5CDE" w:rsidRPr="00BE5BA6" w:rsidRDefault="00AE5CDE" w:rsidP="00D56402">
      <w:pPr>
        <w:spacing w:before="0"/>
        <w:rPr>
          <w:rFonts w:eastAsia="Times New Roman"/>
        </w:rPr>
      </w:pPr>
      <w:r>
        <w:t xml:space="preserve">The </w:t>
      </w:r>
      <w:r>
        <w:rPr>
          <w:b/>
        </w:rPr>
        <w:t>one-off compliance costs</w:t>
      </w:r>
      <w:r>
        <w:t xml:space="preserve"> thus amount to around </w:t>
      </w:r>
      <w:r>
        <w:rPr>
          <w:b/>
        </w:rPr>
        <w:t>EUR +10 thousand</w:t>
      </w:r>
      <w:r>
        <w:t xml:space="preserve"> in total, of which EUR +5 thousand will be incurred by the Central Authority and EUR +5 thousand will be incurred by the Federal Government/Federal Environment Agency.</w:t>
      </w:r>
    </w:p>
    <w:p w14:paraId="432BBB7B" w14:textId="5132E46A" w:rsidR="00E20EAF" w:rsidRPr="00BE5BA6" w:rsidRDefault="00E20EAF" w:rsidP="00A979FD">
      <w:pPr>
        <w:keepNext/>
        <w:spacing w:before="0"/>
        <w:rPr>
          <w:rFonts w:eastAsia="Times New Roman"/>
          <w:b/>
        </w:rPr>
      </w:pPr>
      <w:r>
        <w:rPr>
          <w:b/>
        </w:rPr>
        <w:t>Requirement 23: Submission of documents by the Central Authority to the Federal Environment Agency; Article 1 § 25(5) of the Packaging Act</w:t>
      </w:r>
    </w:p>
    <w:p w14:paraId="35091833" w14:textId="77777777" w:rsidR="009C29B3" w:rsidRPr="00BE5BA6" w:rsidRDefault="009C29B3" w:rsidP="00A979FD">
      <w:pPr>
        <w:keepNext/>
        <w:spacing w:before="0" w:after="200"/>
        <w:jc w:val="left"/>
        <w:rPr>
          <w:rFonts w:eastAsia="MetaNormalLF-Roman"/>
        </w:rPr>
      </w:pPr>
      <w:r>
        <w:t>Annual compliance costs at federal level:</w:t>
      </w:r>
    </w:p>
    <w:tbl>
      <w:tblPr>
        <w:tblStyle w:val="Tabellenraster3"/>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9C29B3" w:rsidRPr="00BE5BA6" w14:paraId="51792B69" w14:textId="77777777" w:rsidTr="00F8269C">
        <w:tc>
          <w:tcPr>
            <w:tcW w:w="1512" w:type="dxa"/>
            <w:shd w:val="clear" w:color="auto" w:fill="BFBFBF"/>
          </w:tcPr>
          <w:p w14:paraId="38F21C38" w14:textId="77777777" w:rsidR="009C29B3" w:rsidRPr="00BE5BA6" w:rsidRDefault="009C29B3" w:rsidP="00A979FD">
            <w:pPr>
              <w:keepNext/>
              <w:spacing w:before="0" w:after="0"/>
              <w:jc w:val="left"/>
              <w:rPr>
                <w:rFonts w:eastAsia="MetaNormalLF-Roman"/>
                <w:sz w:val="18"/>
                <w:szCs w:val="18"/>
              </w:rPr>
            </w:pPr>
            <w:r>
              <w:rPr>
                <w:sz w:val="18"/>
              </w:rPr>
              <w:t>Number of cases</w:t>
            </w:r>
          </w:p>
        </w:tc>
        <w:tc>
          <w:tcPr>
            <w:tcW w:w="1512" w:type="dxa"/>
            <w:shd w:val="clear" w:color="auto" w:fill="BFBFBF"/>
          </w:tcPr>
          <w:p w14:paraId="3B3152F5" w14:textId="77777777" w:rsidR="009C29B3" w:rsidRPr="00BE5BA6" w:rsidRDefault="009C29B3" w:rsidP="00A979FD">
            <w:pPr>
              <w:keepNext/>
              <w:spacing w:before="0" w:after="0"/>
              <w:jc w:val="left"/>
              <w:rPr>
                <w:rFonts w:eastAsia="MetaNormalLF-Roman"/>
                <w:sz w:val="18"/>
                <w:szCs w:val="18"/>
              </w:rPr>
            </w:pPr>
            <w:r>
              <w:rPr>
                <w:sz w:val="18"/>
              </w:rPr>
              <w:t>Time expended per case (in minutes)</w:t>
            </w:r>
          </w:p>
        </w:tc>
        <w:tc>
          <w:tcPr>
            <w:tcW w:w="1512" w:type="dxa"/>
            <w:shd w:val="clear" w:color="auto" w:fill="BFBFBF"/>
          </w:tcPr>
          <w:p w14:paraId="6E4846D6" w14:textId="77777777" w:rsidR="009C29B3" w:rsidRPr="00BE5BA6" w:rsidRDefault="009C29B3" w:rsidP="00A979FD">
            <w:pPr>
              <w:keepNext/>
              <w:spacing w:before="0" w:after="0"/>
              <w:jc w:val="left"/>
              <w:rPr>
                <w:rFonts w:eastAsia="MetaNormalLF-Roman"/>
                <w:sz w:val="18"/>
                <w:szCs w:val="18"/>
              </w:rPr>
            </w:pPr>
            <w:r>
              <w:rPr>
                <w:sz w:val="18"/>
              </w:rPr>
              <w:t>Hourly wage (in EUR)</w:t>
            </w:r>
          </w:p>
        </w:tc>
        <w:tc>
          <w:tcPr>
            <w:tcW w:w="1512" w:type="dxa"/>
            <w:tcBorders>
              <w:right w:val="single" w:sz="12" w:space="0" w:color="auto"/>
            </w:tcBorders>
            <w:shd w:val="clear" w:color="auto" w:fill="BFBFBF"/>
          </w:tcPr>
          <w:p w14:paraId="65D264AB" w14:textId="77777777" w:rsidR="009C29B3" w:rsidRPr="00BE5BA6" w:rsidRDefault="009C29B3" w:rsidP="00A979FD">
            <w:pPr>
              <w:keepNext/>
              <w:spacing w:before="0" w:after="0"/>
              <w:jc w:val="left"/>
              <w:rPr>
                <w:rFonts w:eastAsia="MetaNormalLF-Roman"/>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cPr>
          <w:p w14:paraId="536CE7BC" w14:textId="1C7B5E12" w:rsidR="009C29B3" w:rsidRPr="00BE5BA6" w:rsidRDefault="00A3579A" w:rsidP="00A979FD">
            <w:pPr>
              <w:keepNext/>
              <w:spacing w:before="0" w:after="0"/>
              <w:jc w:val="left"/>
              <w:rPr>
                <w:rFonts w:eastAsia="MetaNormalLF-Roman"/>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cPr>
          <w:p w14:paraId="1402FB8E" w14:textId="53B2B78D" w:rsidR="009C29B3" w:rsidRPr="00BE5BA6" w:rsidRDefault="00A3579A" w:rsidP="00A979FD">
            <w:pPr>
              <w:keepNext/>
              <w:spacing w:before="0" w:after="0"/>
              <w:jc w:val="left"/>
              <w:rPr>
                <w:rFonts w:eastAsia="MetaNormalLF-Roman"/>
                <w:sz w:val="18"/>
                <w:szCs w:val="18"/>
              </w:rPr>
            </w:pPr>
            <w:r>
              <w:rPr>
                <w:sz w:val="18"/>
              </w:rPr>
              <w:t>Material expenses (in thousands of EUR)</w:t>
            </w:r>
          </w:p>
        </w:tc>
      </w:tr>
      <w:tr w:rsidR="009C29B3" w:rsidRPr="00BE5BA6" w14:paraId="4BF5B955" w14:textId="77777777" w:rsidTr="00F8269C">
        <w:tc>
          <w:tcPr>
            <w:tcW w:w="1512" w:type="dxa"/>
            <w:vAlign w:val="center"/>
          </w:tcPr>
          <w:p w14:paraId="30833728" w14:textId="77777777" w:rsidR="009C29B3" w:rsidRPr="00BE5BA6" w:rsidRDefault="009C29B3" w:rsidP="009C29B3">
            <w:pPr>
              <w:spacing w:before="0" w:after="0"/>
              <w:jc w:val="center"/>
              <w:rPr>
                <w:rFonts w:eastAsia="MetaNormalLF-Roman"/>
                <w:sz w:val="18"/>
                <w:szCs w:val="18"/>
              </w:rPr>
            </w:pPr>
            <w:r>
              <w:rPr>
                <w:sz w:val="18"/>
              </w:rPr>
              <w:t>1</w:t>
            </w:r>
          </w:p>
        </w:tc>
        <w:tc>
          <w:tcPr>
            <w:tcW w:w="1512" w:type="dxa"/>
            <w:vAlign w:val="center"/>
          </w:tcPr>
          <w:p w14:paraId="34E7D578" w14:textId="77777777" w:rsidR="009C29B3" w:rsidRPr="00BE5BA6" w:rsidRDefault="009C29B3" w:rsidP="00A3579A">
            <w:pPr>
              <w:spacing w:before="0" w:after="0"/>
              <w:jc w:val="center"/>
              <w:rPr>
                <w:rFonts w:eastAsia="MetaNormalLF-Roman"/>
                <w:sz w:val="18"/>
                <w:szCs w:val="18"/>
              </w:rPr>
            </w:pPr>
            <w:r>
              <w:rPr>
                <w:sz w:val="18"/>
              </w:rPr>
              <w:t>10</w:t>
            </w:r>
          </w:p>
        </w:tc>
        <w:tc>
          <w:tcPr>
            <w:tcW w:w="1512" w:type="dxa"/>
            <w:vAlign w:val="center"/>
          </w:tcPr>
          <w:p w14:paraId="3CF53190" w14:textId="77777777" w:rsidR="009C29B3" w:rsidRPr="00BE5BA6" w:rsidRDefault="009C29B3" w:rsidP="00A3579A">
            <w:pPr>
              <w:spacing w:before="0" w:after="0"/>
              <w:jc w:val="center"/>
              <w:rPr>
                <w:rFonts w:eastAsia="MetaNormalLF-Roman"/>
                <w:sz w:val="18"/>
                <w:szCs w:val="18"/>
              </w:rPr>
            </w:pPr>
            <w:r>
              <w:rPr>
                <w:sz w:val="18"/>
              </w:rPr>
              <w:t>38.80</w:t>
            </w:r>
          </w:p>
        </w:tc>
        <w:tc>
          <w:tcPr>
            <w:tcW w:w="1512" w:type="dxa"/>
            <w:tcBorders>
              <w:right w:val="single" w:sz="12" w:space="0" w:color="auto"/>
            </w:tcBorders>
            <w:vAlign w:val="center"/>
          </w:tcPr>
          <w:p w14:paraId="257B3A67" w14:textId="77777777" w:rsidR="009C29B3" w:rsidRPr="00BE5BA6" w:rsidRDefault="009C29B3" w:rsidP="00A3579A">
            <w:pPr>
              <w:spacing w:before="0" w:after="0"/>
              <w:jc w:val="center"/>
              <w:rPr>
                <w:rFonts w:eastAsia="MetaNormalLF-Roman"/>
                <w:sz w:val="18"/>
                <w:szCs w:val="18"/>
              </w:rPr>
            </w:pPr>
            <w:r>
              <w:rPr>
                <w:sz w:val="18"/>
              </w:rPr>
              <w:t>-</w:t>
            </w:r>
          </w:p>
        </w:tc>
        <w:tc>
          <w:tcPr>
            <w:tcW w:w="1512" w:type="dxa"/>
            <w:tcBorders>
              <w:left w:val="single" w:sz="12" w:space="0" w:color="auto"/>
            </w:tcBorders>
            <w:vAlign w:val="center"/>
          </w:tcPr>
          <w:p w14:paraId="037C5A23" w14:textId="77777777" w:rsidR="009C29B3" w:rsidRPr="00BE5BA6" w:rsidRDefault="009C29B3" w:rsidP="00A3579A">
            <w:pPr>
              <w:spacing w:before="0" w:after="0"/>
              <w:jc w:val="center"/>
              <w:rPr>
                <w:rFonts w:eastAsia="MetaNormalLF-Roman"/>
                <w:sz w:val="18"/>
                <w:szCs w:val="18"/>
              </w:rPr>
            </w:pPr>
            <w:r>
              <w:rPr>
                <w:sz w:val="18"/>
              </w:rPr>
              <w:t>+0</w:t>
            </w:r>
          </w:p>
        </w:tc>
        <w:tc>
          <w:tcPr>
            <w:tcW w:w="1512" w:type="dxa"/>
            <w:tcBorders>
              <w:right w:val="single" w:sz="8" w:space="0" w:color="auto"/>
            </w:tcBorders>
            <w:vAlign w:val="center"/>
          </w:tcPr>
          <w:p w14:paraId="549AA696" w14:textId="77777777" w:rsidR="009C29B3" w:rsidRPr="00BE5BA6" w:rsidRDefault="009C29B3" w:rsidP="00A3579A">
            <w:pPr>
              <w:spacing w:before="0" w:after="0"/>
              <w:jc w:val="center"/>
              <w:rPr>
                <w:rFonts w:eastAsia="MetaNormalLF-Roman"/>
                <w:sz w:val="18"/>
                <w:szCs w:val="18"/>
              </w:rPr>
            </w:pPr>
            <w:r>
              <w:rPr>
                <w:sz w:val="18"/>
              </w:rPr>
              <w:t>-</w:t>
            </w:r>
          </w:p>
        </w:tc>
      </w:tr>
      <w:tr w:rsidR="009C29B3" w:rsidRPr="00BE5BA6" w14:paraId="755EFD82" w14:textId="77777777" w:rsidTr="00F8269C">
        <w:tc>
          <w:tcPr>
            <w:tcW w:w="6048" w:type="dxa"/>
            <w:gridSpan w:val="4"/>
            <w:tcBorders>
              <w:right w:val="single" w:sz="12" w:space="0" w:color="auto"/>
            </w:tcBorders>
            <w:shd w:val="clear" w:color="auto" w:fill="BFBFBF"/>
            <w:vAlign w:val="center"/>
          </w:tcPr>
          <w:p w14:paraId="2CD3E0D9" w14:textId="77777777" w:rsidR="009C29B3" w:rsidRPr="00BE5BA6" w:rsidRDefault="009C29B3" w:rsidP="00F8269C">
            <w:pPr>
              <w:spacing w:before="0" w:after="0"/>
              <w:jc w:val="right"/>
              <w:rPr>
                <w:rFonts w:eastAsia="MetaNormalLF-Roman"/>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5765BF0B" w14:textId="77777777" w:rsidR="009C29B3" w:rsidRPr="00BE5BA6" w:rsidRDefault="009C29B3" w:rsidP="00F8269C">
            <w:pPr>
              <w:spacing w:before="0" w:after="0"/>
              <w:jc w:val="center"/>
              <w:rPr>
                <w:rFonts w:eastAsia="MetaNormalLF-Roman"/>
                <w:sz w:val="18"/>
                <w:szCs w:val="18"/>
              </w:rPr>
            </w:pPr>
            <w:r>
              <w:rPr>
                <w:sz w:val="18"/>
              </w:rPr>
              <w:t>+0</w:t>
            </w:r>
          </w:p>
        </w:tc>
      </w:tr>
    </w:tbl>
    <w:p w14:paraId="17A4A9D9" w14:textId="77777777" w:rsidR="00964DEC" w:rsidRPr="00BE5BA6" w:rsidRDefault="00964DEC" w:rsidP="00E92A23">
      <w:pPr>
        <w:spacing w:before="0"/>
        <w:rPr>
          <w:rFonts w:eastAsia="Times New Roman"/>
          <w:lang w:eastAsia="de-DE"/>
        </w:rPr>
      </w:pPr>
    </w:p>
    <w:p w14:paraId="0A07EC8E" w14:textId="28718EB3" w:rsidR="009C29B3" w:rsidRPr="00BE5BA6" w:rsidRDefault="009C29B3" w:rsidP="00E92A23">
      <w:pPr>
        <w:spacing w:before="0"/>
        <w:rPr>
          <w:rFonts w:eastAsia="Times New Roman"/>
        </w:rPr>
      </w:pPr>
      <w:r>
        <w:t xml:space="preserve">§ 25(5) of the Packaging Act stipulates that the Federal Environment Agency may request information or other further documents from the Central Authority if this is necessary for checking the certificate pursuant to § 25(2) sentence 2 of the Packaging Act, the documentation of the underlying method of calculating the levy and the performance or application of the recalculation. </w:t>
      </w:r>
    </w:p>
    <w:p w14:paraId="6D0AC838" w14:textId="647D2245" w:rsidR="009C29B3" w:rsidRPr="00BE5BA6" w:rsidRDefault="009C29B3" w:rsidP="00E92A23">
      <w:pPr>
        <w:spacing w:before="0"/>
        <w:rPr>
          <w:rFonts w:eastAsia="Times New Roman"/>
        </w:rPr>
      </w:pPr>
      <w:r>
        <w:lastRenderedPageBreak/>
        <w:t xml:space="preserve">The number of cases shall be based on the workload of the Central Authority which has to transmit the information. </w:t>
      </w:r>
    </w:p>
    <w:p w14:paraId="6BDDED37" w14:textId="0B98CC0C" w:rsidR="009C29B3" w:rsidRPr="00BE5BA6" w:rsidRDefault="009C29B3" w:rsidP="00E92A23">
      <w:pPr>
        <w:spacing w:before="0"/>
        <w:rPr>
          <w:rFonts w:eastAsia="Times New Roman"/>
        </w:rPr>
      </w:pPr>
      <w:r>
        <w:t xml:space="preserve">Assuming that the necessary information is already on hand at the Central Authority and that only transmission to the Federal Environment Agency is required, without any other involvement of any further bodies, a time expenditure of 10 minutes can be assumed after evaluation of the SCM database with regard to similar administrative requirements. </w:t>
      </w:r>
    </w:p>
    <w:p w14:paraId="3BE24427" w14:textId="277C3ADA" w:rsidR="009C29B3" w:rsidRPr="00BE5BA6" w:rsidRDefault="009C29B3" w:rsidP="00E92A23">
      <w:pPr>
        <w:spacing w:before="0"/>
        <w:rPr>
          <w:rFonts w:eastAsia="Times New Roman"/>
        </w:rPr>
      </w:pPr>
      <w:r>
        <w:t>The change in compliance costs therefore amounts to around EUR +6 and is negligible in this respect.</w:t>
      </w:r>
    </w:p>
    <w:p w14:paraId="5C06F2B8" w14:textId="31343375" w:rsidR="00AE5CDE" w:rsidRPr="00BE5BA6" w:rsidRDefault="00AE5CDE" w:rsidP="00A979FD">
      <w:pPr>
        <w:keepNext/>
        <w:spacing w:before="0" w:after="200"/>
        <w:rPr>
          <w:rFonts w:eastAsia="Times New Roman"/>
          <w:b/>
        </w:rPr>
      </w:pPr>
      <w:r>
        <w:rPr>
          <w:b/>
        </w:rPr>
        <w:t>Requirement 24: Verification of the existence of trade secrets; Article 1 § 26(1) sentence 2, subparagraph 6a of the Packaging Act</w:t>
      </w:r>
    </w:p>
    <w:p w14:paraId="23ACB8FC" w14:textId="77777777" w:rsidR="00A3579A" w:rsidRPr="00BE5BA6" w:rsidRDefault="00A3579A" w:rsidP="00A979FD">
      <w:pPr>
        <w:keepNext/>
        <w:spacing w:before="0" w:after="200" w:line="276" w:lineRule="auto"/>
        <w:jc w:val="left"/>
        <w:rPr>
          <w:rFonts w:eastAsia="MetaNormalLF-Roman"/>
        </w:rPr>
      </w:pPr>
      <w:r>
        <w:t>One-off compliance costs at federal level:</w:t>
      </w:r>
    </w:p>
    <w:tbl>
      <w:tblPr>
        <w:tblStyle w:val="Tabellenraster4"/>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A3579A" w:rsidRPr="00BE5BA6" w14:paraId="0DA8066D" w14:textId="77777777" w:rsidTr="00964DEC">
        <w:tc>
          <w:tcPr>
            <w:tcW w:w="1512" w:type="dxa"/>
            <w:shd w:val="clear" w:color="auto" w:fill="BFBFBF"/>
          </w:tcPr>
          <w:p w14:paraId="34416C78" w14:textId="77777777" w:rsidR="00A3579A" w:rsidRPr="00BE5BA6" w:rsidRDefault="00A3579A" w:rsidP="00A979FD">
            <w:pPr>
              <w:keepNext/>
              <w:spacing w:before="0" w:after="0"/>
              <w:jc w:val="left"/>
              <w:rPr>
                <w:rFonts w:eastAsia="MetaNormalLF-Roman"/>
                <w:sz w:val="18"/>
                <w:szCs w:val="18"/>
              </w:rPr>
            </w:pPr>
            <w:r>
              <w:rPr>
                <w:sz w:val="18"/>
              </w:rPr>
              <w:t>Number of cases</w:t>
            </w:r>
          </w:p>
        </w:tc>
        <w:tc>
          <w:tcPr>
            <w:tcW w:w="1512" w:type="dxa"/>
            <w:shd w:val="clear" w:color="auto" w:fill="BFBFBF"/>
          </w:tcPr>
          <w:p w14:paraId="4CEB1807" w14:textId="77777777" w:rsidR="00A3579A" w:rsidRPr="00BE5BA6" w:rsidRDefault="00A3579A" w:rsidP="00A979FD">
            <w:pPr>
              <w:keepNext/>
              <w:spacing w:before="0" w:after="0"/>
              <w:jc w:val="left"/>
              <w:rPr>
                <w:rFonts w:eastAsia="MetaNormalLF-Roman"/>
                <w:sz w:val="18"/>
                <w:szCs w:val="18"/>
              </w:rPr>
            </w:pPr>
            <w:r>
              <w:rPr>
                <w:sz w:val="18"/>
              </w:rPr>
              <w:t>Time expended per case (in minutes)</w:t>
            </w:r>
          </w:p>
        </w:tc>
        <w:tc>
          <w:tcPr>
            <w:tcW w:w="1512" w:type="dxa"/>
            <w:shd w:val="clear" w:color="auto" w:fill="BFBFBF"/>
          </w:tcPr>
          <w:p w14:paraId="7205959D" w14:textId="77777777" w:rsidR="00A3579A" w:rsidRPr="00BE5BA6" w:rsidRDefault="00A3579A" w:rsidP="00A979FD">
            <w:pPr>
              <w:keepNext/>
              <w:spacing w:before="0" w:after="0"/>
              <w:jc w:val="left"/>
              <w:rPr>
                <w:rFonts w:eastAsia="MetaNormalLF-Roman"/>
                <w:sz w:val="18"/>
                <w:szCs w:val="18"/>
              </w:rPr>
            </w:pPr>
            <w:r>
              <w:rPr>
                <w:sz w:val="18"/>
              </w:rPr>
              <w:t>Hourly wage (in EUR)</w:t>
            </w:r>
          </w:p>
        </w:tc>
        <w:tc>
          <w:tcPr>
            <w:tcW w:w="1512" w:type="dxa"/>
            <w:tcBorders>
              <w:right w:val="single" w:sz="12" w:space="0" w:color="auto"/>
            </w:tcBorders>
            <w:shd w:val="clear" w:color="auto" w:fill="BFBFBF"/>
          </w:tcPr>
          <w:p w14:paraId="5B499667" w14:textId="77777777" w:rsidR="00A3579A" w:rsidRPr="00BE5BA6" w:rsidRDefault="00A3579A" w:rsidP="00A979FD">
            <w:pPr>
              <w:keepNext/>
              <w:spacing w:before="0" w:after="0"/>
              <w:jc w:val="left"/>
              <w:rPr>
                <w:rFonts w:eastAsia="MetaNormalLF-Roman"/>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cPr>
          <w:p w14:paraId="311BDCB0" w14:textId="77777777" w:rsidR="00A3579A" w:rsidRPr="00BE5BA6" w:rsidRDefault="00A3579A" w:rsidP="00A979FD">
            <w:pPr>
              <w:keepNext/>
              <w:spacing w:before="0" w:after="0"/>
              <w:jc w:val="left"/>
              <w:rPr>
                <w:rFonts w:eastAsia="MetaNormalLF-Roman"/>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cPr>
          <w:p w14:paraId="14EE1BAA" w14:textId="77777777" w:rsidR="00A3579A" w:rsidRPr="00BE5BA6" w:rsidRDefault="00A3579A" w:rsidP="00A979FD">
            <w:pPr>
              <w:keepNext/>
              <w:spacing w:before="0" w:after="0"/>
              <w:jc w:val="left"/>
              <w:rPr>
                <w:rFonts w:eastAsia="MetaNormalLF-Roman"/>
                <w:sz w:val="18"/>
                <w:szCs w:val="18"/>
              </w:rPr>
            </w:pPr>
            <w:r>
              <w:rPr>
                <w:sz w:val="18"/>
              </w:rPr>
              <w:t>Material expenses (in thousands of EUR)</w:t>
            </w:r>
          </w:p>
        </w:tc>
      </w:tr>
      <w:tr w:rsidR="00A3579A" w:rsidRPr="00BE5BA6" w14:paraId="64A27C62" w14:textId="77777777" w:rsidTr="00964DEC">
        <w:tc>
          <w:tcPr>
            <w:tcW w:w="1512" w:type="dxa"/>
            <w:vAlign w:val="center"/>
          </w:tcPr>
          <w:p w14:paraId="020B49E2" w14:textId="77777777" w:rsidR="00A3579A" w:rsidRPr="00BE5BA6" w:rsidRDefault="00A3579A" w:rsidP="00A3579A">
            <w:pPr>
              <w:spacing w:before="0" w:after="0"/>
              <w:jc w:val="center"/>
              <w:rPr>
                <w:rFonts w:eastAsia="MetaNormalLF-Roman"/>
                <w:sz w:val="18"/>
                <w:szCs w:val="18"/>
              </w:rPr>
            </w:pPr>
            <w:r>
              <w:rPr>
                <w:sz w:val="18"/>
              </w:rPr>
              <w:t>1</w:t>
            </w:r>
          </w:p>
        </w:tc>
        <w:tc>
          <w:tcPr>
            <w:tcW w:w="1512" w:type="dxa"/>
            <w:vAlign w:val="center"/>
          </w:tcPr>
          <w:p w14:paraId="061E251E" w14:textId="2B224F6D" w:rsidR="00A3579A" w:rsidRPr="00BE5BA6" w:rsidRDefault="00A3579A" w:rsidP="00A3579A">
            <w:pPr>
              <w:spacing w:before="0" w:after="0"/>
              <w:jc w:val="center"/>
              <w:rPr>
                <w:rFonts w:eastAsia="MetaNormalLF-Roman"/>
                <w:sz w:val="18"/>
                <w:szCs w:val="18"/>
              </w:rPr>
            </w:pPr>
            <w:r>
              <w:rPr>
                <w:sz w:val="18"/>
              </w:rPr>
              <w:t>1</w:t>
            </w:r>
            <w:r w:rsidR="00C059FB">
              <w:rPr>
                <w:sz w:val="18"/>
              </w:rPr>
              <w:t> </w:t>
            </w:r>
            <w:r>
              <w:rPr>
                <w:sz w:val="18"/>
              </w:rPr>
              <w:t>440</w:t>
            </w:r>
          </w:p>
        </w:tc>
        <w:tc>
          <w:tcPr>
            <w:tcW w:w="1512" w:type="dxa"/>
            <w:vAlign w:val="center"/>
          </w:tcPr>
          <w:p w14:paraId="4D82A45A" w14:textId="77777777" w:rsidR="00A3579A" w:rsidRPr="00BE5BA6" w:rsidRDefault="00A3579A" w:rsidP="00A3579A">
            <w:pPr>
              <w:spacing w:before="0" w:after="0"/>
              <w:jc w:val="center"/>
              <w:rPr>
                <w:rFonts w:eastAsia="MetaNormalLF-Roman"/>
                <w:sz w:val="18"/>
                <w:szCs w:val="18"/>
              </w:rPr>
            </w:pPr>
            <w:r>
              <w:rPr>
                <w:sz w:val="18"/>
              </w:rPr>
              <w:t>38.80</w:t>
            </w:r>
          </w:p>
        </w:tc>
        <w:tc>
          <w:tcPr>
            <w:tcW w:w="1512" w:type="dxa"/>
            <w:tcBorders>
              <w:right w:val="single" w:sz="12" w:space="0" w:color="auto"/>
            </w:tcBorders>
            <w:vAlign w:val="center"/>
          </w:tcPr>
          <w:p w14:paraId="27E7E0DC" w14:textId="77777777" w:rsidR="00A3579A" w:rsidRPr="00BE5BA6" w:rsidRDefault="00A3579A" w:rsidP="00A3579A">
            <w:pPr>
              <w:spacing w:before="0" w:after="0"/>
              <w:jc w:val="center"/>
              <w:rPr>
                <w:rFonts w:eastAsia="MetaNormalLF-Roman"/>
                <w:sz w:val="18"/>
                <w:szCs w:val="18"/>
              </w:rPr>
            </w:pPr>
            <w:r>
              <w:rPr>
                <w:sz w:val="18"/>
              </w:rPr>
              <w:t>-</w:t>
            </w:r>
          </w:p>
        </w:tc>
        <w:tc>
          <w:tcPr>
            <w:tcW w:w="1512" w:type="dxa"/>
            <w:tcBorders>
              <w:left w:val="single" w:sz="12" w:space="0" w:color="auto"/>
            </w:tcBorders>
            <w:vAlign w:val="center"/>
          </w:tcPr>
          <w:p w14:paraId="05AA301E" w14:textId="77777777" w:rsidR="00A3579A" w:rsidRPr="00BE5BA6" w:rsidRDefault="00A3579A" w:rsidP="00A3579A">
            <w:pPr>
              <w:spacing w:before="0" w:after="0"/>
              <w:jc w:val="center"/>
              <w:rPr>
                <w:rFonts w:eastAsia="MetaNormalLF-Roman"/>
                <w:sz w:val="18"/>
                <w:szCs w:val="18"/>
              </w:rPr>
            </w:pPr>
            <w:r>
              <w:rPr>
                <w:sz w:val="18"/>
              </w:rPr>
              <w:t>1</w:t>
            </w:r>
          </w:p>
        </w:tc>
        <w:tc>
          <w:tcPr>
            <w:tcW w:w="1512" w:type="dxa"/>
            <w:tcBorders>
              <w:right w:val="single" w:sz="8" w:space="0" w:color="auto"/>
            </w:tcBorders>
            <w:vAlign w:val="center"/>
          </w:tcPr>
          <w:p w14:paraId="6D049A5B" w14:textId="77777777" w:rsidR="00A3579A" w:rsidRPr="00BE5BA6" w:rsidRDefault="00A3579A" w:rsidP="00A3579A">
            <w:pPr>
              <w:spacing w:before="0" w:after="0"/>
              <w:jc w:val="center"/>
              <w:rPr>
                <w:rFonts w:eastAsia="MetaNormalLF-Roman"/>
                <w:sz w:val="18"/>
                <w:szCs w:val="18"/>
              </w:rPr>
            </w:pPr>
            <w:r>
              <w:rPr>
                <w:sz w:val="18"/>
              </w:rPr>
              <w:t>-</w:t>
            </w:r>
          </w:p>
        </w:tc>
      </w:tr>
      <w:tr w:rsidR="00A3579A" w:rsidRPr="00BE5BA6" w14:paraId="237DE47C" w14:textId="77777777" w:rsidTr="00964DEC">
        <w:tc>
          <w:tcPr>
            <w:tcW w:w="6048" w:type="dxa"/>
            <w:gridSpan w:val="4"/>
            <w:tcBorders>
              <w:right w:val="single" w:sz="12" w:space="0" w:color="auto"/>
            </w:tcBorders>
            <w:shd w:val="clear" w:color="auto" w:fill="BFBFBF"/>
            <w:vAlign w:val="center"/>
          </w:tcPr>
          <w:p w14:paraId="488AA806" w14:textId="77777777" w:rsidR="00A3579A" w:rsidRPr="00BE5BA6" w:rsidRDefault="00A3579A" w:rsidP="00964DEC">
            <w:pPr>
              <w:spacing w:before="0" w:after="0"/>
              <w:jc w:val="right"/>
              <w:rPr>
                <w:rFonts w:eastAsia="MetaNormalLF-Roman"/>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0A5CC1A7" w14:textId="77777777" w:rsidR="00A3579A" w:rsidRPr="00BE5BA6" w:rsidRDefault="00A3579A" w:rsidP="00964DEC">
            <w:pPr>
              <w:spacing w:before="0" w:after="0"/>
              <w:jc w:val="center"/>
              <w:rPr>
                <w:rFonts w:eastAsia="MetaNormalLF-Roman"/>
                <w:sz w:val="18"/>
                <w:szCs w:val="18"/>
              </w:rPr>
            </w:pPr>
            <w:r>
              <w:rPr>
                <w:sz w:val="18"/>
              </w:rPr>
              <w:t>1</w:t>
            </w:r>
          </w:p>
        </w:tc>
      </w:tr>
    </w:tbl>
    <w:p w14:paraId="119A62AD" w14:textId="5D538129" w:rsidR="00AE5CDE" w:rsidRPr="00BE5BA6" w:rsidRDefault="00AE5CDE" w:rsidP="00A979FD">
      <w:pPr>
        <w:keepNext/>
        <w:spacing w:before="0" w:after="200"/>
        <w:jc w:val="left"/>
        <w:rPr>
          <w:rFonts w:eastAsia="MetaNormalLF-Roman"/>
        </w:rPr>
      </w:pPr>
      <w:r>
        <w:t>Annual compliance costs at federal level:</w:t>
      </w:r>
    </w:p>
    <w:tbl>
      <w:tblPr>
        <w:tblStyle w:val="Tabellenraster1"/>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AE5CDE" w:rsidRPr="00BE5BA6" w14:paraId="3B4635D4" w14:textId="77777777" w:rsidTr="00964DEC">
        <w:tc>
          <w:tcPr>
            <w:tcW w:w="1512" w:type="dxa"/>
            <w:shd w:val="clear" w:color="auto" w:fill="BFBFBF"/>
          </w:tcPr>
          <w:p w14:paraId="6AC8348D" w14:textId="77777777" w:rsidR="00AE5CDE" w:rsidRPr="00BE5BA6" w:rsidRDefault="00AE5CDE" w:rsidP="00A979FD">
            <w:pPr>
              <w:keepNext/>
              <w:spacing w:before="0" w:after="0"/>
              <w:jc w:val="left"/>
              <w:rPr>
                <w:rFonts w:eastAsia="MetaNormalLF-Roman"/>
                <w:sz w:val="18"/>
                <w:szCs w:val="18"/>
              </w:rPr>
            </w:pPr>
            <w:r>
              <w:rPr>
                <w:sz w:val="18"/>
              </w:rPr>
              <w:t>Number of cases</w:t>
            </w:r>
          </w:p>
        </w:tc>
        <w:tc>
          <w:tcPr>
            <w:tcW w:w="1512" w:type="dxa"/>
            <w:shd w:val="clear" w:color="auto" w:fill="BFBFBF"/>
          </w:tcPr>
          <w:p w14:paraId="1D94FDC9" w14:textId="77777777" w:rsidR="00AE5CDE" w:rsidRPr="00BE5BA6" w:rsidRDefault="00AE5CDE" w:rsidP="00A979FD">
            <w:pPr>
              <w:keepNext/>
              <w:spacing w:before="0" w:after="0"/>
              <w:jc w:val="left"/>
              <w:rPr>
                <w:rFonts w:eastAsia="MetaNormalLF-Roman"/>
                <w:sz w:val="18"/>
                <w:szCs w:val="18"/>
              </w:rPr>
            </w:pPr>
            <w:r>
              <w:rPr>
                <w:sz w:val="18"/>
              </w:rPr>
              <w:t>Time expended per case (in minutes)</w:t>
            </w:r>
          </w:p>
        </w:tc>
        <w:tc>
          <w:tcPr>
            <w:tcW w:w="1512" w:type="dxa"/>
            <w:shd w:val="clear" w:color="auto" w:fill="BFBFBF"/>
          </w:tcPr>
          <w:p w14:paraId="77D8C588" w14:textId="77777777" w:rsidR="00AE5CDE" w:rsidRPr="00BE5BA6" w:rsidRDefault="00AE5CDE" w:rsidP="00A979FD">
            <w:pPr>
              <w:keepNext/>
              <w:spacing w:before="0" w:after="0"/>
              <w:jc w:val="left"/>
              <w:rPr>
                <w:rFonts w:eastAsia="MetaNormalLF-Roman"/>
                <w:sz w:val="18"/>
                <w:szCs w:val="18"/>
              </w:rPr>
            </w:pPr>
            <w:r>
              <w:rPr>
                <w:sz w:val="18"/>
              </w:rPr>
              <w:t>Hourly wage (in EUR)</w:t>
            </w:r>
          </w:p>
        </w:tc>
        <w:tc>
          <w:tcPr>
            <w:tcW w:w="1512" w:type="dxa"/>
            <w:tcBorders>
              <w:right w:val="single" w:sz="12" w:space="0" w:color="auto"/>
            </w:tcBorders>
            <w:shd w:val="clear" w:color="auto" w:fill="BFBFBF"/>
          </w:tcPr>
          <w:p w14:paraId="521EF77A" w14:textId="77777777" w:rsidR="00AE5CDE" w:rsidRPr="00BE5BA6" w:rsidRDefault="00AE5CDE" w:rsidP="00A979FD">
            <w:pPr>
              <w:keepNext/>
              <w:spacing w:before="0" w:after="0"/>
              <w:jc w:val="left"/>
              <w:rPr>
                <w:rFonts w:eastAsia="MetaNormalLF-Roman"/>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cPr>
          <w:p w14:paraId="0908F3F1" w14:textId="3270FAF3" w:rsidR="00AE5CDE" w:rsidRPr="00BE5BA6" w:rsidRDefault="00AE5CDE" w:rsidP="00A979FD">
            <w:pPr>
              <w:keepNext/>
              <w:spacing w:before="0" w:after="0"/>
              <w:jc w:val="left"/>
              <w:rPr>
                <w:rFonts w:eastAsia="MetaNormalLF-Roman"/>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cPr>
          <w:p w14:paraId="37831841" w14:textId="5577CD04" w:rsidR="00AE5CDE" w:rsidRPr="00BE5BA6" w:rsidRDefault="00AE5CDE" w:rsidP="00A979FD">
            <w:pPr>
              <w:keepNext/>
              <w:spacing w:before="0" w:after="0"/>
              <w:jc w:val="left"/>
              <w:rPr>
                <w:rFonts w:eastAsia="MetaNormalLF-Roman"/>
                <w:sz w:val="18"/>
                <w:szCs w:val="18"/>
              </w:rPr>
            </w:pPr>
            <w:r>
              <w:rPr>
                <w:sz w:val="18"/>
              </w:rPr>
              <w:t>Material expenses (in thousands of EUR)</w:t>
            </w:r>
          </w:p>
        </w:tc>
      </w:tr>
      <w:tr w:rsidR="00AE5CDE" w:rsidRPr="00BE5BA6" w14:paraId="2EBC5687" w14:textId="77777777" w:rsidTr="00964DEC">
        <w:tc>
          <w:tcPr>
            <w:tcW w:w="1512" w:type="dxa"/>
            <w:vAlign w:val="center"/>
          </w:tcPr>
          <w:p w14:paraId="0F8BD30C" w14:textId="77777777" w:rsidR="00AE5CDE" w:rsidRPr="00BE5BA6" w:rsidRDefault="00AE5CDE" w:rsidP="00270CD4">
            <w:pPr>
              <w:spacing w:before="0" w:after="0"/>
              <w:jc w:val="center"/>
              <w:rPr>
                <w:rFonts w:eastAsia="MetaNormalLF-Roman"/>
                <w:sz w:val="18"/>
                <w:szCs w:val="18"/>
              </w:rPr>
            </w:pPr>
            <w:r>
              <w:rPr>
                <w:sz w:val="18"/>
              </w:rPr>
              <w:t>1</w:t>
            </w:r>
          </w:p>
        </w:tc>
        <w:tc>
          <w:tcPr>
            <w:tcW w:w="1512" w:type="dxa"/>
            <w:vAlign w:val="center"/>
          </w:tcPr>
          <w:p w14:paraId="022C1C59" w14:textId="33C63739" w:rsidR="00AE5CDE" w:rsidRPr="00BE5BA6" w:rsidRDefault="00A3579A" w:rsidP="004034AE">
            <w:pPr>
              <w:spacing w:before="0" w:after="0"/>
              <w:jc w:val="center"/>
              <w:rPr>
                <w:rFonts w:eastAsia="MetaNormalLF-Roman"/>
                <w:sz w:val="18"/>
                <w:szCs w:val="18"/>
              </w:rPr>
            </w:pPr>
            <w:r>
              <w:rPr>
                <w:sz w:val="18"/>
              </w:rPr>
              <w:t>160</w:t>
            </w:r>
          </w:p>
        </w:tc>
        <w:tc>
          <w:tcPr>
            <w:tcW w:w="1512" w:type="dxa"/>
            <w:vAlign w:val="center"/>
          </w:tcPr>
          <w:p w14:paraId="71484384" w14:textId="77777777" w:rsidR="00AE5CDE" w:rsidRPr="00BE5BA6" w:rsidRDefault="00AE5CDE">
            <w:pPr>
              <w:spacing w:before="0" w:after="0"/>
              <w:jc w:val="center"/>
              <w:rPr>
                <w:rFonts w:eastAsia="MetaNormalLF-Roman"/>
                <w:sz w:val="18"/>
                <w:szCs w:val="18"/>
              </w:rPr>
            </w:pPr>
            <w:r>
              <w:rPr>
                <w:sz w:val="18"/>
              </w:rPr>
              <w:t>38.80</w:t>
            </w:r>
          </w:p>
        </w:tc>
        <w:tc>
          <w:tcPr>
            <w:tcW w:w="1512" w:type="dxa"/>
            <w:tcBorders>
              <w:right w:val="single" w:sz="12" w:space="0" w:color="auto"/>
            </w:tcBorders>
            <w:vAlign w:val="center"/>
          </w:tcPr>
          <w:p w14:paraId="7C532034" w14:textId="77777777" w:rsidR="00AE5CDE" w:rsidRPr="00BE5BA6" w:rsidRDefault="00AE5CDE">
            <w:pPr>
              <w:spacing w:before="0" w:after="0"/>
              <w:jc w:val="center"/>
              <w:rPr>
                <w:rFonts w:eastAsia="MetaNormalLF-Roman"/>
                <w:sz w:val="18"/>
                <w:szCs w:val="18"/>
              </w:rPr>
            </w:pPr>
            <w:r>
              <w:rPr>
                <w:sz w:val="18"/>
              </w:rPr>
              <w:t>-</w:t>
            </w:r>
          </w:p>
        </w:tc>
        <w:tc>
          <w:tcPr>
            <w:tcW w:w="1512" w:type="dxa"/>
            <w:tcBorders>
              <w:left w:val="single" w:sz="12" w:space="0" w:color="auto"/>
            </w:tcBorders>
            <w:vAlign w:val="center"/>
          </w:tcPr>
          <w:p w14:paraId="1C076866" w14:textId="77777777" w:rsidR="00AE5CDE" w:rsidRPr="00BE5BA6" w:rsidRDefault="00AE5CDE">
            <w:pPr>
              <w:spacing w:before="0" w:after="0"/>
              <w:jc w:val="center"/>
              <w:rPr>
                <w:rFonts w:eastAsia="MetaNormalLF-Roman"/>
                <w:sz w:val="18"/>
                <w:szCs w:val="18"/>
              </w:rPr>
            </w:pPr>
            <w:r>
              <w:rPr>
                <w:sz w:val="18"/>
              </w:rPr>
              <w:t>+0.1</w:t>
            </w:r>
          </w:p>
        </w:tc>
        <w:tc>
          <w:tcPr>
            <w:tcW w:w="1512" w:type="dxa"/>
            <w:tcBorders>
              <w:right w:val="single" w:sz="8" w:space="0" w:color="auto"/>
            </w:tcBorders>
            <w:vAlign w:val="center"/>
          </w:tcPr>
          <w:p w14:paraId="633CCE1F" w14:textId="77777777" w:rsidR="00AE5CDE" w:rsidRPr="00BE5BA6" w:rsidRDefault="00AE5CDE">
            <w:pPr>
              <w:spacing w:before="0" w:after="0"/>
              <w:jc w:val="center"/>
              <w:rPr>
                <w:rFonts w:eastAsia="MetaNormalLF-Roman"/>
                <w:sz w:val="18"/>
                <w:szCs w:val="18"/>
              </w:rPr>
            </w:pPr>
            <w:r>
              <w:rPr>
                <w:sz w:val="18"/>
              </w:rPr>
              <w:t>-</w:t>
            </w:r>
          </w:p>
        </w:tc>
      </w:tr>
      <w:tr w:rsidR="00AE5CDE" w:rsidRPr="00BE5BA6" w14:paraId="7D6F28F5" w14:textId="77777777" w:rsidTr="00964DEC">
        <w:tc>
          <w:tcPr>
            <w:tcW w:w="6048" w:type="dxa"/>
            <w:gridSpan w:val="4"/>
            <w:tcBorders>
              <w:right w:val="single" w:sz="12" w:space="0" w:color="auto"/>
            </w:tcBorders>
            <w:shd w:val="clear" w:color="auto" w:fill="BFBFBF"/>
            <w:vAlign w:val="center"/>
          </w:tcPr>
          <w:p w14:paraId="0A5035AA" w14:textId="02D59174" w:rsidR="00AE5CDE" w:rsidRPr="00BE5BA6" w:rsidRDefault="00AE5CDE" w:rsidP="00964DEC">
            <w:pPr>
              <w:spacing w:before="0" w:after="0"/>
              <w:jc w:val="right"/>
              <w:rPr>
                <w:rFonts w:eastAsia="MetaNormalLF-Roman"/>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42276C36" w14:textId="77777777" w:rsidR="00AE5CDE" w:rsidRPr="00BE5BA6" w:rsidRDefault="00AE5CDE" w:rsidP="00964DEC">
            <w:pPr>
              <w:spacing w:before="0" w:after="0"/>
              <w:jc w:val="center"/>
              <w:rPr>
                <w:rFonts w:eastAsia="MetaNormalLF-Roman"/>
                <w:sz w:val="18"/>
                <w:szCs w:val="18"/>
              </w:rPr>
            </w:pPr>
            <w:r>
              <w:rPr>
                <w:sz w:val="18"/>
              </w:rPr>
              <w:t>+0.1</w:t>
            </w:r>
          </w:p>
        </w:tc>
      </w:tr>
    </w:tbl>
    <w:p w14:paraId="25CB4694" w14:textId="77777777" w:rsidR="00C103F6" w:rsidRPr="00BE5BA6" w:rsidRDefault="00C103F6" w:rsidP="00D56402">
      <w:pPr>
        <w:spacing w:before="0"/>
        <w:rPr>
          <w:rFonts w:eastAsia="Times New Roman"/>
          <w:szCs w:val="24"/>
          <w:lang w:eastAsia="de-DE"/>
        </w:rPr>
      </w:pPr>
    </w:p>
    <w:p w14:paraId="4178CD73" w14:textId="0DF615AD" w:rsidR="00AE5CDE" w:rsidRPr="00BE5BA6" w:rsidRDefault="00AE5CDE" w:rsidP="00D56402">
      <w:pPr>
        <w:spacing w:before="0"/>
        <w:rPr>
          <w:rFonts w:eastAsia="Times New Roman"/>
          <w:szCs w:val="24"/>
        </w:rPr>
      </w:pPr>
      <w:r>
        <w:t xml:space="preserve">If a scheme submits a written justification regarding the existence of trade secrets to the Central Authority, the latter is obliged to verify it in accordance with § 26(1) sentence 2, subparagraph 6a of the Packaging Act. If the justification is not plausible, the Central Authority shall notify the competent federal state authority of the state of affairs. </w:t>
      </w:r>
    </w:p>
    <w:p w14:paraId="526E7A76" w14:textId="163C99EC" w:rsidR="00AE5CDE" w:rsidRPr="00BE5BA6" w:rsidRDefault="00AE5CDE" w:rsidP="00D56402">
      <w:pPr>
        <w:spacing w:before="0"/>
        <w:rPr>
          <w:rFonts w:eastAsia="Times New Roman"/>
          <w:szCs w:val="24"/>
        </w:rPr>
      </w:pPr>
      <w:r>
        <w:t xml:space="preserve">This activity is considered to be part of the sovereign tasks of the Central Authority. The change in compliance costs in connection with this requirement is accordingly attributed to the norm addressee Administration. </w:t>
      </w:r>
    </w:p>
    <w:p w14:paraId="735CD7DB" w14:textId="1F0D463C" w:rsidR="00AE5CDE" w:rsidRPr="00BE5BA6" w:rsidRDefault="00AE5CDE" w:rsidP="00D56402">
      <w:pPr>
        <w:spacing w:before="0"/>
        <w:rPr>
          <w:rFonts w:eastAsia="Times New Roman"/>
        </w:rPr>
      </w:pPr>
      <w:r>
        <w:t>The Central Authority is responsible for the verification (number of cases: 1).</w:t>
      </w:r>
    </w:p>
    <w:p w14:paraId="4BD1E857" w14:textId="7079716D" w:rsidR="00AE5CDE" w:rsidRPr="00BE5BA6" w:rsidRDefault="00AE5CDE" w:rsidP="00D56402">
      <w:pPr>
        <w:spacing w:before="0"/>
        <w:rPr>
          <w:rFonts w:eastAsia="Times New Roman"/>
        </w:rPr>
      </w:pPr>
      <w:r>
        <w:t>The time required depends on the number of justifications submitted for the existence of trade secrets, as well as its regularity.</w:t>
      </w:r>
      <w:r w:rsidR="00C059FB">
        <w:t xml:space="preserve"> </w:t>
      </w:r>
      <w:r>
        <w:t xml:space="preserve">It is assumed that all schemes maintain trade secrets (nine systems) and the verification of the justification will take about one work hour. This is done one time for the nine existing schemes. It is assumed that the existence, as well as the content, of the justification for the existence of trade secrets will not change on a regular basis. Nevertheless, in order to take into account the probability, as well as the possibility of new schemes being set up, an annual case number of ‘1’ is assumed for the further course of action. </w:t>
      </w:r>
    </w:p>
    <w:p w14:paraId="019C4CD0" w14:textId="2467DC9C" w:rsidR="00A3579A" w:rsidRPr="00BE5BA6" w:rsidRDefault="00A3579A" w:rsidP="00D56402">
      <w:pPr>
        <w:spacing w:before="0"/>
        <w:rPr>
          <w:rFonts w:eastAsia="Times New Roman"/>
        </w:rPr>
      </w:pPr>
      <w:r>
        <w:t>The time required per verification corresponds to the evaluation of similar administrative requirements in the SCM database. This includes formal and substantive review, data screening, preparation of information, drafting of the notification, copying, archiving and distribution. In total, this results in a time expenditure of 160 minutes per verification.</w:t>
      </w:r>
    </w:p>
    <w:p w14:paraId="7BCFEB42" w14:textId="474D7C94" w:rsidR="00A3579A" w:rsidRPr="00BE5BA6" w:rsidRDefault="00A3579A" w:rsidP="00A3579A">
      <w:pPr>
        <w:spacing w:before="0"/>
        <w:rPr>
          <w:rFonts w:eastAsia="Times New Roman"/>
        </w:rPr>
      </w:pPr>
      <w:r>
        <w:t>Consequently, there is a one-off time expenditure of 1 440 minutes for verifying the nine existing schemes and an annual time expenditure of 160 minutes, due to potential changes in the justifications or the addition of a new scheme.</w:t>
      </w:r>
    </w:p>
    <w:p w14:paraId="4ECB2E24" w14:textId="02B1090B" w:rsidR="00AE5CDE" w:rsidRPr="00BE5BA6" w:rsidRDefault="00AE5CDE" w:rsidP="00D56402">
      <w:pPr>
        <w:spacing w:before="0"/>
        <w:rPr>
          <w:rFonts w:eastAsia="Times New Roman"/>
        </w:rPr>
      </w:pPr>
      <w:r>
        <w:t>The average wage rate of EUR 38.80 per hour at federal level applies.</w:t>
      </w:r>
    </w:p>
    <w:p w14:paraId="63B6016E" w14:textId="19330DFF" w:rsidR="00AE5CDE" w:rsidRPr="00BE5BA6" w:rsidRDefault="00AE5CDE" w:rsidP="00D56402">
      <w:pPr>
        <w:spacing w:before="0"/>
        <w:rPr>
          <w:rFonts w:eastAsia="Times New Roman"/>
        </w:rPr>
      </w:pPr>
      <w:r>
        <w:t xml:space="preserve">The </w:t>
      </w:r>
      <w:r>
        <w:rPr>
          <w:b/>
        </w:rPr>
        <w:t xml:space="preserve">annual compliance costs </w:t>
      </w:r>
      <w:r>
        <w:t xml:space="preserve">for the Central Authority will change by around </w:t>
      </w:r>
      <w:r>
        <w:rPr>
          <w:b/>
        </w:rPr>
        <w:t>EUR +100</w:t>
      </w:r>
      <w:r>
        <w:t xml:space="preserve"> as a result. </w:t>
      </w:r>
    </w:p>
    <w:p w14:paraId="34430825" w14:textId="2CA93ADB" w:rsidR="00E20EAF" w:rsidRPr="00BE5BA6" w:rsidRDefault="00E20EAF" w:rsidP="00A979FD">
      <w:pPr>
        <w:keepNext/>
        <w:spacing w:before="0"/>
        <w:rPr>
          <w:rFonts w:eastAsia="Times New Roman"/>
          <w:b/>
        </w:rPr>
      </w:pPr>
      <w:r>
        <w:rPr>
          <w:b/>
        </w:rPr>
        <w:lastRenderedPageBreak/>
        <w:t>Requirement 27: Enabling the enactment of administrative provisions; Article 1 § 26(1) sentence 2, subparagraph 23 of the Packaging Act</w:t>
      </w:r>
    </w:p>
    <w:p w14:paraId="13DFB46E" w14:textId="7343A651" w:rsidR="00781B49" w:rsidRPr="00BE5BA6" w:rsidRDefault="00FC7187" w:rsidP="00D56402">
      <w:pPr>
        <w:spacing w:before="0"/>
        <w:rPr>
          <w:rFonts w:eastAsia="Times New Roman"/>
        </w:rPr>
      </w:pPr>
      <w:r>
        <w:t>Enabling the Central Authority to issue administrative provisions is not expected to result in any change in compliance costs.</w:t>
      </w:r>
    </w:p>
    <w:p w14:paraId="297EE04D" w14:textId="6C259414" w:rsidR="00293C12" w:rsidRPr="00BE5BA6" w:rsidRDefault="00293C12" w:rsidP="00A979FD">
      <w:pPr>
        <w:keepNext/>
        <w:spacing w:before="0"/>
        <w:rPr>
          <w:rFonts w:eastAsia="Times New Roman"/>
        </w:rPr>
      </w:pPr>
      <w:r>
        <w:rPr>
          <w:b/>
        </w:rPr>
        <w:t>Requirement 28 (Further requirement):</w:t>
      </w:r>
      <w:r w:rsidR="00C059FB">
        <w:rPr>
          <w:b/>
        </w:rPr>
        <w:t xml:space="preserve"> </w:t>
      </w:r>
      <w:r>
        <w:rPr>
          <w:b/>
        </w:rPr>
        <w:t>Minimum recyclate content of single-use plastic beverage bottles; Article 1 § 30a of the Packaging Act</w:t>
      </w:r>
      <w:r>
        <w:t xml:space="preserve"> </w:t>
      </w:r>
    </w:p>
    <w:p w14:paraId="770AC030" w14:textId="77777777" w:rsidR="00293C12" w:rsidRPr="00BE5BA6" w:rsidRDefault="00293C12" w:rsidP="00A979FD">
      <w:pPr>
        <w:keepNext/>
        <w:spacing w:before="0"/>
        <w:rPr>
          <w:rFonts w:eastAsia="Times New Roman"/>
        </w:rPr>
      </w:pPr>
      <w:r>
        <w:t>Annual compliance costs at federal state level:</w:t>
      </w:r>
    </w:p>
    <w:tbl>
      <w:tblPr>
        <w:tblStyle w:val="TableGrid"/>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293C12" w:rsidRPr="00BE5BA6" w14:paraId="391ACC76" w14:textId="77777777" w:rsidTr="00C103F6">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115799" w14:textId="77777777" w:rsidR="00293C12" w:rsidRPr="00BE5BA6" w:rsidRDefault="00293C12" w:rsidP="00A979FD">
            <w:pPr>
              <w:keepNext/>
              <w:spacing w:after="0"/>
              <w:rPr>
                <w:rFonts w:asciiTheme="minorHAnsi" w:hAnsiTheme="minorHAnsi" w:cstheme="minorBidi"/>
                <w:sz w:val="18"/>
                <w:szCs w:val="18"/>
              </w:rPr>
            </w:pPr>
            <w:r>
              <w:rPr>
                <w:sz w:val="18"/>
              </w:rPr>
              <w:t>Number of cases</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5A7A05" w14:textId="77777777" w:rsidR="00293C12" w:rsidRPr="00BE5BA6" w:rsidRDefault="00293C12" w:rsidP="00A979FD">
            <w:pPr>
              <w:keepNext/>
              <w:spacing w:after="0"/>
              <w:rPr>
                <w:sz w:val="18"/>
                <w:szCs w:val="18"/>
              </w:rPr>
            </w:pPr>
            <w:r>
              <w:rPr>
                <w:sz w:val="18"/>
              </w:rPr>
              <w:t>Time expended per case (in minutes)</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081251" w14:textId="77777777" w:rsidR="00293C12" w:rsidRPr="00BE5BA6" w:rsidRDefault="00293C12" w:rsidP="00A979FD">
            <w:pPr>
              <w:keepNext/>
              <w:spacing w:after="0"/>
              <w:rPr>
                <w:sz w:val="18"/>
                <w:szCs w:val="18"/>
              </w:rPr>
            </w:pPr>
            <w:r>
              <w:rPr>
                <w:sz w:val="18"/>
              </w:rPr>
              <w:t>Hourly wage (in EUR)</w:t>
            </w:r>
          </w:p>
        </w:tc>
        <w:tc>
          <w:tcPr>
            <w:tcW w:w="1512" w:type="dxa"/>
            <w:tcBorders>
              <w:top w:val="single" w:sz="4" w:space="0" w:color="auto"/>
              <w:left w:val="single" w:sz="4" w:space="0" w:color="auto"/>
              <w:bottom w:val="single" w:sz="4" w:space="0" w:color="auto"/>
              <w:right w:val="single" w:sz="12" w:space="0" w:color="auto"/>
            </w:tcBorders>
            <w:shd w:val="clear" w:color="auto" w:fill="BFBFBF" w:themeFill="background1" w:themeFillShade="BF"/>
            <w:hideMark/>
          </w:tcPr>
          <w:p w14:paraId="02B39B0D" w14:textId="77777777" w:rsidR="00293C12" w:rsidRPr="00BE5BA6" w:rsidRDefault="00293C12" w:rsidP="00A979FD">
            <w:pPr>
              <w:keepNext/>
              <w:spacing w:after="0"/>
              <w:rPr>
                <w:sz w:val="18"/>
                <w:szCs w:val="18"/>
              </w:rPr>
            </w:pPr>
            <w:r>
              <w:rPr>
                <w:sz w:val="18"/>
              </w:rPr>
              <w:t xml:space="preserve">Material expenses per case (in EUR) </w:t>
            </w:r>
          </w:p>
        </w:tc>
        <w:tc>
          <w:tcPr>
            <w:tcW w:w="1512" w:type="dxa"/>
            <w:tcBorders>
              <w:top w:val="single" w:sz="8" w:space="0" w:color="auto"/>
              <w:left w:val="single" w:sz="12" w:space="0" w:color="auto"/>
              <w:bottom w:val="single" w:sz="4" w:space="0" w:color="auto"/>
              <w:right w:val="single" w:sz="4" w:space="0" w:color="auto"/>
            </w:tcBorders>
            <w:shd w:val="clear" w:color="auto" w:fill="BFBFBF" w:themeFill="background1" w:themeFillShade="BF"/>
            <w:hideMark/>
          </w:tcPr>
          <w:p w14:paraId="3F4FEB3C" w14:textId="202DA05D" w:rsidR="00293C12" w:rsidRPr="00BE5BA6" w:rsidRDefault="00293C12" w:rsidP="00A979FD">
            <w:pPr>
              <w:keepNext/>
              <w:spacing w:after="0"/>
              <w:rPr>
                <w:sz w:val="18"/>
                <w:szCs w:val="18"/>
              </w:rPr>
            </w:pPr>
            <w:r>
              <w:rPr>
                <w:sz w:val="18"/>
              </w:rPr>
              <w:t>Personnel costs (in thousands of EUR)</w:t>
            </w:r>
          </w:p>
        </w:tc>
        <w:tc>
          <w:tcPr>
            <w:tcW w:w="1512" w:type="dxa"/>
            <w:tcBorders>
              <w:top w:val="single" w:sz="8" w:space="0" w:color="auto"/>
              <w:left w:val="single" w:sz="4" w:space="0" w:color="auto"/>
              <w:bottom w:val="single" w:sz="4" w:space="0" w:color="auto"/>
              <w:right w:val="single" w:sz="8" w:space="0" w:color="auto"/>
            </w:tcBorders>
            <w:shd w:val="clear" w:color="auto" w:fill="BFBFBF" w:themeFill="background1" w:themeFillShade="BF"/>
            <w:hideMark/>
          </w:tcPr>
          <w:p w14:paraId="78002866" w14:textId="483599A0" w:rsidR="00293C12" w:rsidRPr="00BE5BA6" w:rsidRDefault="00293C12" w:rsidP="00A979FD">
            <w:pPr>
              <w:keepNext/>
              <w:spacing w:after="0"/>
              <w:rPr>
                <w:sz w:val="18"/>
                <w:szCs w:val="18"/>
              </w:rPr>
            </w:pPr>
            <w:r>
              <w:rPr>
                <w:sz w:val="18"/>
              </w:rPr>
              <w:t>Material expenses (in thousands of EUR)</w:t>
            </w:r>
          </w:p>
        </w:tc>
      </w:tr>
      <w:tr w:rsidR="00293C12" w:rsidRPr="00BE5BA6" w14:paraId="39E03AE5" w14:textId="77777777" w:rsidTr="00C103F6">
        <w:tc>
          <w:tcPr>
            <w:tcW w:w="1512" w:type="dxa"/>
            <w:tcBorders>
              <w:top w:val="single" w:sz="4" w:space="0" w:color="auto"/>
              <w:left w:val="single" w:sz="4" w:space="0" w:color="auto"/>
              <w:bottom w:val="single" w:sz="4" w:space="0" w:color="auto"/>
              <w:right w:val="single" w:sz="4" w:space="0" w:color="auto"/>
            </w:tcBorders>
            <w:vAlign w:val="center"/>
            <w:hideMark/>
          </w:tcPr>
          <w:p w14:paraId="5422AB00" w14:textId="77777777" w:rsidR="00293C12" w:rsidRPr="00BE5BA6" w:rsidRDefault="00293C12">
            <w:pPr>
              <w:spacing w:after="0"/>
              <w:jc w:val="center"/>
              <w:rPr>
                <w:sz w:val="18"/>
                <w:szCs w:val="18"/>
              </w:rPr>
            </w:pPr>
            <w:r>
              <w:rPr>
                <w:sz w:val="18"/>
              </w:rPr>
              <w:t>4</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106FA90" w14:textId="77777777" w:rsidR="00293C12" w:rsidRPr="00BE5BA6" w:rsidRDefault="00293C12">
            <w:pPr>
              <w:spacing w:after="0"/>
              <w:jc w:val="center"/>
              <w:rPr>
                <w:sz w:val="18"/>
                <w:szCs w:val="18"/>
              </w:rPr>
            </w:pPr>
            <w:r>
              <w:rPr>
                <w:sz w:val="18"/>
              </w:rPr>
              <w:t>950</w:t>
            </w:r>
          </w:p>
        </w:tc>
        <w:tc>
          <w:tcPr>
            <w:tcW w:w="1512" w:type="dxa"/>
            <w:tcBorders>
              <w:top w:val="single" w:sz="4" w:space="0" w:color="auto"/>
              <w:left w:val="single" w:sz="4" w:space="0" w:color="auto"/>
              <w:bottom w:val="single" w:sz="4" w:space="0" w:color="auto"/>
              <w:right w:val="single" w:sz="4" w:space="0" w:color="auto"/>
            </w:tcBorders>
            <w:vAlign w:val="center"/>
            <w:hideMark/>
          </w:tcPr>
          <w:p w14:paraId="13C73ECE" w14:textId="77777777" w:rsidR="00293C12" w:rsidRPr="00BE5BA6" w:rsidRDefault="00293C12">
            <w:pPr>
              <w:spacing w:after="0"/>
              <w:jc w:val="center"/>
              <w:rPr>
                <w:sz w:val="18"/>
                <w:szCs w:val="18"/>
              </w:rPr>
            </w:pPr>
            <w:r>
              <w:rPr>
                <w:sz w:val="18"/>
              </w:rPr>
              <w:t>40.30</w:t>
            </w:r>
          </w:p>
        </w:tc>
        <w:tc>
          <w:tcPr>
            <w:tcW w:w="1512" w:type="dxa"/>
            <w:tcBorders>
              <w:top w:val="single" w:sz="4" w:space="0" w:color="auto"/>
              <w:left w:val="single" w:sz="4" w:space="0" w:color="auto"/>
              <w:bottom w:val="single" w:sz="4" w:space="0" w:color="auto"/>
              <w:right w:val="single" w:sz="12" w:space="0" w:color="auto"/>
            </w:tcBorders>
            <w:vAlign w:val="center"/>
            <w:hideMark/>
          </w:tcPr>
          <w:p w14:paraId="5DC12C2B" w14:textId="77777777" w:rsidR="00293C12" w:rsidRPr="00BE5BA6" w:rsidRDefault="00293C12">
            <w:pPr>
              <w:spacing w:after="0"/>
              <w:jc w:val="center"/>
              <w:rPr>
                <w:sz w:val="18"/>
                <w:szCs w:val="18"/>
              </w:rPr>
            </w:pPr>
            <w:r>
              <w:rPr>
                <w:sz w:val="18"/>
              </w:rPr>
              <w:t>-</w:t>
            </w:r>
          </w:p>
        </w:tc>
        <w:tc>
          <w:tcPr>
            <w:tcW w:w="1512" w:type="dxa"/>
            <w:tcBorders>
              <w:top w:val="single" w:sz="4" w:space="0" w:color="auto"/>
              <w:left w:val="single" w:sz="12" w:space="0" w:color="auto"/>
              <w:bottom w:val="single" w:sz="4" w:space="0" w:color="auto"/>
              <w:right w:val="single" w:sz="4" w:space="0" w:color="auto"/>
            </w:tcBorders>
            <w:vAlign w:val="center"/>
            <w:hideMark/>
          </w:tcPr>
          <w:p w14:paraId="56C84476" w14:textId="77777777" w:rsidR="00293C12" w:rsidRPr="00BE5BA6" w:rsidRDefault="00293C12">
            <w:pPr>
              <w:spacing w:after="0"/>
              <w:jc w:val="center"/>
              <w:rPr>
                <w:sz w:val="18"/>
                <w:szCs w:val="18"/>
              </w:rPr>
            </w:pPr>
            <w:r>
              <w:rPr>
                <w:sz w:val="18"/>
              </w:rPr>
              <w:t>+3</w:t>
            </w:r>
          </w:p>
        </w:tc>
        <w:tc>
          <w:tcPr>
            <w:tcW w:w="1512" w:type="dxa"/>
            <w:tcBorders>
              <w:top w:val="single" w:sz="4" w:space="0" w:color="auto"/>
              <w:left w:val="single" w:sz="4" w:space="0" w:color="auto"/>
              <w:bottom w:val="single" w:sz="4" w:space="0" w:color="auto"/>
              <w:right w:val="single" w:sz="8" w:space="0" w:color="auto"/>
            </w:tcBorders>
            <w:vAlign w:val="center"/>
            <w:hideMark/>
          </w:tcPr>
          <w:p w14:paraId="5BF750B6" w14:textId="77777777" w:rsidR="00293C12" w:rsidRPr="00BE5BA6" w:rsidRDefault="00293C12">
            <w:pPr>
              <w:spacing w:after="0"/>
              <w:jc w:val="center"/>
              <w:rPr>
                <w:sz w:val="18"/>
                <w:szCs w:val="18"/>
              </w:rPr>
            </w:pPr>
            <w:r>
              <w:rPr>
                <w:sz w:val="18"/>
              </w:rPr>
              <w:t>-</w:t>
            </w:r>
          </w:p>
        </w:tc>
      </w:tr>
      <w:tr w:rsidR="00293C12" w:rsidRPr="00BE5BA6" w14:paraId="017A50FE" w14:textId="77777777" w:rsidTr="00C103F6">
        <w:tc>
          <w:tcPr>
            <w:tcW w:w="6048" w:type="dxa"/>
            <w:gridSpan w:val="4"/>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hideMark/>
          </w:tcPr>
          <w:p w14:paraId="6A4048CB" w14:textId="09D96940" w:rsidR="00293C12" w:rsidRPr="00BE5BA6" w:rsidRDefault="00293C12" w:rsidP="00C103F6">
            <w:pPr>
              <w:spacing w:after="0"/>
              <w:jc w:val="right"/>
              <w:rPr>
                <w:sz w:val="18"/>
                <w:szCs w:val="18"/>
              </w:rPr>
            </w:pPr>
            <w:r>
              <w:rPr>
                <w:sz w:val="18"/>
              </w:rPr>
              <w:t>Compliance costs (in thousands of EUR)</w:t>
            </w:r>
          </w:p>
        </w:tc>
        <w:tc>
          <w:tcPr>
            <w:tcW w:w="3024" w:type="dxa"/>
            <w:gridSpan w:val="2"/>
            <w:tcBorders>
              <w:top w:val="single" w:sz="4" w:space="0" w:color="auto"/>
              <w:left w:val="single" w:sz="12" w:space="0" w:color="auto"/>
              <w:bottom w:val="single" w:sz="8" w:space="0" w:color="auto"/>
              <w:right w:val="single" w:sz="8" w:space="0" w:color="auto"/>
            </w:tcBorders>
            <w:vAlign w:val="center"/>
            <w:hideMark/>
          </w:tcPr>
          <w:p w14:paraId="3F357946" w14:textId="77777777" w:rsidR="00293C12" w:rsidRPr="00BE5BA6" w:rsidRDefault="00293C12" w:rsidP="00C103F6">
            <w:pPr>
              <w:spacing w:after="0"/>
              <w:jc w:val="center"/>
              <w:rPr>
                <w:sz w:val="18"/>
                <w:szCs w:val="18"/>
              </w:rPr>
            </w:pPr>
            <w:r>
              <w:rPr>
                <w:sz w:val="18"/>
              </w:rPr>
              <w:t>+3</w:t>
            </w:r>
          </w:p>
        </w:tc>
      </w:tr>
    </w:tbl>
    <w:p w14:paraId="255FBDA9" w14:textId="5695037D" w:rsidR="00293C12" w:rsidRPr="00BE5BA6" w:rsidRDefault="00293C12" w:rsidP="00293C12">
      <w:pPr>
        <w:spacing w:before="0"/>
        <w:rPr>
          <w:rFonts w:eastAsia="Times New Roman"/>
          <w:b/>
          <w:lang w:eastAsia="de-DE"/>
        </w:rPr>
      </w:pPr>
    </w:p>
    <w:p w14:paraId="64FBB1E4" w14:textId="793B29C8" w:rsidR="00293C12" w:rsidRPr="00BE5BA6" w:rsidRDefault="00293C12" w:rsidP="00293C12">
      <w:pPr>
        <w:spacing w:before="0"/>
        <w:rPr>
          <w:rFonts w:eastAsia="Times New Roman"/>
        </w:rPr>
      </w:pPr>
      <w:r>
        <w:t xml:space="preserve">In accordance with § 30a(2) sentence 3 of the Packaging Act, the competent federal state authorities may require producers of single-use plastic beverage bottles who have opted for the option under § 30a(2) of fulfilling the recyclate input quota to submit the documentation required for that purpose. </w:t>
      </w:r>
    </w:p>
    <w:p w14:paraId="24177103" w14:textId="5884F64F" w:rsidR="00293C12" w:rsidRPr="00BE5BA6" w:rsidRDefault="00293C12" w:rsidP="00293C12">
      <w:pPr>
        <w:spacing w:before="0"/>
        <w:rPr>
          <w:rFonts w:eastAsia="Times New Roman"/>
        </w:rPr>
      </w:pPr>
      <w:r>
        <w:t>As calculated in Requirement 28 – Business, the annual number of businesses affected is expected to be small. However, this is to be assessed critically above all because a complete number of cases cannot be determined at present due to the fact that those producers who import single-use plastic beverage bottles produced abroad into Germany are not taken into account.</w:t>
      </w:r>
    </w:p>
    <w:p w14:paraId="3257586E" w14:textId="77777777" w:rsidR="00293C12" w:rsidRPr="00BE5BA6" w:rsidRDefault="00293C12" w:rsidP="00293C12">
      <w:pPr>
        <w:spacing w:before="0"/>
        <w:rPr>
          <w:rFonts w:eastAsia="Times New Roman"/>
        </w:rPr>
      </w:pPr>
      <w:r>
        <w:t xml:space="preserve">For the further procedure, the administrative burden is calculated by the examination of the documentation of the four companies estimated in Requirement 20 (Business). </w:t>
      </w:r>
    </w:p>
    <w:p w14:paraId="7AE098ED" w14:textId="77777777" w:rsidR="00293C12" w:rsidRPr="00BE5BA6" w:rsidRDefault="00293C12" w:rsidP="00A979FD">
      <w:pPr>
        <w:keepNext/>
        <w:spacing w:before="0"/>
        <w:rPr>
          <w:rFonts w:eastAsia="Times New Roman"/>
        </w:rPr>
      </w:pPr>
      <w:r>
        <w:t xml:space="preserve">According to an evaluation of similar requirements of the OnDEA, a time expenditure of about 950 minutes per procedure can be expected. The time expenditure is made up of the following standard activities: </w:t>
      </w:r>
    </w:p>
    <w:p w14:paraId="1557A932" w14:textId="775C1F9B" w:rsidR="00293C12" w:rsidRPr="00BE5BA6" w:rsidRDefault="00293C12" w:rsidP="00293C12">
      <w:pPr>
        <w:numPr>
          <w:ilvl w:val="0"/>
          <w:numId w:val="44"/>
        </w:numPr>
        <w:spacing w:before="0"/>
        <w:rPr>
          <w:rFonts w:eastAsia="Times New Roman"/>
          <w:b/>
        </w:rPr>
      </w:pPr>
      <w:r>
        <w:t xml:space="preserve">Acknowledge receipt, </w:t>
      </w:r>
    </w:p>
    <w:p w14:paraId="5F02A89F" w14:textId="4EDE3C93" w:rsidR="00293C12" w:rsidRPr="00BE5BA6" w:rsidRDefault="00293C12" w:rsidP="00293C12">
      <w:pPr>
        <w:numPr>
          <w:ilvl w:val="0"/>
          <w:numId w:val="44"/>
        </w:numPr>
        <w:spacing w:before="0"/>
        <w:rPr>
          <w:rFonts w:eastAsia="Times New Roman"/>
          <w:b/>
        </w:rPr>
      </w:pPr>
      <w:r>
        <w:t xml:space="preserve">Check content, collect data, </w:t>
      </w:r>
    </w:p>
    <w:p w14:paraId="040BC437" w14:textId="2FD0AF49" w:rsidR="00293C12" w:rsidRPr="00BE5BA6" w:rsidRDefault="00293C12" w:rsidP="00293C12">
      <w:pPr>
        <w:numPr>
          <w:ilvl w:val="0"/>
          <w:numId w:val="44"/>
        </w:numPr>
        <w:spacing w:before="0"/>
        <w:rPr>
          <w:rFonts w:eastAsia="Times New Roman"/>
          <w:b/>
        </w:rPr>
      </w:pPr>
      <w:r>
        <w:t>Create notification,</w:t>
      </w:r>
    </w:p>
    <w:p w14:paraId="52732D66" w14:textId="0EE6435E" w:rsidR="00293C12" w:rsidRPr="00BE5BA6" w:rsidRDefault="00293C12" w:rsidP="00293C12">
      <w:pPr>
        <w:numPr>
          <w:ilvl w:val="0"/>
          <w:numId w:val="44"/>
        </w:numPr>
        <w:spacing w:before="0"/>
        <w:rPr>
          <w:rFonts w:eastAsia="Times New Roman"/>
          <w:b/>
        </w:rPr>
      </w:pPr>
      <w:r>
        <w:t>Copying, archiving, distribution.</w:t>
      </w:r>
    </w:p>
    <w:p w14:paraId="20B89461" w14:textId="6DBEDFE1" w:rsidR="00293C12" w:rsidRPr="00BE5BA6" w:rsidRDefault="00293C12" w:rsidP="00293C12">
      <w:pPr>
        <w:spacing w:before="0"/>
        <w:rPr>
          <w:rFonts w:eastAsia="Times New Roman"/>
          <w:b/>
        </w:rPr>
      </w:pPr>
      <w:r>
        <w:t>The average wage rate of EUR 40.30 per hour at federal state level applies.</w:t>
      </w:r>
    </w:p>
    <w:p w14:paraId="6421237B" w14:textId="75C0B490" w:rsidR="00293C12" w:rsidRPr="00BE5BA6" w:rsidRDefault="00293C12" w:rsidP="00293C12">
      <w:pPr>
        <w:spacing w:before="0"/>
        <w:rPr>
          <w:rFonts w:eastAsia="Times New Roman"/>
        </w:rPr>
      </w:pPr>
      <w:r>
        <w:t xml:space="preserve">The </w:t>
      </w:r>
      <w:r>
        <w:rPr>
          <w:b/>
        </w:rPr>
        <w:t xml:space="preserve">annual compliance costs </w:t>
      </w:r>
      <w:r>
        <w:t xml:space="preserve">for the competent authorities at federal state level will change by around </w:t>
      </w:r>
      <w:r>
        <w:rPr>
          <w:b/>
        </w:rPr>
        <w:t>EUR +3 thousand</w:t>
      </w:r>
      <w:r>
        <w:t xml:space="preserve"> as a result.</w:t>
      </w:r>
    </w:p>
    <w:p w14:paraId="5861B772" w14:textId="7CDBF72A" w:rsidR="00AE5CDE" w:rsidRPr="00BE5BA6" w:rsidRDefault="00AE5CDE" w:rsidP="00A979FD">
      <w:pPr>
        <w:keepNext/>
        <w:spacing w:before="0"/>
        <w:rPr>
          <w:rFonts w:eastAsia="Times New Roman"/>
          <w:b/>
        </w:rPr>
      </w:pPr>
      <w:r>
        <w:rPr>
          <w:b/>
        </w:rPr>
        <w:t>Requirement 35 in conjunction with Requirement 36: Administrative offences, seizure of goods in the scope of administrative offence proceedings; Article 1 § 36 in conjunction with § 37 Packaging Act</w:t>
      </w:r>
    </w:p>
    <w:p w14:paraId="37C76C21" w14:textId="77777777" w:rsidR="00AE5CDE" w:rsidRPr="00BE5BA6" w:rsidRDefault="00AE5CDE" w:rsidP="00A979FD">
      <w:pPr>
        <w:keepNext/>
        <w:spacing w:before="0" w:after="200"/>
        <w:jc w:val="left"/>
        <w:rPr>
          <w:rFonts w:eastAsia="MetaNormalLF-Roman"/>
        </w:rPr>
      </w:pPr>
      <w:r>
        <w:t>Annual compliance costs at federal state level:</w:t>
      </w:r>
    </w:p>
    <w:tbl>
      <w:tblPr>
        <w:tblStyle w:val="Tabellenraster1"/>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AE5CDE" w:rsidRPr="00BE5BA6" w14:paraId="625F858D" w14:textId="77777777" w:rsidTr="00C103F6">
        <w:tc>
          <w:tcPr>
            <w:tcW w:w="1512" w:type="dxa"/>
            <w:shd w:val="clear" w:color="auto" w:fill="BFBFBF"/>
          </w:tcPr>
          <w:p w14:paraId="788BEE0D" w14:textId="77777777" w:rsidR="00AE5CDE" w:rsidRPr="00BE5BA6" w:rsidRDefault="00AE5CDE" w:rsidP="00A979FD">
            <w:pPr>
              <w:keepNext/>
              <w:spacing w:before="0" w:after="0"/>
              <w:jc w:val="left"/>
              <w:rPr>
                <w:rFonts w:eastAsia="MetaNormalLF-Roman"/>
                <w:sz w:val="18"/>
                <w:szCs w:val="18"/>
              </w:rPr>
            </w:pPr>
            <w:r>
              <w:rPr>
                <w:sz w:val="18"/>
              </w:rPr>
              <w:t>Number of cases</w:t>
            </w:r>
          </w:p>
        </w:tc>
        <w:tc>
          <w:tcPr>
            <w:tcW w:w="1512" w:type="dxa"/>
            <w:shd w:val="clear" w:color="auto" w:fill="BFBFBF"/>
          </w:tcPr>
          <w:p w14:paraId="2B384E2D" w14:textId="77777777" w:rsidR="00AE5CDE" w:rsidRPr="00BE5BA6" w:rsidRDefault="00AE5CDE" w:rsidP="00A979FD">
            <w:pPr>
              <w:keepNext/>
              <w:spacing w:before="0" w:after="0"/>
              <w:jc w:val="left"/>
              <w:rPr>
                <w:rFonts w:eastAsia="MetaNormalLF-Roman"/>
                <w:sz w:val="18"/>
                <w:szCs w:val="18"/>
              </w:rPr>
            </w:pPr>
            <w:r>
              <w:rPr>
                <w:sz w:val="18"/>
              </w:rPr>
              <w:t>Time expended per case (in minutes)</w:t>
            </w:r>
          </w:p>
        </w:tc>
        <w:tc>
          <w:tcPr>
            <w:tcW w:w="1512" w:type="dxa"/>
            <w:shd w:val="clear" w:color="auto" w:fill="BFBFBF"/>
          </w:tcPr>
          <w:p w14:paraId="2A1BEC17" w14:textId="77777777" w:rsidR="00AE5CDE" w:rsidRPr="00BE5BA6" w:rsidRDefault="00AE5CDE" w:rsidP="00A979FD">
            <w:pPr>
              <w:keepNext/>
              <w:spacing w:before="0" w:after="0"/>
              <w:jc w:val="left"/>
              <w:rPr>
                <w:rFonts w:eastAsia="MetaNormalLF-Roman"/>
                <w:sz w:val="18"/>
                <w:szCs w:val="18"/>
              </w:rPr>
            </w:pPr>
            <w:r>
              <w:rPr>
                <w:sz w:val="18"/>
              </w:rPr>
              <w:t>Hourly wage (in EUR)</w:t>
            </w:r>
          </w:p>
        </w:tc>
        <w:tc>
          <w:tcPr>
            <w:tcW w:w="1512" w:type="dxa"/>
            <w:tcBorders>
              <w:right w:val="single" w:sz="12" w:space="0" w:color="auto"/>
            </w:tcBorders>
            <w:shd w:val="clear" w:color="auto" w:fill="BFBFBF"/>
          </w:tcPr>
          <w:p w14:paraId="0C3CFCBC" w14:textId="77777777" w:rsidR="00AE5CDE" w:rsidRPr="00BE5BA6" w:rsidRDefault="00AE5CDE" w:rsidP="00A979FD">
            <w:pPr>
              <w:keepNext/>
              <w:spacing w:before="0" w:after="0"/>
              <w:jc w:val="left"/>
              <w:rPr>
                <w:rFonts w:eastAsia="MetaNormalLF-Roman"/>
                <w:sz w:val="18"/>
                <w:szCs w:val="18"/>
              </w:rPr>
            </w:pPr>
            <w:r>
              <w:rPr>
                <w:sz w:val="18"/>
              </w:rPr>
              <w:t xml:space="preserve">Material expenses per case (in EUR) </w:t>
            </w:r>
          </w:p>
        </w:tc>
        <w:tc>
          <w:tcPr>
            <w:tcW w:w="1512" w:type="dxa"/>
            <w:tcBorders>
              <w:top w:val="single" w:sz="8" w:space="0" w:color="auto"/>
              <w:left w:val="single" w:sz="12" w:space="0" w:color="auto"/>
            </w:tcBorders>
            <w:shd w:val="clear" w:color="auto" w:fill="BFBFBF"/>
          </w:tcPr>
          <w:p w14:paraId="1AB86BA0" w14:textId="215599BC" w:rsidR="00AE5CDE" w:rsidRPr="00BE5BA6" w:rsidRDefault="00AE5CDE" w:rsidP="00A979FD">
            <w:pPr>
              <w:keepNext/>
              <w:spacing w:before="0" w:after="0"/>
              <w:jc w:val="left"/>
              <w:rPr>
                <w:rFonts w:eastAsia="MetaNormalLF-Roman"/>
                <w:sz w:val="18"/>
                <w:szCs w:val="18"/>
              </w:rPr>
            </w:pPr>
            <w:r>
              <w:rPr>
                <w:sz w:val="18"/>
              </w:rPr>
              <w:t>Personnel costs (in thousands of EUR)</w:t>
            </w:r>
          </w:p>
        </w:tc>
        <w:tc>
          <w:tcPr>
            <w:tcW w:w="1512" w:type="dxa"/>
            <w:tcBorders>
              <w:top w:val="single" w:sz="8" w:space="0" w:color="auto"/>
              <w:right w:val="single" w:sz="8" w:space="0" w:color="auto"/>
            </w:tcBorders>
            <w:shd w:val="clear" w:color="auto" w:fill="BFBFBF"/>
          </w:tcPr>
          <w:p w14:paraId="30059CDD" w14:textId="0F02A4B5" w:rsidR="00AE5CDE" w:rsidRPr="00BE5BA6" w:rsidRDefault="00AE5CDE" w:rsidP="00A979FD">
            <w:pPr>
              <w:keepNext/>
              <w:spacing w:before="0" w:after="0"/>
              <w:jc w:val="left"/>
              <w:rPr>
                <w:rFonts w:eastAsia="MetaNormalLF-Roman"/>
                <w:sz w:val="18"/>
                <w:szCs w:val="18"/>
              </w:rPr>
            </w:pPr>
            <w:r>
              <w:rPr>
                <w:sz w:val="18"/>
              </w:rPr>
              <w:t>Material expenses (in thousands of EUR)</w:t>
            </w:r>
          </w:p>
        </w:tc>
      </w:tr>
      <w:tr w:rsidR="00AE5CDE" w:rsidRPr="00BE5BA6" w14:paraId="3CE6C7C9" w14:textId="77777777" w:rsidTr="00C103F6">
        <w:tc>
          <w:tcPr>
            <w:tcW w:w="1512" w:type="dxa"/>
            <w:vAlign w:val="center"/>
          </w:tcPr>
          <w:p w14:paraId="05936611" w14:textId="1DA5F408" w:rsidR="00AE5CDE" w:rsidRPr="00BE5BA6" w:rsidRDefault="00AE5CDE" w:rsidP="00270CD4">
            <w:pPr>
              <w:spacing w:before="0" w:after="0"/>
              <w:jc w:val="center"/>
              <w:rPr>
                <w:rFonts w:eastAsia="MetaNormalLF-Roman"/>
                <w:sz w:val="18"/>
                <w:szCs w:val="18"/>
              </w:rPr>
            </w:pPr>
            <w:r>
              <w:rPr>
                <w:sz w:val="18"/>
              </w:rPr>
              <w:t>1 600</w:t>
            </w:r>
          </w:p>
        </w:tc>
        <w:tc>
          <w:tcPr>
            <w:tcW w:w="1512" w:type="dxa"/>
            <w:vAlign w:val="center"/>
          </w:tcPr>
          <w:p w14:paraId="02BF469D" w14:textId="77777777" w:rsidR="00AE5CDE" w:rsidRPr="00BE5BA6" w:rsidRDefault="00AE5CDE" w:rsidP="004034AE">
            <w:pPr>
              <w:spacing w:before="0" w:after="0"/>
              <w:jc w:val="center"/>
              <w:rPr>
                <w:rFonts w:eastAsia="MetaNormalLF-Roman"/>
                <w:sz w:val="18"/>
                <w:szCs w:val="18"/>
              </w:rPr>
            </w:pPr>
            <w:r>
              <w:rPr>
                <w:sz w:val="18"/>
              </w:rPr>
              <w:t>240</w:t>
            </w:r>
          </w:p>
        </w:tc>
        <w:tc>
          <w:tcPr>
            <w:tcW w:w="1512" w:type="dxa"/>
            <w:vAlign w:val="center"/>
          </w:tcPr>
          <w:p w14:paraId="7F049D7E" w14:textId="77777777" w:rsidR="00AE5CDE" w:rsidRPr="00BE5BA6" w:rsidRDefault="00AE5CDE">
            <w:pPr>
              <w:spacing w:before="0" w:after="0"/>
              <w:jc w:val="center"/>
              <w:rPr>
                <w:rFonts w:eastAsia="MetaNormalLF-Roman"/>
                <w:sz w:val="18"/>
                <w:szCs w:val="18"/>
              </w:rPr>
            </w:pPr>
            <w:r>
              <w:rPr>
                <w:sz w:val="18"/>
              </w:rPr>
              <w:t>40.30</w:t>
            </w:r>
          </w:p>
        </w:tc>
        <w:tc>
          <w:tcPr>
            <w:tcW w:w="1512" w:type="dxa"/>
            <w:tcBorders>
              <w:right w:val="single" w:sz="12" w:space="0" w:color="auto"/>
            </w:tcBorders>
            <w:vAlign w:val="center"/>
          </w:tcPr>
          <w:p w14:paraId="6F1AEE46" w14:textId="77777777" w:rsidR="00AE5CDE" w:rsidRPr="00BE5BA6" w:rsidRDefault="00AE5CDE">
            <w:pPr>
              <w:spacing w:before="0" w:after="0"/>
              <w:jc w:val="center"/>
              <w:rPr>
                <w:rFonts w:eastAsia="MetaNormalLF-Roman"/>
                <w:sz w:val="18"/>
                <w:szCs w:val="18"/>
              </w:rPr>
            </w:pPr>
            <w:r>
              <w:rPr>
                <w:sz w:val="18"/>
              </w:rPr>
              <w:t>-</w:t>
            </w:r>
          </w:p>
        </w:tc>
        <w:tc>
          <w:tcPr>
            <w:tcW w:w="1512" w:type="dxa"/>
            <w:tcBorders>
              <w:left w:val="single" w:sz="12" w:space="0" w:color="auto"/>
            </w:tcBorders>
            <w:vAlign w:val="center"/>
          </w:tcPr>
          <w:p w14:paraId="7733DBCD" w14:textId="77777777" w:rsidR="00AE5CDE" w:rsidRPr="00BE5BA6" w:rsidRDefault="00AE5CDE">
            <w:pPr>
              <w:spacing w:before="0" w:after="0"/>
              <w:jc w:val="center"/>
              <w:rPr>
                <w:rFonts w:eastAsia="MetaNormalLF-Roman"/>
                <w:sz w:val="18"/>
                <w:szCs w:val="18"/>
              </w:rPr>
            </w:pPr>
            <w:r>
              <w:rPr>
                <w:sz w:val="18"/>
              </w:rPr>
              <w:t>+242</w:t>
            </w:r>
          </w:p>
        </w:tc>
        <w:tc>
          <w:tcPr>
            <w:tcW w:w="1512" w:type="dxa"/>
            <w:tcBorders>
              <w:right w:val="single" w:sz="8" w:space="0" w:color="auto"/>
            </w:tcBorders>
            <w:vAlign w:val="center"/>
          </w:tcPr>
          <w:p w14:paraId="1B8448BA" w14:textId="77777777" w:rsidR="00AE5CDE" w:rsidRPr="00BE5BA6" w:rsidRDefault="00AE5CDE">
            <w:pPr>
              <w:spacing w:before="0" w:after="0"/>
              <w:jc w:val="center"/>
              <w:rPr>
                <w:rFonts w:eastAsia="MetaNormalLF-Roman"/>
                <w:sz w:val="18"/>
                <w:szCs w:val="18"/>
              </w:rPr>
            </w:pPr>
            <w:r>
              <w:rPr>
                <w:sz w:val="18"/>
              </w:rPr>
              <w:t>-</w:t>
            </w:r>
          </w:p>
        </w:tc>
      </w:tr>
      <w:tr w:rsidR="00AE5CDE" w:rsidRPr="00BE5BA6" w14:paraId="34618561" w14:textId="77777777" w:rsidTr="00C103F6">
        <w:tc>
          <w:tcPr>
            <w:tcW w:w="6048" w:type="dxa"/>
            <w:gridSpan w:val="4"/>
            <w:tcBorders>
              <w:right w:val="single" w:sz="12" w:space="0" w:color="auto"/>
            </w:tcBorders>
            <w:shd w:val="clear" w:color="auto" w:fill="BFBFBF"/>
            <w:vAlign w:val="center"/>
          </w:tcPr>
          <w:p w14:paraId="7C8B370B" w14:textId="7D4D6E57" w:rsidR="00AE5CDE" w:rsidRPr="00BE5BA6" w:rsidRDefault="00AE5CDE" w:rsidP="00C103F6">
            <w:pPr>
              <w:spacing w:before="0" w:after="0"/>
              <w:jc w:val="right"/>
              <w:rPr>
                <w:rFonts w:eastAsia="MetaNormalLF-Roman"/>
                <w:sz w:val="18"/>
                <w:szCs w:val="18"/>
              </w:rPr>
            </w:pPr>
            <w:r>
              <w:rPr>
                <w:sz w:val="18"/>
              </w:rPr>
              <w:t>Compliance costs (in thousands of EUR)</w:t>
            </w:r>
          </w:p>
        </w:tc>
        <w:tc>
          <w:tcPr>
            <w:tcW w:w="3024" w:type="dxa"/>
            <w:gridSpan w:val="2"/>
            <w:tcBorders>
              <w:left w:val="single" w:sz="12" w:space="0" w:color="auto"/>
              <w:bottom w:val="single" w:sz="8" w:space="0" w:color="auto"/>
              <w:right w:val="single" w:sz="8" w:space="0" w:color="auto"/>
            </w:tcBorders>
            <w:vAlign w:val="center"/>
          </w:tcPr>
          <w:p w14:paraId="03CB96B6" w14:textId="77777777" w:rsidR="00AE5CDE" w:rsidRPr="00BE5BA6" w:rsidRDefault="00AE5CDE" w:rsidP="00C103F6">
            <w:pPr>
              <w:spacing w:before="0" w:after="0"/>
              <w:jc w:val="center"/>
              <w:rPr>
                <w:rFonts w:eastAsia="MetaNormalLF-Roman"/>
                <w:sz w:val="18"/>
                <w:szCs w:val="18"/>
              </w:rPr>
            </w:pPr>
            <w:r>
              <w:rPr>
                <w:sz w:val="18"/>
              </w:rPr>
              <w:t>+242</w:t>
            </w:r>
          </w:p>
        </w:tc>
      </w:tr>
    </w:tbl>
    <w:p w14:paraId="41F1B964" w14:textId="77777777" w:rsidR="00A979FD" w:rsidRPr="00BE5BA6" w:rsidRDefault="00A979FD" w:rsidP="00D56402">
      <w:pPr>
        <w:spacing w:before="0"/>
        <w:rPr>
          <w:rFonts w:eastAsia="Times New Roman"/>
          <w:lang w:eastAsia="de-DE"/>
        </w:rPr>
      </w:pPr>
    </w:p>
    <w:p w14:paraId="60AAC719" w14:textId="78AEB9B9" w:rsidR="00AE5CDE" w:rsidRPr="00BE5BA6" w:rsidRDefault="00AE5CDE" w:rsidP="00D56402">
      <w:pPr>
        <w:spacing w:before="0"/>
        <w:rPr>
          <w:rFonts w:eastAsia="Times New Roman"/>
        </w:rPr>
      </w:pPr>
      <w:r>
        <w:t xml:space="preserve">As a result of the inclusion of further administrative offences under § 36 of the Packaging Act, it is expected that the competent authorities under federal state law will have to initiate </w:t>
      </w:r>
      <w:r>
        <w:lastRenderedPageBreak/>
        <w:t>further fine proceedings. These authorities will be assigned the task of examining the companies with regard to the implementation of the additional legally anchored prerequisites, such as the examination of the introduction of the obligatory reusable packaging or the marketing of packaging subject to the scheme participation obligation in line with standards.</w:t>
      </w:r>
      <w:r w:rsidR="00C059FB">
        <w:t xml:space="preserve"> </w:t>
      </w:r>
      <w:r>
        <w:t>In addition, the competent authorities under federal state law are entitled to seize the goods to which the administrative offence relates in accordance with § 37 Packaging Act.</w:t>
      </w:r>
    </w:p>
    <w:p w14:paraId="12A4F6E2" w14:textId="5FF68177" w:rsidR="00AE5CDE" w:rsidRPr="00BE5BA6" w:rsidRDefault="00AE5CDE" w:rsidP="00D56402">
      <w:pPr>
        <w:spacing w:before="0"/>
        <w:rPr>
          <w:rFonts w:eastAsia="Times New Roman"/>
        </w:rPr>
      </w:pPr>
      <w:r>
        <w:t xml:space="preserve">The newly included regulations and obligations impose new duties on a total of about 150 000 businesses, distributors, producers and the like (see economic requirements). It is assumed that about 1 % of these per year will commit an administrative offence and that proceedings will have to be initiated as a result (1 500 proceedings). </w:t>
      </w:r>
    </w:p>
    <w:p w14:paraId="5D9FE5AF" w14:textId="77777777" w:rsidR="00AE5CDE" w:rsidRPr="00BE5BA6" w:rsidRDefault="00AE5CDE" w:rsidP="00D56402">
      <w:pPr>
        <w:spacing w:before="0"/>
        <w:rPr>
          <w:rFonts w:eastAsia="Times New Roman"/>
        </w:rPr>
      </w:pPr>
      <w:r>
        <w:t xml:space="preserve">According to an evaluation of similar requirements of the SCM database, a time expenditure of about 240 minutes per procedure can be expected. </w:t>
      </w:r>
    </w:p>
    <w:p w14:paraId="5A3B6382" w14:textId="0ED19CEF" w:rsidR="00AE5CDE" w:rsidRPr="00BE5BA6" w:rsidRDefault="00AE5CDE" w:rsidP="00D56402">
      <w:pPr>
        <w:spacing w:before="0"/>
        <w:rPr>
          <w:rFonts w:eastAsia="Times New Roman"/>
        </w:rPr>
      </w:pPr>
      <w:r>
        <w:t xml:space="preserve">The average wage rate of EUR 40.30 per hour at federal state level applies. </w:t>
      </w:r>
    </w:p>
    <w:p w14:paraId="33655283" w14:textId="6057877D" w:rsidR="00AE5CDE" w:rsidRPr="00BE5BA6" w:rsidRDefault="00AE5CDE" w:rsidP="00D56402">
      <w:pPr>
        <w:spacing w:before="0"/>
        <w:rPr>
          <w:rFonts w:eastAsia="Times New Roman"/>
        </w:rPr>
      </w:pPr>
      <w:r>
        <w:t xml:space="preserve">The </w:t>
      </w:r>
      <w:r>
        <w:rPr>
          <w:b/>
        </w:rPr>
        <w:t xml:space="preserve">annual compliance costs </w:t>
      </w:r>
      <w:r>
        <w:t xml:space="preserve">for the competent authorities under federal state law will change by around </w:t>
      </w:r>
      <w:r>
        <w:rPr>
          <w:b/>
        </w:rPr>
        <w:t>EUR +242 thousand</w:t>
      </w:r>
      <w:r>
        <w:t xml:space="preserve"> as a result.</w:t>
      </w:r>
    </w:p>
    <w:p w14:paraId="30650D06" w14:textId="6A1AB313" w:rsidR="00337B44" w:rsidRPr="00BE5BA6" w:rsidRDefault="00337B44" w:rsidP="00D56402">
      <w:pPr>
        <w:spacing w:before="0" w:after="160"/>
        <w:jc w:val="left"/>
        <w:rPr>
          <w:rFonts w:eastAsia="Calibri"/>
          <w:color w:val="000000"/>
        </w:rPr>
      </w:pPr>
      <w:r>
        <w:rPr>
          <w:color w:val="000000"/>
        </w:rPr>
        <w:t>Article 2 (Amendment to the Circular Economy Act – KrwG)</w:t>
      </w:r>
    </w:p>
    <w:p w14:paraId="03B89F29" w14:textId="226D84C9" w:rsidR="005B6303" w:rsidRPr="00BE5BA6" w:rsidRDefault="00337B44" w:rsidP="00A979FD">
      <w:pPr>
        <w:keepNext/>
        <w:spacing w:before="0" w:after="160"/>
        <w:jc w:val="left"/>
        <w:rPr>
          <w:rFonts w:eastAsia="Calibri"/>
          <w:b/>
          <w:color w:val="000000"/>
        </w:rPr>
      </w:pPr>
      <w:r>
        <w:rPr>
          <w:b/>
          <w:color w:val="000000"/>
        </w:rPr>
        <w:t>Requirements 37 and 38: Minimum requirements for waste management plans; waste prevention programmes; Article 2 § 30(6) and § 33(3)(2) of the Circular Economy Act</w:t>
      </w:r>
    </w:p>
    <w:p w14:paraId="080A130E" w14:textId="6217F527" w:rsidR="005B6303" w:rsidRPr="00BE5BA6" w:rsidRDefault="005B6303" w:rsidP="00D56402">
      <w:pPr>
        <w:spacing w:before="0" w:after="160"/>
        <w:jc w:val="left"/>
        <w:rPr>
          <w:rFonts w:eastAsia="Calibri"/>
          <w:color w:val="000000"/>
        </w:rPr>
      </w:pPr>
      <w:r>
        <w:t xml:space="preserve">The measures to be included by the amendment pursuant to Article 2(1) and (2) may be </w:t>
      </w:r>
      <w:r>
        <w:rPr>
          <w:color w:val="000000"/>
        </w:rPr>
        <w:t>incorporated into the respective programme on the occasion of the next update of the waste management plans or the waste prevention programme, and reference may be made to the website of the Federal Ministry of the Environment to present the measures.</w:t>
      </w:r>
      <w:r w:rsidR="00C059FB">
        <w:rPr>
          <w:color w:val="000000"/>
        </w:rPr>
        <w:t xml:space="preserve"> </w:t>
      </w:r>
      <w:r>
        <w:rPr>
          <w:color w:val="000000"/>
        </w:rPr>
        <w:t>As such, there are no additional compliance costs.</w:t>
      </w:r>
    </w:p>
    <w:p w14:paraId="62B97264" w14:textId="12B8AD44" w:rsidR="00672136" w:rsidRPr="00BE5BA6" w:rsidRDefault="00337B44" w:rsidP="00A979FD">
      <w:pPr>
        <w:keepNext/>
        <w:spacing w:before="0" w:after="160"/>
        <w:jc w:val="left"/>
        <w:rPr>
          <w:rFonts w:eastAsia="Calibri"/>
          <w:color w:val="000000"/>
        </w:rPr>
      </w:pPr>
      <w:r>
        <w:rPr>
          <w:b/>
          <w:color w:val="000000"/>
        </w:rPr>
        <w:t xml:space="preserve">Requirement 39: </w:t>
      </w:r>
      <w:r>
        <w:rPr>
          <w:b/>
        </w:rPr>
        <w:t>Information obligations on waste prevention measures; Article 2 § 46 of the Circular Economy Act</w:t>
      </w:r>
    </w:p>
    <w:p w14:paraId="073134AB" w14:textId="51DBB370" w:rsidR="005B6303" w:rsidRPr="00BE5BA6" w:rsidRDefault="00672136" w:rsidP="005B6303">
      <w:pPr>
        <w:spacing w:before="0" w:after="160" w:line="259" w:lineRule="auto"/>
        <w:jc w:val="left"/>
        <w:rPr>
          <w:rFonts w:eastAsia="Calibri"/>
          <w:color w:val="000000"/>
        </w:rPr>
      </w:pPr>
      <w:r>
        <w:rPr>
          <w:color w:val="000000"/>
        </w:rPr>
        <w:t>The amendments under Article 2(3) merely define the existing obligation to provide advice on waste in greater detail, which does not give rise to any additional compliance costs.</w:t>
      </w:r>
    </w:p>
    <w:p w14:paraId="5FD5773F" w14:textId="747FB031" w:rsidR="00337B44" w:rsidRPr="00BE5BA6" w:rsidRDefault="00337B44" w:rsidP="005B6303">
      <w:pPr>
        <w:spacing w:before="0" w:after="160" w:line="259" w:lineRule="auto"/>
        <w:jc w:val="left"/>
        <w:rPr>
          <w:rFonts w:eastAsia="Calibri"/>
          <w:color w:val="000000"/>
        </w:rPr>
      </w:pPr>
      <w:r>
        <w:rPr>
          <w:color w:val="000000"/>
        </w:rPr>
        <w:t>Article 3 (Amendment to the Water Resources Act – WHG)</w:t>
      </w:r>
    </w:p>
    <w:p w14:paraId="4E5D3B3F" w14:textId="27A69DDD" w:rsidR="00337B44" w:rsidRPr="00BE5BA6" w:rsidRDefault="00337B44" w:rsidP="00A979FD">
      <w:pPr>
        <w:pStyle w:val="Text"/>
        <w:keepNext/>
        <w:rPr>
          <w:rFonts w:eastAsia="Calibri"/>
          <w:b/>
          <w:color w:val="000000"/>
        </w:rPr>
      </w:pPr>
      <w:r>
        <w:rPr>
          <w:b/>
          <w:color w:val="000000"/>
        </w:rPr>
        <w:t>Requirement 40: Programmes of measures; Article 3 § 45h(1) sentence 4 and § 82(2) of the Water Resources Act</w:t>
      </w:r>
    </w:p>
    <w:p w14:paraId="565A9173" w14:textId="11131F8C" w:rsidR="008309FD" w:rsidRPr="00BE5BA6" w:rsidRDefault="008309FD" w:rsidP="008309FD">
      <w:pPr>
        <w:pStyle w:val="Text"/>
      </w:pPr>
      <w:r>
        <w:t>Since the measures to be included by the amendments under Article 3(1) and (2) will be incorporated into the respective programme on the occasion of the next amendment to the programmes of measures and reference can be made to the website of the Federal Ministry of the Environment to present the measures, no additional compliance costs will arise. Reference is made to the corresponding explanations in the explanatory statement for Article 3.</w:t>
      </w:r>
    </w:p>
    <w:p w14:paraId="38436B6B" w14:textId="77777777" w:rsidR="008C6327" w:rsidRPr="00BE5BA6" w:rsidRDefault="008C6327">
      <w:pPr>
        <w:pStyle w:val="berschriftarabischBegrndung"/>
      </w:pPr>
      <w:r>
        <w:t>Additional costs</w:t>
      </w:r>
    </w:p>
    <w:p w14:paraId="060EF592" w14:textId="75B9553E" w:rsidR="008C6327" w:rsidRPr="00BE5BA6" w:rsidRDefault="00D07AC3">
      <w:pPr>
        <w:pStyle w:val="Text"/>
      </w:pPr>
      <w:r>
        <w:t>No effects on individual prices and price levels, particularly consumer price levels, are anticipated.</w:t>
      </w:r>
    </w:p>
    <w:p w14:paraId="4CD6D7A0" w14:textId="7D990788" w:rsidR="00D07AC3" w:rsidRPr="00BE5BA6" w:rsidRDefault="00D07AC3">
      <w:pPr>
        <w:pStyle w:val="berschriftarabischBegrndung"/>
      </w:pPr>
      <w:r>
        <w:t>Benefit of the Act</w:t>
      </w:r>
    </w:p>
    <w:p w14:paraId="700CCB9E" w14:textId="3FAFDB27" w:rsidR="002C2114" w:rsidRPr="00BE5BA6" w:rsidRDefault="002C2114" w:rsidP="002C2114">
      <w:pPr>
        <w:pStyle w:val="Text"/>
      </w:pPr>
      <w:r>
        <w:t xml:space="preserve">This draft Act further improves the already well-functioning system for the collection and recovery of packaging waste, which is regulated by the Packaging Act, and adapts it to the requirements of European law. This will ensure that this system remains viable in the future </w:t>
      </w:r>
      <w:r>
        <w:lastRenderedPageBreak/>
        <w:t xml:space="preserve">and contributes to the sustainable management of packaging waste. Packaging waste, which often consists of high-quality and easily recyclable materials, must be regarded as a resource. A sustainable circular economy geared to the entire use cycle of packaging offers the opportunity to effectively reduce the consumption of primary resources. </w:t>
      </w:r>
    </w:p>
    <w:p w14:paraId="35EC6782" w14:textId="25ADEE7D" w:rsidR="002C2114" w:rsidRPr="00BE5BA6" w:rsidRDefault="002C2114" w:rsidP="002C2114">
      <w:pPr>
        <w:pStyle w:val="Text"/>
      </w:pPr>
      <w:r>
        <w:t xml:space="preserve">Economic operators benefit in the long term from a recycling economy that is geared to the future and conserves resources. As recyclates are increasingly used, the primary raw materials, which in many cases are only available in finite quantities, become less important. All Member States of the European Union and ultimately all countries in the world are facing the challenges of dwindling natural resources and an increased focus on environmentally and climate-friendly consumption. The amended Packaging Act already offers incentives for innovations to meet these challenges. This will enable German companies and economic operators to remain competitive worldwide in the future. </w:t>
      </w:r>
    </w:p>
    <w:p w14:paraId="494BAA7C" w14:textId="0E6660F9" w:rsidR="002C2114" w:rsidRPr="00BE5BA6" w:rsidRDefault="002C2114" w:rsidP="002C2114">
      <w:pPr>
        <w:pStyle w:val="Text"/>
      </w:pPr>
      <w:r>
        <w:t xml:space="preserve">From an environmental point of view, this draft Act contributes above all to conserving and saving primary resources. On the one hand, this is achieved through incentives to save packaging, for example through a stronger focus on reusable packaging in the area of food and beverages for immediate consumption or through the extension of the deposit-refund obligation on single-use packaging. On the other hand, the expansion of the separate collection of certain packaging waste and the improvement and stabilisation of the already established system of collection and recycling of packaging waste will strengthen the circular economy. The stronger focus on the use of recyclates provided for in the draft Act also contributes to this. </w:t>
      </w:r>
    </w:p>
    <w:p w14:paraId="41516555" w14:textId="2EF02779" w:rsidR="002C2114" w:rsidRPr="00BE5BA6" w:rsidRDefault="002C2114" w:rsidP="002C2114">
      <w:pPr>
        <w:pStyle w:val="Text"/>
        <w:rPr>
          <w:highlight w:val="yellow"/>
        </w:rPr>
      </w:pPr>
      <w:r>
        <w:t>Expanding the single-use deposit and reducing packaging, particularly in the area of to-go food containers, will also reduce littering. Littering puts waste into the environment, causing great damage both directly to the natural environment and by entering waterways and seas. While in Germany the majority of packaging waste is already collected by the existing collection systems and recycled on the basis of ambitious recycling quotas, the draft Act takes concrete measures to tackle the types of packaging that are particularly frequently thrown away carelessly and to ensure less consumption and better collection of the resulting waste.</w:t>
      </w:r>
    </w:p>
    <w:p w14:paraId="4EB5E290" w14:textId="2D8F8B82" w:rsidR="00D07AC3" w:rsidRPr="00BE5BA6" w:rsidRDefault="008C6327" w:rsidP="00D07AC3">
      <w:pPr>
        <w:pStyle w:val="berschriftarabischBegrndung"/>
      </w:pPr>
      <w:r>
        <w:t>Other legal consequences</w:t>
      </w:r>
    </w:p>
    <w:p w14:paraId="55BEF51A" w14:textId="224D0E3D" w:rsidR="00D07AC3" w:rsidRPr="00BE5BA6" w:rsidRDefault="00D07AC3" w:rsidP="00A979FD">
      <w:pPr>
        <w:pStyle w:val="Text"/>
        <w:keepNext/>
      </w:pPr>
      <w:r>
        <w:t>a. Accounting for the needs of SMEs</w:t>
      </w:r>
    </w:p>
    <w:p w14:paraId="01280D43" w14:textId="04D1BBE5" w:rsidR="00D07AC3" w:rsidRPr="00BE5BA6" w:rsidRDefault="00D07AC3" w:rsidP="00D07AC3">
      <w:pPr>
        <w:pStyle w:val="Text"/>
      </w:pPr>
      <w:r>
        <w:t>In keeping with the Guidelines on accounting for the needs of SMEs in regulatory impact assessment (SME test) of 30 December 2015, it was examined whether less burdensome alternative forms of regulation or support measures are also possible. The draft Act takes into account the principle of proportionality. In the area of cost allocation, this is ensured in particular by the fact that, within the framework of extended producer responsibility, producers generally incur costs in proportion to the volume of packaging they place on the market. Consequently, small and medium-sized enterprises are not disproportionately burdened. In addition, § 34 of the new Packaging Act expressly provides for relief for small-scale distributors of packaging. Thus, the interests of small and medium-sized enterprises have been sufficiently taken into account and no general special arrangements for SMEs are necessary in this regard.</w:t>
      </w:r>
    </w:p>
    <w:p w14:paraId="0A8396B8" w14:textId="723F3299" w:rsidR="00D07AC3" w:rsidRPr="00BE5BA6" w:rsidRDefault="00D07AC3" w:rsidP="00A979FD">
      <w:pPr>
        <w:pStyle w:val="Text"/>
        <w:keepNext/>
      </w:pPr>
      <w:r>
        <w:t>b. Examination of relevance in relation to equal opportunities policy</w:t>
      </w:r>
    </w:p>
    <w:p w14:paraId="7D850726" w14:textId="7885374D" w:rsidR="00B201FF" w:rsidRPr="00BE5BA6" w:rsidRDefault="00B201FF">
      <w:pPr>
        <w:pStyle w:val="Text"/>
      </w:pPr>
      <w:r>
        <w:t>Relevance checking to be conducted in accordance with § 2 of the Joint Rules of Procedure of the Federal Ministries reveals that the draft Act entails no effects contrary to the goals of equal treatment policy, given the different living situations of men and women.</w:t>
      </w:r>
    </w:p>
    <w:p w14:paraId="6F5BFFEB" w14:textId="77777777" w:rsidR="00D07AC3" w:rsidRPr="00BE5BA6" w:rsidRDefault="00D07AC3" w:rsidP="00A979FD">
      <w:pPr>
        <w:pStyle w:val="Text"/>
        <w:keepNext/>
      </w:pPr>
      <w:r>
        <w:lastRenderedPageBreak/>
        <w:t>c. Demography check</w:t>
      </w:r>
    </w:p>
    <w:p w14:paraId="4F19A212" w14:textId="0738EF87" w:rsidR="008C6327" w:rsidRPr="00BE5BA6" w:rsidRDefault="00B201FF">
      <w:pPr>
        <w:pStyle w:val="Text"/>
      </w:pPr>
      <w:r>
        <w:t>The project is not expected to have any demographic impact such as that on birth trends, age structure, immigration, regional distribution of the population or the ratio between the generations.</w:t>
      </w:r>
    </w:p>
    <w:p w14:paraId="256B610F" w14:textId="77777777" w:rsidR="008C6327" w:rsidRPr="00BE5BA6" w:rsidRDefault="008C6327">
      <w:pPr>
        <w:pStyle w:val="berschriftrmischBegrndung"/>
      </w:pPr>
      <w:r>
        <w:t>Time limitation; evaluation</w:t>
      </w:r>
    </w:p>
    <w:p w14:paraId="01CA5EDE" w14:textId="31451FA0" w:rsidR="00741382" w:rsidRPr="00BE5BA6" w:rsidRDefault="00741382">
      <w:pPr>
        <w:pStyle w:val="Text"/>
      </w:pPr>
      <w:r>
        <w:t>A time limitation on the Act is not envisaged. The Act implements EU law.</w:t>
      </w:r>
    </w:p>
    <w:p w14:paraId="209C7FBA" w14:textId="5281D3A5" w:rsidR="0077737F" w:rsidRPr="00BE5BA6" w:rsidRDefault="0077737F">
      <w:pPr>
        <w:pStyle w:val="Text"/>
      </w:pPr>
      <w:r>
        <w:t xml:space="preserve">An evaluation of Directive (EU) 2019/904 will be carried out by the European Commission by 3 July 2027, in accordance with Article 15 of Directive (EU) 2019/904. Member States shall provide the European Commission with the additional information necessary for the evaluation and for the preparation of the report provided for in Article 15(2). For the first time, this evaluation also assesses the effectiveness of the regulations adopted to implement Directive (EU) 2019/904, such as those relating to the reduction of consumption of single-use plastic beverage cups and food packaging, product requirements and separate collection obligations for single-use plastic beverage bottles, and consumer awareness measures. </w:t>
      </w:r>
    </w:p>
    <w:p w14:paraId="50E05C74" w14:textId="148AB8F9" w:rsidR="00695F2F" w:rsidRPr="00BE5BA6" w:rsidRDefault="003B3498">
      <w:pPr>
        <w:pStyle w:val="Text"/>
      </w:pPr>
      <w:r>
        <w:t xml:space="preserve">Building on this report and the experience gained at national level by then, the Federal Government will evaluate the amendments to the Packaging Act made by this Act by 31 December 2028. The aim of the evaluation is not only to answer the question of the effectiveness of the transposition measures taken, but also to assess how the switch to product alternatives has been made. Criteria for the evaluation include the frequency of detected violations of the regulations adopted, the increased use of reusable alternatives and the type of substitute materials for plastics. Also as part of the above-mentioned evaluation by 31 December 2028, the Federal Government will assess the implementation of the requirements under Article 8a of the amended Waste Framework Directive. Here, too, the aim of the examination is to assess the extent to which the transposition provisions adopted are effective. In addition, an assessment will be made as to whether it may be appropriate to adopt supplementary provisions in order to maximise the effectiveness of the provisions concerned. </w:t>
      </w:r>
    </w:p>
    <w:p w14:paraId="51CE3E14" w14:textId="42AC62CE" w:rsidR="007A2FED" w:rsidRPr="00BE5BA6" w:rsidRDefault="00CA5F58">
      <w:pPr>
        <w:pStyle w:val="Text"/>
      </w:pPr>
      <w:r>
        <w:t xml:space="preserve">The amendments to the Packaging Act which do not result directly from the implementation of the European directives are, in addition to updates as well as additions and adjustments to simplify and improve the enforcement of the Packaging Act, in particular the expansion of the deposit obligation for drinks packaging to cans for beverages regardless of their contents. The Federal Government will also evaluate these provisions as part of the above-mentioned evaluation by 31 December 2025. The aim of the evaluation is to review their effectiveness and goal achievement. The aim of the draft Act is the further ecological development of the Packaging Act and the further improvement of resource management and resource efficiency in Germany; the aim of the updates as well as additions and adjustments is also the simplification and improvement of enforcement in particular. The expansion of the deposit-refund obligation serves to reduce littering caused by the careless discarding of these beverage cans. Criteria for the achievement of the target include the frequency of detected infringements, the take-back rate and the reduction of environmental littering by beverage cans. The data are collected by such means as using existing statistics (take-back rate, waste generation). </w:t>
      </w:r>
    </w:p>
    <w:p w14:paraId="3C3DC130" w14:textId="0E810F83" w:rsidR="003B3498" w:rsidRPr="00BE5BA6" w:rsidRDefault="00982060">
      <w:pPr>
        <w:pStyle w:val="Text"/>
      </w:pPr>
      <w:r>
        <w:t>If statistical data are not sufficient for the evaluation, a survey of the states and associations or individual companies can be carried out in addition.</w:t>
      </w:r>
    </w:p>
    <w:p w14:paraId="7D0AC518" w14:textId="77777777" w:rsidR="008C6327" w:rsidRPr="00BE5BA6" w:rsidRDefault="008C6327">
      <w:pPr>
        <w:pStyle w:val="BegrndungBesondererTeil"/>
      </w:pPr>
      <w:r>
        <w:lastRenderedPageBreak/>
        <w:t>B. Specific part</w:t>
      </w:r>
    </w:p>
    <w:p w14:paraId="3CB0ED08" w14:textId="36BEEEDA" w:rsidR="00741382" w:rsidRPr="00BE5BA6" w:rsidRDefault="00741382" w:rsidP="00A979FD">
      <w:pPr>
        <w:pStyle w:val="Text"/>
      </w:pPr>
      <w:r>
        <w:t>Re Article 1 (Amendment of the Packaging Act)</w:t>
      </w:r>
    </w:p>
    <w:p w14:paraId="09BCFF98" w14:textId="1C0DC2CB" w:rsidR="00741382" w:rsidRPr="00BE5BA6" w:rsidRDefault="00741382" w:rsidP="00A979FD">
      <w:pPr>
        <w:pStyle w:val="Text"/>
      </w:pPr>
      <w:r>
        <w:t>Re subparagraph 1 (Table of contents)</w:t>
      </w:r>
    </w:p>
    <w:p w14:paraId="38B6BC6B" w14:textId="07D7E820" w:rsidR="00741382" w:rsidRPr="00BE5BA6" w:rsidRDefault="001F76E7" w:rsidP="00A979FD">
      <w:pPr>
        <w:pStyle w:val="Text"/>
      </w:pPr>
      <w:r>
        <w:t>For reasons of clarity, the provisions of the Packaging Act are preceded by a table of contents.</w:t>
      </w:r>
    </w:p>
    <w:p w14:paraId="50E903BC" w14:textId="0D4F1697" w:rsidR="00F444D6" w:rsidRPr="00BE5BA6" w:rsidRDefault="00F444D6" w:rsidP="00A979FD">
      <w:pPr>
        <w:pStyle w:val="Text"/>
      </w:pPr>
      <w:r>
        <w:t>Re subparagraph 2 (§ 1(3))</w:t>
      </w:r>
    </w:p>
    <w:p w14:paraId="783693EE" w14:textId="2D1584FD" w:rsidR="00163F20" w:rsidRPr="00BE5BA6" w:rsidRDefault="00163F20" w:rsidP="00A979FD">
      <w:pPr>
        <w:pStyle w:val="Text"/>
      </w:pPr>
      <w:r>
        <w:t>In § 1(3), two new target provisions are inserted which, with minor adaptations, comply with the requirements of Article 9(1) of Directive (EU) 2019/904. In this respect, they reflect the separate collection obligations already applicable to the Federal Republic of Germany under Directive (EU) 2019/904 as national target provisions. Accordingly, of the single-use plastic beverage bottles as defined by § 3(4c) placed on the market for the first time each year, at least 77 % by mass shall be collected separately for recycling from 1 January 2025 and at least 90 % by mass from 1 January 2029.</w:t>
      </w:r>
    </w:p>
    <w:p w14:paraId="06EA8471" w14:textId="3DAB898F" w:rsidR="00163F20" w:rsidRPr="00BE5BA6" w:rsidRDefault="00163F20" w:rsidP="00A979FD">
      <w:pPr>
        <w:pStyle w:val="Text"/>
      </w:pPr>
      <w:r>
        <w:t>In order to achieve the separate collection targets, Article 9(1) of Directive (EU) 2019/904 provides for the possibility for Member States to introduce deposit systems, among other things. In Germany, a deposit and return system for certain single-use drinks packaging operated by producers and distributors already exists under § 31. The aim of the deposit system is to reduce the market share of single-use drinks packaging and to strengthen ecologically more advantageous return systems. It also creates an incentive to return litter and thus prevents littering. In addition, it enables single-sort collection and thus improved recycling of single-use drinks packaging. By extending the deposit obligation to almost all single-use plastic beverage bottles, the existing deposit and return system is to be used to achieve the European separate collection targets (see the explanatory statement to the amendments to § 31(4)).</w:t>
      </w:r>
    </w:p>
    <w:p w14:paraId="6DE7A9DB" w14:textId="561BBA9C" w:rsidR="00163F20" w:rsidRPr="00BE5BA6" w:rsidRDefault="00163F20" w:rsidP="00A979FD">
      <w:pPr>
        <w:pStyle w:val="Text"/>
      </w:pPr>
      <w:r>
        <w:t>Although the target provisions are not addressed to individual producers, they represent a target quota to be met by producers as a whole and will therefore have a considerable steering effect. They are to be seen as being scaled starting at different points in time. Thus, of the single-use plastic beverage bottles placed on the market for the first time each year, including their closures and lids, with a filling volume of up to 3.0 litres, must be collected separately for recycling, initially at least 77 % by mass starting 1 January 2025 and at least 90 % by mass starting 1 January 2029. The exact method of calculation will be laid down in an implementing act to be enacted by the European Commission.</w:t>
      </w:r>
    </w:p>
    <w:p w14:paraId="34B620F6" w14:textId="276EC69F" w:rsidR="00163F20" w:rsidRPr="00BE5BA6" w:rsidRDefault="00163F20" w:rsidP="00A979FD">
      <w:pPr>
        <w:pStyle w:val="Text"/>
      </w:pPr>
      <w:r>
        <w:t xml:space="preserve">Exempted from the separate collection obligation are, in implementation of Article 9 in conjunction with Part F points (a) and (b) of Directive (EU) 2019/904, single-use plastic beverage bottles which, pursuant to § 30a(3), are also exempted from the requirements under § 30a(1) and (2), i.e. those where the body of the bottle is made of glass or metal and only the caps or lids are made of plastic, or those which are intended for and used for liquid foodstuffs for special medical purposes (see in detail the explanatory statement on § 30a(3)). </w:t>
      </w:r>
    </w:p>
    <w:p w14:paraId="4F326B7B" w14:textId="5FC6966E" w:rsidR="006238D1" w:rsidRPr="00BE5BA6" w:rsidRDefault="00F444D6" w:rsidP="00A979FD">
      <w:pPr>
        <w:pStyle w:val="Text"/>
      </w:pPr>
      <w:r>
        <w:t>Re subparagraph 3 (§ 2(2) sentence 2)</w:t>
      </w:r>
    </w:p>
    <w:p w14:paraId="599EC84C" w14:textId="6085DD8A" w:rsidR="006238D1" w:rsidRPr="00BE5BA6" w:rsidRDefault="006238D1" w:rsidP="00A979FD">
      <w:pPr>
        <w:pStyle w:val="Text"/>
      </w:pPr>
      <w:r>
        <w:t>The insertion of the reference to § 19(2) of the Circular Economy Act in § 2(2) sentence 2 makes it clear that the obligations to tolerate on the part of the owners and holders of properties pursuant to § 19(1) of the Circular Economy Act also apply with regard to the collection of packaging waste by the dual systems. According to this, owners or holders of properties must, for example, tolerate the placement of yellow bins or recycling bins on their property as well as the regular emptying thereof.</w:t>
      </w:r>
    </w:p>
    <w:p w14:paraId="4008C0C2" w14:textId="4B231709" w:rsidR="00F444D6" w:rsidRPr="00BE5BA6" w:rsidRDefault="006238D1" w:rsidP="007E54AB">
      <w:pPr>
        <w:pStyle w:val="Text"/>
        <w:keepNext/>
        <w:keepLines/>
      </w:pPr>
      <w:r>
        <w:lastRenderedPageBreak/>
        <w:t>Re subparagraph 4 (§ 3 ‘Definitions’)</w:t>
      </w:r>
    </w:p>
    <w:p w14:paraId="5FCE4668" w14:textId="0A90E056" w:rsidR="00C34E6B" w:rsidRPr="00BE5BA6" w:rsidRDefault="001E50F8" w:rsidP="00A979FD">
      <w:pPr>
        <w:pStyle w:val="Text"/>
      </w:pPr>
      <w:r>
        <w:t>Re point (a) (§ 3(2))</w:t>
      </w:r>
    </w:p>
    <w:p w14:paraId="31D4C2C6" w14:textId="20FA40F7" w:rsidR="00C34E6B" w:rsidRPr="00BE5BA6" w:rsidRDefault="00C34E6B" w:rsidP="00A979FD">
      <w:pPr>
        <w:pStyle w:val="Text"/>
      </w:pPr>
      <w:r>
        <w:t>The amendment serves to update the reference to Regulation (EC) No 178/2002. The update does not entail any content-related changes.</w:t>
      </w:r>
    </w:p>
    <w:p w14:paraId="6B84D9BF" w14:textId="58684EF0" w:rsidR="001E50F8" w:rsidRPr="00BE5BA6" w:rsidRDefault="0011515E" w:rsidP="00A979FD">
      <w:pPr>
        <w:pStyle w:val="Text"/>
      </w:pPr>
      <w:r>
        <w:t>Re point (b) (§ 3(4a) to (4c) new)</w:t>
      </w:r>
    </w:p>
    <w:p w14:paraId="4B40EE93" w14:textId="3B9B122E" w:rsidR="002D2D71" w:rsidRPr="00BE5BA6" w:rsidRDefault="00F444D6" w:rsidP="00A979FD">
      <w:pPr>
        <w:pStyle w:val="Text"/>
      </w:pPr>
      <w:r>
        <w:t xml:space="preserve">Point (b) adds the new paragraphs 4a to 4c. </w:t>
      </w:r>
    </w:p>
    <w:p w14:paraId="2F846AE4" w14:textId="49AF8A4A" w:rsidR="00F444D6" w:rsidRPr="00BE5BA6" w:rsidRDefault="002D2D71" w:rsidP="00A979FD">
      <w:pPr>
        <w:pStyle w:val="Text"/>
      </w:pPr>
      <w:r>
        <w:t xml:space="preserve">§ 3(4a) defines ‘single-use plastic packaging’ as single-use packaging made wholly or partly from plastic. It is true that the concept of ‘single-use plastic article’ used in Article 3(2) of Directive (EU) 2019/904 is broader than the concept of ‘single-use plastic packaging’, since it also covers non-packaging. However, it is necessary in the present case to restrict the concept of ‘single-use plastic articles’ to the product category of packaging which is relevant to the scope of application of the Packaging Act. </w:t>
      </w:r>
    </w:p>
    <w:p w14:paraId="0605803A" w14:textId="14E4C7F1" w:rsidR="00F444D6" w:rsidRPr="00BE5BA6" w:rsidRDefault="00F444D6" w:rsidP="00F444D6">
      <w:pPr>
        <w:pStyle w:val="Text"/>
      </w:pPr>
      <w:r>
        <w:t>The initial prerequisite is that the packaging must be single-use packaging. The term ‘single-use packaging’ is already defined in § 3(4) as packaging which is not reusable packaging. In accordance with § 3(3), reusable drinks packaging is drinks packaging which is intended to be reused multiple times for the same purpose following use and whose actual return and reuse is facilitated by adequate logistics while being promoted by suitable incentive schemes, usually by means of a deposit. Furthermore, reference is made to the conventional interpretation of these terms in the Packaging Act and to the explanations in Bundestag Document 18/11274 of 22/2/2017, p. 82 et seq. The negative distinction of single-use packaging from reusable packaging thus corresponds to the negative distinction from reusable articles contained in the definition of single-use plastic article in Article 3(2) of Directive (EU) 2019/904. It is not expressly included in the definition under the Packaging Act, but is inherent in the concept of ‘reuse’ (see, to that effect, § 3(21) of the Circular Economy Act (KrWG)), that the packaging may not become waste when reused. In this respect, there was no need for the explicit adoption of ‘undergoing multiple product cycles’ from the standard of Article 3(2) of Directive (EU) 2019/904 to be transposed.</w:t>
      </w:r>
    </w:p>
    <w:p w14:paraId="1C14EAEB" w14:textId="35CE0728" w:rsidR="00F444D6" w:rsidRPr="00BE5BA6" w:rsidRDefault="00F444D6" w:rsidP="00F444D6">
      <w:pPr>
        <w:pStyle w:val="Text"/>
      </w:pPr>
      <w:r>
        <w:t>In accordance with Article 12, sentence 2 of Directive (EU) 2019/904, the European Commission shall, in consultation with the Member States, publish guidelines on the interpretation of the term ‘single-use plastic articles’. Among other things, these guidelines are intended to provide examples of what constitutes a single-use plastic article for the purposes of Directive (EU) 2019/904. As this includes single-use plastic packaging, the guidelines can also be used in the interpretation and enforcement of the applicable provisions (see also recital 12 of Directive (EU) 2019/904).</w:t>
      </w:r>
    </w:p>
    <w:p w14:paraId="6984F589" w14:textId="4E3D18D7" w:rsidR="00F444D6" w:rsidRPr="00BE5BA6" w:rsidRDefault="00F444D6" w:rsidP="00F444D6">
      <w:pPr>
        <w:pStyle w:val="Text"/>
      </w:pPr>
      <w:r>
        <w:t>Furthermore, single-use plastic packaging must be made wholly or partly from plastic. This clarifies that the definition is only fulfilled if the packaging is at least partly made from plastic (see the newly inserted definition of plastic in § 3(21)), in which the amount of plastic content is irrelevant. As such, even small quantities of plastic (for example, in coatings) lead to a packaging being regarded as single-use plastic packaging, provided that, according to the definition, the plastic contained can generally act as a main structural component of end products. Thus, composite packaging as defined by § 3(5) also constitutes single-use plastic packaging, provided that it is not reusable packaging.</w:t>
      </w:r>
    </w:p>
    <w:p w14:paraId="182D7A69" w14:textId="589C04DB" w:rsidR="002D2D71" w:rsidRPr="00BE5BA6" w:rsidRDefault="002D2D71" w:rsidP="002D2D71">
      <w:pPr>
        <w:pStyle w:val="Text"/>
      </w:pPr>
      <w:r>
        <w:t xml:space="preserve">The new § 3(4b) defines the term ‘single-use plastic food packaging’, largely corresponding in content to Part A(2) of the Annex to Directive (EU) 2019/904. Article 12 of Directive (EU) 2019/904 provides that, for the purposes of determining whether food packaging is to be regarded as a single-use plastic item for the purposes of that directive, the decisive factor is also whether, by reason of its volume or size, that packaging tends to be carelessly discarded, in particular where individual portions are involved. If necessary, the guidelines to be published by the European Commission in consultation with the Member States can </w:t>
      </w:r>
      <w:r>
        <w:lastRenderedPageBreak/>
        <w:t>be used as a supplement for this purpose. These should include, where appropriate, examples of what should be considered as single-use plastic articles for the purposes of the above directive. The criteria set out in § 3(4b)(1) to (3) restrict the definition of single-use plastic food packaging to packaging for foodstuffs for immediate consumption, i.e. packaging for ‘to go’ foods or ‘fast food’ packaging. The definition is mainly needed to describe the single-use plastic food packaging addressed in § 35(1) in greater detail. Inherent in the definition is the concept of single-use plastic packaging, which is redefined in § 3(4a).</w:t>
      </w:r>
    </w:p>
    <w:p w14:paraId="3E980AE8" w14:textId="7B5C3B53" w:rsidR="006B57AC" w:rsidRPr="00BE5BA6" w:rsidRDefault="006B57AC" w:rsidP="006B57AC">
      <w:pPr>
        <w:pStyle w:val="Text"/>
      </w:pPr>
      <w:r>
        <w:t>The new § 3(4c) defines the term ‘single-use plastic beverage bottle’. This is a special form of single-use plastic drinks packaging. Therefore, all characteristics of ‘single-use plastic packaging’ according to § 3(4a) (new) must first be fulfilled (see the explanatory statement under subparagraph 4(b)). In addition, the packaging must be ‘drinks packaging’ as defined by § 3(2). According to § 3(2), drinks packaging is closed or predominantly closed sales packaging for liquid foodstuffs as defined in Article 2 of Regulation (EC) No 178/2002 intended for consumption as a drink. The single-use plastic beverage bottle as closed or predominantly closed sales packaging therefore also includes the cap or lid, which is again clarified in the definition. Accordingly, non-sealable containers and carafes as well as cups and mugs, for example, are not to be regarded as single-use plastic beverage bottles.</w:t>
      </w:r>
    </w:p>
    <w:p w14:paraId="6153748D" w14:textId="201D13AD" w:rsidR="00350421" w:rsidRPr="00BE5BA6" w:rsidRDefault="006B57AC" w:rsidP="006B57AC">
      <w:pPr>
        <w:pStyle w:val="Text"/>
      </w:pPr>
      <w:r>
        <w:t>The additional limitation to a ‘bottle shape’ distinguishes the single-use plastic beverage bottle from other single-use plastic drinks packaging, such as plastic-coated beverage cartons, which are predominantly rectangular in shape. The term ‘single-use plastic beverage bottle’ thus also covers all beverage bottles to which the requirements under Article 6(5) and Article 9(1) in conjunction with Part F of the Annex to Directive (EU) 2019/904 apply. Unless the definition of bottle is already self-evident, the guidelines of the European Commission to be published in accordance with Article 12 of Directive (EU) 2019/904 may be consulted for a more detailed interpretation. The guidelines, which are currently still in draft form, define beverage bottles, with reference to other statutory and non-statutory sources of knowledge, as beverage containers with a narrow neck or mouth and a capacity of up to three litres, including their caps and lids, which are used to contain beverages. Additional reference is made to ISO 21067-1:2016, according to which bottles are rigid packages, typically made of glass or plastic, having a comparatively narrow neck or mouth, with a cap and usually without a handle.</w:t>
      </w:r>
    </w:p>
    <w:p w14:paraId="26691427" w14:textId="10C7754A" w:rsidR="00350421" w:rsidRPr="00BE5BA6" w:rsidRDefault="00350421" w:rsidP="00D835E0">
      <w:pPr>
        <w:pStyle w:val="Text"/>
      </w:pPr>
      <w:r>
        <w:t>In addition, adopting the requirements from Part F of the Annex to Directive (EU) 2019/904, single-use plastic beverage bottles are limited to a filling volume of up to 3.0 litres.</w:t>
      </w:r>
    </w:p>
    <w:p w14:paraId="79479572" w14:textId="4EEB5C24" w:rsidR="001E50F8" w:rsidRPr="00BE5BA6" w:rsidRDefault="001E50F8" w:rsidP="00F444D6">
      <w:pPr>
        <w:pStyle w:val="Text"/>
      </w:pPr>
      <w:r>
        <w:t>Re point (c) (§ 3a(14a) new)</w:t>
      </w:r>
    </w:p>
    <w:p w14:paraId="4E204822" w14:textId="268AD439" w:rsidR="00346982" w:rsidRPr="00BE5BA6" w:rsidRDefault="00346982" w:rsidP="00346982">
      <w:pPr>
        <w:pStyle w:val="Text"/>
      </w:pPr>
      <w:r>
        <w:t>The new § 3(14a) introduces the concept of an authorised representative. § 3(14a), together with the new provision in § 35(2) (see the amendment to subparagraph 28), serves to implement the requirements of Article 8a(5) subsections 3 and 4 of Directive 2008/98/EC. The provisions on the authorised representative are intended to make it easier for foreign producers to assume product responsibility within the scope of this Act, in that the producer’s obligations can be transferred to the authorised representative by means of a mandate to that effect. To do so, however, it is essential for the authorised representative to be established in the area covered by this Act and to perform the tasks in its own name.</w:t>
      </w:r>
    </w:p>
    <w:p w14:paraId="2FA687C3" w14:textId="36FC5DD5" w:rsidR="00346982" w:rsidRPr="00BE5BA6" w:rsidRDefault="00346982" w:rsidP="00346982">
      <w:pPr>
        <w:pStyle w:val="Text"/>
      </w:pPr>
      <w:r>
        <w:t>Re point (d) (§ 3(14b) and (14c) new)</w:t>
      </w:r>
    </w:p>
    <w:p w14:paraId="6D0E32AF" w14:textId="7E50D86D" w:rsidR="001E50F8" w:rsidRPr="00BE5BA6" w:rsidRDefault="001E50F8" w:rsidP="001E50F8">
      <w:pPr>
        <w:pStyle w:val="Text"/>
      </w:pPr>
      <w:r>
        <w:t>A definition of the electronic marketplace is inserted in § 3(14b) sentence 1. The definition is essentially based on the existing definition in § 25e(5) of the Value-Added Tax Act. Sentence 2 defines the operator of an electronic marketplace. This is the acting agent of an electronic marketplace and can therefore be considered to be the addressee of obligations. The definition is based on § 25e(6) of the Value-Added Tax Act.</w:t>
      </w:r>
    </w:p>
    <w:p w14:paraId="03EC3EEE" w14:textId="136A36E1" w:rsidR="001E50F8" w:rsidRPr="00BE5BA6" w:rsidRDefault="001E50F8" w:rsidP="001E50F8">
      <w:pPr>
        <w:pStyle w:val="Text"/>
      </w:pPr>
      <w:r>
        <w:lastRenderedPageBreak/>
        <w:t>The new § 3(14c) sentence 1 contains a definition of fulfilment service provider. The definition is based on Article 3(11) of Regulation (EU) 2019/1020 of the European Parliament and of the Council of 20 June 2019 on market surveillance and compliance of products and amending Directive 2004/42/EC and Regulations (EC) No 765/2008 and (EU) No 305/2011. Explicitly excluded from the activities of a fulfilment service provider, pursuant to § 3(14c)(2), are postal services pursuant to § 4 of the Postal Act, parcel delivery services pursuant to Regulation (EU) 2018/644 of the European Parliament and of the Council of 18 April 2018 on cross-border parcel delivery services.</w:t>
      </w:r>
    </w:p>
    <w:p w14:paraId="5158A879" w14:textId="6CC80F22" w:rsidR="001E50F8" w:rsidRPr="00BE5BA6" w:rsidRDefault="00C34E6B" w:rsidP="00F444D6">
      <w:pPr>
        <w:pStyle w:val="Text"/>
      </w:pPr>
      <w:r>
        <w:t>Re point (e) (§ 3(21) new)</w:t>
      </w:r>
    </w:p>
    <w:p w14:paraId="2CCC8381" w14:textId="280D3A80" w:rsidR="00F444D6" w:rsidRPr="00BE5BA6" w:rsidRDefault="001E50F8" w:rsidP="00F444D6">
      <w:pPr>
        <w:pStyle w:val="Text"/>
      </w:pPr>
      <w:r>
        <w:t>Point (e) adds a new paragraph 21 to § 3. Paragraph 21 defines the term ‘plastic’ as a material consisting of a polymer that can function as a main structural component of final products in accordance with the definition under European law in Article 3(2) of Directive (EU) 2019/904. The definition of polymer in Article 3(5) of Regulation (EC) No 1907/2006 shall apply. According to this definition, a polymer is a substance consisting of molecules characterised by a chain of one or more types of monomer units. These molecules must be within a certain molecular weight range, the differences in molecular weight being essentially due to differences in the number of monomer units. A polymer is defined on the one hand as containing a simple weight majority of molecules having at least three monomer units which have formed a covalent bond with at least one other monomer unit or reactant and, on the other hand, less than a simple weight majority of molecules having the same molecular weight. According to the definition under EU law, it is irrelevant for the classification of a material as plastic if additives or other substances are added to it. Paints, inks and adhesives cannot act as the main structural component of final products and therefore do not fall within the definition. The definition of ‘plastic’, which has been adapted compared to the chemicals legislation, also includes polymer-based rubber articles as well as bio-based and biodegradable plastics, regardless of whether they are derived from biomass and whether they decompose over time (cf. recital 11 of Directive (EU) 2019/904). However, the definition excludes materials consisting of natural polymers that have not been chemically modified.</w:t>
      </w:r>
    </w:p>
    <w:p w14:paraId="3CDDB392" w14:textId="662361D2" w:rsidR="00F444D6" w:rsidRPr="00BE5BA6" w:rsidRDefault="00F444D6" w:rsidP="00F444D6">
      <w:pPr>
        <w:pStyle w:val="Text"/>
      </w:pPr>
      <w:r>
        <w:t>The definition of plastic under § 3(21) (new) corresponds to the definition of plastic in Directive (EU) 2019/904. It deviates slightly from the definition of plastics in Article 3(1a) of Directive 94/62/EC in that the half sentence ‘with the exception of materials made from natural polymers that have not been chemically modified’ is included in the definition in Directive (EU) 2019/904 and consequently also in the national definition of plastics in § 3(21) (new), but not in the definition of plastics in Directive 94/62/EC, which is thus somewhat broader. However, the definition of plastic in Directive 94/62/EC exclusively refers to carrier bags. Since commercially available plastic carrier bags are generally not made of natural polymers that have not been chemically modified, it is not to be expected that the exclusion of these polymers from the definition of plastic will have any practical impact on the scope of the national prohibition of plastic carrier bags.</w:t>
      </w:r>
    </w:p>
    <w:p w14:paraId="68F81D93" w14:textId="2711899B" w:rsidR="00F444D6" w:rsidRPr="00BE5BA6" w:rsidRDefault="00F444D6" w:rsidP="00F444D6">
      <w:pPr>
        <w:pStyle w:val="Text"/>
      </w:pPr>
      <w:r>
        <w:t>The European Commission guidelines referred to above on § 3(4a) will also provide further clarification on the definition of plastics, in particular on the interpretation of the terms ‘natural polymer’ and ‘chemically unmodified’, in order to ensure uniform enforcement in the Member States.</w:t>
      </w:r>
    </w:p>
    <w:p w14:paraId="22C23492" w14:textId="1966668D" w:rsidR="001E50F8" w:rsidRPr="00BE5BA6" w:rsidRDefault="00741382" w:rsidP="001E50F8">
      <w:pPr>
        <w:pStyle w:val="Text"/>
      </w:pPr>
      <w:r>
        <w:t>Re subparagraph 5 (§ 4 ‘General requirements pertaining to packaging’)</w:t>
      </w:r>
    </w:p>
    <w:p w14:paraId="0F67913F" w14:textId="77777777" w:rsidR="001E50F8" w:rsidRPr="00BE5BA6" w:rsidRDefault="001E50F8" w:rsidP="001E50F8">
      <w:pPr>
        <w:pStyle w:val="Text"/>
      </w:pPr>
      <w:r>
        <w:t xml:space="preserve">The addition clarifies that the general requirements for packaging according to § 4 must already be observed during the development of packaging. </w:t>
      </w:r>
    </w:p>
    <w:p w14:paraId="25815F2D" w14:textId="0F15727F" w:rsidR="001E50F8" w:rsidRPr="00BE5BA6" w:rsidRDefault="001E50F8" w:rsidP="001E50F8">
      <w:pPr>
        <w:pStyle w:val="Text"/>
      </w:pPr>
      <w:r>
        <w:t xml:space="preserve">The provision serves to implement the first subparagraph of Article 8(1)(1) of Directive 2008/98/EC in conjunction with Article 7(2) of Directive 94/62/EC. Article 7(2) of Directive 94/62/EC requires Member States to introduce extended producer responsibility </w:t>
      </w:r>
      <w:r>
        <w:lastRenderedPageBreak/>
        <w:t>(EPR) schemes for all packaging. The concept of EPR schemes is to be understood as a set of measures taken by Member States to ensure that producers of products bear financial responsibility or financial and organisational responsibility for management of the waste stage of a product’s life cycle (see Article 3(21) of Directive 2008/98/EC). According to Directive 2008/98/EC, a producer is also any natural or legal person who professionally develops products (see Article 8(1)(1) second half-sentence of Directive 2008/98/EC). This means that the requirements for EPR must already be met during the development of products. Therefore, the Packaging Act should therefore explicitly address the development of a product in terms of EPR in the future. However, the inclusion of product development already results from the requirements for the manufacture or market placement of a product, since it is essential for a product or packaging to be placed on the market to have been developed before it is placed on the market and thus the requirements which the Packaging Act imposes on the packaging placed on the market must already be taken into consideration during development.</w:t>
      </w:r>
    </w:p>
    <w:p w14:paraId="24542E14" w14:textId="44D63C65" w:rsidR="00BF6632" w:rsidRPr="00BE5BA6" w:rsidRDefault="001E50F8" w:rsidP="001E50F8">
      <w:pPr>
        <w:pStyle w:val="Text"/>
      </w:pPr>
      <w:r>
        <w:t>Re subparagraph 6 (§ 5(3) (new))</w:t>
      </w:r>
    </w:p>
    <w:p w14:paraId="6315914A" w14:textId="0523BB51" w:rsidR="003F0FC7" w:rsidRPr="00BE5BA6" w:rsidRDefault="00BF6632" w:rsidP="00D56402">
      <w:r>
        <w:t xml:space="preserve">The Single-Use Plastics Prohibition Ordinance implements Article 5 of Directive (EU) 2019/904 and contains marketing restrictions for certain single-use plastic items in § 3, which covers both packaging and non-packaging. The new § 5(3) is intended to clarify that paragraph 5 of the Packaging Act is not exhaustive as regards restrictions on the marketing of packaging, but that the restrictions laid down in § 3 of the Single-Use Plastics Prohibition Ordinance also apply to packaging. This clarification is also appropriate in light of the already existing § 2(3), since the provision there presupposes that the packaging has been placed on the market. However, the clause in § 2(3) concerning statutory provisions with special requirements for packaging includes the case that requirements for the labelling of packaging are standardised in an ordinance based on the Circular Economy Act in transposition of Article 7 of Directive (EU) 2019/904. </w:t>
      </w:r>
    </w:p>
    <w:p w14:paraId="5D58D81B" w14:textId="105FA451" w:rsidR="001E50F8" w:rsidRPr="00C059FB" w:rsidRDefault="00BF6632" w:rsidP="001E50F8">
      <w:pPr>
        <w:pStyle w:val="Text"/>
        <w:rPr>
          <w:lang w:val="fr-FR"/>
        </w:rPr>
      </w:pPr>
      <w:r w:rsidRPr="00C059FB">
        <w:rPr>
          <w:lang w:val="fr-FR"/>
        </w:rPr>
        <w:t>Re subparagraph 7 (§ 7 ‘Scheme participation obligation’)</w:t>
      </w:r>
    </w:p>
    <w:p w14:paraId="29A01B44" w14:textId="402F65E2" w:rsidR="00E027C4" w:rsidRPr="00BE5BA6" w:rsidRDefault="00E027C4" w:rsidP="001E50F8">
      <w:pPr>
        <w:pStyle w:val="Text"/>
      </w:pPr>
      <w:r>
        <w:t>Re point (a) (§ 7(1))</w:t>
      </w:r>
    </w:p>
    <w:p w14:paraId="776852E9" w14:textId="25E75093" w:rsidR="00B56EFE" w:rsidRPr="00BE5BA6" w:rsidRDefault="00B56EFE" w:rsidP="001E50F8">
      <w:pPr>
        <w:pStyle w:val="Text"/>
      </w:pPr>
      <w:r>
        <w:t>Re sub-point (aa) (§ 7(1) sentence 1)</w:t>
      </w:r>
    </w:p>
    <w:p w14:paraId="1945DE20" w14:textId="1A78A83F" w:rsidR="00B56EFE" w:rsidRPr="00BE5BA6" w:rsidRDefault="00B56EFE" w:rsidP="001E50F8">
      <w:pPr>
        <w:pStyle w:val="Text"/>
      </w:pPr>
      <w:r>
        <w:t>The insertion of the words ‘before placing on the market’ clarifies the point in time at which participation in the scheme must take place. This is already apparent from the system of the Act, since the revised prohibition of distribution in § 7(7) automatically applies to packaging which is subject to the scheme participation obligation and which is not yet part of a system at the time it is placed on the market. It is now also clear from the wording of the law that placing on the market for the first time without prior participation in the scheme already constitutes a violation of the law and fulfils the objective criteria for the administrative offence of non-participation pursuant to § 36(1)(3).</w:t>
      </w:r>
    </w:p>
    <w:p w14:paraId="0D3C5D22" w14:textId="748EABEC" w:rsidR="00B56EFE" w:rsidRPr="00BE5BA6" w:rsidRDefault="00B56EFE" w:rsidP="001E50F8">
      <w:pPr>
        <w:pStyle w:val="Text"/>
      </w:pPr>
      <w:r>
        <w:t>Re sub-point (bb) (§ 7(1) sentence 4)</w:t>
      </w:r>
    </w:p>
    <w:p w14:paraId="0E669F24" w14:textId="5AA2687C" w:rsidR="001E50F8" w:rsidRPr="00BE5BA6" w:rsidRDefault="001F73D6" w:rsidP="001E50F8">
      <w:pPr>
        <w:pStyle w:val="Text"/>
      </w:pPr>
      <w:r>
        <w:t>The prohibition of distribution in respect of packaging which is subject to the scheme participation obligation and which the producer has not entered into a scheme is extended in content and reworded in paragraph 7 (see the explanatory statement on point (c)). As such, the previous prohibition of distribution in § 7(1) sentence 4 can be deleted.</w:t>
      </w:r>
    </w:p>
    <w:p w14:paraId="4EF68009" w14:textId="6110202B" w:rsidR="00E027C4" w:rsidRPr="00BE5BA6" w:rsidRDefault="00E027C4" w:rsidP="001E50F8">
      <w:pPr>
        <w:pStyle w:val="Text"/>
      </w:pPr>
      <w:r>
        <w:t xml:space="preserve">Re point b (§ 7(2) sentence 3) </w:t>
      </w:r>
    </w:p>
    <w:p w14:paraId="4930B0C9" w14:textId="51540C42" w:rsidR="006D472D" w:rsidRPr="00BE5BA6" w:rsidRDefault="006D472D" w:rsidP="001E50F8">
      <w:pPr>
        <w:pStyle w:val="Text"/>
      </w:pPr>
      <w:r>
        <w:t xml:space="preserve">As the parties who fill the service packaging with goods, final distributors of service packaging are subject to the scheme participation obligation pursuant to paragraph 1 as a general rule. With the exceptional possibility under § 7(2) of transferring the scheme participation obligation to an upstream distributor of the service packaging, the producer obligations under § 9 to § 11 are also transferred to the upstream distributor in accordance </w:t>
      </w:r>
      <w:r>
        <w:lastRenderedPageBreak/>
        <w:t>with sentence 3. The result would be that a final distributor who is actually subject to the obligation would no longer have to register in the Packaging Register pursuant to § 9 if it transferred the scheme participation obligation for all the packaging it placed on the market to an upstream distributor. As a result, many initial distributors of filled service packaging would not appear in the Packaging Register.</w:t>
      </w:r>
    </w:p>
    <w:p w14:paraId="7036AF3C" w14:textId="4DC02823" w:rsidR="00F8262C" w:rsidRPr="00BE5BA6" w:rsidRDefault="006D472D" w:rsidP="001E50F8">
      <w:pPr>
        <w:pStyle w:val="Text"/>
      </w:pPr>
      <w:r>
        <w:t xml:space="preserve">In order to close the resulting transparency gap in the Packaging Register and to implement Article 8a(5)(1) of Directive 2008/98/EC, § 7(2) sentence 3 is supplemented by a half-sentence, according to which the </w:t>
      </w:r>
      <w:r>
        <w:rPr>
          <w:rStyle w:val="RevisionText"/>
          <w:color w:val="auto"/>
        </w:rPr>
        <w:t>final distributor, as the actual producer pursuant to paragraph 1, sentence 1, remains obliged to additionally register in accordance with § 9, i.e. in addition to the upstream distributor to whom the producer obligations have been transferred</w:t>
      </w:r>
      <w:r>
        <w:t xml:space="preserve">. In accordance with the second half-sentence of § 9 sentence 2, half-sentence 2, the distributor must, where appropriate, declare that it is only placing service packaging on the market which has already been placed on the market by its upstream distributors. Since this is a one-time registration, it does not place an excessive burden on small and medium-sized enterprises. </w:t>
      </w:r>
    </w:p>
    <w:p w14:paraId="038D88D1" w14:textId="5FD09B4F" w:rsidR="00E027C4" w:rsidRPr="00BE5BA6" w:rsidRDefault="00E027C4" w:rsidP="001E50F8">
      <w:pPr>
        <w:pStyle w:val="Text"/>
      </w:pPr>
      <w:r>
        <w:t>Re point (c) (§ 7(7) (new))</w:t>
      </w:r>
    </w:p>
    <w:p w14:paraId="220FEB57" w14:textId="48DB602E" w:rsidR="005F0405" w:rsidRPr="00BE5BA6" w:rsidRDefault="005F0405" w:rsidP="005F0405">
      <w:pPr>
        <w:pStyle w:val="Text"/>
      </w:pPr>
      <w:r>
        <w:t xml:space="preserve">More and more packaged goods are coming to Germany from abroad via electronic platforms. As such, it is of particular importance that producers and distributors based abroad also comply with the national obligations under the Packaging Act when they place packaging on the market in Germany. In accordance with § 3(14) sentence 2, the party which imports packaging into Germany and places it on the market here for the first time is deemed to be the producer and must therefore fulfil all obligations of the producer. In the case of packaging subject to the scheme participation obligation, this includes above all registration pursuant to § 9 and scheme participation pursuant to § 7. However, experience has shown that many importers from abroad, especially those selling directly via the Internet, do not comply with these obligations sufficiently. However, the sovereign enforcement of the obligations under the Packaging Act vis-à-vis producers located abroad, in particular vis-à-vis producers located outside the EU, is fraught with considerable difficulties. </w:t>
      </w:r>
    </w:p>
    <w:p w14:paraId="08C953EE" w14:textId="079DA68D" w:rsidR="005F0405" w:rsidRPr="00BE5BA6" w:rsidRDefault="005F0405" w:rsidP="005F0405">
      <w:pPr>
        <w:pStyle w:val="Text"/>
      </w:pPr>
      <w:r>
        <w:t>In order to ensure that, in spite of this, only packaging is placed on the market in Germany which can be taken back and subsequently recycled by the parties responsible for the product, § 9(5) of the Packaging Act provides for a prohibition on the sale of packaging whose producers have not registered in the Central Authority’s Packaging Register in accordance with § 9(1). In addition, § 7(1) sentence 4 has hitherto provided for a prohibition on the sale of packaging subject to the scheme participation obligation where the producers have not participated in a scheme. However, these existing prohibitions on distribution are only directed at the producers and subsequent distributors of the packaging. The term ‘distributor’ in § 3(12) refers to all stages of trade and all distribution methods and therefore covers not only stationary retail but also online shops based in Germany. However, many online purchases are now made directly from foreign suppliers, so the previous prohibitions on distribution often have no effect.</w:t>
      </w:r>
    </w:p>
    <w:p w14:paraId="11F3D93C" w14:textId="4BA29C05" w:rsidR="001E50F8" w:rsidRPr="00BE5BA6" w:rsidRDefault="001E50F8" w:rsidP="001E50F8">
      <w:pPr>
        <w:pStyle w:val="Text"/>
      </w:pPr>
      <w:r>
        <w:t>The current prohibition of distribution in § 7(1) sentence 4 is therefore expanded and reworded in paragraph 7, in which the language is adapted to the comparable prohibition of distribution in § 9(5). In accordance with § 7(7) sentence 1, producers may not place on the market packaging which is subject to the scheme participation obligation if they have not previously participated in a scheme with the packaging in question in contravention of paragraph 1. In accordance with § 7(7) sentence 2, the prohibition on distribution also applies to all subsequent distributors. However, the prohibition of distribution does not apply if a producer operates an industry solution pursuant to § 8 instead of scheme participation, because the obligation to participate in the scheme pursuant to § 7(1) does not apply in this case.</w:t>
      </w:r>
    </w:p>
    <w:p w14:paraId="52E18C44" w14:textId="2F3D2FE1" w:rsidR="001E50F8" w:rsidRPr="00BE5BA6" w:rsidRDefault="001E50F8" w:rsidP="001E50F8">
      <w:pPr>
        <w:pStyle w:val="Text"/>
      </w:pPr>
      <w:r>
        <w:lastRenderedPageBreak/>
        <w:t>The operators of an electronic marketplace pursuant to § 3(14b) sentence 2 are now included in § 7(7) sentence 2. Since operators of an electronic marketplace merely broker the sale of goods between sellers and buyers, but do not themselves act as distributors as defined by the Packaging Act, they were not covered by the previous prohibitions on distribution. They are therefore now expressly prohibited from enabling distributors to offer for sale on their electronic marketplaces in Germany packaging which is subject to the scheme participation obligation if, contrary to paragraph 1, the producers have not participated in a scheme with that packaging. This implicitly obliges them to verify participation in the scheme. However, it is up to them to decide on the appropriate way to do so. Submitting a scheme confirmation issued to the respective producer in accordance with § 7(1) sentence 3 should generally be sufficient for this purpose.</w:t>
      </w:r>
    </w:p>
    <w:p w14:paraId="31CEF2C2" w14:textId="2DB0C898" w:rsidR="001E50F8" w:rsidRPr="00BE5BA6" w:rsidRDefault="001E50F8" w:rsidP="001E50F8">
      <w:pPr>
        <w:pStyle w:val="Text"/>
      </w:pPr>
      <w:r>
        <w:t>Fulfilment service providers under the newly added § 3(14c) were not previously covered by the prohibitions on distribution either. Through their services, they assist distributors in placing goods on the market, for example by storing, packaging, addressing and shipping the goods. For this reason, their services are often used by distributors based abroad to place goods on the German market. Since fulfilment service providers usually merely act as vicarious agents for distributors, they are not themselves to be regarded as distributors as defined by the Packaging Act. For this reason they are expressly addressed in the new § 7(7) sentence 3, which in future prohibits them from assisting in the placing on the market of packaging subject to the scheme participation obligation if, contrary to paragraph 1, the producers of such packaging have not participated in a scheme. Thus, there is also an implicit verification obligation for fulfilment service providers with regard to scheme participation.</w:t>
      </w:r>
    </w:p>
    <w:p w14:paraId="6B43BF16" w14:textId="7C5636EA" w:rsidR="001E50F8" w:rsidRPr="00BE5BA6" w:rsidRDefault="001E50F8" w:rsidP="001E50F8">
      <w:pPr>
        <w:pStyle w:val="Text"/>
      </w:pPr>
      <w:r>
        <w:t>The second half-sentence of sentence 3 also clarifies that fulfilment service providers are not to be regarded as distributors of shipping packaging, even if they themselves fill the shipping packaging with goods. In this case, the shipping packaging is instead to be attributed to the distributor on whose behalf it is filled and dispatched, as the party responsible for the product. The latter is therefore to be regarded as the producer and is therefore also obliged to participate in the scheme, provided that the packaging in question is subject to the scheme participation obligation, which is generally the case with shipping packaging.</w:t>
      </w:r>
    </w:p>
    <w:p w14:paraId="7AF81BBC" w14:textId="2F3A89F2" w:rsidR="001E50F8" w:rsidRPr="00BE5BA6" w:rsidRDefault="001E50F8">
      <w:pPr>
        <w:pStyle w:val="Text"/>
      </w:pPr>
      <w:r>
        <w:t>The expansion of the prohibition on distribution also serves to transpose Article 8a(5) of Directive 2008/98/EC. This requires the establishment of an appropriate monitoring and enforcement framework to ensure that producers and organisations subject to obligation by the EPR comply with their obligations in distance selling.</w:t>
      </w:r>
    </w:p>
    <w:p w14:paraId="709F2604" w14:textId="73CAE260" w:rsidR="001E50F8" w:rsidRPr="00BE5BA6" w:rsidRDefault="001E50F8" w:rsidP="001E50F8">
      <w:pPr>
        <w:pStyle w:val="Text"/>
      </w:pPr>
      <w:r>
        <w:t xml:space="preserve">Re subparagraph 8 (§ 8 ‘Industry solution’) </w:t>
      </w:r>
    </w:p>
    <w:p w14:paraId="00EAF3E9" w14:textId="55280208" w:rsidR="000C688C" w:rsidRPr="00BE5BA6" w:rsidRDefault="000C688C" w:rsidP="001E50F8">
      <w:pPr>
        <w:pStyle w:val="Text"/>
      </w:pPr>
      <w:r>
        <w:t>Re point (a) (§ 8(3) sentence 3)</w:t>
      </w:r>
    </w:p>
    <w:p w14:paraId="2E668DE9" w14:textId="0C60F390" w:rsidR="000C688C" w:rsidRPr="00BE5BA6" w:rsidRDefault="000C688C" w:rsidP="001E50F8">
      <w:pPr>
        <w:pStyle w:val="Text"/>
      </w:pPr>
      <w:r>
        <w:t>The amendment serves to adapt the wording to the new wording in § 17(3) sentence 1. It contains no changes in terms of content. In particular, § 8(3) sentence 3 retains the requirement for a written volume flow record due to the proof of the points of origin to be included as per sentence 2. Unlike in § 17(3) sentence 1, electronic form is not explicitly stipulated here.</w:t>
      </w:r>
    </w:p>
    <w:p w14:paraId="3842BBA0" w14:textId="289FCB2C" w:rsidR="001E50F8" w:rsidRPr="00BE5BA6" w:rsidRDefault="001E50F8" w:rsidP="001E50F8">
      <w:pPr>
        <w:pStyle w:val="Text"/>
      </w:pPr>
      <w:r>
        <w:t>Re point (b) (§ 8(4) (new))</w:t>
      </w:r>
    </w:p>
    <w:p w14:paraId="644FAFCA" w14:textId="10ACF781" w:rsidR="001E50F8" w:rsidRPr="00BE5BA6" w:rsidRDefault="001E50F8" w:rsidP="001E50F8">
      <w:pPr>
        <w:pStyle w:val="Text"/>
      </w:pPr>
      <w:r>
        <w:t xml:space="preserve">The addition of the new § 8(4) is for clarification purposes. Article 8a(3)(c) and (d)(i) of Directive 2008/98/EC require Member States to ensure that producers of products have, on the one hand, the necessary financial resources or financial and organisational means to meet their extended producer responsibility obligations. It can be assumed that producers are already taking precautions with regard to the provision of the necessary financial and organisational resources in order to be able to fulfil their obligations under § 8, in particular their take-back and recovery obligations. In addition, they must already comply with the </w:t>
      </w:r>
      <w:r>
        <w:lastRenderedPageBreak/>
        <w:t xml:space="preserve">requirements of commercial and company law under the current legal situation. In view of the numerous possible different forms of organisation, the provision leaves it up to the producers to decide for themselves how to ensure that the necessary financial or organisational resources are available. </w:t>
      </w:r>
    </w:p>
    <w:p w14:paraId="09E8F1B1" w14:textId="719AF908" w:rsidR="001E50F8" w:rsidRPr="00BE5BA6" w:rsidRDefault="001E50F8" w:rsidP="001E50F8">
      <w:pPr>
        <w:pStyle w:val="Text"/>
      </w:pPr>
      <w:r>
        <w:t>Secondly, the reference to § 15(5) makes it clear that producers of packaging must, in accordance with § 8, set up an appropriate self-monitoring mechanism to assess their financial management. Given the possible heterogeneity of individual producers, it is neither appropriate nor adequate to prescribe in detail the form in which the necessary financial or organisational resources and self-monitoring mechanisms are to be ensured. On the contrary, in view of the many possible different forms of organisation, the provision leaves it up to producers to decide for themselves how to ensure compliance with this provision on the basis of commercial and company law.</w:t>
      </w:r>
    </w:p>
    <w:p w14:paraId="1FAD9EFB" w14:textId="49F333D4" w:rsidR="001E50F8" w:rsidRPr="00BE5BA6" w:rsidRDefault="001E50F8" w:rsidP="000316CF">
      <w:pPr>
        <w:pStyle w:val="Text"/>
      </w:pPr>
      <w:r>
        <w:t>Re point (c) (§ 8(5) (new))</w:t>
      </w:r>
    </w:p>
    <w:p w14:paraId="673C99C4" w14:textId="48706B9A" w:rsidR="009677C5" w:rsidRPr="00BE5BA6" w:rsidRDefault="009677C5" w:rsidP="001E50F8">
      <w:pPr>
        <w:pStyle w:val="Text"/>
      </w:pPr>
      <w:r>
        <w:t xml:space="preserve">The amendment represents a formal adjustment as a result of the insertion of the new § 8(4). The content of the former § 8(4) will now be provided for in § 8(5). This does not entail any content-related changes. </w:t>
      </w:r>
    </w:p>
    <w:p w14:paraId="5CDF56F3" w14:textId="1218307F" w:rsidR="001E50F8" w:rsidRPr="00BE5BA6" w:rsidRDefault="006238D1">
      <w:pPr>
        <w:pStyle w:val="Text"/>
      </w:pPr>
      <w:r>
        <w:t>Re subparagraph 9 (§ 9 ‘Registration’)</w:t>
      </w:r>
    </w:p>
    <w:p w14:paraId="5E1E57E6" w14:textId="0F30B14D" w:rsidR="00112FF2" w:rsidRPr="00BE5BA6" w:rsidRDefault="00112FF2">
      <w:pPr>
        <w:pStyle w:val="Text"/>
      </w:pPr>
      <w:r>
        <w:t>Re point (a) (§ 9(1) sentence 1)</w:t>
      </w:r>
    </w:p>
    <w:p w14:paraId="580571E8" w14:textId="7D6F89D4" w:rsidR="007D5DB7" w:rsidRPr="00BE5BA6" w:rsidRDefault="007D5DB7" w:rsidP="007D5DB7">
      <w:r>
        <w:t>The extension of the registration obligation serves to implement Article 8a(5) of Directive 2008/98/EC, namely to improve the monitoring and enforcement framework for the provisions on extended producer responsibility, in particular in the area of packaging subject to the scheme participation obligation. The aim is to counteract sublicensing, i.e. the fact that producers who place on the market packaging which is subject to the scheme participation obligation and who would consequently have to participate in a scheme pursuant to § 7(1) sentence 1 do not comply with those obligations. In addition, the enforcement of other provisions regulating obligations based on extended producer responsibility for producers of packaging not subject to the scheme participation obligation is improved in that these producers must also indicate the placement on the market of packaging not subject to the scheme participation obligation.</w:t>
      </w:r>
    </w:p>
    <w:p w14:paraId="4FB91FE0" w14:textId="09F1A628" w:rsidR="00855C03" w:rsidRPr="00BE5BA6" w:rsidRDefault="007D5DB7" w:rsidP="00855C03">
      <w:r>
        <w:t>The provision extends the previous registration obligation for producers of packaging subject to the scheme participation obligation, i.e. packaging filled with goods that typically accumulates as waste when it reaches private final consumers, to all producers of packaging filled with goods, i.e. also packaging not subject to the scheme participation obligation. As a result, producers will in future have to indicate the types of packaging they place on the market as per paragraph 2(7) separately when registering. This enables the Central Authority to carry out more comprehensive data cross-checking in order to counter sub-participation. This data cross-checking may also include the declaration of completeness which, pursuant to § 11(2) sentence 1, subparagraph 6 also contains information on packaging not subject to the scheme participation obligation pursuant to § 15(1) sentence 1, subparagraph 2.</w:t>
      </w:r>
    </w:p>
    <w:p w14:paraId="7EB7FC95" w14:textId="64831803" w:rsidR="007D5DB7" w:rsidRPr="00BE5BA6" w:rsidRDefault="007D5DB7" w:rsidP="007D5DB7">
      <w:r>
        <w:t xml:space="preserve">A one-time registration is envisaged, whereby producers must notify the Central Authority of their presence on the market, providing both contact information (address, telephone number and e-mail address) and their national or European tax identification number. This means that, in future, producers of packaging not subject to the scheme participation obligation will also have to register once with the Central Authority before placing packaging filled with goods on the market. As a result of the extension, those producers who place both packaging subject to the scheme participation obligation and packaging not subject to the scheme participation obligation on the market must also be registered – on a one-time basis – for the packaging they place on the market that is not subject to the scheme participation obligation. However, producers of (still) unfilled packaging are not included in </w:t>
      </w:r>
      <w:r>
        <w:lastRenderedPageBreak/>
        <w:t>the registration obligation, as they cannot be subject to the scheme participation obligation and are therefore do not come into consideration for data cross-checking by the Central Authority.</w:t>
      </w:r>
    </w:p>
    <w:p w14:paraId="34F1A645" w14:textId="4ED20A9D" w:rsidR="007D5DB7" w:rsidRPr="00BE5BA6" w:rsidRDefault="007D5DB7" w:rsidP="004F29AD">
      <w:r>
        <w:t xml:space="preserve">In addition to the above-mentioned reasons, the extension of the registration obligation also serves to improve data collection by the federal state statistics offices, which can use the register to identify the producers of packaging to be surveyed. </w:t>
      </w:r>
    </w:p>
    <w:p w14:paraId="236511EB" w14:textId="143D0F6C" w:rsidR="00112FF2" w:rsidRPr="00BE5BA6" w:rsidRDefault="00112FF2">
      <w:pPr>
        <w:pStyle w:val="Text"/>
      </w:pPr>
      <w:r>
        <w:t>Re point (b) (§ 9(2))</w:t>
      </w:r>
    </w:p>
    <w:p w14:paraId="34E9B996" w14:textId="05855E08" w:rsidR="00112FF2" w:rsidRPr="00BE5BA6" w:rsidRDefault="00112FF2">
      <w:pPr>
        <w:pStyle w:val="Text"/>
      </w:pPr>
      <w:r>
        <w:t>Re sub-point (aa) (§ 9(2)(1))</w:t>
      </w:r>
    </w:p>
    <w:p w14:paraId="76BEC93E" w14:textId="6D1E20A2" w:rsidR="00112FF2" w:rsidRPr="00BE5BA6" w:rsidRDefault="002C2114">
      <w:pPr>
        <w:pStyle w:val="Text"/>
      </w:pPr>
      <w:r>
        <w:t xml:space="preserve">The inclusion of the national or European tax number of the producer in the information under subparagraph 1 to be published in accordance with § 9(4) sentence 1 serves the purpose of simple and unambiguous identification of producers in the register. </w:t>
      </w:r>
    </w:p>
    <w:p w14:paraId="6B5D4D14" w14:textId="37D6DEAA" w:rsidR="00112FF2" w:rsidRPr="00BE5BA6" w:rsidRDefault="00112FF2">
      <w:pPr>
        <w:pStyle w:val="Text"/>
      </w:pPr>
      <w:r>
        <w:t>Re sub-point (bb) (§ 9(2)(2) (new))</w:t>
      </w:r>
    </w:p>
    <w:p w14:paraId="6A55C878" w14:textId="29178C53" w:rsidR="0091473C" w:rsidRPr="00BE5BA6" w:rsidRDefault="0091473C">
      <w:pPr>
        <w:pStyle w:val="Text"/>
      </w:pPr>
      <w:r>
        <w:t>In § 9(2)(2) (new), the additional information that has to be provided in the case of a delegation of authority pursuant to the new § 35(2) during the registration process is added. Previously, there was no provision for delegation of authority under the Packaging Act. As such, there is no information on authorised representatives for any of the producers already registered; the indication ‘authorised representative’ would have to be marked ‘no’ for them. Consequently, the appointment of an authorised representative under the new § 35(2) constitutes a change which also necessitates a change in the registration data concerning the Central Authority pursuant to § 9(1) sentence 2. If a producer withdraws the mandate from an authorised representative or if there are other changes in the information to be transmitted in accordance with § 9(2)(2) (new), the producer shall immediately inform the Central Authority in accordance with § 9(1) sentence 2. However, producers who are already registered and who do not appoint an authorised representative do not need to notify the Central Authority of this fact separately; a non-authorisation is already pre-registered for them.</w:t>
      </w:r>
    </w:p>
    <w:p w14:paraId="0515031E" w14:textId="076F07CD" w:rsidR="00112FF2" w:rsidRPr="00BE5BA6" w:rsidRDefault="00112FF2">
      <w:pPr>
        <w:pStyle w:val="Text"/>
      </w:pPr>
      <w:r>
        <w:t>Re sub-point (cc) (§ 9(2)(3) (new))</w:t>
      </w:r>
    </w:p>
    <w:p w14:paraId="519C19BD" w14:textId="498AE710" w:rsidR="0091473C" w:rsidRPr="00BE5BA6" w:rsidRDefault="0091473C">
      <w:pPr>
        <w:pStyle w:val="Text"/>
      </w:pPr>
      <w:r>
        <w:t>The amendment constitutes a formal adjustment as a result of the newly added subparagraph 2.</w:t>
      </w:r>
    </w:p>
    <w:p w14:paraId="1BEB66E7" w14:textId="70CF355D" w:rsidR="0011545D" w:rsidRPr="00BE5BA6" w:rsidRDefault="00112FF2">
      <w:pPr>
        <w:pStyle w:val="Text"/>
      </w:pPr>
      <w:r>
        <w:t>Re sub-point (dd) (§ 9(2)(4) (new))</w:t>
      </w:r>
    </w:p>
    <w:p w14:paraId="139D2B6B" w14:textId="061E09B3" w:rsidR="002C2114" w:rsidRPr="00BE5BA6" w:rsidRDefault="002C2114">
      <w:pPr>
        <w:pStyle w:val="Text"/>
      </w:pPr>
      <w:r>
        <w:t xml:space="preserve">Although the information listed in the new § 9(2)(4) is recorded by producers during registration, it is not published in accordance with § 9(4) sentence 1. The publication of the e-mail address is not necessary for the clear identification of the producers or the authorised representatives, which is why it will not be published in the future. On the other hand, publication would entail the risk that producers or authorised representatives would receive unsolicited and mass e-mails (spam). The waiver of publication does not prevent the Central Authority from contacting you by e-mail. </w:t>
      </w:r>
    </w:p>
    <w:p w14:paraId="436A08C3" w14:textId="4966C56F" w:rsidR="0011545D" w:rsidRPr="00BE5BA6" w:rsidRDefault="0011545D">
      <w:pPr>
        <w:pStyle w:val="Text"/>
      </w:pPr>
      <w:r>
        <w:t>Re sub-point (ee) (§ 9(2)(5) (new))</w:t>
      </w:r>
    </w:p>
    <w:p w14:paraId="7BD89761" w14:textId="3EF7BDE0" w:rsidR="008E44AD" w:rsidRPr="00BE5BA6" w:rsidRDefault="0011545D">
      <w:pPr>
        <w:pStyle w:val="Text"/>
      </w:pPr>
      <w:r>
        <w:t>The amendment serves to adapt to the change in numbering. The adaptation does not involve any changes to the content.</w:t>
      </w:r>
    </w:p>
    <w:p w14:paraId="13522F91" w14:textId="4F960919" w:rsidR="008E44AD" w:rsidRPr="00BE5BA6" w:rsidRDefault="008E44AD">
      <w:pPr>
        <w:pStyle w:val="Text"/>
      </w:pPr>
      <w:r>
        <w:t>Re sub-point (ff) (§ 9(2)(5) (new))</w:t>
      </w:r>
    </w:p>
    <w:p w14:paraId="5E139C6E" w14:textId="06B11004" w:rsidR="0011545D" w:rsidRPr="00BE5BA6" w:rsidRDefault="008E44AD">
      <w:pPr>
        <w:pStyle w:val="Text"/>
      </w:pPr>
      <w:r>
        <w:t>The amendment in the new § 9(2)(5) serves to extend the registration obligation to packaging not subject to the scheme participation obligation.</w:t>
      </w:r>
    </w:p>
    <w:p w14:paraId="771728AD" w14:textId="51C01104" w:rsidR="0011545D" w:rsidRPr="00BE5BA6" w:rsidRDefault="0011545D">
      <w:pPr>
        <w:pStyle w:val="Text"/>
      </w:pPr>
      <w:r>
        <w:lastRenderedPageBreak/>
        <w:t>Re sub-point (gg) (§ 9(2)(6) and (7) (new))</w:t>
      </w:r>
    </w:p>
    <w:p w14:paraId="15FAEFA3" w14:textId="786C20F4" w:rsidR="008E44AD" w:rsidRPr="00BE5BA6" w:rsidRDefault="008E44AD">
      <w:pPr>
        <w:pStyle w:val="Text"/>
      </w:pPr>
      <w:r>
        <w:t>The amendment serves to adapt to the change in numbering. The adaptation does not involve any changes to the content.</w:t>
      </w:r>
    </w:p>
    <w:p w14:paraId="30E6933C" w14:textId="50599CB2" w:rsidR="008E44AD" w:rsidRPr="00BE5BA6" w:rsidRDefault="008E44AD">
      <w:pPr>
        <w:pStyle w:val="Text"/>
      </w:pPr>
      <w:r>
        <w:t>Re sub-point (hh) (§ 9(2)(6) and (7) (new))</w:t>
      </w:r>
    </w:p>
    <w:p w14:paraId="17DDFCE1" w14:textId="41B5F737" w:rsidR="0011545D" w:rsidRPr="00BE5BA6" w:rsidRDefault="0011545D">
      <w:pPr>
        <w:pStyle w:val="Text"/>
      </w:pPr>
      <w:r>
        <w:t xml:space="preserve">The addition of the new § 9(2)(6) serves to extend the registration obligation to packaging not subject to the scheme participation obligation. Only an indication of which of the types of packaging referred to in subparagraph 6 are placed on the market by the producer concerned is required, but not information on the mass or material composition of the packaging. The information on packaging pursuant to § 15(1) sentence 1 is to be broken down on the basis of subparagraph 1 to 5. </w:t>
      </w:r>
    </w:p>
    <w:p w14:paraId="0D14BF3D" w14:textId="4DE67807" w:rsidR="0011545D" w:rsidRPr="00BE5BA6" w:rsidRDefault="0011545D">
      <w:pPr>
        <w:pStyle w:val="Text"/>
      </w:pPr>
      <w:r>
        <w:t>The new § 9(2)(7) contains the declaration of veracity previously set out in § 9(2)(6). This must relate to all the information provided in accordance with paragraph 2, i.e. also to that provided in accordance with the new sentence 2.</w:t>
      </w:r>
    </w:p>
    <w:p w14:paraId="7A95DAA2" w14:textId="56A1D53D" w:rsidR="00112FF2" w:rsidRPr="00BE5BA6" w:rsidRDefault="0011545D">
      <w:pPr>
        <w:pStyle w:val="Text"/>
      </w:pPr>
      <w:r>
        <w:t>Re point (ii) (§ 9(2) sentence 2 (new))</w:t>
      </w:r>
    </w:p>
    <w:p w14:paraId="119912DF" w14:textId="7A76EF22" w:rsidR="0011545D" w:rsidRPr="00BE5BA6" w:rsidRDefault="0011545D">
      <w:pPr>
        <w:pStyle w:val="Text"/>
      </w:pPr>
      <w:r>
        <w:t>The amendment takes over the declaration previously provided for in § 9(2)(5). The declaration to be made at the time of registration by a producer who has fully delegated its obligation to participate in the scheme to one or more upstream distributors as per § 7(2) that it only places packaging already involved in the scheme (known as ‘pre-licenced’ packaging) on the market through the upstream distributor or upstream distributors has additionally been added. This is intended to improve the transparency of the Packaging Register by making it immediately clear to the Central Authority which producers only place pre-licenced service packaging on the market and thus do not have to participate in the scheme themselves. This provision therefore serves to improve enforcement in the area of pre-licenced service packaging and thus to implement Article 8a(5) of Directive 2008/98/EC.</w:t>
      </w:r>
    </w:p>
    <w:p w14:paraId="4FC9FF23" w14:textId="63D4FDE4" w:rsidR="00112FF2" w:rsidRPr="00C059FB" w:rsidRDefault="00112FF2">
      <w:pPr>
        <w:pStyle w:val="Text"/>
        <w:rPr>
          <w:lang w:val="fr-FR"/>
        </w:rPr>
      </w:pPr>
      <w:r w:rsidRPr="00C059FB">
        <w:rPr>
          <w:lang w:val="fr-FR"/>
        </w:rPr>
        <w:t>Re point (c) (§ 9(4) sentence 1)</w:t>
      </w:r>
    </w:p>
    <w:p w14:paraId="7D524132" w14:textId="1CCF5D56" w:rsidR="00AF3689" w:rsidRPr="00C059FB" w:rsidRDefault="00AF3689">
      <w:pPr>
        <w:pStyle w:val="Text"/>
        <w:rPr>
          <w:lang w:val="fr-FR"/>
        </w:rPr>
      </w:pPr>
      <w:r w:rsidRPr="00C059FB">
        <w:rPr>
          <w:lang w:val="fr-FR"/>
        </w:rPr>
        <w:t>Re sub-point (aa)</w:t>
      </w:r>
    </w:p>
    <w:p w14:paraId="0E97C714" w14:textId="7D1CF72E" w:rsidR="0011545D" w:rsidRPr="00BE5BA6" w:rsidRDefault="0051628C" w:rsidP="0011545D">
      <w:r>
        <w:t>The amendments in § 9(4) sentence 1 serve to adapt to the amendments to § 9(2). In particular, it is added that the additional information on the authorised representative must also be published by the Central Authority on the Internet. Publication on the Internet is intended to enable anyone to obtain information on the registration of the respective producers in a freely accessible online database.</w:t>
      </w:r>
    </w:p>
    <w:p w14:paraId="0DED2318" w14:textId="5B439A5E" w:rsidR="00AF3689" w:rsidRPr="00BE5BA6" w:rsidRDefault="00AF3689" w:rsidP="0011545D">
      <w:r>
        <w:t>Re sub-point (bb)</w:t>
      </w:r>
    </w:p>
    <w:p w14:paraId="3F772C78" w14:textId="388738CD" w:rsidR="00AF3689" w:rsidRPr="00BE5BA6" w:rsidRDefault="00AF3689" w:rsidP="0011545D">
      <w:r>
        <w:t>The amendments in § 9(4) sentence 1 serve to adapt to the amendments to § 9(2). In particular, following the entry into force of the new § 9(1) sentence 2, subparagraph 6 on 1 July 2022, it is added that this additional information must also be published by the Central Authority on the Internet. Publication on the Internet is intended to enable anyone to obtain information on the registration of the respective producers in a freely accessible online database.</w:t>
      </w:r>
    </w:p>
    <w:p w14:paraId="3898744A" w14:textId="6FAE95A5" w:rsidR="0064305F" w:rsidRPr="00BE5BA6" w:rsidRDefault="0064305F">
      <w:pPr>
        <w:pStyle w:val="Text"/>
      </w:pPr>
      <w:r>
        <w:t>Re point (d) (§ 9(5))</w:t>
      </w:r>
    </w:p>
    <w:p w14:paraId="38DC5FE4" w14:textId="7D442234" w:rsidR="00DC0D29" w:rsidRPr="00BE5BA6" w:rsidRDefault="0064305F">
      <w:pPr>
        <w:pStyle w:val="Text"/>
      </w:pPr>
      <w:r>
        <w:t xml:space="preserve">Point (d) expands the existing prohibition on distribution in § 9(5) in order to also address – as in the new § 7(7) – the market players of the operators of electronic marketplaces and fulfilment service providers who have not been covered so far. The prohibition on distribution under § 9(5) refers – in contrast to § 7(7) (new) – to all packaging whose producers are not registered or are not properly registered in contravention of § 9(1). In the </w:t>
      </w:r>
      <w:r>
        <w:lastRenderedPageBreak/>
        <w:t>future, operators of an electronic marketplace and fulfilment service providers will therefore also have to ensure that producers are entered in the Central Authority’s Packaging Register before they allow their packaging to be offered for sale or provide fulfilment services in relation to their packaging. For this purpose, it is usually sufficient for the operator of an electronic marketplace or fulfilment service provider to request the producer’s registration number before entering into business relations. Based on the registration number, the operator can then carry out automatic data cross-checking with the Packaging Register to determine whether the producer is actually registered there. The Central Authority shall provide an electronic interface for this purpose. Alternatively, the operator can also use public Internet access to the Packaging Register to manually check the registration of the respective producer, e.g. based on its brand name.</w:t>
      </w:r>
    </w:p>
    <w:p w14:paraId="4C1E8998" w14:textId="1EBE0EEF" w:rsidR="002816B9" w:rsidRPr="00BE5BA6" w:rsidRDefault="006238D1">
      <w:pPr>
        <w:pStyle w:val="Text"/>
      </w:pPr>
      <w:r>
        <w:t xml:space="preserve">Re subparagraph 10 (§ 10(1) sentences 3 and 4 (new)) </w:t>
      </w:r>
    </w:p>
    <w:p w14:paraId="49ED9DA0" w14:textId="22844C69" w:rsidR="002816B9" w:rsidRPr="00BE5BA6" w:rsidRDefault="002816B9">
      <w:pPr>
        <w:pStyle w:val="Text"/>
      </w:pPr>
      <w:r>
        <w:t>The insertion of the new sentences 3 and 4 in § 10(1) clarifies that the information on the type of material of the packaging participating in a scheme in the producer’s notification to the Central Authority must be based on the types of material specified in § 16(2) sentences 1 and 2. In addition, composite packaging that is subsequently recovered together with the main material stream pursuant to § 16(3) sentence 4 due to its more than 95 % main material component shall be reported in the report pursuant to § 10 as packaging of the respective main material type, i.e. not as composite packaging but as glass or aluminium packaging (for example). After all, this is the only way for the data cross-checking to be carried out properly at the Central Authority and for the quota pursuant to § 16(2) to be calculated.</w:t>
      </w:r>
    </w:p>
    <w:p w14:paraId="699188EF" w14:textId="48742B17" w:rsidR="002816B9" w:rsidRPr="00BE5BA6" w:rsidRDefault="002816B9">
      <w:pPr>
        <w:pStyle w:val="Text"/>
      </w:pPr>
      <w:r>
        <w:t>Re subparagraph 11 (§ 11 ‘Statement of completeness’)</w:t>
      </w:r>
    </w:p>
    <w:p w14:paraId="55E3211F" w14:textId="2BA5EE1E" w:rsidR="002816B9" w:rsidRPr="00BE5BA6" w:rsidRDefault="002816B9">
      <w:pPr>
        <w:pStyle w:val="Text"/>
      </w:pPr>
      <w:r>
        <w:t>Re point (a) (§ 11(2))</w:t>
      </w:r>
    </w:p>
    <w:p w14:paraId="6CD6D942" w14:textId="5AC642DE" w:rsidR="00DA0B57" w:rsidRPr="00BE5BA6" w:rsidRDefault="00DA0B57">
      <w:pPr>
        <w:pStyle w:val="Text"/>
      </w:pPr>
      <w:r>
        <w:t xml:space="preserve">Re sub-point (aa) (§ 11(2) sentence 2) </w:t>
      </w:r>
    </w:p>
    <w:p w14:paraId="4C6093A0" w14:textId="03001B7D" w:rsidR="00DA0B57" w:rsidRPr="00BE5BA6" w:rsidRDefault="00DA0B57">
      <w:pPr>
        <w:pStyle w:val="Text"/>
      </w:pPr>
      <w:r>
        <w:t>The amendment serves to clarify and adapt the reference to § 16(1) to the wording of the corresponding reference in § 17(1) sentence 4. It does not make any content-related changes.</w:t>
      </w:r>
    </w:p>
    <w:p w14:paraId="59DA4ADB" w14:textId="343F9BA6" w:rsidR="00DA0B57" w:rsidRPr="00BE5BA6" w:rsidRDefault="00DA0B57">
      <w:pPr>
        <w:pStyle w:val="Text"/>
      </w:pPr>
      <w:r>
        <w:t>Re sub-point (bb) (§ 11(2) sentence 3 (new))</w:t>
      </w:r>
    </w:p>
    <w:p w14:paraId="1B662B71" w14:textId="26CFDD6C" w:rsidR="002816B9" w:rsidRPr="00BE5BA6" w:rsidRDefault="002816B9">
      <w:pPr>
        <w:pStyle w:val="Text"/>
      </w:pPr>
      <w:r>
        <w:t>The insertion of the new § 11(2) sentence 3 clarifies that composite packaging that has been recovered together with the main material stream pursuant to § 16(3) sentence 4, because it contains more than 95 % of the main material must be indicated in the declaration of completeness as packaging of the respective main material type, i.e. not as composite packaging but as glass or aluminium packaging (for example). This is the only way to ensure that the data cross-checking process works properly during verification at the Central Authority.</w:t>
      </w:r>
    </w:p>
    <w:p w14:paraId="6663AED8" w14:textId="11560DDE" w:rsidR="006238D1" w:rsidRPr="00C059FB" w:rsidRDefault="002816B9">
      <w:pPr>
        <w:pStyle w:val="Text"/>
        <w:rPr>
          <w:lang w:val="fr-FR"/>
        </w:rPr>
      </w:pPr>
      <w:r w:rsidRPr="00C059FB">
        <w:rPr>
          <w:lang w:val="fr-FR"/>
        </w:rPr>
        <w:t>Re point (b) (paragraph 3, sentence 2)</w:t>
      </w:r>
    </w:p>
    <w:p w14:paraId="21A64874" w14:textId="1B3EF7AE" w:rsidR="006238D1" w:rsidRPr="00BE5BA6" w:rsidRDefault="006238D1">
      <w:pPr>
        <w:pStyle w:val="Text"/>
      </w:pPr>
      <w:r>
        <w:t>The reference to § 2 of the Signatures Act in § 11(3) sentence 2 is to be deleted following the expiry of said act on 29 July 2017. However, the requirement for a qualified electronic signature to confirm the verification of the declaration of completeness is to remain. The requirements for the qualified electronic signature are now derived directly from Regulation (EU) 910/2014 of the European Parliament and the Council of 23 July 2014 on electronic identification and trust services for electronic transactions in the internal market and repealing Directive 1999/93/EC.</w:t>
      </w:r>
    </w:p>
    <w:p w14:paraId="32F908FF" w14:textId="59B0892E" w:rsidR="008C7E75" w:rsidRPr="00BE5BA6" w:rsidRDefault="0070132A" w:rsidP="007E54AB">
      <w:pPr>
        <w:pStyle w:val="Text"/>
        <w:keepNext/>
        <w:keepLines/>
      </w:pPr>
      <w:r>
        <w:lastRenderedPageBreak/>
        <w:t>Re subparagraph 12 (§ 12 ‘Exemptions’)</w:t>
      </w:r>
    </w:p>
    <w:p w14:paraId="1794C808" w14:textId="648B81AD" w:rsidR="008C7E75" w:rsidRPr="00BE5BA6" w:rsidRDefault="008C7E75">
      <w:pPr>
        <w:pStyle w:val="Text"/>
      </w:pPr>
      <w:r>
        <w:t>The exemption provision of § 12 is adjusted accordingly due to the extension of the registration obligation pursuant to § 9 to producers of packaging not subject to the scheme participation obligation.</w:t>
      </w:r>
    </w:p>
    <w:p w14:paraId="42BBCB9C" w14:textId="69D09850" w:rsidR="008C7E75" w:rsidRPr="00BE5BA6" w:rsidRDefault="008C7E75">
      <w:pPr>
        <w:pStyle w:val="Text"/>
      </w:pPr>
      <w:r>
        <w:t>Pursuant to the new § 12(1), only packaging subject to the scheme participation requirement which is demonstrably not supplied to final consumers within the scope of the Packaging Act is now completely exempted from Section 2.</w:t>
      </w:r>
    </w:p>
    <w:p w14:paraId="6DFF656A" w14:textId="0270204A" w:rsidR="00391EDB" w:rsidRPr="00BE5BA6" w:rsidRDefault="008C7E75">
      <w:pPr>
        <w:pStyle w:val="Text"/>
      </w:pPr>
      <w:r>
        <w:t>With regard to the other packaging previously referred to in § 12(1), (2) and (4) the exemption in § 12(2) is restricted to the extent that § 9 now also applies to such packaging. This clarifies that producers of reusable packaging, single-use drinks packaging subject to the deposit-refund obligation pursuant to § 31 and of sales packaging holding filling materials containing hazardous substances must also register with the Central Authority in the future.</w:t>
      </w:r>
    </w:p>
    <w:p w14:paraId="3BD2EB74" w14:textId="0BF9C1E2" w:rsidR="00F51693" w:rsidRPr="00BE5BA6" w:rsidRDefault="006238D1">
      <w:pPr>
        <w:pStyle w:val="Text"/>
      </w:pPr>
      <w:r>
        <w:t xml:space="preserve">Re subparagraph 13 (§ 14 ‘Obligations for the collection, recovery and information schemes’) </w:t>
      </w:r>
    </w:p>
    <w:p w14:paraId="5D4FBF0F" w14:textId="31651031" w:rsidR="00741382" w:rsidRPr="00BE5BA6" w:rsidRDefault="00F51693">
      <w:pPr>
        <w:pStyle w:val="Text"/>
      </w:pPr>
      <w:r>
        <w:t>Re point (a) (§ 14(3) sentence 2 (new))</w:t>
      </w:r>
    </w:p>
    <w:p w14:paraId="2FA53C9D" w14:textId="3F3BB567" w:rsidR="001F76E7" w:rsidRPr="00BE5BA6" w:rsidRDefault="001F76E7" w:rsidP="001F76E7">
      <w:pPr>
        <w:pStyle w:val="Text"/>
      </w:pPr>
      <w:r>
        <w:t>The addition serves to implement Article 10 of Directive (EU) 2019/904. The provision arranges awareness-raising measures towards consumers to reduce littering of the environment. The overall objective of the Directive is to reduce plastic inputs into the environment. All the provisions of the Directive, and thus the awareness-raising measures as well, relate to specific single-use plastic products, which often include packaging. In addition to the municipal waste advisory duty in § 46 of the Circular Economy Act, which is supplemented by the new aspects of awareness-raising measures under Article 10 of Directive (EU) 2019/904, the dual systems are therefore also to participate in consumer education as part of their duty to provide information under § 14(3). At the same time, § 14(3) sentence 3 (sentence 4 in the future) ensures that the dual systems coordinate the individual information measures with the public waste management operators.</w:t>
      </w:r>
    </w:p>
    <w:p w14:paraId="7113115F" w14:textId="22F9810C" w:rsidR="001F76E7" w:rsidRPr="00BE5BA6" w:rsidRDefault="001F76E7" w:rsidP="001F76E7">
      <w:pPr>
        <w:pStyle w:val="Text"/>
      </w:pPr>
      <w:r>
        <w:t>The newly inserted § 14(3) sentence 2 extends the previous information obligations of the dual systems and implements the aspects from Article 10(a) and (b) of Directive (EU) 2019/904 that are particularly relevant with regard to packaging. Accordingly, the dual systems will now also be obliged to inform private final consumers about the effects of improperly disposed of, in particular carelessly discarded, single-use plastic packaging on the environment, especially the marine environment. In addition, private final consumers must be informed of appropriate measures to prevent this littering, which, in addition to proper waste separation and disposal, includes in particular the use of reusable packaging as an alternative to the single-use plastic packaging listed in Part G of the Annex to Directive (EU) 2019/904.</w:t>
      </w:r>
    </w:p>
    <w:p w14:paraId="0A325AF4" w14:textId="4C24B840" w:rsidR="001F76E7" w:rsidRPr="00BE5BA6" w:rsidRDefault="001F76E7" w:rsidP="001F76E7">
      <w:pPr>
        <w:pStyle w:val="Text"/>
      </w:pPr>
      <w:r>
        <w:t>The amendment to § 46 of the Circular Economy Act also establishes a comparable obligation for public waste management operators. The parallel arrangement of awareness-raising measures in the Circular Economy Act and the Packaging Act is necessary for the effective implementation of the requirements under the Directive. Since the single-use plastic products in Part G of the Annex to Directive (EU) 2019/904 are predominantly to be classified as packaging subject to the scheme participation obligation and also account for a significant proportion of the littering of public spaces and the oceans, a supplementary information obligation by the dual systems is expedient. An additional implementation in the Packaging Act is only waived with regard to Article 10(c) of Directive (EU) 2019/904, since the aspect of the impact on wastewater facilities only has a very minor relevance to packaging and, for this reason, an information obligation of the dual systems supplementing § 46 of the Circular Economy Act does not appear necessary.</w:t>
      </w:r>
    </w:p>
    <w:p w14:paraId="30569893" w14:textId="5FD46BB6" w:rsidR="00827715" w:rsidRPr="00BE5BA6" w:rsidRDefault="00827715" w:rsidP="001F76E7">
      <w:pPr>
        <w:pStyle w:val="Text"/>
      </w:pPr>
      <w:r>
        <w:lastRenderedPageBreak/>
        <w:t>Re point (b) (§ 14(4) (new))</w:t>
      </w:r>
    </w:p>
    <w:p w14:paraId="63586CE8" w14:textId="34051C8B" w:rsidR="00827715" w:rsidRPr="00BE5BA6" w:rsidRDefault="00827715" w:rsidP="00827715">
      <w:pPr>
        <w:pStyle w:val="Text"/>
      </w:pPr>
      <w:r>
        <w:t xml:space="preserve">The new § 14(4) transposes Article 8a(3)(e)(i), (ii) and (iii) of Directive 2008/98/EC. In order to avoid overloading consumers with information, the information standardised here is to be published via the website of the respective scheme. Any interested parties, such as journalists as well as citizens, other schemes or public bodies, may consult the relevant information. Due to the clear number of schemes in Germany, the search effort for finding information on the respective Internet pages is also manageable. Moreover, the provision does not prevent consumers from being provided with the above-mentioned information in an appropriate form by other means. Thus the above-mentioned provision only constitutes a minimum requirement. Finally, publication on the respective websites of the schemes involves comparatively little administrative and bureaucratic effort for the schemes themselves. In addition, direct access by the schemes concerned to its own website, where the information is located, makes it possible to ensure that the information published is up to date. The information must be permanently available on a website of the scheme. The mere publication in an information sheet of the scheme appearing periodically on the Internet does not meet this requirement. In addition, the information concerned shall be updated regularly. This requirement precludes the possibility that only outdated information on the content pursuant to § 14(4) sentence 1, subparagraphs 1 to 3 is available on the website for an unreasonably long period of time. </w:t>
      </w:r>
    </w:p>
    <w:p w14:paraId="6C3683AF" w14:textId="472FF750" w:rsidR="00827715" w:rsidRPr="00BE5BA6" w:rsidRDefault="00827715" w:rsidP="00827715">
      <w:pPr>
        <w:pStyle w:val="Text"/>
      </w:pPr>
      <w:r>
        <w:t>The publication of the information pursuant to § 14(4) sentence 1, subparagraphs 1 to 3 serves the purpose of transparency and comparability.</w:t>
      </w:r>
    </w:p>
    <w:p w14:paraId="0266D2BB" w14:textId="1AC2E180" w:rsidR="00827715" w:rsidRPr="00BE5BA6" w:rsidRDefault="00827715" w:rsidP="00827715">
      <w:pPr>
        <w:pStyle w:val="Text"/>
      </w:pPr>
      <w:r>
        <w:t>Pursuant to § 14(4) sentence 1, subparagraph 1, information on ownership and membership relationships must be published. Since § 3(16) of the Packaging Act leaves the schemes the choice of whether they are organised as a legal entity or partnership under private law, the reference to ‘ownership or membership relationships’ ensures that the relevant information must be published irrespective of the form of organisation. The term ‘membership relationships’ should also be used to publish information on forms of organisation that have members rather than owners, such as associations. However, this does not include information on which producers of packaging subject to the scheme participation obligation participate with their packaging in the respective scheme.</w:t>
      </w:r>
    </w:p>
    <w:p w14:paraId="3DAEF0AD" w14:textId="5F89A64F" w:rsidR="00827715" w:rsidRPr="00BE5BA6" w:rsidRDefault="00827715" w:rsidP="00827715">
      <w:pPr>
        <w:pStyle w:val="Text"/>
      </w:pPr>
      <w:r>
        <w:t>In implementation of the European requirements, the publication of the information pursuant to § 14(4) sentence 1, subparagraph 3 does not make any content-related demands on the relevant selection procedure, but merely requires publication of the selection procedure or the selection criteria on which the schemes’ decision on a recovery facility is based. The aim of this requirement is also to increase the transparency of the overall scheme. In view of the already existing requirements under § 23, the obligation to publish information on the procedures for selection under the new § 14(4) sentence 1, subparagraph 3 is limited. The information obligation pursuant to § 14(4) sentence 1, subparagraph 3 (new) shall only apply in cases which do not involve the awarding of collection services. In that case, the current legislation already provides, in § 23(4), that, prior to any award of a service for the collection of all empty packaging from private final consumers or in their vicinity, all the documents necessary for a tender for the provision of the service in question must be communicated publicly in a contract notice. This information is also used to determine the procedures for selecting the packaging collection facility concerned.</w:t>
      </w:r>
    </w:p>
    <w:p w14:paraId="30D402D2" w14:textId="5F8B590A" w:rsidR="00B26522" w:rsidRPr="00BE5BA6" w:rsidRDefault="00B26522" w:rsidP="00B26522">
      <w:pPr>
        <w:pStyle w:val="Text"/>
      </w:pPr>
      <w:r>
        <w:t xml:space="preserve">If any of the information to be published pursuant to § 14(4) sentence 1 contains a trade secret, said secret need not be published in accordance with § 14(4) sentence 2. This provision serves to implement Article 8a(8) of Directive 2008/98/EC. Article 8a(8) of Directive 2008/98/EC clarifies that the relevant Union and national regulations on confidentiality of commercially sensitive information remain unaffected. In implementing this requirement, information constituting trade secrets need not be disclosed. A trade secret is, according to the statutory definition in § 2(1) of the Trade Secrets Act, ‘information which is not generally known or readily available, either as a whole or in the precise arrangement </w:t>
      </w:r>
      <w:r>
        <w:lastRenderedPageBreak/>
        <w:t>and composition of its component parts, to persons in the circles which normally handle that type of information and which is therefore of commercial value and which is the subject of measures of secrecy by its lawful owner which are reasonable in the circumstances and in respect of which there is a legitimate interest in maintaining its secrecy’. This definition also covers those secrets which in German law have hitherto been classified as trade secrets, provided that such information satisfies the conditions laid down in § 2(1)(a) to (c) of the Trade Secrets Act. Trade secrets can therefore include both technical and commercial knowledge. For further justification, reference is made to Bundestag document 19/4724, p. 24 et seq. According to this, this typically includes customer and supplier lists as well as cost information.</w:t>
      </w:r>
    </w:p>
    <w:p w14:paraId="4488FFFF" w14:textId="3078550C" w:rsidR="00827715" w:rsidRPr="00BE5BA6" w:rsidRDefault="00827715" w:rsidP="00827715">
      <w:pPr>
        <w:pStyle w:val="Text"/>
      </w:pPr>
      <w:r>
        <w:t>If a scheme does not publish information pursuant to § 14(4) sentence 1, subparagraphs 1 to 3, citing the existence of a trade secret, the Central Authority may, in case of doubt as to the existence of a trade secret pursuant to § 14(4) sentence 2 (new) demand a justification as to why a trade secret exists. The content of this provision is supplemented by § 26(1) sentence 2, subparagraph 6a (new).</w:t>
      </w:r>
    </w:p>
    <w:p w14:paraId="2095D1E8" w14:textId="69B15EF1" w:rsidR="00E027C4" w:rsidRPr="00BE5BA6" w:rsidRDefault="00F444D6" w:rsidP="00E027C4">
      <w:pPr>
        <w:pStyle w:val="Text"/>
      </w:pPr>
      <w:r>
        <w:t xml:space="preserve">Re subparagraph 14 (§ 15 ‘Obligations incumbent upon manufacturers and distributors concerning take-back and recovery’) </w:t>
      </w:r>
    </w:p>
    <w:p w14:paraId="4F1B2879" w14:textId="54943810" w:rsidR="00A3203C" w:rsidRPr="00BE5BA6" w:rsidRDefault="00E027C4" w:rsidP="00E027C4">
      <w:pPr>
        <w:pStyle w:val="Text"/>
      </w:pPr>
      <w:r>
        <w:t>Re point (a) (§ 15(1))</w:t>
      </w:r>
    </w:p>
    <w:p w14:paraId="33C81C1A" w14:textId="5359B577" w:rsidR="009B1AAB" w:rsidRPr="00BE5BA6" w:rsidRDefault="00A3203C" w:rsidP="00E027C4">
      <w:pPr>
        <w:pStyle w:val="Text"/>
      </w:pPr>
      <w:r>
        <w:t>Re sub-point (aa) (§ 15(1) sentence 1)</w:t>
      </w:r>
    </w:p>
    <w:p w14:paraId="57E2280B" w14:textId="4CF41036" w:rsidR="009B1AAB" w:rsidRPr="00BE5BA6" w:rsidRDefault="00A3203C" w:rsidP="00A3203C">
      <w:pPr>
        <w:pStyle w:val="Text"/>
      </w:pPr>
      <w:r>
        <w:t>The insertion of reusable packaging in § 15(1) sentence 1 clarifies that distributors also have a take-back obligation in respect of reusable packaging. Up to now, this has only resulted indirectly from the statutory definition of reusable packaging in § 3(3), according to which a distributor of reusable packaging must enable take-back by means of adequate logistics and suitable incentive schemes. This also clarifies that reusable packaging, as required by Article 7(2) of Directive 94/62/EC, is also subject to an extended producer responsibility scheme under Article 8a of Directive 2008/98/EC. This is because the other general provisions of § 15 also apply to reusable packaging, as a result of the insertion in § 15.</w:t>
      </w:r>
    </w:p>
    <w:p w14:paraId="2EA27CCF" w14:textId="1B5D5B3E" w:rsidR="00E027C4" w:rsidRPr="00BE5BA6" w:rsidRDefault="009B1AAB" w:rsidP="00E027C4">
      <w:pPr>
        <w:pStyle w:val="Text"/>
      </w:pPr>
      <w:r>
        <w:t>Re sub-point (bb) (§ 15(1) sentence 5 new)</w:t>
      </w:r>
    </w:p>
    <w:p w14:paraId="2A9AEEA3" w14:textId="5C72949A" w:rsidR="00E027C4" w:rsidRPr="00BE5BA6" w:rsidRDefault="00E027C4" w:rsidP="00E027C4">
      <w:pPr>
        <w:pStyle w:val="Text"/>
      </w:pPr>
      <w:r>
        <w:t xml:space="preserve">The insertion of sentence 5 in § 15(1) serves to implement Article 8a(2) sentence 1 of Directive 2008/98/EC for packaging pursuant to § 15(1) sentence 1. This Directive requires Member States to take the necessary measures to ensure that waste holders covered by the EPR schemes are informed about various matters such as waste prevention measures, take-back and collection systems and litter prevention. The regulation clarifies that this information of the public is in principle a task of the economy to be performed within the scope of product responsibility. Against this background, paragraph 1, sentence 5 lays down a general information obligation on the possibilities for returning packaging and its purpose, which applies to all types of packaging covered by paragraph 15(1) sentence 1. In this respect, it constitutes a general basic provision for the special provision in § 15(2) sentence 2 for packaging pursuant to § 15(1) sentence 1, subparagraph 3 and 4. </w:t>
      </w:r>
    </w:p>
    <w:p w14:paraId="64A7547A" w14:textId="32BBC4BE" w:rsidR="00E027C4" w:rsidRPr="00BE5BA6" w:rsidRDefault="00E027C4" w:rsidP="00E027C4">
      <w:pPr>
        <w:pStyle w:val="Text"/>
      </w:pPr>
      <w:r>
        <w:t xml:space="preserve">The resulting education of final consumers should lead to better results in the return of packaging and thus make it easier for producers and distributors to meet their recycling requirements. At the same time, the regulation contributes to ensuring the fulfilment of the European recycling targets according to EU Directive 94/62/EC. </w:t>
      </w:r>
    </w:p>
    <w:p w14:paraId="0260AC88" w14:textId="68778B5B" w:rsidR="00E027C4" w:rsidRPr="00BE5BA6" w:rsidRDefault="009B1AAB" w:rsidP="00E027C4">
      <w:pPr>
        <w:pStyle w:val="Text"/>
      </w:pPr>
      <w:r>
        <w:t>Re point (b) (§ 15(3))</w:t>
      </w:r>
    </w:p>
    <w:p w14:paraId="51C79993" w14:textId="569BE949" w:rsidR="00E027C4" w:rsidRPr="00BE5BA6" w:rsidRDefault="00E027C4" w:rsidP="00E027C4">
      <w:pPr>
        <w:pStyle w:val="Text"/>
      </w:pPr>
      <w:r>
        <w:t>As part of the implementation of Article 8a(3)(d)(ii) of Directive 2008/98/EC, the obligations to provide evidence, documentation and presentation, which previously existed only for packaging pursuant to § 15(1) sentence 1, subparagraphs 3 and 4 – i.e. for scheme-</w:t>
      </w:r>
      <w:r>
        <w:lastRenderedPageBreak/>
        <w:t>incompatible packaging pursuant to § 7(5) and for sales packaging holding filling materials containing hazardous substances – are extended to all packaging pursuant to § 15.</w:t>
      </w:r>
    </w:p>
    <w:p w14:paraId="715B70C5" w14:textId="6C60B725" w:rsidR="00E027C4" w:rsidRPr="00C059FB" w:rsidRDefault="00E027C4" w:rsidP="00E027C4">
      <w:pPr>
        <w:pStyle w:val="Text"/>
        <w:rPr>
          <w:lang w:val="fr-FR"/>
        </w:rPr>
      </w:pPr>
      <w:r w:rsidRPr="00C059FB">
        <w:rPr>
          <w:lang w:val="fr-FR"/>
        </w:rPr>
        <w:t>Re sub-point (aa) (§ 15(3) sentence 3)</w:t>
      </w:r>
    </w:p>
    <w:p w14:paraId="5C023AA3" w14:textId="36BA5A47" w:rsidR="00E027C4" w:rsidRPr="00BE5BA6" w:rsidRDefault="00E027C4" w:rsidP="00E027C4">
      <w:pPr>
        <w:pStyle w:val="Text"/>
      </w:pPr>
      <w:r>
        <w:t>The new version of sentence 3 extends the obligation to provide evidence of compliance with the take-back and recovery requirements to the producers and distributors of all packaging pursuant to § 15(1) sentence 1. The provision is intended to supplement the newly envisaged obligation to provide information in the Environmental Statistics Act with an obligation to provide evidence in advance. This ensures that the obligation to provide information under the Environmental Statistics Act does not prove futile due to lack of information.</w:t>
      </w:r>
    </w:p>
    <w:p w14:paraId="5C906FD5" w14:textId="04EF2B7A" w:rsidR="00E027C4" w:rsidRPr="00BE5BA6" w:rsidRDefault="00E027C4" w:rsidP="00E027C4">
      <w:pPr>
        <w:pStyle w:val="Text"/>
      </w:pPr>
      <w:r>
        <w:t>As a consequence of the extension of the scope of application of § 15(3) sentence 3 the documentation requirements under § 15(3) sentences 4 and 5, and the obligation to submit documentation to the competent federal state authority under § 15(3) sentence 7 (new), must also be observed by producers and distributors of all types of packaging under § 15(1) sentence 1.</w:t>
      </w:r>
    </w:p>
    <w:p w14:paraId="2C1F1872" w14:textId="382BB527" w:rsidR="00E027C4" w:rsidRPr="00BE5BA6" w:rsidRDefault="00E027C4" w:rsidP="00E027C4">
      <w:pPr>
        <w:pStyle w:val="Text"/>
      </w:pPr>
      <w:r>
        <w:t xml:space="preserve">The amendments described above also extend the administrative offence under § 36(1)(17), which in future will also apply to infringements of the obligation to provide evidence for packaging under § 15(1) sentence 1, subparagraphs 1, 2 and 5. </w:t>
      </w:r>
    </w:p>
    <w:p w14:paraId="3FF98DA1" w14:textId="1D6A511D" w:rsidR="00E027C4" w:rsidRPr="00BE5BA6" w:rsidRDefault="00E027C4" w:rsidP="00E027C4">
      <w:pPr>
        <w:pStyle w:val="Text"/>
      </w:pPr>
      <w:r>
        <w:t>Re sub-point (bb) (§ 15(3) sentence 6 (new))</w:t>
      </w:r>
    </w:p>
    <w:p w14:paraId="63BB2683" w14:textId="7F02261A" w:rsidR="00E027C4" w:rsidRPr="00BE5BA6" w:rsidRDefault="00E027C4" w:rsidP="00E027C4">
      <w:pPr>
        <w:pStyle w:val="Text"/>
      </w:pPr>
      <w:r>
        <w:t>In implementation of Article 8a(3) of Directive 2008/98/EC, the new § 15(3) sentence 6 lays down the obligation to set up a self-monitoring mechanism to ensure the quality of the data transmitted. In light of the heterogeneous nature of the individual producers and distributors of packaging as defined by § 15, it is neither expedient nor adequate to prescribe the form of these self-monitoring mechanisms in detail. Rather, in view of the numerous possible, different forms of organisation, the provision leaves it up to the producers to decide for themselves how to design the necessary self-monitoring mechanisms.</w:t>
      </w:r>
    </w:p>
    <w:p w14:paraId="1DC1654E" w14:textId="1C24B139" w:rsidR="00E027C4" w:rsidRPr="00BE5BA6" w:rsidRDefault="00E027C4" w:rsidP="00E027C4">
      <w:pPr>
        <w:pStyle w:val="Text"/>
      </w:pPr>
      <w:r>
        <w:t xml:space="preserve">The possibility of an inspection of the documentation by federal state authorities, which already exists under the current legal situation (now § 15(3) sentence 7) and which is now extended to all packaging within the meaning of § 15(1) sentence 1, constitutes a possibility of independent examination and assessment within the meaning of Article 8a(3)(d) of Directive 2008/98/EC. </w:t>
      </w:r>
    </w:p>
    <w:p w14:paraId="1F582287" w14:textId="57811B7C" w:rsidR="00E027C4" w:rsidRPr="00BE5BA6" w:rsidRDefault="00E027C4" w:rsidP="00E027C4">
      <w:pPr>
        <w:pStyle w:val="Text"/>
      </w:pPr>
      <w:r>
        <w:t>Re sub-point (cc) (§ 15(3) sentence 7 (new))</w:t>
      </w:r>
    </w:p>
    <w:p w14:paraId="13314992" w14:textId="4EAD4BEC" w:rsidR="00E027C4" w:rsidRPr="00BE5BA6" w:rsidRDefault="00E027C4" w:rsidP="00E027C4">
      <w:pPr>
        <w:pStyle w:val="Text"/>
      </w:pPr>
      <w:r>
        <w:t xml:space="preserve">The amendment is necessary due to the newly inserted sentence 6 and clarifies that the obligation to submit documents to the competent federal state authority refers to the documentation. </w:t>
      </w:r>
    </w:p>
    <w:p w14:paraId="64E0262D" w14:textId="51D4D954" w:rsidR="00E027C4" w:rsidRPr="00BE5BA6" w:rsidRDefault="009B1AAB" w:rsidP="00E027C4">
      <w:pPr>
        <w:pStyle w:val="Text"/>
      </w:pPr>
      <w:r>
        <w:t>Re point (c) (§ 15(4) (new))</w:t>
      </w:r>
    </w:p>
    <w:p w14:paraId="062578C6" w14:textId="639C83E8" w:rsidR="00E027C4" w:rsidRPr="00BE5BA6" w:rsidRDefault="00E027C4" w:rsidP="00E027C4">
      <w:pPr>
        <w:pStyle w:val="Text"/>
      </w:pPr>
      <w:r>
        <w:t xml:space="preserve">The insertion of a new paragraph 4 in § 15 serves the purpose of clarification. Article 8a(3)(c) and (d)(i) of Directive 2008/98/EC require Member States to ensure that producers of articles or organisations carrying out EPR obligations on behalf of producers have, on the one hand, the necessary financial resources or financial and organisational means to meet their extended producer responsibility obligations. It can be assumed that producers are already taking precautions with regard to the provision of the necessary financial and organisational resources in order to be able to fulfil their obligations under § 15, in particular their take-back and recovery obligations. In addition, they must already comply with the requirements of commercial and company law under the current legal situation. Given the possible heterogeneity of individual systems, it is neither expedient nor adequate to prescribe in detail the form in which the necessary financial or organisational </w:t>
      </w:r>
      <w:r>
        <w:lastRenderedPageBreak/>
        <w:t xml:space="preserve">resources are to be ensured. Rather, in view of the numerous possible, different forms of organisation, the regulation leaves it up to the producers themselves to decide in what way – based on the existing provisions of commercial and company law – they ensure that the necessary financial or organisational resources are available. </w:t>
      </w:r>
    </w:p>
    <w:p w14:paraId="6696F109" w14:textId="75C4BD9C" w:rsidR="00E027C4" w:rsidRPr="00BE5BA6" w:rsidRDefault="00E027C4" w:rsidP="00E027C4">
      <w:pPr>
        <w:pStyle w:val="Text"/>
      </w:pPr>
      <w:r>
        <w:t xml:space="preserve">As a result of the decentralised organisation of the overall scheme, which ensures the nationwide take-back and correct recovery of packaging waste pursuant to paragraph 15(1), this scheme is not jeopardised in its entirety by the possible disappearance of individual participants. The take-back and recovery obligation of the remaining producers or distributors also extends to similar packaging, so that the packaging of the producer or distributor now no longer active on the market is taken back and recovered by other participants and is thus also recovered in such a case in accordance with the requirements of § 16(5). </w:t>
      </w:r>
    </w:p>
    <w:p w14:paraId="273EA207" w14:textId="31C18AC0" w:rsidR="00E027C4" w:rsidRPr="00BE5BA6" w:rsidRDefault="00E027C4" w:rsidP="00E027C4">
      <w:pPr>
        <w:pStyle w:val="Text"/>
      </w:pPr>
      <w:r>
        <w:t>Secondly, the new § 15(4) makes it clear that producers of packaging must, in accordance with § 15, set up an appropriate self-monitoring mechanism to assess their financial management. In view of the numerous possible, different forms of organisation, this requirement also leaves it up to the producers to decide for themselves how – on the basis of the existing provisions of commercial and company law – they structure the necessary self-monitoring mechanisms.</w:t>
      </w:r>
    </w:p>
    <w:p w14:paraId="7E3FA7DA" w14:textId="17AAEDDB" w:rsidR="003E066F" w:rsidRPr="00BE5BA6" w:rsidRDefault="003E066F" w:rsidP="003E066F">
      <w:pPr>
        <w:pStyle w:val="Text"/>
      </w:pPr>
      <w:r>
        <w:t>Re point (d) (§ 15(5) (new))</w:t>
      </w:r>
    </w:p>
    <w:p w14:paraId="68F4C602" w14:textId="35323BB2" w:rsidR="003E066F" w:rsidRPr="00BE5BA6" w:rsidRDefault="006B1561" w:rsidP="00E027C4">
      <w:pPr>
        <w:pStyle w:val="Text"/>
      </w:pPr>
      <w:r>
        <w:t>The previous § 15 paragraph 4 is now paragraph 5. The minor amendments ensure that, even in the event that there are no longer any schemes, the new requirements under Directive 2008/98/EC, as now transposed in § 15(3) sentence 6 and in § 15(4), would then also have to be complied with by producers and distributors in respect of packaging subject to the scheme participation obligation.</w:t>
      </w:r>
    </w:p>
    <w:p w14:paraId="109D62ED" w14:textId="6328EED5" w:rsidR="00B769BA" w:rsidRPr="00BE5BA6" w:rsidRDefault="00E027C4" w:rsidP="00145624">
      <w:pPr>
        <w:pStyle w:val="Text"/>
      </w:pPr>
      <w:r>
        <w:t>Re subparagraph 15 (§ 16 ‘Requirements pertaining to recovery’)</w:t>
      </w:r>
    </w:p>
    <w:p w14:paraId="566D375E" w14:textId="4801BBE4" w:rsidR="00B769BA" w:rsidRPr="00BE5BA6" w:rsidRDefault="00B769BA" w:rsidP="00145624">
      <w:pPr>
        <w:pStyle w:val="Text"/>
      </w:pPr>
      <w:r>
        <w:t>Re point (a) (§ 16(3) sentence 4)</w:t>
      </w:r>
    </w:p>
    <w:p w14:paraId="55ADDF29" w14:textId="31B2B6C2" w:rsidR="00B769BA" w:rsidRPr="00BE5BA6" w:rsidRDefault="00F849EB" w:rsidP="00145624">
      <w:pPr>
        <w:pStyle w:val="Text"/>
      </w:pPr>
      <w:r>
        <w:t>The amendment in § 16(3) sentence 4 makes it mandatory for composite packaging whose main material component exceeds 95 % by mass to be counted in full towards the quota for the respective main material type in the case of recovery in the stream of the main material type pursuant to sentence 3. This excludes the possibility of offsetting against the lower composite quotas pursuant to § 16(2)(5) and (6). Rather, because of the very high proportion of the main material, such composite packaging must be treated as mono-packaging made of the same main material and thus subjected to the more demanding material-specific recycling quotas.</w:t>
      </w:r>
    </w:p>
    <w:p w14:paraId="5507DB60" w14:textId="301A0419" w:rsidR="00114F5E" w:rsidRPr="00BE5BA6" w:rsidRDefault="00B769BA" w:rsidP="00145624">
      <w:pPr>
        <w:pStyle w:val="Text"/>
      </w:pPr>
      <w:r>
        <w:t>Re point (b) (§ 16(6))</w:t>
      </w:r>
    </w:p>
    <w:p w14:paraId="32F7AEC2" w14:textId="3E35699A" w:rsidR="003B7130" w:rsidRPr="00BE5BA6" w:rsidRDefault="003B7130" w:rsidP="00145624">
      <w:pPr>
        <w:pStyle w:val="Text"/>
      </w:pPr>
      <w:r>
        <w:t>The purpose of the amendment is to update the references. The updates do not entail any changes in content.</w:t>
      </w:r>
    </w:p>
    <w:p w14:paraId="116C199A" w14:textId="711C01D4" w:rsidR="003F26E3" w:rsidRPr="00BE5BA6" w:rsidRDefault="00114F5E" w:rsidP="00145624">
      <w:pPr>
        <w:pStyle w:val="Text"/>
      </w:pPr>
      <w:r>
        <w:t>Re subparagraph 16 (§ 17 ‘Obligations to furnish proof’)</w:t>
      </w:r>
    </w:p>
    <w:p w14:paraId="6723A001" w14:textId="5A7F1E8C" w:rsidR="002816B9" w:rsidRPr="00BE5BA6" w:rsidRDefault="003F26E3" w:rsidP="00145624">
      <w:pPr>
        <w:pStyle w:val="Text"/>
      </w:pPr>
      <w:r>
        <w:t>Re point (a) (§ 17(1))</w:t>
      </w:r>
    </w:p>
    <w:p w14:paraId="3E81DCB6" w14:textId="443D3DF1" w:rsidR="002816B9" w:rsidRPr="00BE5BA6" w:rsidRDefault="002816B9" w:rsidP="00145624">
      <w:pPr>
        <w:pStyle w:val="Text"/>
      </w:pPr>
      <w:r>
        <w:t>Re sub-point (aa) (§ 17(1) sentence 5 (new))</w:t>
      </w:r>
    </w:p>
    <w:p w14:paraId="742917A4" w14:textId="36F69DF6" w:rsidR="002816B9" w:rsidRPr="00BE5BA6" w:rsidRDefault="002816B9" w:rsidP="002816B9">
      <w:pPr>
        <w:pStyle w:val="Text"/>
      </w:pPr>
      <w:r>
        <w:t xml:space="preserve">The insertion of the new § 17(1) sentence 5 clarifies that composite packaging that has been recovered together with the main material stream pursuant to § 16(3) sentence 4 due to its more than 95 % main material content must be indicated in the mass flow verification as packaging of the respective main material type, i.e. not as composite packaging but, for </w:t>
      </w:r>
      <w:r>
        <w:lastRenderedPageBreak/>
        <w:t>example, as glass or aluminium packaging. This is the only way to ensure that the data cross-checking process works properly during verification at the Central Authority.</w:t>
      </w:r>
    </w:p>
    <w:p w14:paraId="23FA95A0" w14:textId="36ADE766" w:rsidR="00874725" w:rsidRPr="00BE5BA6" w:rsidRDefault="00874725" w:rsidP="002816B9">
      <w:pPr>
        <w:pStyle w:val="Text"/>
      </w:pPr>
      <w:r>
        <w:t>Re sub-point (bb) (§ 17(1) sentence 6 (new))</w:t>
      </w:r>
    </w:p>
    <w:p w14:paraId="325B593E" w14:textId="4892F252" w:rsidR="00874725" w:rsidRPr="00BE5BA6" w:rsidRDefault="00320A2C" w:rsidP="002816B9">
      <w:pPr>
        <w:pStyle w:val="Text"/>
      </w:pPr>
      <w:r>
        <w:t xml:space="preserve">The change is a consequential amendment following the insertion of the new sentence 5 in § 17(1) in order to clarify the reference of the provision. </w:t>
      </w:r>
    </w:p>
    <w:p w14:paraId="65B776B8" w14:textId="342F4EE9" w:rsidR="00145624" w:rsidRPr="00BE5BA6" w:rsidRDefault="002816B9" w:rsidP="00145624">
      <w:pPr>
        <w:pStyle w:val="Text"/>
      </w:pPr>
      <w:r>
        <w:t>Re sub-point (cc) (§ 17(1) sentence 7 (new)):</w:t>
      </w:r>
    </w:p>
    <w:p w14:paraId="4A525699" w14:textId="305263D8" w:rsidR="00145624" w:rsidRPr="00BE5BA6" w:rsidRDefault="00145624" w:rsidP="00145624">
      <w:pPr>
        <w:pStyle w:val="Text"/>
      </w:pPr>
      <w:r>
        <w:t xml:space="preserve">The new § 17(1) sentence 7 serves to implement Article 8a(3)(d)(ii) of Directive 2008/98/EC. It requires the establishment of a suitable self-monitoring mechanism, if necessary supported by a regular independent audit, to assess the quality of the data collected and transmitted in accordance with Article 8a(1)(b) of Directive 2008/98/EC. </w:t>
      </w:r>
    </w:p>
    <w:p w14:paraId="53D0F8AF" w14:textId="504C6A80" w:rsidR="00145624" w:rsidRPr="00BE5BA6" w:rsidRDefault="00145624" w:rsidP="00145624">
      <w:pPr>
        <w:pStyle w:val="Text"/>
      </w:pPr>
      <w:r>
        <w:t xml:space="preserve">The new provision does not affect the existing provisions in § 17. It supplements this with an obligation to self-monitor the quality of the data transmitted. In this respect, it also supplements the newly created obligation to provide information in § 14(2) of the Environmental Statistics Act by an obligation to carry out self-monitoring with regard to the quality of the data transmitted. The independent verification and confirmation of the volume flow records pursuant to § 17(2), which was already provided for under the previous legal situation, also indirectly constitutes a verification of the self-monitoring mechanism to be established. This existing provision of § 17(2) serves to implement the optional part of Article 8a(3)(d) of Directive 2008/98/EC. </w:t>
      </w:r>
    </w:p>
    <w:p w14:paraId="569D03AC" w14:textId="4661386B" w:rsidR="00145624" w:rsidRPr="00BE5BA6" w:rsidRDefault="00145624" w:rsidP="00F444D6">
      <w:pPr>
        <w:pStyle w:val="Text"/>
      </w:pPr>
      <w:r>
        <w:t>Given the possible heterogeneity of the individual schemes, it is neither expedient nor adequate to prescribe the form of these self-monitoring mechanisms in detail. Instead, the provision leaves it up to the schemes to decide for themselves how to design the necessary self-monitoring mechanisms.</w:t>
      </w:r>
    </w:p>
    <w:p w14:paraId="51BAB3FA" w14:textId="11043117" w:rsidR="009677C5" w:rsidRPr="00BE5BA6" w:rsidRDefault="009677C5" w:rsidP="00F444D6">
      <w:pPr>
        <w:pStyle w:val="Text"/>
      </w:pPr>
      <w:r>
        <w:t>By way of the existing reference in § 8(3) sentence 1 to § 17(1), this new requirement for documentation must also be complied with by a producer participating in an industry solution or, in the case of cooperation pursuant to § 8(1) sentence 3, by the sponsor of an industry solution.</w:t>
      </w:r>
    </w:p>
    <w:p w14:paraId="4AF70D83" w14:textId="68DC04E3" w:rsidR="003F26E3" w:rsidRPr="00BE5BA6" w:rsidRDefault="003F26E3" w:rsidP="00F444D6">
      <w:pPr>
        <w:pStyle w:val="Text"/>
      </w:pPr>
      <w:r>
        <w:t>Re point (b) (§ 17(3))</w:t>
      </w:r>
    </w:p>
    <w:p w14:paraId="327B8149" w14:textId="415B2CA6" w:rsidR="003F26E3" w:rsidRPr="00BE5BA6" w:rsidRDefault="003F26E3" w:rsidP="00F444D6">
      <w:pPr>
        <w:pStyle w:val="Text"/>
      </w:pPr>
      <w:r>
        <w:t>Point (b) changes the submission of the volume flow record pursuant to § 17(3) sentence 1 to an electronic filing procedure, as is already used for the declarations of completeness pursuant to § 11 and the schemes’ reporting obligations pursuant to § 20. The electronic procedure makes it easier for the Central Authority to evaluate the volume flow records. For the schemes, the changeover does not result in any additional work, as they must already have an electronic interface with the Central Authority due to § 20.</w:t>
      </w:r>
    </w:p>
    <w:p w14:paraId="29D7E74E" w14:textId="052C9E5A" w:rsidR="003F26E3" w:rsidRPr="00BE5BA6" w:rsidRDefault="003F26E3" w:rsidP="00F444D6">
      <w:pPr>
        <w:pStyle w:val="Text"/>
      </w:pPr>
      <w:r>
        <w:t>In the new § 17(3) sentence 2, a qualified electronic signature is required for the inspection confirmations of the registered experts pursuant to § 17(2) sentence 1.</w:t>
      </w:r>
    </w:p>
    <w:p w14:paraId="2251BD1F" w14:textId="1BC389A9" w:rsidR="003F26E3" w:rsidRPr="00BE5BA6" w:rsidRDefault="003F26E3" w:rsidP="003F26E3">
      <w:pPr>
        <w:pStyle w:val="Text"/>
      </w:pPr>
      <w:r>
        <w:t>Under the new § 17(3) sentence 3 the Central Authority may prescribe the use of certain electronic forms and input masks and certain encryption for the transmission of volume flow records.</w:t>
      </w:r>
    </w:p>
    <w:p w14:paraId="2D8AFADD" w14:textId="3784DD41" w:rsidR="00145624" w:rsidRPr="00BE5BA6" w:rsidRDefault="00145624" w:rsidP="00145624">
      <w:pPr>
        <w:pStyle w:val="Text"/>
      </w:pPr>
      <w:r>
        <w:t>Re subparagraph 17 (§ 18 ‘Approval and organisation’)</w:t>
      </w:r>
    </w:p>
    <w:p w14:paraId="47C6B080" w14:textId="30B3CD00" w:rsidR="00145624" w:rsidRPr="00BE5BA6" w:rsidRDefault="00145624" w:rsidP="00145624">
      <w:pPr>
        <w:pStyle w:val="Text"/>
      </w:pPr>
      <w:r>
        <w:t xml:space="preserve">Re point (a) (heading of § 18) </w:t>
      </w:r>
    </w:p>
    <w:p w14:paraId="2C6DEB87" w14:textId="7F28DDAD" w:rsidR="00145624" w:rsidRPr="00BE5BA6" w:rsidRDefault="00145624" w:rsidP="00145624">
      <w:pPr>
        <w:pStyle w:val="Text"/>
      </w:pPr>
      <w:r>
        <w:t>The amendment serves to adapt the heading to the expanded regulatory content of § 18 by adding the new paragraph 5.</w:t>
      </w:r>
    </w:p>
    <w:p w14:paraId="0FF16965" w14:textId="25011E13" w:rsidR="00145624" w:rsidRPr="00C059FB" w:rsidRDefault="00145624" w:rsidP="00145624">
      <w:pPr>
        <w:pStyle w:val="Text"/>
        <w:rPr>
          <w:lang w:val="fr-FR"/>
        </w:rPr>
      </w:pPr>
      <w:r w:rsidRPr="00C059FB">
        <w:rPr>
          <w:lang w:val="fr-FR"/>
        </w:rPr>
        <w:lastRenderedPageBreak/>
        <w:t>Re point (b) (§ 18(1) sentence 2)</w:t>
      </w:r>
    </w:p>
    <w:p w14:paraId="3B6508E1" w14:textId="1614453B" w:rsidR="00145624" w:rsidRPr="00C059FB" w:rsidRDefault="00145624" w:rsidP="00145624">
      <w:pPr>
        <w:pStyle w:val="Text"/>
        <w:rPr>
          <w:lang w:val="fr-FR"/>
        </w:rPr>
      </w:pPr>
      <w:r w:rsidRPr="00C059FB">
        <w:rPr>
          <w:lang w:val="fr-FR"/>
        </w:rPr>
        <w:t>Re sub-point (aa) (§ 18(1) sentence 3, subparagraph 3)</w:t>
      </w:r>
    </w:p>
    <w:p w14:paraId="2E127AA1" w14:textId="769FECA5" w:rsidR="00145624" w:rsidRPr="00BE5BA6" w:rsidRDefault="00145624" w:rsidP="00145624">
      <w:pPr>
        <w:pStyle w:val="Text"/>
      </w:pPr>
      <w:r>
        <w:t xml:space="preserve">The formal adaptation is necessary due to the addition of the new content in § 18(1) sentence 2, subparagraph 4. </w:t>
      </w:r>
    </w:p>
    <w:p w14:paraId="15F732A1" w14:textId="2A68546B" w:rsidR="00145624" w:rsidRPr="00BE5BA6" w:rsidRDefault="00145624" w:rsidP="00145624">
      <w:pPr>
        <w:pStyle w:val="Text"/>
      </w:pPr>
      <w:r>
        <w:t>Re sub-point (bb) (§ 18(1) sentence 3, subparagraph 4 (new))</w:t>
      </w:r>
    </w:p>
    <w:p w14:paraId="475E108C" w14:textId="75776882" w:rsidR="00145624" w:rsidRPr="00BE5BA6" w:rsidRDefault="00145624" w:rsidP="00145624">
      <w:pPr>
        <w:pStyle w:val="Text"/>
      </w:pPr>
      <w:r>
        <w:t xml:space="preserve">The new requirement adds the subjective approval prerequisite of financial standing to the requirements for granting a licence to operate a scheme. The prerequisite of ‘financial standing’ must be met at all times. In addition to the amendments to paragraph 1a (new), § 20 and § 26, this provision serves to implement Article 8a(3)(c) of Directive 2008/98/EC. This requires Member States to ensure that organisations carrying out EPR obligations on behalf of producers have the necessary financial resources or financial and organisational means to fulfil their obligations under the EPR. The provision is appropriate in view of the particular importance of the schemes for the functioning of the collection and recovery of the empty packaging produced as waste by private final consumers and because of the assumption of product responsibility for the producers participating in the respective scheme. </w:t>
      </w:r>
    </w:p>
    <w:p w14:paraId="7EAD9E53" w14:textId="23BD83F3" w:rsidR="00145624" w:rsidRPr="00BE5BA6" w:rsidRDefault="00145624" w:rsidP="00145624">
      <w:pPr>
        <w:pStyle w:val="Text"/>
      </w:pPr>
      <w:r>
        <w:t>Re sub-point (cc) (§ 18(1) sentence 3, subparagraph 5 (new))</w:t>
      </w:r>
    </w:p>
    <w:p w14:paraId="659FE3B1" w14:textId="0A763D83" w:rsidR="00145624" w:rsidRPr="00BE5BA6" w:rsidRDefault="00145624" w:rsidP="00145624">
      <w:pPr>
        <w:pStyle w:val="Text"/>
      </w:pPr>
      <w:r>
        <w:t xml:space="preserve">The formal adaptation is necessary due to the addition of the new content in § 18(1) sentence 2, subparagraph 4. </w:t>
      </w:r>
    </w:p>
    <w:p w14:paraId="41EEDBC9" w14:textId="75229058" w:rsidR="00145624" w:rsidRPr="00BE5BA6" w:rsidRDefault="00145624" w:rsidP="00145624">
      <w:pPr>
        <w:pStyle w:val="Text"/>
      </w:pPr>
      <w:r>
        <w:t>Re point (c) (§ 18(1a) (new))</w:t>
      </w:r>
    </w:p>
    <w:p w14:paraId="1D4298FF" w14:textId="662F84BD" w:rsidR="005A2496" w:rsidRPr="00BE5BA6" w:rsidRDefault="00145624" w:rsidP="00145624">
      <w:pPr>
        <w:pStyle w:val="Text"/>
      </w:pPr>
      <w:r>
        <w:t xml:space="preserve">The new § 18(1a) provides for the circumstances under which the financial standing of a scheme as per § 18(1) sentence 2, subparagraph 4 is or is not in order. The purpose of this requirement concerning the financial standing of the scheme is to ensure that the obligations of the scheme are properly fulfilled. The provision is based on § 6c of the General Railway Act. § 18(1a) sentence 4 specifies the minimum requirements to be submitted for the financial standing verification. </w:t>
      </w:r>
    </w:p>
    <w:p w14:paraId="5C1AB15C" w14:textId="13580253" w:rsidR="00145624" w:rsidRPr="00BE5BA6" w:rsidRDefault="005A2496" w:rsidP="00145624">
      <w:pPr>
        <w:pStyle w:val="Text"/>
      </w:pPr>
      <w:r>
        <w:t>The information standardised in § 18(1a) sentence 4 shall be made available to the competent federal state authority or, by way of the reference in § 20(5) sentence 2, to the Central Authority so that it can assess the financial performance of a scheme in accordance with § 20(5). The provision is based on Annex 2 to the General Railways Act. The information referred to in § 18(1a) sentence 4 will for the most part already be contained in the annual financial statements. In each case, the annual financial statements under commercial law or, if no such financial statements exist, a balance sheet, and in both cases additionally an audit report under commercial law within the meaning of § 321 of the German Commercial Code, shall be submitted. If the information referred to in § 18(1a) sentence 4 is already contained in one of the documents to be transmitted to the competent federal state authority or to the Central Authority, it does not have to be transmitted separately as well. In the event of doubts as to the timely payment of tax and social security contributions, further documents suitable for the financial standing verification in individual cases in accordance with § 18(1a) sentence 5 may in particular be current certificates of good standing issued by the competent tax authorities and social security institutions. If there are doubts about the financial standing, the submission of a 12-month plan can also be requested in particular. Re point (d) (§ 18(5) (new))</w:t>
      </w:r>
    </w:p>
    <w:p w14:paraId="0712FBE1" w14:textId="62EC06C8" w:rsidR="00145624" w:rsidRPr="00BE5BA6" w:rsidRDefault="00145624" w:rsidP="00145624">
      <w:pPr>
        <w:pStyle w:val="Text"/>
      </w:pPr>
      <w:r>
        <w:t xml:space="preserve">The new § 18(5) sentence 1 serves to implement Article 8a(3)(c) of Directive 2008/98/EC at national level. Under this requirement, Member States must ensure that producers of articles or organisations carrying out EPR obligations on behalf of producers have, inter alia, the necessary organisational means to fulfil their obligations in the scope of EPR. In view of the large number of obligations on the schemes governed by different provisions of </w:t>
      </w:r>
      <w:r>
        <w:lastRenderedPageBreak/>
        <w:t>the Packaging Act, the new provision in § 18(5) sentence 1 refers to the obligations under the Packaging Act as a whole and is not confined to the obligations under specific provisions.</w:t>
      </w:r>
    </w:p>
    <w:p w14:paraId="7E5597F6" w14:textId="731E3138" w:rsidR="00145624" w:rsidRPr="00BE5BA6" w:rsidRDefault="00145624" w:rsidP="00145624">
      <w:pPr>
        <w:pStyle w:val="Text"/>
      </w:pPr>
      <w:r>
        <w:t>The clarification in the new § 18(5) sentence 2 serves to transpose Article 8a(3)(d)(i) of Directive 2008/98/EC (self-auditing of financial management) into national law. Under this requirement, Member States must ensure that producers of products or organisations carrying out EPR obligations on behalf of producers set up an appropriate self-monitoring mechanism to assess their financial management, among other things.</w:t>
      </w:r>
    </w:p>
    <w:p w14:paraId="50287CD6" w14:textId="56F096DC" w:rsidR="00145624" w:rsidRPr="00BE5BA6" w:rsidRDefault="00145624" w:rsidP="00145624">
      <w:pPr>
        <w:pStyle w:val="Text"/>
      </w:pPr>
      <w:r>
        <w:t>Given the possible heterogeneity of the individual schemes, it is neither expedient nor adequate to prescribe the form of these self-monitoring mechanisms in detail. Rather, in view of the numerous possible, different forms of organisation of the schemes, the provision leaves it up to the schemes themselves to decide in which way – based on the existing provisions of commercial and company law – they design the necessary self-monitoring mechanisms.</w:t>
      </w:r>
    </w:p>
    <w:p w14:paraId="73C36104" w14:textId="66D85E98" w:rsidR="002816B9" w:rsidRPr="00BE5BA6" w:rsidRDefault="00145624" w:rsidP="00145624">
      <w:pPr>
        <w:pStyle w:val="Text"/>
      </w:pPr>
      <w:r>
        <w:t>Re subparagraph 18 (§ 20 ‘Reporting duties’)</w:t>
      </w:r>
    </w:p>
    <w:p w14:paraId="715B9031" w14:textId="15B1E3E8" w:rsidR="002816B9" w:rsidRPr="00BE5BA6" w:rsidRDefault="002816B9" w:rsidP="00145624">
      <w:pPr>
        <w:pStyle w:val="Text"/>
      </w:pPr>
      <w:r>
        <w:t>Re point (a) (§ 20(1))</w:t>
      </w:r>
    </w:p>
    <w:p w14:paraId="3412D4A2" w14:textId="34EBA42D" w:rsidR="002816B9" w:rsidRPr="00BE5BA6" w:rsidRDefault="002816B9" w:rsidP="002816B9">
      <w:pPr>
        <w:pStyle w:val="Text"/>
      </w:pPr>
      <w:r>
        <w:t>The amendments to § 20(1) clarify that the information on the type of material of the packaging participating in the respective scheme in the schemes’ reports to the Central Authority must be based on the types of material specified in § 16(2) sentences 1 and 2. In addition, composite packaging that is recovered together with the main material stream due to its more than 95 % main material content pursuant to § 16(3) sentence 4 shall be reported in the notification pursuant to § 20 as packaging of the respective main material type, i.e. not as composite packaging but as glass or aluminium packaging, for example. After all, this is the only way for the data cross-checking to be carried out properly at the Central Authority and for the quota pursuant to § 16(2) to be calculated.</w:t>
      </w:r>
    </w:p>
    <w:p w14:paraId="0D7CD5DB" w14:textId="4F06322E" w:rsidR="00145624" w:rsidRPr="00BE5BA6" w:rsidRDefault="002816B9" w:rsidP="00145624">
      <w:pPr>
        <w:pStyle w:val="Text"/>
      </w:pPr>
      <w:r>
        <w:t>Re point (b) (§ 20(5) (new))</w:t>
      </w:r>
    </w:p>
    <w:p w14:paraId="0924E1C4" w14:textId="1FECDE71" w:rsidR="00145624" w:rsidRPr="00BE5BA6" w:rsidRDefault="00145624" w:rsidP="004C0EA8">
      <w:pPr>
        <w:pStyle w:val="Text"/>
      </w:pPr>
      <w:r>
        <w:t>In implementation of the obligation under Article 8a(3)(c) of Directive 2008/98/EC to maintain the necessary financial resources to meet the obligations under the SFMTA, the new § 20(5) in conjunction with § 18(1a) sentence 4 provides for the information that the schemes must submit annually to the Central Authority as proof of their financial standing. The reference to § 18(1a) sentence 4 in § 20(5) sentence 2 clarifies the minimum requirements to be submitted for the verification of financial standing. The information pursuant to § 18(1a) sentence 4 is likely to be largely already contained in the annual financial statements. In this case, it does not have to be sent separately.</w:t>
      </w:r>
    </w:p>
    <w:p w14:paraId="27F9A806" w14:textId="6EABAAE2" w:rsidR="00524262" w:rsidRPr="00BE5BA6" w:rsidRDefault="00145624" w:rsidP="00145624">
      <w:pPr>
        <w:pStyle w:val="Text"/>
      </w:pPr>
      <w:r>
        <w:t>§ 20(5) also contains requirements concerning the transmission to and verification of information by the Central Authority. In the event of doubts as to the timely payment of tax and social security contributions, further documents suitable for the financial standing verification in individual cases pursuant to § 20(5) sentence 4 as well as § 18(1a) sentence 5 may in particular include current certificates of good standing issued by the competent tax authorities and social security institutions. If there are doubts about the financial standing, the submission of a 12-month plan can also be requested in particular.</w:t>
      </w:r>
    </w:p>
    <w:p w14:paraId="10F99152" w14:textId="4AC7998F" w:rsidR="00AB7688" w:rsidRPr="00BE5BA6" w:rsidRDefault="006238D1" w:rsidP="00145624">
      <w:pPr>
        <w:pStyle w:val="Text"/>
      </w:pPr>
      <w:r>
        <w:t xml:space="preserve">Re subparagraph 19 (§ 21 ‘Ecological design of participation fees’) </w:t>
      </w:r>
    </w:p>
    <w:p w14:paraId="64FF9A01" w14:textId="495EA5D4" w:rsidR="004C0EA8" w:rsidRPr="00BE5BA6" w:rsidRDefault="004C0EA8" w:rsidP="00145624">
      <w:pPr>
        <w:pStyle w:val="Text"/>
      </w:pPr>
      <w:r>
        <w:t>Re point (a) (§ 21(1)(2) and (4))</w:t>
      </w:r>
    </w:p>
    <w:p w14:paraId="2DBD4FBB" w14:textId="1F31C4DF" w:rsidR="004C0EA8" w:rsidRPr="00BE5BA6" w:rsidRDefault="00BF6632" w:rsidP="00145624">
      <w:pPr>
        <w:pStyle w:val="Text"/>
      </w:pPr>
      <w:r>
        <w:t>The amendment adapts the previously used term ‘Recyclate’ to the spelling ‘Rezyklate’ now used in the relevant legal definition in § 3(7b) of the Circular Economy Act. This does not entail any content-related changes.</w:t>
      </w:r>
    </w:p>
    <w:p w14:paraId="3296A135" w14:textId="4C5D4899" w:rsidR="004C0EA8" w:rsidRPr="00BE5BA6" w:rsidRDefault="00AB7688" w:rsidP="00145624">
      <w:pPr>
        <w:pStyle w:val="Text"/>
      </w:pPr>
      <w:r>
        <w:lastRenderedPageBreak/>
        <w:t>Re point (b) (§ 21(2))</w:t>
      </w:r>
    </w:p>
    <w:p w14:paraId="0CC5EE08" w14:textId="51CC96C0" w:rsidR="00B56EFE" w:rsidRPr="00C059FB" w:rsidRDefault="004C0EA8" w:rsidP="00145624">
      <w:pPr>
        <w:pStyle w:val="Text"/>
        <w:rPr>
          <w:lang w:val="fr-FR"/>
        </w:rPr>
      </w:pPr>
      <w:r w:rsidRPr="00C059FB">
        <w:rPr>
          <w:lang w:val="fr-FR"/>
        </w:rPr>
        <w:t>Re sub-point (aa) (§ 21(2) sentence 1)</w:t>
      </w:r>
    </w:p>
    <w:p w14:paraId="4DE7B4CE" w14:textId="0C48E961" w:rsidR="00AB7688" w:rsidRPr="00BE5BA6" w:rsidRDefault="00AB7688" w:rsidP="00145624">
      <w:pPr>
        <w:pStyle w:val="Text"/>
      </w:pPr>
      <w:r>
        <w:t>The amendment clarifies that the reports pursuant to § 21(2) must relate to the previous calendar year.</w:t>
      </w:r>
    </w:p>
    <w:p w14:paraId="642DF63E" w14:textId="5741643F" w:rsidR="00AB7688" w:rsidRPr="00BE5BA6" w:rsidRDefault="00AB7688" w:rsidP="00145624">
      <w:pPr>
        <w:pStyle w:val="Text"/>
      </w:pPr>
      <w:r>
        <w:t>Re sub-point (bb) (§ 21(2) sentence 4 (new))</w:t>
      </w:r>
    </w:p>
    <w:p w14:paraId="6831834D" w14:textId="088BA667" w:rsidR="00AB7688" w:rsidRPr="00BE5BA6" w:rsidRDefault="00AB7688" w:rsidP="00145624">
      <w:pPr>
        <w:pStyle w:val="Text"/>
      </w:pPr>
      <w:r>
        <w:t>The new § 21(2) sentence 4 enables the Central Authority, in agreement with the Federal Environment Agency, to adopt and publish uniform requirements regarding the form of the reports to be submitted by the schemes for the implementation of § 21. Such uniform requirements are intended to improve the comparability of the reports in order to make it easier for the Central Authority and the Federal Environment Agency to check the reports, but also to enable market players to compare the performance of the schemes more effectively if the reports are published. The specifications may relate to the external design and the content structure of the reports, but may not provide for any mandatory content information beyond the legal requirements.</w:t>
      </w:r>
    </w:p>
    <w:p w14:paraId="529583CE" w14:textId="707B5FF5" w:rsidR="00BB0170" w:rsidRPr="00BE5BA6" w:rsidRDefault="00C34E6B" w:rsidP="00145624">
      <w:pPr>
        <w:pStyle w:val="Text"/>
      </w:pPr>
      <w:r>
        <w:t>Re subparagraph 20 (§ 24(4) (new))</w:t>
      </w:r>
    </w:p>
    <w:p w14:paraId="61235340" w14:textId="29E27B65" w:rsidR="00BB0170" w:rsidRPr="00BE5BA6" w:rsidRDefault="006238D1" w:rsidP="00BB0170">
      <w:pPr>
        <w:pStyle w:val="Text"/>
      </w:pPr>
      <w:r>
        <w:t>Subparagraph 20 adds a new paragraph 4 to § 24. A special enabling provision is created for the revocation of the consent pursuant to § 24(2) sentence 1 and the consent pursuant to § 24(3) sentence 3 of the Federal Ministry of the Environment, Nature Conservation and Nuclear Safety to the foundation statutes. According to this provision, the Federal Ministry for the Environment, Nature Conservation and Nuclear Safety may revoke its consent and its approval, each of which is an administrative act, if the actual circumstances no longer meet the requirements of § 24(2) sentence 2, subparagraphs 2 to 5. This ensures that not only the statutes of the Central Authority meet the requirements of § 24(2) sentence 2, but that at the same time the actual organisation of the Central Authority and its actions are in conformity with the basic legal requirements pursuant to § 24(2) sentence 2, subparagraphs 2 to 5. This is because the revocation of consent or approval would remove a requirement under § 24 and, in the absence of a legitimated statute, the foundation would lose its status as a Central Authority as defined by the Packaging Act.</w:t>
      </w:r>
    </w:p>
    <w:p w14:paraId="6AD54C03" w14:textId="45B7B6D7" w:rsidR="00BB0170" w:rsidRPr="00BE5BA6" w:rsidRDefault="00BB0170" w:rsidP="00BB0170">
      <w:pPr>
        <w:pStyle w:val="Text"/>
      </w:pPr>
      <w:r>
        <w:t>Sentence 2 of the new § 24(4) clarifies by means of an irrebuttable presumption that the actual circumstances no longer meet the requirements of § 24(2) sentence 2, subparagraph 3 if the proportion of packaging taken back in a calendar year by the member companies of the associations represented on the Board of Trustees participating in schemes or via sectoral solutions falls below 75 % of the total packaging taken back in the same calendar year participating in schemes or via sectoral solutions. With regard to the particularly important requirement of adequate representation of all the producers and distributors referred to in § 24(1), the Act thus makes it clear that an equal and adequate representation of interests is no longer to be regarded as given if the business representatives sitting on the board of trustees, including the interest groups, account for less than 75 % of the total packaging mass brought into the dual systems and sectoral solutions. If the Central Authority does not adjust the composition of the Board of Trustees in such a case, the Federal Ministry of the Environment, Nature Conservation and Nuclear Safety may revoke its agreement or consent without having to prove in detail that the producers and distributors referred to in paragraph 1 can no longer bring their interests to bear on equal terms and to an appropriate extent.</w:t>
      </w:r>
    </w:p>
    <w:p w14:paraId="5FC5D161" w14:textId="528CF5C7" w:rsidR="00A3203C" w:rsidRPr="00BE5BA6" w:rsidRDefault="00A3203C" w:rsidP="00EE2530">
      <w:pPr>
        <w:pStyle w:val="Text"/>
      </w:pPr>
      <w:r>
        <w:t>Re subparagraph 21 (§ 25(5) sentence 3 (new))</w:t>
      </w:r>
    </w:p>
    <w:p w14:paraId="7646222C" w14:textId="5E3E01A1" w:rsidR="00A3203C" w:rsidRPr="00BE5BA6" w:rsidRDefault="00A3203C" w:rsidP="00EE2530">
      <w:pPr>
        <w:pStyle w:val="Text"/>
      </w:pPr>
      <w:r>
        <w:t xml:space="preserve">The new § 25(5) sentence 3 creates legal certainty for the Central Authority and the Federal Environment Agency with regard to the powers of the approval authority within the framework of the performance of tasks pursuant to § 25(5). The Federal Environment Agency may request information, documents and other data needed to verify the auditor’s </w:t>
      </w:r>
      <w:r>
        <w:lastRenderedPageBreak/>
        <w:t>certificate pursuant to § 25(5) sentence 2 and the appropriateness of the amount of the levy or the costs included in the recalculation. The Federal Environment Agency may also request further information, documents and other data for certification in order to be able to understand – in particular for assessing the appropriateness of the costs and in the event of inconsistencies or inadequacies in the documentation – the underlying method of calculating the levy and the performance of the recalculation and its application.</w:t>
      </w:r>
    </w:p>
    <w:p w14:paraId="42C2C930" w14:textId="0BD167AA" w:rsidR="00EE2530" w:rsidRPr="00C059FB" w:rsidRDefault="006238D1" w:rsidP="00EE2530">
      <w:pPr>
        <w:pStyle w:val="Text"/>
        <w:rPr>
          <w:lang w:val="fr-FR"/>
        </w:rPr>
      </w:pPr>
      <w:r w:rsidRPr="00C059FB">
        <w:rPr>
          <w:lang w:val="fr-FR"/>
        </w:rPr>
        <w:t>Re subparagraph 22 (§ 26(1) sentence 2)</w:t>
      </w:r>
    </w:p>
    <w:p w14:paraId="337E105B" w14:textId="19D9AC97" w:rsidR="0069317C" w:rsidRPr="00C059FB" w:rsidRDefault="00EE2530" w:rsidP="00EE2530">
      <w:pPr>
        <w:pStyle w:val="Text"/>
        <w:rPr>
          <w:lang w:val="fr-FR"/>
        </w:rPr>
      </w:pPr>
      <w:r w:rsidRPr="00C059FB">
        <w:rPr>
          <w:lang w:val="fr-FR"/>
        </w:rPr>
        <w:t>Re point (a) (§ 26(1) sentence 2, subparagraph 4)</w:t>
      </w:r>
    </w:p>
    <w:p w14:paraId="4DA6197A" w14:textId="7C095BE6" w:rsidR="0069317C" w:rsidRPr="00BE5BA6" w:rsidRDefault="0069317C" w:rsidP="00EE2530">
      <w:pPr>
        <w:pStyle w:val="Text"/>
      </w:pPr>
      <w:r>
        <w:t>The addition to § 26(1) sentence 2, subparagraph 4 makes it clear that the Central Authority is to make greater use of the extended register data (in particular those in § 9(2)(7)) for data cross-checking purposes in future and thus also be able to check the completeness and correctness of the declaration of completeness even more effectively.</w:t>
      </w:r>
    </w:p>
    <w:p w14:paraId="45AD0FFA" w14:textId="62C1E73C" w:rsidR="00EE2530" w:rsidRPr="00BE5BA6" w:rsidRDefault="0069317C" w:rsidP="00EE2530">
      <w:pPr>
        <w:pStyle w:val="Text"/>
      </w:pPr>
      <w:r>
        <w:t>Re point (b) (§ 26(1) sentence 2, subparagraph 6a (new))</w:t>
      </w:r>
    </w:p>
    <w:p w14:paraId="1B4AC5FC" w14:textId="3480F954" w:rsidR="00EE2530" w:rsidRPr="00BE5BA6" w:rsidRDefault="00EE2530" w:rsidP="00EE2530">
      <w:pPr>
        <w:pStyle w:val="Text"/>
      </w:pPr>
      <w:r>
        <w:t>In implementation of Article 8a of Directive 2008/98/EC, the provision supplements the information requirements and the exception for trade secrets under § 4(4). It legally entrusts the Central Authority with the task of verifying the justification given by the schemes for the existence of trade secrets. If the Central Authority considers the justification to be implausible, giving rise to doubt as to the existence of trade secrets, it shall inform the competent federal state authorities of the result of its examination. The federal state authority may verify the existence of trade secrets on the basis of further documents if necessary.</w:t>
      </w:r>
    </w:p>
    <w:p w14:paraId="0FC8D22B" w14:textId="6C5C0635" w:rsidR="003F26E3" w:rsidRPr="00C059FB" w:rsidRDefault="00EE2530" w:rsidP="00EE2530">
      <w:pPr>
        <w:pStyle w:val="Text"/>
        <w:rPr>
          <w:lang w:val="fr-FR"/>
        </w:rPr>
      </w:pPr>
      <w:r w:rsidRPr="00C059FB">
        <w:rPr>
          <w:lang w:val="fr-FR"/>
        </w:rPr>
        <w:t>Re point (c) (§ 26(1) sentence 2, subparagraph 7)</w:t>
      </w:r>
    </w:p>
    <w:p w14:paraId="5C356FD3" w14:textId="4DDD3317" w:rsidR="003F26E3" w:rsidRPr="00BE5BA6" w:rsidRDefault="003F26E3" w:rsidP="00EE2530">
      <w:pPr>
        <w:pStyle w:val="Text"/>
      </w:pPr>
      <w:r>
        <w:t>The amendment to § 26(1) sentence 2, subparagraph 7 merely serves to adapt to the new electronic filing of volume flow records in § 17(3). It does not make any content-related changes beyond that.</w:t>
      </w:r>
    </w:p>
    <w:p w14:paraId="1E9A180F" w14:textId="448CF546" w:rsidR="00EE2530" w:rsidRPr="00BE5BA6" w:rsidRDefault="003F26E3" w:rsidP="00EE2530">
      <w:pPr>
        <w:pStyle w:val="Text"/>
      </w:pPr>
      <w:r>
        <w:t>Re point (d) (§ 26(1) sentence 2, subparagraph 8a (new))</w:t>
      </w:r>
    </w:p>
    <w:p w14:paraId="6442FB66" w14:textId="2F0C8973" w:rsidR="00EE2530" w:rsidRPr="00BE5BA6" w:rsidRDefault="00EE2530" w:rsidP="00EE2530">
      <w:pPr>
        <w:pStyle w:val="Text"/>
      </w:pPr>
      <w:r>
        <w:t>The provision – in addition to the amendments in § 18 and § 20 – serves to implement Article 8a(3)(c) of Directive 2008/98/EC. If the Central Authority has transmitted information pursuant to § 26(1) sentence 2, subparagraph 8a to the competent federal state authority, the latter may verify the financial standing by means of further documents, for example. If necessary, it may also require an appropriate security from the scheme concerned (see § 18(4)). As a last resort, there is the possibility of revoking the licence to operate the scheme, since financial standing is also a licence requirement (see § 18 (1) sentence 2, subparagraph 4 (new)).</w:t>
      </w:r>
    </w:p>
    <w:p w14:paraId="33ECAE43" w14:textId="53BFA17E" w:rsidR="004C0EA8" w:rsidRPr="00BE5BA6" w:rsidRDefault="005D544F" w:rsidP="005D544F">
      <w:pPr>
        <w:pStyle w:val="Text"/>
      </w:pPr>
      <w:r>
        <w:t>Re point (e) (§ 26(1) sentence 2, subparagraph 10a (new))</w:t>
      </w:r>
    </w:p>
    <w:p w14:paraId="4491C644" w14:textId="48C283E7" w:rsidR="004C0EA8" w:rsidRPr="00BE5BA6" w:rsidRDefault="004C0EA8" w:rsidP="005D544F">
      <w:pPr>
        <w:pStyle w:val="Text"/>
      </w:pPr>
      <w:r>
        <w:t>Since the requirements under § 21(2) sentence 3 are binding decisions for the schemes, the new § 26(1) sentence 2, subparagraph 10a expressly confers on the Central Authority the power to act as a sovereign authority.</w:t>
      </w:r>
    </w:p>
    <w:p w14:paraId="6AB7D541" w14:textId="7FB2D7F2" w:rsidR="009677C5" w:rsidRPr="00C059FB" w:rsidRDefault="009677C5" w:rsidP="005D544F">
      <w:pPr>
        <w:pStyle w:val="Text"/>
        <w:rPr>
          <w:lang w:val="fr-FR"/>
        </w:rPr>
      </w:pPr>
      <w:r w:rsidRPr="00C059FB">
        <w:rPr>
          <w:lang w:val="fr-FR"/>
        </w:rPr>
        <w:t>Re point (f) (§ 26(1) sentence 2, subparagraph 19)</w:t>
      </w:r>
    </w:p>
    <w:p w14:paraId="395FC167" w14:textId="4350B65D" w:rsidR="009677C5" w:rsidRPr="00BE5BA6" w:rsidRDefault="009677C5" w:rsidP="005D544F">
      <w:pPr>
        <w:pStyle w:val="Text"/>
      </w:pPr>
      <w:r>
        <w:t xml:space="preserve">The amendment serves the formal adjustment as a result of the relocation of the content of the former § 8(4) to § 8(5). This does not entail any content-related changes. </w:t>
      </w:r>
    </w:p>
    <w:p w14:paraId="196B1B52" w14:textId="022368FD" w:rsidR="005D544F" w:rsidRPr="00BE5BA6" w:rsidRDefault="004C0EA8" w:rsidP="007E54AB">
      <w:pPr>
        <w:pStyle w:val="Text"/>
        <w:keepNext/>
        <w:keepLines/>
      </w:pPr>
      <w:r>
        <w:lastRenderedPageBreak/>
        <w:t>Re point (g) (§ 26(1) sentence 2, subparagraph 21)</w:t>
      </w:r>
    </w:p>
    <w:p w14:paraId="1C590027" w14:textId="237F7619" w:rsidR="005D544F" w:rsidRPr="00BE5BA6" w:rsidRDefault="005D544F" w:rsidP="005D544F">
      <w:pPr>
        <w:pStyle w:val="Text"/>
      </w:pPr>
      <w:r>
        <w:t>The amendment adapts the reference in § 26(1) sentence 2, subparagraph 21 to the provisions on fines to the new section numbering as a result of the newly inserted § 33 and § 34.</w:t>
      </w:r>
    </w:p>
    <w:p w14:paraId="62497656" w14:textId="65E89339" w:rsidR="00A3203C" w:rsidRPr="00C059FB" w:rsidRDefault="00A3203C" w:rsidP="005D544F">
      <w:pPr>
        <w:pStyle w:val="Text"/>
        <w:rPr>
          <w:lang w:val="fr-FR"/>
        </w:rPr>
      </w:pPr>
      <w:r w:rsidRPr="00C059FB">
        <w:rPr>
          <w:lang w:val="fr-FR"/>
        </w:rPr>
        <w:t>Re point (h) (§ 26(1) sentence 2, subparagraph 23)</w:t>
      </w:r>
    </w:p>
    <w:p w14:paraId="7208F5B9" w14:textId="635557D7" w:rsidR="00A3203C" w:rsidRPr="00BE5BA6" w:rsidRDefault="00A3203C" w:rsidP="005D544F">
      <w:pPr>
        <w:pStyle w:val="Text"/>
      </w:pPr>
      <w:r>
        <w:t>In the list of sovereign activities of the Central Authority in § 26(1) sentence 2, the authority to issue norm-interpreting administrative provisions with regard to the abstract classification of packaging as subject to the scheme participation obligation as per § 3(8) is included in connection with the task under § 26(1) sentence 2, subparagraph 23 of deciding on application in individual cases on the classification of packaging as subject to the scheme participation obligation as per § 3(8). The administrative rules are only intended to ensure uniformity of administrative practice by the Central Authority. They have no external effect, nor do they have any binding effect on federal state authorities or other federal authorities. The Central Authority may publish the administrative rules for the general information of market operators. In this way, they can give important indications to market operators with regard to the outcome of a possible classification decision by the Central Authority.</w:t>
      </w:r>
    </w:p>
    <w:p w14:paraId="52201F0C" w14:textId="535EDB94" w:rsidR="00F444D6" w:rsidRPr="00BE5BA6" w:rsidRDefault="00EE2530" w:rsidP="00F444D6">
      <w:pPr>
        <w:pStyle w:val="Text"/>
      </w:pPr>
      <w:r>
        <w:t>Re subparagraph 23 (§ 30a ‘Minimum recyclate content of certain single-use plastic beverage bottles’)</w:t>
      </w:r>
    </w:p>
    <w:p w14:paraId="6BC5EF2C" w14:textId="791AA2AA" w:rsidR="00BB0170" w:rsidRPr="00BE5BA6" w:rsidRDefault="00BB0170" w:rsidP="00BB0170">
      <w:pPr>
        <w:pStyle w:val="Text"/>
      </w:pPr>
      <w:r>
        <w:t xml:space="preserve">Subparagraph 23 inserts a new § 30a. </w:t>
      </w:r>
    </w:p>
    <w:p w14:paraId="75ABF946" w14:textId="45899AB7" w:rsidR="00425122" w:rsidRPr="00BE5BA6" w:rsidRDefault="00BB0170" w:rsidP="00BB0170">
      <w:pPr>
        <w:pStyle w:val="Text"/>
      </w:pPr>
      <w:r>
        <w:t>Pursuant to § 30a(1), producers of single-use plastic beverage bottles in Germany may in future place certain single-use plastic beverage bottles on the market only if they contain a specified minimum proportion of plastic recyclates. This provision implements Article 6(5) in conjunction with Part F of the Annex to Directive (EU) 2019/904, requiring, for ease of enforcement, the minimum recyclate content to be complied with in relation to each individual single-use plastic beverage bottle, including its cap or lid, placed on the market. The purpose of the regulation is to reduce the proportion of plastic produced from primary raw materials in beverage bottles and to replace it with a minimum proportion of plastic recyclate. Accordingly, the recyclate input quota can only refer to the proportion of plastic contained in the beverage bottle in each case.</w:t>
      </w:r>
    </w:p>
    <w:p w14:paraId="2E004B9A" w14:textId="4B013D90" w:rsidR="00887FFE" w:rsidRPr="00BE5BA6" w:rsidRDefault="00887FFE" w:rsidP="00BB0170">
      <w:pPr>
        <w:pStyle w:val="Text"/>
      </w:pPr>
      <w:r>
        <w:t>The provision is addressed to producers of single-use plastic beverage bottles, i.e. to those who produce single-use plastic beverage bottles within the meaning of § 3(4c) and place them on the market in Germany for the first time as packaging, whether filled or yet unfilled. Pursuant to § 3(14) sentence 2, that provision also covers a person who imports into Germany single-use plastic beverage bottles produced abroad. On the other hand, producers of intermediate products of single-use plastic beverage bottles, e.g. so-called preforms for blowing PET bottles, do not fall within the definition of a producer in this sense.</w:t>
      </w:r>
    </w:p>
    <w:p w14:paraId="20BD3263" w14:textId="5089860B" w:rsidR="00BB0170" w:rsidRPr="00BE5BA6" w:rsidRDefault="00BB0170" w:rsidP="00BB0170">
      <w:pPr>
        <w:pStyle w:val="Text"/>
      </w:pPr>
      <w:r>
        <w:t>The requirements under § 30a(1) sentences 1 and 2 shall apply from different points in time and shall relate to different types of single-use plastic beverage bottles. In accordance with § 30a(1) sentence 1, the placing on the market of single-use plastic beverage bottles consisting mainly of polyethylene terephthalate (PET) is only permitted from 1 January 2025 if the PET contained in each bottle consists of at least 25 % by mass of plastic recyclates. From 1 January 2030, pursuant to § 30a(1) sentence 2, all single-use plastic beverage bottles, regardless of the type of plastic, may only be placed on the market if at least 30 % by mass of the plastic contained in the bottle consists of plastic recyclates.</w:t>
      </w:r>
    </w:p>
    <w:p w14:paraId="76DB90B4" w14:textId="0EFF6992" w:rsidR="00BB0170" w:rsidRPr="00BE5BA6" w:rsidRDefault="00BB0170" w:rsidP="00BB0170">
      <w:pPr>
        <w:pStyle w:val="Text"/>
      </w:pPr>
      <w:r>
        <w:t>The term ‘plastic recyclate’ is not specifically defined in the Packaging Act. However, according to § 2(2) sentence 1, this means recyclates as defined by § 3(7b) of the Circular Economy Act, which must be recyclates made of plastic as defined by § 3(21).</w:t>
      </w:r>
    </w:p>
    <w:p w14:paraId="71A8FA6F" w14:textId="7D1F6CB1" w:rsidR="00146B17" w:rsidRPr="00BE5BA6" w:rsidRDefault="00146B17" w:rsidP="00146B17">
      <w:pPr>
        <w:pStyle w:val="Text"/>
      </w:pPr>
      <w:r>
        <w:lastRenderedPageBreak/>
        <w:t>In accordance with § 30a(2), producers of single-use plastic beverage bottles have the option of meeting the bottle-related recyclate input quotas provided for in § 30a(1) alternatively with a recyclate input quota related to the total mass of single-use plastic beverage bottles they place on the market in Germany. This allows producers of single-use plastic beverage bottles, in particular in cases where it is not possible for them to comply with a recycling input quota per bottle placed on the market – whether for economic (e.g. too high investment costs in new machines) or technical reasons (e.g. insufficient qualitatively suitable recyclates available) – to comply with the requirements under § 30a(1) in relation to the total mass of single-use plastic beverage bottles placed on the market by them in a calendar year. For example, they can continue to market single-use plastic beverage bottles without any recyclate content if, at the same time, they exceed the legally required minimum recyclate content quotas for other single-use plastic beverage bottles. Depending on the availability of qualitatively suitable recyclates on the market, they may also temporarily suspend the use of recyclates if they compensate for this in the same calendar year by using a correspondingly higher proportion of recyclates.</w:t>
      </w:r>
    </w:p>
    <w:p w14:paraId="2046A877" w14:textId="7781B072" w:rsidR="00146B17" w:rsidRPr="00BE5BA6" w:rsidRDefault="00146B17" w:rsidP="00146B17">
      <w:pPr>
        <w:pStyle w:val="Text"/>
      </w:pPr>
      <w:r>
        <w:t>If producers of single-use plastic beverage bottles make use of the option pursuant to § 30a(2), they shall be obliged to document the use of recyclates in a verifiable manner with regard to the single-use plastic beverage bottles they manufacture in accordance with sentence 2. The documentation is necessary because in this case – unlike under § 30a(1) – the use of recyclate cannot be checked on the basis of a single bottle. In particular, the documentation shall clearly indicate the type and mass of recyclates used in the respective single-use plastic beverage bottles produced. In total, the recycled mass used in the calendar year in question in relation to the mass of the total single-use plastic beverage bottles produced by the respective producer must reach the minimum quotas specified in § 30a(1). The documentation must be submitted to the competent national authority, as a rule the authority in whose territory the producer is established, on request.</w:t>
      </w:r>
    </w:p>
    <w:p w14:paraId="2AFAC4FF" w14:textId="37E87B57" w:rsidR="00BB0170" w:rsidRPr="00BE5BA6" w:rsidRDefault="006238D1" w:rsidP="00BB0170">
      <w:pPr>
        <w:pStyle w:val="Text"/>
      </w:pPr>
      <w:r>
        <w:t xml:space="preserve">§ 30a(3) exempts certain single-use plastic beverage bottles from the provisions of paragraphs 1 and 2 in implementation of Part F of the Annex to Directive (EU) 2019/904. The two exceptions are concurrent and need not be cumulative. On the one hand, single-use beverage bottles made of glass or metal, where only the caps or lids are made of plastic, are excluded. On the other hand, such single-use plastic beverage bottles intended and used for liquid foods for special medical purposes as defined in Article 2(2)(g) of Regulation (EU) No 609/2013 are excluded. These are foods which are specially processed or formulated to be used under medical supervision for the dietary management of patients, including infants. They are intended for the exclusive or partial nutrition of patients with reduced, impaired or impaired ability to ingest, digest, absorb, metabolise or excrete ordinary foods or certain nutrients or metabolites contained therein, or patients with other medically related nutritional needs for whose dietary management the modification of the normal diet alone is not sufficient. </w:t>
      </w:r>
    </w:p>
    <w:p w14:paraId="6FB87A07" w14:textId="19834619" w:rsidR="00F444D6" w:rsidRPr="00BE5BA6" w:rsidRDefault="00F444D6" w:rsidP="00BB0170">
      <w:pPr>
        <w:pStyle w:val="Text"/>
      </w:pPr>
      <w:r>
        <w:t>Re subparagraph 24 (§ 31 ‘Deposit-refund and take-back obligations for single-use drinks packaging’)</w:t>
      </w:r>
    </w:p>
    <w:p w14:paraId="49CCCD34" w14:textId="0CF8A8F0" w:rsidR="00F35F97" w:rsidRPr="00BE5BA6" w:rsidRDefault="00F35F97" w:rsidP="00F35F97">
      <w:pPr>
        <w:pStyle w:val="Text"/>
      </w:pPr>
      <w:r>
        <w:t>Re point (a) (§ 31(1) sentence 4)</w:t>
      </w:r>
    </w:p>
    <w:p w14:paraId="50E92D3D" w14:textId="14EC99E1" w:rsidR="00F35F97" w:rsidRPr="00BE5BA6" w:rsidRDefault="00F35F97" w:rsidP="00F35F97">
      <w:pPr>
        <w:pStyle w:val="Text"/>
      </w:pPr>
      <w:r>
        <w:t>The provision serves to implement Article 8a(2) of Directive 2008/98/EC with regard to single-use drinks packaging subject to a deposit pursuant to § 31(1).</w:t>
      </w:r>
    </w:p>
    <w:p w14:paraId="1C7965D6" w14:textId="53D80C20" w:rsidR="00F35F97" w:rsidRPr="00BE5BA6" w:rsidRDefault="00F35F97" w:rsidP="00F35F97">
      <w:pPr>
        <w:pStyle w:val="Text"/>
      </w:pPr>
      <w:r>
        <w:t xml:space="preserve">The provision allows the use of existing structures and the publication of the relevant information on the website of Deutsche Pfandsystem GmbH (DPG). In particular, Deutsche Pfandsystem GmbH (DPG) has provided the organisational framework for deposit clearing to date. It already provides a website with comprehensive information on the return and collection system for single-use drinks packaging subject to a deposit pursuant to § 31(1). The proposed provision codifies the practice followed to date. </w:t>
      </w:r>
    </w:p>
    <w:p w14:paraId="78449310" w14:textId="22561B17" w:rsidR="00F35F97" w:rsidRPr="00BE5BA6" w:rsidRDefault="00F35F97" w:rsidP="00F35F97">
      <w:pPr>
        <w:pStyle w:val="Text"/>
      </w:pPr>
      <w:r>
        <w:lastRenderedPageBreak/>
        <w:t>Making the information available in a central place rather than by each producer or final distributor itself will help to clarify the information for consumers and to avoid unnecessary obligations for producers. A consumer looking for an explanation of how the German single-use deposit system works will easily find the information already available on the DPG website. Since the deposit system is uniform throughout Germany and always operates in the same way, at least from the consumer’s point of view, it is not necessary for each producer to provide separate explanations of the deposit system on its website.</w:t>
      </w:r>
    </w:p>
    <w:p w14:paraId="79CAC239" w14:textId="074B04EB" w:rsidR="00F35F97" w:rsidRPr="00BE5BA6" w:rsidRDefault="00F35F97" w:rsidP="00F35F97">
      <w:pPr>
        <w:pStyle w:val="Text"/>
      </w:pPr>
      <w:r>
        <w:t>Re point (b) (§ 31(3) sentence 3)</w:t>
      </w:r>
    </w:p>
    <w:p w14:paraId="31CEC8B5" w14:textId="7D443175" w:rsidR="00F35F97" w:rsidRPr="00BE5BA6" w:rsidRDefault="00F35F97" w:rsidP="00F35F97">
      <w:pPr>
        <w:pStyle w:val="Text"/>
      </w:pPr>
      <w:r>
        <w:t>In order to implement Article 8a(3)(d)(ii) of Directive 2008/98/EC in the field of single-use drinks packaging subject to a deposit, the reference § 31(3) sentence 3 shall be supplemented and the corresponding application of § 15(3) sentence 3 to 7 shall also be provided for. Producers and distributors within the meaning of § 31 are hereby required to provide evidence of compliance with the take-back and recovery requirements and to document in verifiable form the packaging put into circulation and taken back or recovered each year by 15 May in the preceding calendar year. The reference to § 15(3) sentence 3) is intended to supplement the newly envisaged obligation to provide information in the Environmental Statistics Act with an obligation to provide evidence in advance. This ensures that the obligation to provide information under the Environmental Statistics Act does not prove futile due to lack of information.</w:t>
      </w:r>
    </w:p>
    <w:p w14:paraId="64F68950" w14:textId="514D3CEC" w:rsidR="00F35F97" w:rsidRPr="00BE5BA6" w:rsidRDefault="00F35F97" w:rsidP="00F35F97">
      <w:pPr>
        <w:pStyle w:val="Text"/>
      </w:pPr>
      <w:r>
        <w:t>In addition, the reference to § 15(3) sentence 6 introduces the obligation to establish a self-monitoring mechanism as defined by Article 8a(3)(d)(ii) of Directive 2008/98/EC to ensure the quality of the data transmitted. Given the heterogeneity of the individual producers/distributors covered by § 31, it is neither expedient nor adequate to prescribe the form of these self-monitoring mechanisms in detail, as is the case for producers and distributors under § 15. Rather, the newly established provision allows each individual obligated party to design the self-monitoring mechanisms that suit its enterprise.</w:t>
      </w:r>
    </w:p>
    <w:p w14:paraId="1614DCD2" w14:textId="1B270154" w:rsidR="00F35F97" w:rsidRPr="00BE5BA6" w:rsidRDefault="00F35F97" w:rsidP="00F35F97">
      <w:pPr>
        <w:pStyle w:val="Text"/>
      </w:pPr>
      <w:r>
        <w:t>In addition, they shall submit the documentation to the competent federal state authority on request by way of the reference to the new § 15(3) sentence 7.</w:t>
      </w:r>
    </w:p>
    <w:p w14:paraId="696262C6" w14:textId="426AB3F4" w:rsidR="00F35F97" w:rsidRPr="00C059FB" w:rsidRDefault="00F35F97" w:rsidP="00F35F97">
      <w:pPr>
        <w:pStyle w:val="Text"/>
        <w:rPr>
          <w:lang w:val="fr-FR"/>
        </w:rPr>
      </w:pPr>
      <w:r w:rsidRPr="00C059FB">
        <w:rPr>
          <w:lang w:val="fr-FR"/>
        </w:rPr>
        <w:t>Re point (c) (§ 31(4))</w:t>
      </w:r>
    </w:p>
    <w:p w14:paraId="68742E26" w14:textId="3AA521A4" w:rsidR="00163F20" w:rsidRPr="00C059FB" w:rsidRDefault="009C2D13" w:rsidP="00163F20">
      <w:pPr>
        <w:pStyle w:val="Text"/>
        <w:rPr>
          <w:lang w:val="fr-FR"/>
        </w:rPr>
      </w:pPr>
      <w:r w:rsidRPr="00C059FB">
        <w:rPr>
          <w:lang w:val="fr-FR"/>
        </w:rPr>
        <w:t>Re sub-point (aa) (§ 31(4) sentence 1, subparagraph 7, point (g))</w:t>
      </w:r>
    </w:p>
    <w:p w14:paraId="7ADD3A6F" w14:textId="6C0860E6" w:rsidR="00163F20" w:rsidRPr="00BE5BA6" w:rsidRDefault="00163F20" w:rsidP="00163F20">
      <w:pPr>
        <w:pStyle w:val="Text"/>
      </w:pPr>
      <w:r>
        <w:t xml:space="preserve">The exemption from the single-use deposit-refund obligation, which was previously included under § 31(4)(7)(g), is still being used in part to circumvent the deposit obligation by placing products which typically belong to the soft drinks sector, in particular energy drinks, on the market without a deposit by adding whey or similar dairy products. This circumvention is contrary to the purpose of the deposit exemption for drinkable dairy products. The clarification now made, according to which such beverages are excluded from the deposit exemption which, in addition to drinkable dairy products, also contain one or more of the substances listed in Annex 8 (for § 4 and § 5) of the Fruit Juice and Soft Drinks and Tea Ordinance, makes it clear that energy drinks in particular are subject to the deposit. This is because these substances are ingredients that are typically added to energy drinks. </w:t>
      </w:r>
    </w:p>
    <w:p w14:paraId="1417B2BB" w14:textId="75732938" w:rsidR="00163F20" w:rsidRPr="00BE5BA6" w:rsidRDefault="00163F20" w:rsidP="00163F20">
      <w:pPr>
        <w:pStyle w:val="Text"/>
      </w:pPr>
      <w:r>
        <w:t xml:space="preserve">Beverages made from dairy products as defined by § 2(1)(2) of the Milk and Margarine Act are still covered by the exemption from the obligation to pay a deposit. This means that these beverages may also contain additives, such as fruit ingredients, spices, sugars and sweeteners, as long as none of the additives are used to replace a dairy ingredient in whole or in part. </w:t>
      </w:r>
    </w:p>
    <w:p w14:paraId="703046A8" w14:textId="5251B98C" w:rsidR="003026DA" w:rsidRPr="00BE5BA6" w:rsidRDefault="00F13F61" w:rsidP="00163F20">
      <w:pPr>
        <w:pStyle w:val="Text"/>
      </w:pPr>
      <w:r>
        <w:t xml:space="preserve">However, this exemption from the deposit requirement for the other drinkable dairy products referred to above will no longer apply in future as a result of the newly included retroactive exemption in § 31(4) sentences 2 and 3 (see also the explanatory statement to amendment subparagraph 15(c)(bb)) where these products are filled in single-use plastic beverage </w:t>
      </w:r>
      <w:r>
        <w:lastRenderedPageBreak/>
        <w:t>bottles or in cans for beverages. Instead, in the future, single-use plastic beverage bottles and cans for beverages containing other drinkable dairy products will also be subject to the deposit-refund obligation. Re sub-point (bb) (Article 31(4) sentence 2 and 3)</w:t>
      </w:r>
    </w:p>
    <w:p w14:paraId="3D094F33" w14:textId="7892D706" w:rsidR="003026DA" w:rsidRPr="00BE5BA6" w:rsidRDefault="003026DA" w:rsidP="003026DA">
      <w:pPr>
        <w:pStyle w:val="Text"/>
      </w:pPr>
      <w:r>
        <w:t>The material implementation of the separate collection objective from Article 9(1) of Directive (EU) 2019/904 as set out in § 1(3) sentence 4 (new) (see already above under amendment order No 2) is essentially effected by the deposit and return system pursuant to § 31, which in principle relates to all single-use drinks packaging. The deposit system ensures that the deposited single-use drinks packaging is taken back separately.</w:t>
      </w:r>
    </w:p>
    <w:p w14:paraId="29303EEE" w14:textId="35B429E7" w:rsidR="003026DA" w:rsidRPr="00BE5BA6" w:rsidRDefault="003026DA" w:rsidP="003026DA">
      <w:pPr>
        <w:pStyle w:val="Text"/>
      </w:pPr>
      <w:r>
        <w:t>§ 31(4) sentence 1, subparagraph 7 lays down exceptions to the obligation to pay a deposit which are determined based on the beverages with which the single-use packaging is filled. In order to be able to collect almost all single-use plastic beverage bottles separately and sorted by type in future, a sentence 2 is added to § 31(4), according to which the exemptions in § 31(4)(7)(a) to (i) do not apply if the beverages referred to therein are filled in single-use plastic beverage bottles. In this respect, the new sentence 2 provides for a retroactive exemption to the exceptions to the deposit and take-back obligation set out in paragraph 4, sentence 1. However, with respect to milk filled in single-use plastic beverage bottles, mixed milk beverages and other drinkable dairy products pursuant to § 31(4) sentence 1, subparagraph 7, points (f) and (g), the retroactive exemption shall not take effect until 1 January 2024. This means that from 2024 at the latest, almost all single-use plastic beverage bottles will be subject to the deposit-refund obligation, regardless of the type of beverage they contain.</w:t>
      </w:r>
    </w:p>
    <w:p w14:paraId="2EAEE4D2" w14:textId="47D1926B" w:rsidR="003026DA" w:rsidRPr="00BE5BA6" w:rsidRDefault="003026DA" w:rsidP="003026DA">
      <w:pPr>
        <w:pStyle w:val="Text"/>
      </w:pPr>
      <w:r>
        <w:t xml:space="preserve">A general exception is made only for the dietary beverages referred to in § 31(4) sentence 1, subparagraph 7, point (j) which are offered exclusively to infants or young children. These dietary beverages are not usually sold in food retail outlets, but are used in hospitals and similar institutions. Filling in single-use plastic beverage bottles firstly serves hygienic purposes but secondly makes it easier to heat the beverage directly in the bottle. Due to this specific and limited use, an exemption for such beverages also in single-use plastic beverage bottles is appropriate. </w:t>
      </w:r>
    </w:p>
    <w:p w14:paraId="708F1D52" w14:textId="4DEAFE2B" w:rsidR="002C51CD" w:rsidRPr="00BE5BA6" w:rsidRDefault="003026DA" w:rsidP="0094781D">
      <w:pPr>
        <w:pStyle w:val="Text"/>
      </w:pPr>
      <w:r>
        <w:t>The corresponding application of § 30a(3) ensures in particular that single-use plastic beverage bottles in which the entire body of the bottle is made of glass or metal and only the caps or lids are made of plastic are not generally subject to the deposit-refund obligation, even though they are actually to be regarded as single-use plastic beverage bottles on the basis of the definition in § 3(4c).</w:t>
      </w:r>
    </w:p>
    <w:p w14:paraId="3AEAFD6A" w14:textId="07290A67" w:rsidR="003026DA" w:rsidRPr="00BE5BA6" w:rsidRDefault="00477F37" w:rsidP="003026DA">
      <w:pPr>
        <w:pStyle w:val="Text"/>
      </w:pPr>
      <w:r>
        <w:t xml:space="preserve">§ 31(4) sentence 3 introduces a further retroactive exemption to the exemption from the deposit, which relates to all beverages filled in ‘cans for beverages’. This takes account of the fact that cans for beverages are frequently used for consumption on the move and outdoors and are therefore often carelessly discarded in the environment. While many cans for beverages (for example those containing beer or soft drinks) have long been subject to the deposit-refund obligation, in recent years a trend has developed towards the use of cans also in other beverage sectors which are not yet subject to the deposit-refund obligation (for example sparkling wine and mixed wine beverages). Against the background of comparable littering behaviour, however, it no longer seems appropriate to treat these cans for beverages differently with regard to the deposit obligation, which is why in future all cans will be subject to the deposit obligation, irrespective of the beverage content. </w:t>
      </w:r>
    </w:p>
    <w:p w14:paraId="640893E3" w14:textId="04788692" w:rsidR="003026DA" w:rsidRPr="00BE5BA6" w:rsidRDefault="003026DA" w:rsidP="003026DA">
      <w:pPr>
        <w:pStyle w:val="Text"/>
      </w:pPr>
      <w:r>
        <w:t>By limiting the exemptions and including single-use plastic beverage bottles and cans for beverages in the deposit-refund obligation regardless of the type of beverage contained, the scope of application of the deposit-refund obligation is expanded as a result. This expansion of the deposit-refund obligation is fully covered by the existing provisions on fines under § 36(1)(21) et seq. This also transposes Article 14 of Directive (EU) 2019/904, which requires Member States to lay down rules on penalties applicable to infringements of the provisions contained in the Directive.</w:t>
      </w:r>
    </w:p>
    <w:p w14:paraId="43BDF301" w14:textId="1ECF53E7" w:rsidR="003026DA" w:rsidRPr="00BE5BA6" w:rsidRDefault="003026DA" w:rsidP="00163F20">
      <w:pPr>
        <w:pStyle w:val="Text"/>
      </w:pPr>
      <w:r>
        <w:lastRenderedPageBreak/>
        <w:t>A breach of the requirements under § 31(1) to (3) in respect of the single-use plastic beverage bottles and cans for beverages now also covered by the scope of application constitutes an administrative offence punishable by a fine under the existing requirements under § 36(1)(21) to (26). The fine may be up to EUR 10 000 in each of the cases referred to in § 36(1)(24) and up to EUR 100 000 in the other cases.</w:t>
      </w:r>
    </w:p>
    <w:p w14:paraId="243106E4" w14:textId="12D275A0" w:rsidR="00F35F97" w:rsidRPr="00BE5BA6" w:rsidRDefault="00F35F97" w:rsidP="00163F20">
      <w:pPr>
        <w:pStyle w:val="Text"/>
      </w:pPr>
      <w:r>
        <w:t>Re point (d) (§ 31(5) (new))</w:t>
      </w:r>
    </w:p>
    <w:p w14:paraId="07E21AD8" w14:textId="686B8567" w:rsidR="00F35F97" w:rsidRPr="00BE5BA6" w:rsidRDefault="00F35F97" w:rsidP="00F35F97">
      <w:pPr>
        <w:pStyle w:val="Text"/>
      </w:pPr>
      <w:r>
        <w:t>In implementation of Article 8a(3)(c) and (d)(i) of Directive 2008/98/EC, the new paragraph 5 clarifies for single-use beverage containers subject to a deposit that producers pursuant to paragraph 1, sentence 1 as well as distributors pursuant to paragraph 2, sentence 1 must both have the necessary financial resources or financial and organisational means to fulfil their obligations under the EPR and must set up a self-monitoring system to assess their financial management. The requirement under European law is directed at producers of products, which includes any natural person or legal entity who manufactures, sells or imports products on a professional basis (see Article 8(1) of Directive 2008/98/EC). The European concept of producer is thus broader than the corresponding definition in the Packaging Act and thus covers both producers and distributors within the meaning of § 3(12) and (14). Accordingly, the present national legislation addresses both producers and distributors as defined by the Packaging Act. However, it can be assumed that the insolvency of a distributor will, as a rule, have less serious effects on the market than the insolvency of a producer with regard to the fulfilment of the obligations laid down in § 31, since in the former case the obligation to return the deposit falls on the next distributor or producer at the trade level (see § 31(1) sentence 2).</w:t>
      </w:r>
    </w:p>
    <w:p w14:paraId="7F5F58DD" w14:textId="642EFCF7" w:rsidR="00F35F97" w:rsidRPr="00BE5BA6" w:rsidRDefault="00F35F97" w:rsidP="00F35F97">
      <w:pPr>
        <w:pStyle w:val="Text"/>
      </w:pPr>
      <w:r>
        <w:t xml:space="preserve">It can be assumed that the producers of single-use drinks packaging pursuant to § 31(1) sentence 1 and distributors of single-use drinks packaging pursuant to § 31(2) sentence 1 are already taking precautions with regard to the provision of the necessary financial and organisational resources in order to be able to fulfil their obligations under the Packaging Act. In addition, they must already comply with the requirements of commercial and company law under the current legal situation. Given the possible heterogeneity of individual schemes, it is neither expedient nor adequate to prescribe in detail the form in which the necessary financial or organisational resources as well as </w:t>
      </w:r>
      <w:r w:rsidR="00C059FB">
        <w:t>these</w:t>
      </w:r>
      <w:r>
        <w:t xml:space="preserve"> self-monitoring mechanisms are to be ensured. Rather, in view of the numerous possible, different forms of organisation, the regulation leaves it up to the producers and/or distributors themselves to decide in what way – based on the provisions of commercial and company law – they will ensure that the necessary financial or organisational resources are available and design the necessary self-monitoring mechanisms.</w:t>
      </w:r>
    </w:p>
    <w:p w14:paraId="3D13FA1B" w14:textId="15F15A56" w:rsidR="009C2D13" w:rsidRPr="00BE5BA6" w:rsidRDefault="009C2D13" w:rsidP="00F35F97">
      <w:pPr>
        <w:pStyle w:val="Text"/>
      </w:pPr>
      <w:r>
        <w:t>Re subparagraph 25 (§ 32(5))</w:t>
      </w:r>
    </w:p>
    <w:p w14:paraId="21D750CB" w14:textId="468C5B4F" w:rsidR="009C2D13" w:rsidRPr="00BE5BA6" w:rsidRDefault="009C2D13" w:rsidP="00F35F97">
      <w:pPr>
        <w:pStyle w:val="Text"/>
      </w:pPr>
      <w:r>
        <w:t>The amendment serves to update the reference to the Price Indication Ordinance. No changes in content are associated with the update.</w:t>
      </w:r>
    </w:p>
    <w:p w14:paraId="223A76BF" w14:textId="672352AE" w:rsidR="005D544F" w:rsidRPr="00BE5BA6" w:rsidRDefault="005D544F" w:rsidP="00F444D6">
      <w:pPr>
        <w:pStyle w:val="Text"/>
      </w:pPr>
      <w:r>
        <w:t>Re subparagraph 26 (Section 7 (new) ‘Reduction of the consumption of certain single-use packaging materials’)</w:t>
      </w:r>
    </w:p>
    <w:p w14:paraId="454CE3CC" w14:textId="011580CE" w:rsidR="005D544F" w:rsidRPr="00BE5BA6" w:rsidRDefault="006238D1" w:rsidP="005D544F">
      <w:pPr>
        <w:pStyle w:val="Text"/>
      </w:pPr>
      <w:r>
        <w:t>Subparagraph 26 inserts a new Section 7 ‘Reduction of the consumption of certain single-use packaging’.</w:t>
      </w:r>
    </w:p>
    <w:p w14:paraId="31CBD10B" w14:textId="4473B2E8" w:rsidR="005D544F" w:rsidRPr="00BE5BA6" w:rsidRDefault="005D544F" w:rsidP="005D544F">
      <w:pPr>
        <w:pStyle w:val="Text"/>
      </w:pPr>
      <w:r>
        <w:t>The new § 33 serves to implement the ‘reduction of consumption’ requirement under Article 4(1) of Directive (EU) 2019/904. The provisions for single-use plastic food packaging pursuant to § 3(4b) (new) and for single-use cups for beverages are intended to achieve the measurable, ambitious and permanent reduction in consumption in Germany for this packaging by 2026 compared with 2022, as required by Article 4(1) of Directive (EU) 2019/904.</w:t>
      </w:r>
    </w:p>
    <w:p w14:paraId="199541C1" w14:textId="01F74078" w:rsidR="006B1B59" w:rsidRPr="00BE5BA6" w:rsidRDefault="005D544F" w:rsidP="005D544F">
      <w:pPr>
        <w:pStyle w:val="Text"/>
      </w:pPr>
      <w:r>
        <w:lastRenderedPageBreak/>
        <w:t>Pursuant to § 33(1) sentence 1, final distributors are required under § 3(13) to offer foodstuffs for direct consumption in reusable packaging as well. The single-use plastic food packaging addressed by the regulation is defined in the new § 3(4b) and, according to the definition therein, is limited to packaging for foodstuffs for immediate consumption, i.e. packaging for ‘to go’ foodstuffs or ‘fast food’ packaging (see amendment under subparagraph 4(b) and the justification in detail). Based on the above-mentioned objective of reducing consumption, the purpose of the provision requires that reusable packaging be used in such a way that it replaces single-use packaging that would otherwise be required in its place. This goal is not met if a product previously filled in single-use packaging is transferred to reusable packaging before being supplied to the consumer and the single-use packaging is subsequently disposed of. In this case, the result would be that no reduction in consumption would be achieved and the goal of the provision would not be achieved.</w:t>
      </w:r>
    </w:p>
    <w:p w14:paraId="0D7B8C49" w14:textId="5B514FC7" w:rsidR="00C40E57" w:rsidRPr="00BE5BA6" w:rsidRDefault="005D544F" w:rsidP="005D544F">
      <w:pPr>
        <w:pStyle w:val="Text"/>
      </w:pPr>
      <w:r>
        <w:t xml:space="preserve">The obligation to offer reusable packaging in addition to single-use packaging also applies to the final distributors of all single-use beverage cups and is therefore not limited to single-use beverage cups made wholly or partly from plastic. This provision, which goes beyond the requirements of the Directive, is appropriate since there are already various established return systems in the area of single-use cups for beverages which can be used by the final distributors. In this respect, the obligation under § 33(1) also covers single-use cups for beverages which are not made wholly or partly from plastic but exclusively from other materials, such as PPK. This prevents the obligation to use single-use cups for beverages from being switched to other single-use cups for beverages, which are also problematic from an environmental point of view. </w:t>
      </w:r>
    </w:p>
    <w:p w14:paraId="731F54DB" w14:textId="596E6B92" w:rsidR="005D544F" w:rsidRPr="00BE5BA6" w:rsidRDefault="005D544F" w:rsidP="005D544F">
      <w:pPr>
        <w:pStyle w:val="Text"/>
      </w:pPr>
      <w:r>
        <w:t>In order to give final distributors sufficient time to prepare, these requirements are not to be complied with until 1 January 2023.</w:t>
      </w:r>
    </w:p>
    <w:p w14:paraId="140748CD" w14:textId="6218CBFD" w:rsidR="005D544F" w:rsidRPr="00BE5BA6" w:rsidRDefault="002D2D71" w:rsidP="005D544F">
      <w:pPr>
        <w:pStyle w:val="Text"/>
      </w:pPr>
      <w:r>
        <w:t>The wording ‘same goods’ in § 33(1) sentence 2 means that the offer of goods in non-returnable packaging must correspond exactly to the offer of goods in returnable packaging. Accordingly, it is not permissible, for example, for the customer to have a greater choice of different quantities and sizes of goods when choosing single-use packaging than when choosing reusable packaging. If, for example, 0.2 l of coffee is offered for sale in single-use packaging at a point of sale, 0.2 l of coffee must also be offered for sale in reusable packaging at that point of sale and this may not be on less favourable terms or at a higher price. The provision also makes it clear that the choice of reusable packaging must not be made unattractive to the final consumer through a higher price or poorer supply conditions. The final consumer should therefore be able to choose a variant as freely as possible and without disadvantages. This is without prejudice to the possibility of charging a deposit as an incentive for subsequent return, provided that the deposit is reasonable and does not have a deterrent effect because of its amount. Other, non-monetary purchase incentives with regard to single-use packaging, such as loyalty/bonus systems, competitions or other advantages in the sales process, such as preferential or faster handling when choosing single-use packaging, are also considered to be worse conditions for reusable packaging. Conversely, the use or return of reusable packaging may not be subject to unnecessary organisational barriers. Also, reusable packaging must not be overly bulky and unwieldy in design.</w:t>
      </w:r>
    </w:p>
    <w:p w14:paraId="7680A208" w14:textId="151292B2" w:rsidR="005D544F" w:rsidRPr="00BE5BA6" w:rsidRDefault="00F36378" w:rsidP="005D544F">
      <w:pPr>
        <w:pStyle w:val="Text"/>
      </w:pPr>
      <w:r>
        <w:t xml:space="preserve">There is an exception for the distribution of goods through vending machines that are not open to the public in establishments that serve to supply employees. The requirements of § 33(1) sentences 1 and 2 shall not apply to such vending machines. § 33(2) introduces a duty to provide information to accompany the duty under paragraph 1. This duty to provide clear and unambiguous information to final consumers is necessary in order to create greater transparency and to enable consumers to make a conscious choice in favour of a reusable alternative which meets their environmental requirements. § 33(2) sentence 1 is addressed to final distributors at points of sale. § 33(2) sentence 2 stipulates that the information pursuant to § 33(2) sentence 1 must be provided accordingly in the respective </w:t>
      </w:r>
      <w:r>
        <w:lastRenderedPageBreak/>
        <w:t xml:space="preserve">presentation media used, such as catalogues, websites, etc., in the case of delivery of goods, in particular by delivery services. </w:t>
      </w:r>
    </w:p>
    <w:p w14:paraId="6B05E142" w14:textId="7EB9E75C" w:rsidR="005D544F" w:rsidRPr="00BE5BA6" w:rsidRDefault="005D544F" w:rsidP="005D544F">
      <w:pPr>
        <w:pStyle w:val="Text"/>
      </w:pPr>
      <w:r>
        <w:t>§ 33(3) restricts the take-back obligation under § 15(1) which generally applies to reusable packaging. Normally, the take-back obligation for the final distributor under § 15(1) sentence 2 is limited to packaging originating from those goods which the distributor carries in its product range. Pursuant to § 33(3), however, the final distributors referred to in § 1 are required to take back only that reusable packaging which they themselves have placed on the market. However, this does not preclude them from voluntarily participating in an overarching return system which also allows reusable packaging to be returned to other final distributors. The other take-back and recovery obligations in accordance with the provisions of the Packaging Act remain in force.</w:t>
      </w:r>
    </w:p>
    <w:p w14:paraId="6339F3AD" w14:textId="14E7D44F" w:rsidR="0080647A" w:rsidRPr="00BE5BA6" w:rsidRDefault="005D544F" w:rsidP="005D544F">
      <w:pPr>
        <w:pStyle w:val="Text"/>
      </w:pPr>
      <w:r>
        <w:t xml:space="preserve">The new § 34(1) sentence 1 contains a relief for final distributors who do not employ more than five employees and whose sales area does not exceed 80 square metres. The term ‘sales area’ is currently already used in § 15(4) sentence 2 and in § 31(2) sentence 4 and should be interpreted accordingly. The term also covers all areas freely accessible to consumers, such as seating and lounge areas. If goods are delivered, all storage and shipping areas shall be deemed to be sales areas in addition to any sales areas. The definition of employee is to be interpreted broadly. It covers all employees in the company, irrespective of whether they are part-time or full-time employees, student employees or seasonal or temporary employees. </w:t>
      </w:r>
    </w:p>
    <w:p w14:paraId="1975C907" w14:textId="33284689" w:rsidR="00687311" w:rsidRPr="00BE5BA6" w:rsidRDefault="00687311" w:rsidP="005D544F">
      <w:pPr>
        <w:pStyle w:val="Text"/>
      </w:pPr>
      <w:r>
        <w:t xml:space="preserve">With regard to the number of employees, part-time employees with a regular weekly working time of no more than 20 hours shall be taken into account at the rate of 0.5 and part-time employees with a regular weekly working time of no more than 30 hours shall be taken into account at the rate of 0.75. The provision is based on § 23(1) of the Dismissal Protection Act. The provision ensures that final distributors who employ more than five employees but who, due to part-time employment, jointly work a regular weekly working time which does not exceed that of five full-time employees are not disadvantaged compared to final distributors in whose business the same weekly working time is worked by up to five full-time employees. For the delimitation of the size of an enterprise, the number of hours worked by the employees and not the absolute number of employees is likely to be the decisive factor. </w:t>
      </w:r>
    </w:p>
    <w:p w14:paraId="20FCF766" w14:textId="2B26B5E9" w:rsidR="00FA56C6" w:rsidRPr="00BE5BA6" w:rsidRDefault="005D544F" w:rsidP="005D544F">
      <w:pPr>
        <w:pStyle w:val="Text"/>
      </w:pPr>
      <w:r>
        <w:t xml:space="preserve">The two conditions relating to sales area and number of employees must be met cumulatively in order for the final distributor to benefit from the provision. The reference point for the above-mentioned conditions with the final distributor is the respective company. If an enterprise has several branches at different points of sale, each branch at the respective point of sale is not to be taken into account separately. The provision thus provides relief for small businesses in particular. Setting up a return system involves major financial and organisational hurdles for very small companies in particular. </w:t>
      </w:r>
    </w:p>
    <w:p w14:paraId="4FB4CE11" w14:textId="76D4B95B" w:rsidR="00FA56C6" w:rsidRPr="00BE5BA6" w:rsidRDefault="00FA56C6" w:rsidP="005D544F">
      <w:pPr>
        <w:pStyle w:val="Text"/>
      </w:pPr>
      <w:r>
        <w:t>Pursuant to § 34(2), the possibility of exemption also applies to all final distributors – without them having to meet the special requirements under § 34(1) – who sell their goods from vending machines, i.e. self-service devices which dispense goods in return for payment (vending machines). For them, it may be a particular technical and/or logistical challenge to provide reusable vending machines.</w:t>
      </w:r>
    </w:p>
    <w:p w14:paraId="5B9F9D35" w14:textId="0275B41A" w:rsidR="005D544F" w:rsidRPr="00BE5BA6" w:rsidRDefault="005D544F" w:rsidP="005D544F">
      <w:pPr>
        <w:pStyle w:val="Text"/>
      </w:pPr>
      <w:r>
        <w:t xml:space="preserve">Therefore, final distributors covered by the special arrangement may also fulfil their obligation under § 33(1) sentence 1 by allowing final consumers to bring their own reusable containers to be filled with the product. However, this provision is only an option which the final distributor does not have to use. Alternatively, he may choose to offer reusable packaging in addition, if necessary. This does not impose a general obligation on final distributors under § 34(1) sentence 1 to accept the use of containers they bring themselves. Similarly, final distributors who do not meet the criteria of § 34(1) sentence 1 are not </w:t>
      </w:r>
      <w:r>
        <w:lastRenderedPageBreak/>
        <w:t>prohibited from offering not only the supply of reusable packaging but also the filling of containers brought in by the consumer.</w:t>
      </w:r>
    </w:p>
    <w:p w14:paraId="155EDA64" w14:textId="2E8AB081" w:rsidR="005D544F" w:rsidRPr="00BE5BA6" w:rsidRDefault="005D544F" w:rsidP="005D544F">
      <w:pPr>
        <w:pStyle w:val="Text"/>
      </w:pPr>
      <w:r>
        <w:t>In order to be able to make use of the simplification pursuant to § 34(1) sentence 1, the final distributor must have the structural and technical prerequisites to be able to fill containers brought in directly in a hygienically safe manner. If a single-use container is filled first and then disposed of, for example, it is not considered to be direct filling. The use of this facility shall not be prevented if the final distributor refuses to fill a container brought in by the final consumer in an individual case for hygiene reasons relating to the container. However, since the alternative under § 34(1) sentence 1 relates to the possibility of filling reusable containers which the consumer has brought himself, the final distributor may not refuse to fill them solely on the ground that the container which the consumer has brought himself is a reusable container. On the contrary, the final distributor would not be fulfilling its obligation under § 34(1) sentence 1 if it were to restrict its filling offer to single-use containers from the outset.</w:t>
      </w:r>
    </w:p>
    <w:p w14:paraId="72ECE386" w14:textId="7BD40D4F" w:rsidR="005D544F" w:rsidRPr="00BE5BA6" w:rsidRDefault="005D544F" w:rsidP="005D544F">
      <w:pPr>
        <w:pStyle w:val="Text"/>
      </w:pPr>
      <w:r>
        <w:t>§ 34(1) sentence 2 stipulates that the provisions on pricing and supply conditions under § 33(1) sentence 2 shall apply accordingly where the final distributor does not offer reusable packaging but instead permits the use of reusable containers brought in by the final consumer.</w:t>
      </w:r>
    </w:p>
    <w:p w14:paraId="23CFBD61" w14:textId="41A535F7" w:rsidR="005D544F" w:rsidRPr="00BE5BA6" w:rsidRDefault="005D544F" w:rsidP="005D544F">
      <w:pPr>
        <w:pStyle w:val="Text"/>
      </w:pPr>
      <w:r>
        <w:t>Pursuant to § 34(2), the information requirements under § 33(2) shall apply accordingly if the final distributor makes use of the simplification under § 34(1).</w:t>
      </w:r>
    </w:p>
    <w:p w14:paraId="71494EAD" w14:textId="1C558B26" w:rsidR="005D544F" w:rsidRPr="00BE5BA6" w:rsidRDefault="00F444D6" w:rsidP="005D544F">
      <w:pPr>
        <w:pStyle w:val="Text"/>
      </w:pPr>
      <w:r>
        <w:t>Re subparagraph 27 (Section 8 (new) ‘Concluding provisions’)</w:t>
      </w:r>
    </w:p>
    <w:p w14:paraId="735062A8" w14:textId="18C7F119" w:rsidR="005D544F" w:rsidRPr="00BE5BA6" w:rsidRDefault="005D544F" w:rsidP="005D544F">
      <w:pPr>
        <w:pStyle w:val="Text"/>
      </w:pPr>
      <w:r>
        <w:t>Subparagraph 27 is an editorial adaptation resulting from the addition of the new Section 7.</w:t>
      </w:r>
    </w:p>
    <w:p w14:paraId="62B12F30" w14:textId="4978F9B7" w:rsidR="00DF1BAB" w:rsidRPr="00BE5BA6" w:rsidRDefault="005D544F" w:rsidP="005D544F">
      <w:pPr>
        <w:pStyle w:val="Text"/>
      </w:pPr>
      <w:r>
        <w:t>Re subparagraph 28 (§ 35 (new) ‘Commissioning of third parties and delegation of authority’)</w:t>
      </w:r>
    </w:p>
    <w:p w14:paraId="75D61F87" w14:textId="2DEC6D26" w:rsidR="00DF1BAB" w:rsidRPr="00BE5BA6" w:rsidRDefault="00DF1BAB" w:rsidP="005D544F">
      <w:pPr>
        <w:pStyle w:val="Text"/>
      </w:pPr>
      <w:r>
        <w:t>The change in section numbering constitutes an editorial adaptation as a result of the addition of the new § 33 and § 34.</w:t>
      </w:r>
    </w:p>
    <w:p w14:paraId="4F6AD78E" w14:textId="37BE83AE" w:rsidR="00743F93" w:rsidRPr="00BE5BA6" w:rsidRDefault="00743F93" w:rsidP="00743F93">
      <w:pPr>
        <w:pStyle w:val="Text"/>
      </w:pPr>
      <w:r>
        <w:t>Subparagraph 28 consolidates the previous § 33. The heading is expressly expanded to include the new regulatory content, the delegation of authority. The content of the previous § 33 is now provided for in § 35(1). § 35(1) includes the possibility of commissioning a third party to fulfil a task. Excluded from this possibility are the registration pursuant to § 9 and the submission of data reports pursuant to § 10, which must continue to be carried out by the producer himself.</w:t>
      </w:r>
    </w:p>
    <w:p w14:paraId="50DC5560" w14:textId="674DDCA9" w:rsidR="00743F93" w:rsidRPr="00BE5BA6" w:rsidRDefault="00743F93" w:rsidP="00743F93">
      <w:pPr>
        <w:pStyle w:val="Text"/>
      </w:pPr>
      <w:r>
        <w:t>In order to implement the requirements of Article 8a(5)(3) of Directive 2008/98/EC, a separate paragraph on delegation of authority is added. Pursuant to § 35(2), producers who do not have a place of business within the area of application of the Packaging Act may appoint an authorised representative pursuant to § 3(14a) to fulfil their obligations as producers. In the case of proper delegation of authority, the authorised representative is to be regarded as the producer with regard to the obligations regulated in the Packaging Act and thus assumes the obligations of the producer commissioning the packaging. The only exception to this is the registration obligation, which must continue to be fulfilled by the original producer himself, as it is also a prerequisite for the effective appointment of the authorised representative vis-à-vis the Central Authority. The authorised representative himself must have a place of business within the area covered by this Act and perform the tasks in his own name. Each producer may only appoint one authorised representative. The delegation of authority must be in written form and in German.</w:t>
      </w:r>
    </w:p>
    <w:p w14:paraId="2F80BCF2" w14:textId="31172DB1" w:rsidR="00F444D6" w:rsidRPr="00BE5BA6" w:rsidRDefault="00DF1BAB" w:rsidP="007E54AB">
      <w:pPr>
        <w:pStyle w:val="Text"/>
        <w:keepNext/>
        <w:keepLines/>
      </w:pPr>
      <w:r>
        <w:lastRenderedPageBreak/>
        <w:t>Re subparagraph 29 (§ 36 (new) ‘Provisions on administrative fines’)</w:t>
      </w:r>
    </w:p>
    <w:p w14:paraId="7BF2B4E0" w14:textId="5271E882" w:rsidR="00743F93" w:rsidRPr="00BE5BA6" w:rsidRDefault="00743F93" w:rsidP="00F444D6">
      <w:pPr>
        <w:pStyle w:val="Text"/>
      </w:pPr>
      <w:r>
        <w:t>The change in section numbering constitutes an editorial adaptation as a result of the addition of the new § 33 and § 34.</w:t>
      </w:r>
    </w:p>
    <w:p w14:paraId="21B8C3D1" w14:textId="6140A129" w:rsidR="00F46506" w:rsidRPr="00BE5BA6" w:rsidRDefault="00743F93" w:rsidP="00F444D6">
      <w:pPr>
        <w:pStyle w:val="Text"/>
      </w:pPr>
      <w:r>
        <w:t>Moreover, subparagraph 29 adapts the provisions on administrative fines.</w:t>
      </w:r>
    </w:p>
    <w:p w14:paraId="5F30E966" w14:textId="07739523" w:rsidR="00F46506" w:rsidRPr="00BE5BA6" w:rsidRDefault="00F46506" w:rsidP="00F444D6">
      <w:pPr>
        <w:pStyle w:val="Text"/>
      </w:pPr>
      <w:r>
        <w:t>Re point (a) (§ 36(1))</w:t>
      </w:r>
    </w:p>
    <w:p w14:paraId="30F01E74" w14:textId="782D2120" w:rsidR="00F46506" w:rsidRPr="00BE5BA6" w:rsidRDefault="00F46506" w:rsidP="00F46506">
      <w:pPr>
        <w:pStyle w:val="Text"/>
      </w:pPr>
      <w:r>
        <w:t>Re sub-points (aa), (bb), (dd) and (ee)</w:t>
      </w:r>
    </w:p>
    <w:p w14:paraId="06CD1D7D" w14:textId="765CB86A" w:rsidR="00F46506" w:rsidRPr="00BE5BA6" w:rsidRDefault="00F46506" w:rsidP="00F46506">
      <w:pPr>
        <w:pStyle w:val="Text"/>
      </w:pPr>
      <w:r>
        <w:t xml:space="preserve">The amendments pursuant to sub-points (aa), (bb), (dd) and (ee) serve to adapt to the amendments and additions in § 7 and § 9 concerning operators of an electronic marketplace and fulfilment service providers. </w:t>
      </w:r>
    </w:p>
    <w:p w14:paraId="1ED28006" w14:textId="68E22958" w:rsidR="003F26E3" w:rsidRPr="00BE5BA6" w:rsidRDefault="00F46506" w:rsidP="00F46506">
      <w:pPr>
        <w:pStyle w:val="Text"/>
      </w:pPr>
      <w:r>
        <w:t>At the same time, a violation of the new prohibitions for operators of an electronic marketplace and fulfilment service providers pursuant to § 36(1)(5) and (5a) – as was already the case with the previous distribution prohibitions – can be punished with a fine of up to one hundred thousand euro. Re sub-point (cc) (§ 36(1)(6))</w:t>
      </w:r>
    </w:p>
    <w:p w14:paraId="2ED75EAF" w14:textId="1B751C3C" w:rsidR="003F26E3" w:rsidRPr="00BE5BA6" w:rsidRDefault="003F26E3" w:rsidP="00F46506">
      <w:pPr>
        <w:pStyle w:val="Text"/>
      </w:pPr>
      <w:r>
        <w:t>The amendment in § 36(1)(6) serves to adapt it to the new electronic filing of volume flow records in § 17(3).</w:t>
      </w:r>
    </w:p>
    <w:p w14:paraId="1568CD22" w14:textId="47590B35" w:rsidR="003441C7" w:rsidRPr="00BE5BA6" w:rsidRDefault="003441C7" w:rsidP="003441C7">
      <w:pPr>
        <w:pStyle w:val="Text"/>
      </w:pPr>
      <w:r>
        <w:t>Re sub-point (ff) (§ 36(1)(14) to (16))</w:t>
      </w:r>
    </w:p>
    <w:p w14:paraId="4DC1D955" w14:textId="3E0FBBDB" w:rsidR="003441C7" w:rsidRPr="00BE5BA6" w:rsidRDefault="003441C7" w:rsidP="00F46506">
      <w:pPr>
        <w:pStyle w:val="Text"/>
      </w:pPr>
      <w:r>
        <w:t xml:space="preserve">The formal changes are necessary due to the new paragraph 5 assigned to the former § 15(4). </w:t>
      </w:r>
    </w:p>
    <w:p w14:paraId="07BEB883" w14:textId="7CA6A4F6" w:rsidR="00F46506" w:rsidRPr="00BE5BA6" w:rsidRDefault="00F46506" w:rsidP="00F46506">
      <w:pPr>
        <w:pStyle w:val="Text"/>
      </w:pPr>
      <w:r>
        <w:t>Re sub-point (gg) (§ 36(1)(17))</w:t>
      </w:r>
    </w:p>
    <w:p w14:paraId="3AB93156" w14:textId="0597A95C" w:rsidR="00F46506" w:rsidRPr="00BE5BA6" w:rsidRDefault="00F46506" w:rsidP="00F46506">
      <w:pPr>
        <w:pStyle w:val="Text"/>
      </w:pPr>
      <w:r>
        <w:t>Corresponding to the already existing administrative offence in the case of an infringement of the corresponding provision from § 15(3) sentence 3, the infringement of § 31(3) sentence 3 in conjunction with the referenced provisions under § 15 shall also be subject to an administrative offence. The partially amended wording does not affect the regulatory content. The wording ‘not in the prescribed manner’ makes it clear that a violation of the requirements in § 15(3) sentences 4 and 5 can also be punished with a fine.</w:t>
      </w:r>
    </w:p>
    <w:p w14:paraId="0B585505" w14:textId="52CD4038" w:rsidR="00F46506" w:rsidRPr="00BE5BA6" w:rsidRDefault="00F46506" w:rsidP="00F46506">
      <w:pPr>
        <w:pStyle w:val="Text"/>
      </w:pPr>
      <w:r>
        <w:t>The infringement of § 31(3) in conjunction with § 15(3) sentence 3 may also be punished by a fine of up to one hundred thousand euro.</w:t>
      </w:r>
    </w:p>
    <w:p w14:paraId="7D3BA9EC" w14:textId="27259470" w:rsidR="00F46506" w:rsidRPr="00BE5BA6" w:rsidRDefault="00F46506" w:rsidP="00F444D6">
      <w:pPr>
        <w:pStyle w:val="Text"/>
      </w:pPr>
      <w:r>
        <w:t>Re point (hh) (§ 36(1)(20a) (new))</w:t>
      </w:r>
    </w:p>
    <w:p w14:paraId="78DD61E2" w14:textId="402F2C4E" w:rsidR="00F444D6" w:rsidRPr="00BE5BA6" w:rsidRDefault="00F46506" w:rsidP="00F444D6">
      <w:pPr>
        <w:pStyle w:val="Text"/>
      </w:pPr>
      <w:r>
        <w:t>Point (hh) adds subparagraph 20a to the provisions on administrative fines under § 36(1).</w:t>
      </w:r>
    </w:p>
    <w:p w14:paraId="6001105D" w14:textId="21AF18AA" w:rsidR="00F444D6" w:rsidRPr="00BE5BA6" w:rsidRDefault="00BB0170" w:rsidP="00F444D6">
      <w:pPr>
        <w:pStyle w:val="Text"/>
      </w:pPr>
      <w:r>
        <w:t xml:space="preserve">These provisions serve to implement Article 14 of Directive (EU) 2019/904. It requires Member States to lay down rules on penalties for infringements of the provisions of the Directive. </w:t>
      </w:r>
    </w:p>
    <w:p w14:paraId="35B3FFE5" w14:textId="023461F1" w:rsidR="00DF23C3" w:rsidRPr="00BE5BA6" w:rsidRDefault="00F444D6" w:rsidP="00F444D6">
      <w:pPr>
        <w:pStyle w:val="Text"/>
      </w:pPr>
      <w:r>
        <w:t>The new provision standardises a violation of the requirements pursuant to § 30a(1) sentence 1 or 2 as an administrative offence that can be punished with a fine. The fine can be up to EUR 10 000 in each case. An infringement of the requirements under § 30a(1) shall also be deemed to have taken place if the producer intends to make use of the option under § 30a(2) but fails to comply with the requirements under § 30a(2).</w:t>
      </w:r>
    </w:p>
    <w:p w14:paraId="6711DEB8" w14:textId="2E9E12D3" w:rsidR="006E46C7" w:rsidRPr="00BE5BA6" w:rsidRDefault="00C134F0" w:rsidP="00F444D6">
      <w:pPr>
        <w:pStyle w:val="Text"/>
      </w:pPr>
      <w:r>
        <w:t xml:space="preserve">Re sub-points (ii) and (jj) (§ 36(1)(26) and (27)) </w:t>
      </w:r>
    </w:p>
    <w:p w14:paraId="7A74EA4F" w14:textId="0CD1D4ED" w:rsidR="006E46C7" w:rsidRPr="00BE5BA6" w:rsidRDefault="006E46C7" w:rsidP="00F444D6">
      <w:pPr>
        <w:pStyle w:val="Text"/>
      </w:pPr>
      <w:r>
        <w:t>The formal amendments are necessary due to the additions of the new § 36(1)(28) to (30).</w:t>
      </w:r>
    </w:p>
    <w:p w14:paraId="20ED371E" w14:textId="0144EBF2" w:rsidR="00C134F0" w:rsidRPr="00BE5BA6" w:rsidRDefault="006E46C7" w:rsidP="00F444D6">
      <w:pPr>
        <w:pStyle w:val="Text"/>
      </w:pPr>
      <w:r>
        <w:lastRenderedPageBreak/>
        <w:t>Re sub-point (kk) (§ 36(1)(28) to (30) (new))</w:t>
      </w:r>
    </w:p>
    <w:p w14:paraId="22D8FF16" w14:textId="4C1C4B60" w:rsidR="00C134F0" w:rsidRPr="00BE5BA6" w:rsidRDefault="00C134F0" w:rsidP="00C134F0">
      <w:pPr>
        <w:pStyle w:val="Text"/>
      </w:pPr>
      <w:r>
        <w:t>Subparagraphs 28 to 30 are added to the provisions on administrative fines pursuant to § 36(1).</w:t>
      </w:r>
    </w:p>
    <w:p w14:paraId="79BEB4D2" w14:textId="1A0972EE" w:rsidR="00C134F0" w:rsidRPr="00BE5BA6" w:rsidRDefault="00C134F0" w:rsidP="00C134F0">
      <w:pPr>
        <w:pStyle w:val="Text"/>
      </w:pPr>
      <w:r>
        <w:t xml:space="preserve">These provisions also serve to implement Article 14 of Directive (EU) 2019/904. It requires Member States to lay down rules on penalties for infringements of the provisions of the Directive. </w:t>
      </w:r>
    </w:p>
    <w:p w14:paraId="08AFDF15" w14:textId="0CCE8FC0" w:rsidR="009B1AAB" w:rsidRPr="00BE5BA6" w:rsidRDefault="00C134F0" w:rsidP="00C134F0">
      <w:pPr>
        <w:pStyle w:val="Text"/>
      </w:pPr>
      <w:r>
        <w:t xml:space="preserve">The new provisions under § 36(1)(28) to (30) standardise a violation of the requirements under § 33(1) sentence 1 or 2 or (2) sentence 1 or 2, also in conjunction with § 34(1) sentence 2 or (2) sentence 2, as an administrative offence punishable by a fine. An infringement of § 33(1) sentence 1 is not at hand if the final distributor permissibly makes use of the simplification pursuant to § 34(1) sentence 1. </w:t>
      </w:r>
    </w:p>
    <w:p w14:paraId="4932CBC3" w14:textId="6B6D82DA" w:rsidR="00C134F0" w:rsidRPr="00BE5BA6" w:rsidRDefault="00C134F0" w:rsidP="00C134F0">
      <w:pPr>
        <w:pStyle w:val="Text"/>
      </w:pPr>
      <w:r>
        <w:t>The fine can be up to EUR 10 000 in each case.</w:t>
      </w:r>
    </w:p>
    <w:p w14:paraId="114E6A40" w14:textId="6341D7AF" w:rsidR="00F46506" w:rsidRPr="00BE5BA6" w:rsidRDefault="00F46506" w:rsidP="00F46506">
      <w:pPr>
        <w:pStyle w:val="Text"/>
      </w:pPr>
      <w:r>
        <w:t xml:space="preserve">Re point (b) (§ 36(2)) </w:t>
      </w:r>
    </w:p>
    <w:p w14:paraId="5A10E868" w14:textId="3B9B2023" w:rsidR="00F46506" w:rsidRPr="00BE5BA6" w:rsidRDefault="00F46506" w:rsidP="00F46506">
      <w:pPr>
        <w:pStyle w:val="Text"/>
      </w:pPr>
      <w:r>
        <w:t>The amendments and the addition in § 36(2) serve to align the amended regulatory content in § 36(1).</w:t>
      </w:r>
    </w:p>
    <w:p w14:paraId="31D8F218" w14:textId="6FFC4364" w:rsidR="00C134F0" w:rsidRPr="00BE5BA6" w:rsidRDefault="00F46506" w:rsidP="00F46506">
      <w:pPr>
        <w:pStyle w:val="Text"/>
      </w:pPr>
      <w:r>
        <w:t>Re subparagraph 30 (§ 37 new ‘Confiscation’)</w:t>
      </w:r>
    </w:p>
    <w:p w14:paraId="34918A40" w14:textId="5F386C2F" w:rsidR="003F26E3" w:rsidRPr="00BE5BA6" w:rsidRDefault="003F26E3" w:rsidP="003F26E3">
      <w:pPr>
        <w:pStyle w:val="Text"/>
      </w:pPr>
      <w:r>
        <w:t>Before the Packaging Act came into force on 1 January 2019, it was possible to confiscate items that related to certain offences of fines under the Packaging Ordinance or that had been used or intended for their commission or preparation. This resulted from a reference in § 15(1) of the former Packaging Ordinance to § 69(1)(8) of the Circular Economy Act. § 70 of the Circular Economy Act expressly provides for the possibility of confiscation for the administrative offences under § 69(1)(8).</w:t>
      </w:r>
    </w:p>
    <w:p w14:paraId="4E717D0F" w14:textId="68669358" w:rsidR="003F26E3" w:rsidRPr="00BE5BA6" w:rsidRDefault="003F26E3" w:rsidP="003F26E3">
      <w:pPr>
        <w:pStyle w:val="Text"/>
      </w:pPr>
      <w:r>
        <w:t>§ 36 of the new Packaging Act now contains independent provisions on fines and no longer refers to § 69(1)(8) and § 70 of the Circular Economy Act. Since confiscation of items under § 22 and § 23 of the Administrative Offences Act is only permissible if the relevant law expressly allows it, confiscation in administrative offence proceedings is no longer possible under the current Packaging Act.</w:t>
      </w:r>
    </w:p>
    <w:p w14:paraId="6FF21644" w14:textId="422F8A95" w:rsidR="003F26E3" w:rsidRPr="00BE5BA6" w:rsidRDefault="003F26E3" w:rsidP="00F46506">
      <w:pPr>
        <w:pStyle w:val="Text"/>
      </w:pPr>
      <w:r>
        <w:t>This enforcement gap is to be closed by the new § 37 by expressly providing for the possibility of confiscating items under the conditions of § 22 and § 23 of the Administrative Offences Act. It corresponds to § 70 of the Circular Economy Act in terms of content.</w:t>
      </w:r>
    </w:p>
    <w:p w14:paraId="1EA0FFF1" w14:textId="60C24CFD" w:rsidR="003F26E3" w:rsidRPr="00BE5BA6" w:rsidRDefault="003F26E3" w:rsidP="00F46506">
      <w:pPr>
        <w:pStyle w:val="Text"/>
      </w:pPr>
      <w:r>
        <w:t>Re subparagraph 31 (§ 38 new ‘Transitional provisions’)</w:t>
      </w:r>
    </w:p>
    <w:p w14:paraId="0CEB5B23" w14:textId="6C88D711" w:rsidR="00C134F0" w:rsidRPr="00BE5BA6" w:rsidRDefault="00C134F0" w:rsidP="00F46506">
      <w:pPr>
        <w:pStyle w:val="Text"/>
      </w:pPr>
      <w:r>
        <w:t>The amendment represents an editorial adjustment as a result of the addition of the new §§ 33, 34 and 37.</w:t>
      </w:r>
    </w:p>
    <w:p w14:paraId="4650973E" w14:textId="34E45A62" w:rsidR="00F46506" w:rsidRPr="00BE5BA6" w:rsidRDefault="00C134F0" w:rsidP="00F46506">
      <w:pPr>
        <w:pStyle w:val="Text"/>
      </w:pPr>
      <w:r>
        <w:t>Re subparagraph 32 (§ 38(6) (new))</w:t>
      </w:r>
    </w:p>
    <w:p w14:paraId="1CC6F0E7" w14:textId="1ADE08EF" w:rsidR="00F46506" w:rsidRPr="00BE5BA6" w:rsidRDefault="00F46506" w:rsidP="00F46506">
      <w:pPr>
        <w:pStyle w:val="Text"/>
      </w:pPr>
      <w:r>
        <w:t xml:space="preserve">The transitional provision serves the purpose of legal certainty. Pursuant to § 37(6) sentence 1, schemes which were already approved before the entry into force of the new approval requirement added to § 18(1) sentence 1, subparagraph 4 shall initially be deemed to be in good financial standing. From the first notification period following the entry into force of the Act pursuant to the § 20(5) sentence 1, 31 March 2022, schemes already approved prior to the addition of this approval requirement in the Packaging Act must meet the same verification requirements as newly added schemes pursuant to § 20(5) and (6). </w:t>
      </w:r>
    </w:p>
    <w:p w14:paraId="28941F11" w14:textId="240CB58D" w:rsidR="00F46506" w:rsidRPr="00BE5BA6" w:rsidRDefault="00F46506" w:rsidP="00F46506">
      <w:pPr>
        <w:pStyle w:val="Text"/>
      </w:pPr>
      <w:r>
        <w:t xml:space="preserve">The transmission of the reports pursuant to § 37(6) sentence 2 (new) to the competent federal state authorities shall ensure that the competent approval authority has all </w:t>
      </w:r>
      <w:r>
        <w:lastRenderedPageBreak/>
        <w:t>information necessary for the approval pursuant to § 18(1) sentence 1, also with regard to existing schemes. After this additional notification concerning the financial standing of existing schemes to the competent approval authority has been made once in 2022 – irrespective of the existence of indications of a lack of financial standing – § 26(1)(2)(8a) shall apply to existing and new schemes in the same way.</w:t>
      </w:r>
    </w:p>
    <w:p w14:paraId="58B4EAE8" w14:textId="553D1659" w:rsidR="00F27423" w:rsidRPr="00C059FB" w:rsidRDefault="00F27423" w:rsidP="00F46506">
      <w:pPr>
        <w:pStyle w:val="Text"/>
        <w:rPr>
          <w:lang w:val="fr-FR"/>
        </w:rPr>
      </w:pPr>
      <w:r w:rsidRPr="00C059FB">
        <w:rPr>
          <w:lang w:val="fr-FR"/>
        </w:rPr>
        <w:t>Re subparagraph 33 (Annex 2)</w:t>
      </w:r>
    </w:p>
    <w:p w14:paraId="54F6E167" w14:textId="169DA0CA" w:rsidR="00B82B31" w:rsidRPr="00C059FB" w:rsidRDefault="00BB0170" w:rsidP="00F46506">
      <w:pPr>
        <w:pStyle w:val="Text"/>
        <w:rPr>
          <w:lang w:val="fr-FR"/>
        </w:rPr>
      </w:pPr>
      <w:r w:rsidRPr="00C059FB">
        <w:rPr>
          <w:lang w:val="fr-FR"/>
        </w:rPr>
        <w:t xml:space="preserve">Re point (a) (Annex 2(1)) </w:t>
      </w:r>
    </w:p>
    <w:p w14:paraId="7A824925" w14:textId="5C99860F" w:rsidR="00F27423" w:rsidRPr="00BE5BA6" w:rsidRDefault="00F27423" w:rsidP="00F46506">
      <w:pPr>
        <w:pStyle w:val="Text"/>
      </w:pPr>
      <w:r>
        <w:t xml:space="preserve">The amendment serves to adapt to the current Chemicals Prohibition Ordinance. </w:t>
      </w:r>
    </w:p>
    <w:p w14:paraId="5454EC3C" w14:textId="382E328F" w:rsidR="004F29AD" w:rsidRPr="00BE5BA6" w:rsidRDefault="00BB0170" w:rsidP="00F46506">
      <w:pPr>
        <w:pStyle w:val="Text"/>
      </w:pPr>
      <w:r>
        <w:t>Re point (b) (Annex 2(2)</w:t>
      </w:r>
    </w:p>
    <w:p w14:paraId="6F7CF9C4" w14:textId="46BC7F8F" w:rsidR="004F29AD" w:rsidRPr="00BE5BA6" w:rsidRDefault="004F29AD" w:rsidP="00F46506">
      <w:pPr>
        <w:pStyle w:val="Text"/>
      </w:pPr>
      <w:r>
        <w:t>The amendment is an adaptation to the current version of the legal standard referred to.</w:t>
      </w:r>
    </w:p>
    <w:p w14:paraId="2215304B" w14:textId="12DC5E1C" w:rsidR="003441C7" w:rsidRPr="00BE5BA6" w:rsidRDefault="004F29AD" w:rsidP="004F29AD">
      <w:pPr>
        <w:pStyle w:val="Text"/>
      </w:pPr>
      <w:r>
        <w:t>Re point (c) (Annex 2(3))</w:t>
      </w:r>
    </w:p>
    <w:p w14:paraId="52AE63A2" w14:textId="786CDBFF" w:rsidR="004F29AD" w:rsidRPr="00BE5BA6" w:rsidRDefault="004F29AD" w:rsidP="004F29AD">
      <w:pPr>
        <w:pStyle w:val="Text"/>
      </w:pPr>
      <w:r>
        <w:t>The amendment is an adaptation to the current version of the legal standard referred to.</w:t>
      </w:r>
    </w:p>
    <w:p w14:paraId="1EB22B30" w14:textId="77777777" w:rsidR="003033E8" w:rsidRPr="00BE5BA6" w:rsidRDefault="003033E8" w:rsidP="004F29AD">
      <w:pPr>
        <w:pStyle w:val="Text"/>
      </w:pPr>
      <w:r>
        <w:t>Re subparagraph 34 (Annex 5)</w:t>
      </w:r>
    </w:p>
    <w:p w14:paraId="0340AD7E" w14:textId="359651EB" w:rsidR="003033E8" w:rsidRPr="00BE5BA6" w:rsidRDefault="003033E8" w:rsidP="004F29AD">
      <w:pPr>
        <w:pStyle w:val="Text"/>
      </w:pPr>
      <w:r>
        <w:t>The amendments to Annex 5 serve to standardise the spelling of the term ‘</w:t>
      </w:r>
      <w:r>
        <w:rPr>
          <w:color w:val="800000"/>
        </w:rPr>
        <w:t>polyethylene terephthalate’ in the Packaging Act by adding the letter ‘h’ before the letters ‘alate’.This does not entail any content-related changes.</w:t>
      </w:r>
    </w:p>
    <w:p w14:paraId="326171BB" w14:textId="4F397FF9" w:rsidR="0061733F" w:rsidRPr="00BE5BA6" w:rsidRDefault="00F46506" w:rsidP="00F444D6">
      <w:pPr>
        <w:pStyle w:val="Text"/>
      </w:pPr>
      <w:r>
        <w:t>Re Article 2 (amendment to the Circular Economy Act)</w:t>
      </w:r>
    </w:p>
    <w:p w14:paraId="0F6771A7" w14:textId="1B2B608C" w:rsidR="00C86B7E" w:rsidRPr="00BE5BA6" w:rsidRDefault="00C86B7E" w:rsidP="00C86B7E">
      <w:pPr>
        <w:pStyle w:val="Text"/>
      </w:pPr>
      <w:r>
        <w:t>Re subparagraph 1 and subparagraph 2 (§ 30(6) and § 33(2)(2))</w:t>
      </w:r>
    </w:p>
    <w:p w14:paraId="1B16D870" w14:textId="5C428492" w:rsidR="00C86B7E" w:rsidRPr="00BE5BA6" w:rsidRDefault="00C86B7E" w:rsidP="00C86B7E">
      <w:pPr>
        <w:pStyle w:val="Text"/>
      </w:pPr>
      <w:r>
        <w:t>The amendments in subparagraph 1 and subparagraph 2 serve to implement Article 11 of Directive (EU) 2019/904 of the European Parliament and of the Council of 5 June 2019 on the reduction of the impact of certain plastic products on the environment (OJ L 155, 12.6.2019, p. 1).’ The provision stipulates that the measures taken to transpose and implement the Directive shall form an integral part of certain plans and programmes. These include, among others, the waste management plans of the states pursuant to § 30 of the Circular Economy Act (KrWG) and the waste prevention programmes pursuant to § 33 KrWG.</w:t>
      </w:r>
    </w:p>
    <w:p w14:paraId="567A1116" w14:textId="7CE671DD" w:rsidR="00C86B7E" w:rsidRPr="00BE5BA6" w:rsidRDefault="00C86B7E" w:rsidP="00C86B7E">
      <w:pPr>
        <w:pStyle w:val="Text"/>
      </w:pPr>
      <w:r>
        <w:t xml:space="preserve">Subparagraph 1(b) therefore extends the minimum contents of the waste management plans in § 30(6) KrWG and adds a new subparagraph 10 for this purpose. Point (b) contains the necessary consequential amendment. </w:t>
      </w:r>
    </w:p>
    <w:p w14:paraId="23EE4F03" w14:textId="1DA4AEBA" w:rsidR="00C86B7E" w:rsidRPr="00BE5BA6" w:rsidRDefault="00C86B7E" w:rsidP="00C86B7E">
      <w:pPr>
        <w:pStyle w:val="Text"/>
      </w:pPr>
      <w:r>
        <w:t xml:space="preserve">Subparagraph 2(c) extends the minimum content of the waste prevention programme in § 33(2)(2) KrWG to the same effect and adds a point (n). Points (a) and (b) contain the necessary consequential amendments. </w:t>
      </w:r>
    </w:p>
    <w:p w14:paraId="0859EDA6" w14:textId="138B78B1" w:rsidR="00C86B7E" w:rsidRPr="00BE5BA6" w:rsidRDefault="00C86B7E" w:rsidP="00C86B7E">
      <w:pPr>
        <w:pStyle w:val="Text"/>
      </w:pPr>
      <w:r>
        <w:t>The Directive does not set a specific deadline for the adaptation of the programmes. Since the waste management plans are to be evaluated every six years pursuant to § 31(5) KrWG and § 33(9) sentence 1 KrWG and updated if necessary, the measures taken by then pursuant to Directive (EU) 2019/904 are to be adjusted accordingly at the next opportunity, i.e. at the next update at the latest. The waste prevention programme has already been continued in 2020 and includes reference to the measures in Directive (EU) 2019/904. Procedures for the preparation of waste management plans already being implemented at the time of entry into force of this regulation may be completed on the basis of the existing Circular Economy Act by means of the transitional provision contained in subparagraph 4 (see below).</w:t>
      </w:r>
    </w:p>
    <w:p w14:paraId="7CFEBEAF" w14:textId="22CB9309" w:rsidR="00C86B7E" w:rsidRPr="00BE5BA6" w:rsidRDefault="00C86B7E" w:rsidP="00C86B7E">
      <w:pPr>
        <w:pStyle w:val="Text"/>
      </w:pPr>
      <w:r>
        <w:lastRenderedPageBreak/>
        <w:t xml:space="preserve">In order to simplify implementation, the various measures of the Directive will be described on the website of the Federal Ministry for the Environment (www.bmu.de/GE883) in the future. The measures include the obligations in Articles 4 to 10 of Directive (EU) 2019/904. The measures are implemented in particular through laws and regulations, e.g. the Single-Use Plastics Prohibition Ordinance. The site is updated on an ongoing basis so that a reference to the website is sufficient to comply with the inclusion of the measures in the waste management plans and waste prevention programmes. However, this does not preclude an additional listing of the respective programmes of measures. </w:t>
      </w:r>
    </w:p>
    <w:p w14:paraId="444EB9D9" w14:textId="0210428A" w:rsidR="00C86B7E" w:rsidRPr="00BE5BA6" w:rsidRDefault="00C86B7E" w:rsidP="00C86B7E">
      <w:pPr>
        <w:pStyle w:val="Text"/>
      </w:pPr>
      <w:r>
        <w:t>Re subparagraph 3 (§ 46)</w:t>
      </w:r>
    </w:p>
    <w:p w14:paraId="1B3C9BD7" w14:textId="022A2D43" w:rsidR="00C86B7E" w:rsidRPr="00BE5BA6" w:rsidRDefault="00C86B7E" w:rsidP="00C86B7E">
      <w:pPr>
        <w:pStyle w:val="Text"/>
      </w:pPr>
      <w:r>
        <w:t xml:space="preserve">The amendments in subparagraph 3 are made to implement Article 10 of Directive (EU) 2019/904. The provision arranges awareness-raising measures towards consumers to reduce littering of the environment. The overall objective of the Directive is to reduce plastic inputs into the environment. All the provisions of the Directive, and thus the awareness-raising measures as well, relate to specific single-use plastic products. Since the Circular Economy Act already stipulates general obligations for public waste management operators to provide information on the avoidance, recovery and disposal of waste, it is only necessary to concretise the existing regulation. </w:t>
      </w:r>
    </w:p>
    <w:p w14:paraId="7F33510E" w14:textId="49A2B61C" w:rsidR="00C86B7E" w:rsidRPr="00BE5BA6" w:rsidRDefault="00C86B7E" w:rsidP="00C86B7E">
      <w:pPr>
        <w:pStyle w:val="Text"/>
      </w:pPr>
      <w:r>
        <w:t xml:space="preserve">In paragraph 2, the new subparagraph 2 transposes Article 10(a) of the Directive. According to it, consumers must also be informed about the availability of reusable products as part of the advice on waste prevention. The information is not limited to the reusable product, but also includes further information on the entire reuse system. These include the logistics of take-back and possible incentives to participate in the reuse system, such as charging a deposit. Overall, this will help to limit the use of single-use plastic products under Part G of the Directive. </w:t>
      </w:r>
    </w:p>
    <w:p w14:paraId="6EB99100" w14:textId="2C477F1A" w:rsidR="00C86B7E" w:rsidRPr="00BE5BA6" w:rsidRDefault="00C86B7E" w:rsidP="00C86B7E">
      <w:pPr>
        <w:pStyle w:val="Text"/>
      </w:pPr>
      <w:r>
        <w:t>The newly inserted subparagraph 2 in paragraph 3 substantiates the already existing obligation to provide advice on waste recovery, in particular the separate collection of waste, to the effect that also the effects of improper recovery and disposal of waste on the environment, in particular the marine environment, are to be reflected. This aspect already plays a major role in the practical implementation of guidance, but is not yet enshrined in law. This transposes Article 10(b) of the Directive. The amendment to § 14(3) of the Packaging Act also lays down a comparable obligation for the dual systems. The parallel regulation of awareness-raising measures in the Circular Economy Act and in the Packaging Act contributes to an effective implementation of the Directive’s requirements.</w:t>
      </w:r>
    </w:p>
    <w:p w14:paraId="5FFCA436" w14:textId="79AB7C73" w:rsidR="00C86B7E" w:rsidRPr="00BE5BA6" w:rsidRDefault="00C86B7E" w:rsidP="00C86B7E">
      <w:pPr>
        <w:pStyle w:val="Text"/>
      </w:pPr>
      <w:r>
        <w:t>The newly inserted subparagraph 3 in paragraph 3 transposes Article 10(c) of the Directive. Accordingly, the advice also includes information on the effects improper recovery and disposal of waste have on wastewater facilities. Of particular relevance is the waste generated after the use of hygiene products and wet wipes as well as tobacco products with filters. In addition to the environmental and health impacts, improper recycling and disposal can also cause economic damage to sewer networks through blocked pipes and pumps, for example. An explicit standardisation of the information obligation is therefore necessary.</w:t>
      </w:r>
    </w:p>
    <w:p w14:paraId="04E3D178" w14:textId="50B9826A" w:rsidR="00C86B7E" w:rsidRPr="00BE5BA6" w:rsidRDefault="00C86B7E" w:rsidP="00C86B7E">
      <w:pPr>
        <w:pStyle w:val="Text"/>
      </w:pPr>
      <w:r>
        <w:t>Re subparagraph 4 (§ 72(2))</w:t>
      </w:r>
    </w:p>
    <w:p w14:paraId="10CE3AB5" w14:textId="79906EE6" w:rsidR="00F46506" w:rsidRPr="00BE5BA6" w:rsidRDefault="00C86B7E" w:rsidP="00C86B7E">
      <w:pPr>
        <w:pStyle w:val="Text"/>
      </w:pPr>
      <w:r>
        <w:t>The amendments in subparagraph 4 serve to create a clear requirement for the federal states as to when (at the latest) the new extended requirements with regard to information and awareness-raising as well as further measures to be depicted with regard to single-use plastic products must be taken into account in the waste management plans. Comparable to the transitional provision for the regulation envisaged by the Act transposing Directive 2008/98/EC, this is based on the date of the end of the transposition period of Directive (EU) 2019/904, i.e. 3/7/2021.</w:t>
      </w:r>
    </w:p>
    <w:p w14:paraId="663FBA47" w14:textId="34FB75A0" w:rsidR="00196DFA" w:rsidRPr="00BE5BA6" w:rsidRDefault="00196DFA" w:rsidP="007E54AB">
      <w:pPr>
        <w:pStyle w:val="Text"/>
        <w:keepNext/>
        <w:keepLines/>
      </w:pPr>
      <w:r>
        <w:lastRenderedPageBreak/>
        <w:t>Re Article 3 (Amendment to the Water Resources Act – WHG)</w:t>
      </w:r>
    </w:p>
    <w:p w14:paraId="287361CA" w14:textId="3608D5AE" w:rsidR="00196DFA" w:rsidRPr="00BE5BA6" w:rsidRDefault="00196DFA" w:rsidP="00196DFA">
      <w:pPr>
        <w:pStyle w:val="Text"/>
      </w:pPr>
      <w:r>
        <w:t xml:space="preserve">The amendments serve to implement Article 11 of Directive (EU) 2019/904. The provision stipulates that the measures taken to transpose and implement the Directive shall form an integral part of certain plans and programmes. These include, among other things, the programmes of measures pursuant to § 45(h) and § 82 of the Water Resources Act (WHG). </w:t>
      </w:r>
    </w:p>
    <w:p w14:paraId="6D7B3B2E" w14:textId="29219A4D" w:rsidR="00196DFA" w:rsidRPr="00BE5BA6" w:rsidRDefault="00196DFA" w:rsidP="00196DFA">
      <w:pPr>
        <w:pStyle w:val="Text"/>
      </w:pPr>
      <w:r>
        <w:t>Subparagraph 1(c) contains the requirement for the programmes of measures pursuant to § 45h(1) WHG. Points (a) and (b) contain the necessary consequential amendments. Subparagraph 2 contains the requirement for the programmes of measures pursuant to § 82(1) WHG.</w:t>
      </w:r>
    </w:p>
    <w:p w14:paraId="2B9A386B" w14:textId="09294974" w:rsidR="00196DFA" w:rsidRPr="00BE5BA6" w:rsidRDefault="00196DFA" w:rsidP="00196DFA">
      <w:pPr>
        <w:pStyle w:val="Text"/>
      </w:pPr>
      <w:r>
        <w:t>Directive (EU) 2019/904 does not provide for a specific deadline for the adaptation of the respective programmes. Since the programmes of measures are to be revised every six years pursuant to § 45j WHG or § 84(1) WHG, the programmes are to be supplemented accordingly at the next opportunity, i.e. at the next update date, in order to include the measures taken under the Directive up to that time.</w:t>
      </w:r>
    </w:p>
    <w:p w14:paraId="56731924" w14:textId="0FF39394" w:rsidR="00196DFA" w:rsidRPr="00BE5BA6" w:rsidRDefault="00196DFA" w:rsidP="00196DFA">
      <w:pPr>
        <w:pStyle w:val="Text"/>
      </w:pPr>
      <w:r>
        <w:t xml:space="preserve">In order to simplify the implementation, the various measures of Directive (EU) 2019/904 will in the future be described on the website of the Federal Ministry of the Environment (www.bmu.de/GE883) and the acts, ordinances and other measures concerned will be listed. The site will be continuously updated so that reference can be made to it in plans and programmes. This does not preclude an additional listing of the respective measures in the programmes of measures concerned. </w:t>
      </w:r>
    </w:p>
    <w:p w14:paraId="038A6A74" w14:textId="377E925C" w:rsidR="008C6327" w:rsidRPr="00BE5BA6" w:rsidRDefault="00741382">
      <w:pPr>
        <w:pStyle w:val="Text"/>
      </w:pPr>
      <w:r>
        <w:t>Re Article 4 (Entry into force)</w:t>
      </w:r>
    </w:p>
    <w:p w14:paraId="5CE6267A" w14:textId="0E713D3B" w:rsidR="002507C2" w:rsidRPr="00BE5BA6" w:rsidRDefault="002507C2" w:rsidP="002507C2">
      <w:pPr>
        <w:pStyle w:val="Text"/>
      </w:pPr>
      <w:r>
        <w:t>In accordance with Article 82(2) sentence 1 of the Basic Law, Article 4 determines the date of this Act’s entry into force.</w:t>
      </w:r>
    </w:p>
    <w:p w14:paraId="045F0BBD" w14:textId="77777777" w:rsidR="002507C2" w:rsidRPr="00BE5BA6" w:rsidRDefault="002507C2" w:rsidP="002507C2">
      <w:pPr>
        <w:pStyle w:val="Text"/>
      </w:pPr>
      <w:r>
        <w:t>Re paragraph 1</w:t>
      </w:r>
    </w:p>
    <w:p w14:paraId="4D51F6F9" w14:textId="3A738F23" w:rsidR="002507C2" w:rsidRPr="00BE5BA6" w:rsidRDefault="002507C2" w:rsidP="002507C2">
      <w:pPr>
        <w:pStyle w:val="Text"/>
      </w:pPr>
      <w:r>
        <w:t>Paragraph 1 provides that, subject to the exceptions provided in paragraphs 2 and 3, the Act shall enter into force on 3 July 2021. The requirements of Directive (EU) 2019/904 must be transposed into national measures by that date, subject to specific special provisions to that effect.</w:t>
      </w:r>
    </w:p>
    <w:p w14:paraId="5C7C99D4" w14:textId="77777777" w:rsidR="002507C2" w:rsidRPr="00BE5BA6" w:rsidRDefault="002507C2" w:rsidP="002507C2">
      <w:pPr>
        <w:pStyle w:val="Text"/>
      </w:pPr>
      <w:r>
        <w:t>Re paragraph 2</w:t>
      </w:r>
    </w:p>
    <w:p w14:paraId="0D68D09A" w14:textId="20D5223B" w:rsidR="00741382" w:rsidRPr="00BE5BA6" w:rsidRDefault="002507C2" w:rsidP="002507C2">
      <w:pPr>
        <w:pStyle w:val="Text"/>
      </w:pPr>
      <w:r>
        <w:t>Paragraph 2 provides that certain new provisions implementing the Waste Framework Directive in the field of packaging will not enter into force until 1 January 2022. It is permissible under European law that these provisions will only enter into force on 1 January 2022. According to Article 8a(7) of Directive 2008/98/EC, extended producer responsibility schemes already established before 4 July 2018 do not have to comply with the requirements of the Waste Framework Directive until 5 January 2023.</w:t>
      </w:r>
    </w:p>
    <w:p w14:paraId="7947F73C" w14:textId="4730D04D" w:rsidR="00762547" w:rsidRPr="00BE5BA6" w:rsidRDefault="00762547" w:rsidP="002507C2">
      <w:pPr>
        <w:pStyle w:val="Text"/>
      </w:pPr>
      <w:r>
        <w:t>The extension of the deposit obligation to single-use beverage containers under § 31 and the adjustment of Annex 2 on filling materials containing harmful substances are also not to enter into force until 1 January 2022 in order to avoid an impact on the scheme participation of the producers concerned during the year.</w:t>
      </w:r>
    </w:p>
    <w:p w14:paraId="74FFC779" w14:textId="2D77F5FC" w:rsidR="00911372" w:rsidRPr="00BE5BA6" w:rsidRDefault="00911372" w:rsidP="002507C2">
      <w:pPr>
        <w:pStyle w:val="Text"/>
      </w:pPr>
      <w:r>
        <w:t>Re paragraph 3</w:t>
      </w:r>
    </w:p>
    <w:p w14:paraId="6F428875" w14:textId="302A4969" w:rsidR="00911372" w:rsidRPr="00BE5BA6" w:rsidRDefault="00911372" w:rsidP="002507C2">
      <w:pPr>
        <w:pStyle w:val="Text"/>
      </w:pPr>
      <w:r>
        <w:t xml:space="preserve">The extended registration obligations pursuant to § 9(1) also for producers of certain packaging not subject to the scheme participation obligation will not be introduced until 1 July 2022 in order to give the Central Authority and the producers concerned sufficient time to prepare for the new requirements. </w:t>
      </w:r>
    </w:p>
    <w:p w14:paraId="7DC8798D" w14:textId="614EFF8F" w:rsidR="00346982" w:rsidRPr="00BE5BA6" w:rsidRDefault="00346982" w:rsidP="002507C2">
      <w:pPr>
        <w:pStyle w:val="Text"/>
      </w:pPr>
      <w:r>
        <w:lastRenderedPageBreak/>
        <w:t>Finally, the implicit testing obligations for operators of electronic marketplaces and fulfilment service providers in § 7(7) (new) and § 9(5) will not enter into force until 1 July 2022 in order to give the parties concerned sufficient time to set up appropriate testing mechanisms (e.g. in the operating software).</w:t>
      </w:r>
    </w:p>
    <w:p w14:paraId="75C33C9D" w14:textId="6422AFF8" w:rsidR="00346982" w:rsidRPr="00BE5BA6" w:rsidRDefault="00346982" w:rsidP="002507C2">
      <w:pPr>
        <w:pStyle w:val="Text"/>
      </w:pPr>
      <w:r>
        <w:t>Re paragraph 4</w:t>
      </w:r>
    </w:p>
    <w:p w14:paraId="348114D2" w14:textId="4FBAB253" w:rsidR="00346982" w:rsidRPr="00BE5BA6" w:rsidRDefault="00346982" w:rsidP="002507C2">
      <w:pPr>
        <w:pStyle w:val="Text"/>
        <w:rPr>
          <w:highlight w:val="yellow"/>
        </w:rPr>
      </w:pPr>
      <w:r>
        <w:t>The provision on the entry into force of Article 3 in paragraph 3 is a consequence of Article 72(3) sentence 2, in conjunction with sentence 1, subparagraph 5 of the Basic Law. Accordingly, federal laws in the field of water resources (excluding substance- and plant-related provisions) shall enter into force six months after their promulgation at the earliest, unless provided for otherwise with the consent of the Bundesrat. This delay in entry into force does not violate EU law, as the programmes of measures are to be revised every six years pursuant to § 45j or § 84(1) of the Water Resources Act, and the programmes will be supplemented accordingly at the next opportunity, i.e. at the date of the next update, to include the measures taken under the Directive up to that point.</w:t>
      </w:r>
    </w:p>
    <w:sectPr w:rsidR="00346982" w:rsidRPr="00BE5BA6" w:rsidSect="00645471">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1C0EC" w14:textId="77777777" w:rsidR="00467FCE" w:rsidRDefault="00467FCE" w:rsidP="005D1540">
      <w:pPr>
        <w:spacing w:before="0" w:after="0"/>
      </w:pPr>
      <w:r>
        <w:separator/>
      </w:r>
    </w:p>
  </w:endnote>
  <w:endnote w:type="continuationSeparator" w:id="0">
    <w:p w14:paraId="18C3086C" w14:textId="77777777" w:rsidR="00467FCE" w:rsidRDefault="00467FCE"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etaNormalLF-Roman">
    <w:altName w:val="Times New Roman"/>
    <w:charset w:val="00"/>
    <w:family w:val="swiss"/>
    <w:pitch w:val="variable"/>
    <w:sig w:usb0="8000002F" w:usb1="10000048"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7553E" w14:textId="77777777" w:rsidR="00467FCE" w:rsidRDefault="00467FCE" w:rsidP="005D1540">
      <w:pPr>
        <w:spacing w:before="0" w:after="0"/>
      </w:pPr>
      <w:r>
        <w:separator/>
      </w:r>
    </w:p>
  </w:footnote>
  <w:footnote w:type="continuationSeparator" w:id="0">
    <w:p w14:paraId="51DF680A" w14:textId="77777777" w:rsidR="00467FCE" w:rsidRDefault="00467FCE" w:rsidP="005D1540">
      <w:pPr>
        <w:spacing w:before="0" w:after="0"/>
      </w:pPr>
      <w:r>
        <w:continuationSeparator/>
      </w:r>
    </w:p>
  </w:footnote>
  <w:footnote w:id="1">
    <w:p w14:paraId="07C27B7B" w14:textId="6B726A8C" w:rsidR="00A869CC" w:rsidRPr="00B50049" w:rsidRDefault="00A869CC" w:rsidP="00444DB1">
      <w:pPr>
        <w:pStyle w:val="FootnoteText"/>
      </w:pPr>
      <w:r>
        <w:rPr>
          <w:rStyle w:val="FootnoteReference"/>
        </w:rPr>
        <w:footnoteRef/>
      </w:r>
      <w:r>
        <w:t>)</w:t>
      </w:r>
      <w:r>
        <w:tab/>
        <w:t>This Act implements Directive 2018/851/EU of the European Parliament and of the Council of 30 May 2018 amending Directive 2008/98/EC on waste (OJ L 150, 14.6.2018, p. 109) and Directive 2019/904/EU of the European Parliament and of the Council of 5 June 2019 on the reduction of the impact of certain plastic products on the environment (OJ L 155, 12.6.2019, p. 1).</w:t>
      </w:r>
    </w:p>
  </w:footnote>
  <w:footnote w:id="2">
    <w:p w14:paraId="390BD349" w14:textId="6AE935C4" w:rsidR="00A869CC" w:rsidRDefault="00A869CC" w:rsidP="00E167F3">
      <w:pPr>
        <w:pStyle w:val="FootnoteText"/>
      </w:pPr>
      <w:r>
        <w:rPr>
          <w:rStyle w:val="FootnoteReference"/>
        </w:rPr>
        <w:footnoteRef/>
      </w:r>
      <w:r>
        <w:rPr>
          <w:rStyle w:val="FootnoteReference"/>
          <w:vertAlign w:val="baseline"/>
        </w:rPr>
        <w:t>)</w:t>
      </w:r>
      <w:r>
        <w:tab/>
        <w:t>This Act was notified in accordance with Directive 2015/1535/EU of the European Parliament and of the Council of 9 September 2015 laying down a procedure for the provision of information in the field of technical regulations and of rules on Information Society services (OJ L 241 of 17.9.2015, p. 1).</w:t>
      </w:r>
    </w:p>
  </w:footnote>
  <w:footnote w:id="3">
    <w:p w14:paraId="04C5EA7A" w14:textId="7312233C" w:rsidR="00A869CC" w:rsidRDefault="00A869CC" w:rsidP="001E082A">
      <w:pPr>
        <w:pStyle w:val="FootnoteText"/>
      </w:pPr>
      <w:r>
        <w:rPr>
          <w:rStyle w:val="FootnoteReference"/>
        </w:rPr>
        <w:footnoteRef/>
      </w:r>
      <w:r w:rsidR="007E54AB">
        <w:t>)</w:t>
      </w:r>
      <w:r w:rsidR="002D0D9E">
        <w:tab/>
      </w:r>
      <w:bookmarkStart w:id="0" w:name="_GoBack"/>
      <w:bookmarkEnd w:id="0"/>
      <w:r>
        <w:t xml:space="preserve">For example, </w:t>
      </w:r>
      <w:proofErr w:type="spellStart"/>
      <w:r>
        <w:t>FairCup</w:t>
      </w:r>
      <w:proofErr w:type="spellEnd"/>
      <w:r w:rsidR="002B3CF8">
        <w:rPr>
          <w:rStyle w:val="Hyperlink"/>
        </w:rPr>
        <w:fldChar w:fldCharType="begin"/>
      </w:r>
      <w:r w:rsidR="002B3CF8">
        <w:rPr>
          <w:rStyle w:val="Hyperlink"/>
        </w:rPr>
        <w:instrText xml:space="preserve"> HYPERLINK "https://fair-cup.de/" </w:instrText>
      </w:r>
      <w:r w:rsidR="002B3CF8">
        <w:rPr>
          <w:rStyle w:val="Hyperlink"/>
        </w:rPr>
        <w:fldChar w:fldCharType="separate"/>
      </w:r>
      <w:r>
        <w:rPr>
          <w:rStyle w:val="Hyperlink"/>
        </w:rPr>
        <w:t>(https://fair-cup.de/</w:t>
      </w:r>
      <w:r w:rsidR="002B3CF8">
        <w:rPr>
          <w:rStyle w:val="Hyperlink"/>
        </w:rPr>
        <w:fldChar w:fldCharType="end"/>
      </w:r>
      <w:r>
        <w:t xml:space="preserve">), </w:t>
      </w:r>
      <w:proofErr w:type="spellStart"/>
      <w:r>
        <w:t>CupForCup</w:t>
      </w:r>
      <w:proofErr w:type="spellEnd"/>
      <w:r w:rsidR="00467FCE">
        <w:rPr>
          <w:rStyle w:val="Hyperlink"/>
        </w:rPr>
        <w:fldChar w:fldCharType="begin"/>
      </w:r>
      <w:r w:rsidR="00467FCE">
        <w:rPr>
          <w:rStyle w:val="Hyperlink"/>
        </w:rPr>
        <w:instrText xml:space="preserve"> HYPERLINK "https://cupforcup.de/" </w:instrText>
      </w:r>
      <w:r w:rsidR="00467FCE">
        <w:rPr>
          <w:rStyle w:val="Hyperlink"/>
        </w:rPr>
        <w:fldChar w:fldCharType="separate"/>
      </w:r>
      <w:r>
        <w:rPr>
          <w:rStyle w:val="Hyperlink"/>
        </w:rPr>
        <w:t>(https://cupforcup.de/</w:t>
      </w:r>
      <w:r w:rsidR="00467FCE">
        <w:rPr>
          <w:rStyle w:val="Hyperlink"/>
        </w:rPr>
        <w:fldChar w:fldCharType="end"/>
      </w:r>
      <w:r>
        <w:t xml:space="preserve">), </w:t>
      </w:r>
      <w:proofErr w:type="spellStart"/>
      <w:r>
        <w:t>FreiburgCup</w:t>
      </w:r>
      <w:proofErr w:type="spellEnd"/>
      <w:r w:rsidR="00467FCE">
        <w:rPr>
          <w:rStyle w:val="Hyperlink"/>
        </w:rPr>
        <w:fldChar w:fldCharType="begin"/>
      </w:r>
      <w:r w:rsidR="00467FCE">
        <w:rPr>
          <w:rStyle w:val="Hyperlink"/>
        </w:rPr>
        <w:instrText xml:space="preserve"> HYPERLINK "https://freiburgcup.de/" </w:instrText>
      </w:r>
      <w:r w:rsidR="00467FCE">
        <w:rPr>
          <w:rStyle w:val="Hyperlink"/>
        </w:rPr>
        <w:fldChar w:fldCharType="separate"/>
      </w:r>
      <w:r>
        <w:rPr>
          <w:rStyle w:val="Hyperlink"/>
        </w:rPr>
        <w:t>(https://freiburgcup.de/</w:t>
      </w:r>
      <w:r w:rsidR="00467FCE">
        <w:rPr>
          <w:rStyle w:val="Hyperlink"/>
        </w:rPr>
        <w:fldChar w:fldCharType="end"/>
      </w:r>
      <w:r>
        <w:t>), and CupCycle</w:t>
      </w:r>
      <w:hyperlink r:id="rId1" w:history="1">
        <w:r>
          <w:rPr>
            <w:rStyle w:val="Hyperlink"/>
          </w:rPr>
          <w:t>(https://www.cupcycle.eu/</w:t>
        </w:r>
      </w:hyperlink>
      <w:r>
        <w:t>) (each last accessed on 11/11/2020).</w:t>
      </w:r>
    </w:p>
  </w:footnote>
  <w:footnote w:id="4">
    <w:p w14:paraId="37C0FC73" w14:textId="3FDC29AF" w:rsidR="00A869CC" w:rsidRDefault="00A869CC" w:rsidP="001E082A">
      <w:pPr>
        <w:pStyle w:val="FootnoteText"/>
      </w:pPr>
      <w:r>
        <w:rPr>
          <w:rStyle w:val="FootnoteReference"/>
        </w:rPr>
        <w:footnoteRef/>
      </w:r>
      <w:r w:rsidR="007E54AB">
        <w:t>)</w:t>
      </w:r>
      <w:r w:rsidR="007E54AB">
        <w:tab/>
      </w:r>
      <w:r>
        <w:t xml:space="preserve">For example, </w:t>
      </w:r>
      <w:proofErr w:type="spellStart"/>
      <w:r>
        <w:t>ReCup</w:t>
      </w:r>
      <w:proofErr w:type="spellEnd"/>
      <w:r w:rsidR="00467FCE">
        <w:rPr>
          <w:rStyle w:val="Hyperlink"/>
        </w:rPr>
        <w:fldChar w:fldCharType="begin"/>
      </w:r>
      <w:r w:rsidR="00467FCE">
        <w:rPr>
          <w:rStyle w:val="Hyperlink"/>
        </w:rPr>
        <w:instrText xml:space="preserve"> HYPERLINK "https://recup.de/" </w:instrText>
      </w:r>
      <w:r w:rsidR="00467FCE">
        <w:rPr>
          <w:rStyle w:val="Hyperlink"/>
        </w:rPr>
        <w:fldChar w:fldCharType="separate"/>
      </w:r>
      <w:r>
        <w:rPr>
          <w:rStyle w:val="Hyperlink"/>
        </w:rPr>
        <w:t>(https://recup.de/</w:t>
      </w:r>
      <w:r w:rsidR="00467FCE">
        <w:rPr>
          <w:rStyle w:val="Hyperlink"/>
        </w:rPr>
        <w:fldChar w:fldCharType="end"/>
      </w:r>
      <w:r>
        <w:t xml:space="preserve">), </w:t>
      </w:r>
      <w:proofErr w:type="spellStart"/>
      <w:r>
        <w:t>ReBowl</w:t>
      </w:r>
      <w:proofErr w:type="spellEnd"/>
      <w:r w:rsidR="00467FCE">
        <w:rPr>
          <w:rStyle w:val="Hyperlink"/>
        </w:rPr>
        <w:fldChar w:fldCharType="begin"/>
      </w:r>
      <w:r w:rsidR="00467FCE">
        <w:rPr>
          <w:rStyle w:val="Hyperlink"/>
        </w:rPr>
        <w:instrText xml:space="preserve"> HYPERLINK "https://rebowl.de/" </w:instrText>
      </w:r>
      <w:r w:rsidR="00467FCE">
        <w:rPr>
          <w:rStyle w:val="Hyperlink"/>
        </w:rPr>
        <w:fldChar w:fldCharType="separate"/>
      </w:r>
      <w:r>
        <w:rPr>
          <w:rStyle w:val="Hyperlink"/>
        </w:rPr>
        <w:t>(https://rebowl.de/</w:t>
      </w:r>
      <w:r w:rsidR="00467FCE">
        <w:rPr>
          <w:rStyle w:val="Hyperlink"/>
        </w:rPr>
        <w:fldChar w:fldCharType="end"/>
      </w:r>
      <w:r>
        <w:t xml:space="preserve">), and </w:t>
      </w:r>
      <w:proofErr w:type="spellStart"/>
      <w:r>
        <w:t>Recircle</w:t>
      </w:r>
      <w:proofErr w:type="spellEnd"/>
      <w:hyperlink r:id="rId2" w:history="1">
        <w:r>
          <w:rPr>
            <w:rStyle w:val="Hyperlink"/>
          </w:rPr>
          <w:t>(https://www.recircle.de/</w:t>
        </w:r>
      </w:hyperlink>
      <w:r>
        <w:t>) (each last accessed on 11/11/2020).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F399C" w14:textId="32DA66D4" w:rsidR="00A869CC" w:rsidRPr="00645471" w:rsidRDefault="00A869CC" w:rsidP="00645471">
    <w:pPr>
      <w:pStyle w:val="Header"/>
    </w:pPr>
    <w:r>
      <w:tab/>
      <w:t xml:space="preserve">- </w:t>
    </w:r>
    <w:r>
      <w:fldChar w:fldCharType="begin"/>
    </w:r>
    <w:r>
      <w:instrText xml:space="preserve"> PAGE  \* MERGEFORMAT </w:instrText>
    </w:r>
    <w:r>
      <w:fldChar w:fldCharType="separate"/>
    </w:r>
    <w:r w:rsidR="002D0D9E">
      <w:rPr>
        <w:noProof/>
      </w:rPr>
      <w:t>62</w:t>
    </w:r>
    <w:r>
      <w:fldChar w:fldCharType="end"/>
    </w:r>
    <w:r>
      <w:t xml:space="preserve"> -</w:t>
    </w:r>
    <w:r>
      <w:tab/>
    </w:r>
    <w:r>
      <w:rPr>
        <w:sz w:val="18"/>
      </w:rPr>
      <w:t>As at: 22/12/2020 Time: 17:00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AA25B" w14:textId="5A499126" w:rsidR="00A869CC" w:rsidRPr="00645471" w:rsidRDefault="00A869CC" w:rsidP="00B10854">
    <w:pPr>
      <w:pStyle w:val="Header"/>
      <w:jc w:val="right"/>
    </w:pPr>
    <w:r>
      <w:rPr>
        <w:sz w:val="18"/>
      </w:rPr>
      <w:t>Version: 22/12/2020 Time: 17:00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1FF29CE"/>
    <w:multiLevelType w:val="hybridMultilevel"/>
    <w:tmpl w:val="0512E7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E85297"/>
    <w:multiLevelType w:val="multilevel"/>
    <w:tmpl w:val="968AA43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rPr>
        <w:color w:val="auto"/>
      </w:r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2" w15:restartNumberingAfterBreak="0">
    <w:nsid w:val="33AB53FC"/>
    <w:multiLevelType w:val="hybridMultilevel"/>
    <w:tmpl w:val="34B6A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108F78E"/>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851"/>
        </w:tabs>
        <w:ind w:left="851"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9824AE"/>
    <w:multiLevelType w:val="hybridMultilevel"/>
    <w:tmpl w:val="C50278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1"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4"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847B95"/>
    <w:multiLevelType w:val="hybridMultilevel"/>
    <w:tmpl w:val="7552244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7"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8"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3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5"/>
  </w:num>
  <w:num w:numId="6">
    <w:abstractNumId w:val="6"/>
  </w:num>
  <w:num w:numId="7">
    <w:abstractNumId w:val="20"/>
  </w:num>
  <w:num w:numId="8">
    <w:abstractNumId w:val="28"/>
  </w:num>
  <w:num w:numId="9">
    <w:abstractNumId w:val="18"/>
  </w:num>
  <w:num w:numId="10">
    <w:abstractNumId w:val="3"/>
  </w:num>
  <w:num w:numId="11">
    <w:abstractNumId w:val="11"/>
  </w:num>
  <w:num w:numId="12">
    <w:abstractNumId w:val="0"/>
  </w:num>
  <w:num w:numId="13">
    <w:abstractNumId w:val="27"/>
  </w:num>
  <w:num w:numId="14">
    <w:abstractNumId w:val="13"/>
  </w:num>
  <w:num w:numId="15">
    <w:abstractNumId w:val="22"/>
  </w:num>
  <w:num w:numId="16">
    <w:abstractNumId w:val="2"/>
  </w:num>
  <w:num w:numId="17">
    <w:abstractNumId w:val="17"/>
  </w:num>
  <w:num w:numId="18">
    <w:abstractNumId w:val="8"/>
  </w:num>
  <w:num w:numId="19">
    <w:abstractNumId w:val="7"/>
  </w:num>
  <w:num w:numId="20">
    <w:abstractNumId w:val="16"/>
  </w:num>
  <w:num w:numId="21">
    <w:abstractNumId w:val="23"/>
  </w:num>
  <w:num w:numId="22">
    <w:abstractNumId w:val="9"/>
  </w:num>
  <w:num w:numId="23">
    <w:abstractNumId w:val="14"/>
  </w:num>
  <w:num w:numId="24">
    <w:abstractNumId w:val="1"/>
  </w:num>
  <w:num w:numId="25">
    <w:abstractNumId w:val="15"/>
  </w:num>
  <w:num w:numId="26">
    <w:abstractNumId w:val="5"/>
  </w:num>
  <w:num w:numId="27">
    <w:abstractNumId w:val="26"/>
  </w:num>
  <w:num w:numId="28">
    <w:abstractNumId w:val="24"/>
  </w:num>
  <w:num w:numId="29">
    <w:abstractNumId w:val="10"/>
  </w:num>
  <w:num w:numId="30">
    <w:abstractNumId w:val="21"/>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5"/>
  </w:num>
  <w:num w:numId="36">
    <w:abstractNumId w:val="5"/>
  </w:num>
  <w:num w:numId="37">
    <w:abstractNumId w:val="5"/>
  </w:num>
  <w:num w:numId="38">
    <w:abstractNumId w:val="5"/>
  </w:num>
  <w:num w:numId="39">
    <w:abstractNumId w:val="5"/>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19"/>
  </w:num>
  <w:num w:numId="45">
    <w:abstractNumId w:val="17"/>
  </w:num>
  <w:num w:numId="46">
    <w:abstractNumId w:val="17"/>
  </w:num>
  <w:num w:numId="47">
    <w:abstractNumId w:val="17"/>
  </w:num>
  <w:num w:numId="48">
    <w:abstractNumId w:val="17"/>
  </w:num>
  <w:num w:numId="49">
    <w:abstractNumId w:val="17"/>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17"/>
  </w:num>
  <w:num w:numId="53">
    <w:abstractNumId w:val="17"/>
  </w:num>
  <w:num w:numId="54">
    <w:abstractNumId w:val="17"/>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3MjazNLQwNLQwsDBR0lEKTi0uzszPAykwrAUAoYPzNywAAAA="/>
    <w:docVar w:name="BefehlsHistorie_BefehlsZähler" w:val="25"/>
    <w:docVar w:name="BefehlsKontext_SpeichernOOXML_Maximum" w:val="544ms"/>
    <w:docVar w:name="BefehlsKontext_SpeichernOOXML_Schnitt" w:val="481,833333333333ms"/>
    <w:docVar w:name="BMJ" w:val="True"/>
    <w:docVar w:name="CUSTOMER" w:val="8"/>
    <w:docVar w:name="LW_DocType" w:val="AENDER"/>
    <w:docVar w:name="LWCons_Langue" w:val="DE"/>
  </w:docVars>
  <w:rsids>
    <w:rsidRoot w:val="008C6327"/>
    <w:rsid w:val="00001CF8"/>
    <w:rsid w:val="00005D0C"/>
    <w:rsid w:val="00010E47"/>
    <w:rsid w:val="00013EB6"/>
    <w:rsid w:val="00014F0D"/>
    <w:rsid w:val="000217DD"/>
    <w:rsid w:val="000229D0"/>
    <w:rsid w:val="000316CF"/>
    <w:rsid w:val="0003451B"/>
    <w:rsid w:val="00034668"/>
    <w:rsid w:val="00034D78"/>
    <w:rsid w:val="000354A2"/>
    <w:rsid w:val="00035C09"/>
    <w:rsid w:val="000364BC"/>
    <w:rsid w:val="00036588"/>
    <w:rsid w:val="000377D8"/>
    <w:rsid w:val="00040631"/>
    <w:rsid w:val="00042C04"/>
    <w:rsid w:val="00043BD6"/>
    <w:rsid w:val="00043DD7"/>
    <w:rsid w:val="0004428E"/>
    <w:rsid w:val="00047CF2"/>
    <w:rsid w:val="000558C4"/>
    <w:rsid w:val="00061617"/>
    <w:rsid w:val="00063D5B"/>
    <w:rsid w:val="000653BF"/>
    <w:rsid w:val="00065F85"/>
    <w:rsid w:val="00066BA4"/>
    <w:rsid w:val="00067840"/>
    <w:rsid w:val="00073BDC"/>
    <w:rsid w:val="0007498F"/>
    <w:rsid w:val="000755C1"/>
    <w:rsid w:val="0007641B"/>
    <w:rsid w:val="00076EAE"/>
    <w:rsid w:val="000813D1"/>
    <w:rsid w:val="000830E9"/>
    <w:rsid w:val="000935BB"/>
    <w:rsid w:val="000942D0"/>
    <w:rsid w:val="000A562D"/>
    <w:rsid w:val="000B1545"/>
    <w:rsid w:val="000B58B5"/>
    <w:rsid w:val="000B7C1A"/>
    <w:rsid w:val="000C1056"/>
    <w:rsid w:val="000C5A61"/>
    <w:rsid w:val="000C688C"/>
    <w:rsid w:val="000C6ABD"/>
    <w:rsid w:val="000C719A"/>
    <w:rsid w:val="000C796A"/>
    <w:rsid w:val="000D0F8A"/>
    <w:rsid w:val="000D1F01"/>
    <w:rsid w:val="000D2BE8"/>
    <w:rsid w:val="000D3354"/>
    <w:rsid w:val="000E366A"/>
    <w:rsid w:val="000E50AC"/>
    <w:rsid w:val="000E7FB2"/>
    <w:rsid w:val="000F1296"/>
    <w:rsid w:val="000F2BC1"/>
    <w:rsid w:val="000F34ED"/>
    <w:rsid w:val="000F36C9"/>
    <w:rsid w:val="000F43B5"/>
    <w:rsid w:val="001010BA"/>
    <w:rsid w:val="0010436C"/>
    <w:rsid w:val="001123E0"/>
    <w:rsid w:val="00112FF2"/>
    <w:rsid w:val="00114F5E"/>
    <w:rsid w:val="0011515E"/>
    <w:rsid w:val="0011545D"/>
    <w:rsid w:val="001205F9"/>
    <w:rsid w:val="001217A9"/>
    <w:rsid w:val="00121FFF"/>
    <w:rsid w:val="001239DF"/>
    <w:rsid w:val="001255BE"/>
    <w:rsid w:val="001277BC"/>
    <w:rsid w:val="001351D4"/>
    <w:rsid w:val="00140337"/>
    <w:rsid w:val="0014131D"/>
    <w:rsid w:val="00141651"/>
    <w:rsid w:val="00145624"/>
    <w:rsid w:val="00146B17"/>
    <w:rsid w:val="0015236C"/>
    <w:rsid w:val="00156D48"/>
    <w:rsid w:val="00161113"/>
    <w:rsid w:val="00161EA9"/>
    <w:rsid w:val="00163F20"/>
    <w:rsid w:val="00164451"/>
    <w:rsid w:val="00166D4E"/>
    <w:rsid w:val="00166E80"/>
    <w:rsid w:val="001700A9"/>
    <w:rsid w:val="00172865"/>
    <w:rsid w:val="00174E43"/>
    <w:rsid w:val="0017539E"/>
    <w:rsid w:val="00175BBD"/>
    <w:rsid w:val="00180A20"/>
    <w:rsid w:val="00181898"/>
    <w:rsid w:val="00187883"/>
    <w:rsid w:val="00191E82"/>
    <w:rsid w:val="00192A81"/>
    <w:rsid w:val="001933ED"/>
    <w:rsid w:val="00193985"/>
    <w:rsid w:val="00196DFA"/>
    <w:rsid w:val="001A04A4"/>
    <w:rsid w:val="001A20CC"/>
    <w:rsid w:val="001A23A1"/>
    <w:rsid w:val="001A3DAB"/>
    <w:rsid w:val="001A7D3E"/>
    <w:rsid w:val="001B0219"/>
    <w:rsid w:val="001B1DFC"/>
    <w:rsid w:val="001B2A1F"/>
    <w:rsid w:val="001B2B38"/>
    <w:rsid w:val="001B3C0F"/>
    <w:rsid w:val="001B3D87"/>
    <w:rsid w:val="001B475A"/>
    <w:rsid w:val="001B4EA3"/>
    <w:rsid w:val="001B5CEF"/>
    <w:rsid w:val="001C31C6"/>
    <w:rsid w:val="001C3712"/>
    <w:rsid w:val="001C3E4B"/>
    <w:rsid w:val="001C44FA"/>
    <w:rsid w:val="001D0E5A"/>
    <w:rsid w:val="001D16C7"/>
    <w:rsid w:val="001E0136"/>
    <w:rsid w:val="001E082A"/>
    <w:rsid w:val="001E1AAE"/>
    <w:rsid w:val="001E3DB8"/>
    <w:rsid w:val="001E50F8"/>
    <w:rsid w:val="001E5FAD"/>
    <w:rsid w:val="001E712B"/>
    <w:rsid w:val="001E74F1"/>
    <w:rsid w:val="001E7E49"/>
    <w:rsid w:val="001F0131"/>
    <w:rsid w:val="001F0B1A"/>
    <w:rsid w:val="001F17BF"/>
    <w:rsid w:val="001F563F"/>
    <w:rsid w:val="001F73D6"/>
    <w:rsid w:val="001F76E7"/>
    <w:rsid w:val="001F76F5"/>
    <w:rsid w:val="00203A99"/>
    <w:rsid w:val="0020447D"/>
    <w:rsid w:val="002050FC"/>
    <w:rsid w:val="00206ACD"/>
    <w:rsid w:val="0020752F"/>
    <w:rsid w:val="00207F53"/>
    <w:rsid w:val="002123F2"/>
    <w:rsid w:val="002140DF"/>
    <w:rsid w:val="0021597D"/>
    <w:rsid w:val="00216376"/>
    <w:rsid w:val="002206F4"/>
    <w:rsid w:val="00223762"/>
    <w:rsid w:val="00227397"/>
    <w:rsid w:val="00234F99"/>
    <w:rsid w:val="00241CF8"/>
    <w:rsid w:val="00241E50"/>
    <w:rsid w:val="00242B1D"/>
    <w:rsid w:val="00247AB2"/>
    <w:rsid w:val="002507C2"/>
    <w:rsid w:val="00252E6D"/>
    <w:rsid w:val="002567E8"/>
    <w:rsid w:val="002606D9"/>
    <w:rsid w:val="0026465F"/>
    <w:rsid w:val="002666F3"/>
    <w:rsid w:val="00270CD4"/>
    <w:rsid w:val="00274940"/>
    <w:rsid w:val="00274FA7"/>
    <w:rsid w:val="00280835"/>
    <w:rsid w:val="002816B9"/>
    <w:rsid w:val="00284205"/>
    <w:rsid w:val="00285654"/>
    <w:rsid w:val="00285AC5"/>
    <w:rsid w:val="00287B4B"/>
    <w:rsid w:val="00290A07"/>
    <w:rsid w:val="00291706"/>
    <w:rsid w:val="00293C12"/>
    <w:rsid w:val="002A5969"/>
    <w:rsid w:val="002A795A"/>
    <w:rsid w:val="002A7ABF"/>
    <w:rsid w:val="002B002E"/>
    <w:rsid w:val="002B19A0"/>
    <w:rsid w:val="002B206A"/>
    <w:rsid w:val="002B28CD"/>
    <w:rsid w:val="002B3CF8"/>
    <w:rsid w:val="002B5A7D"/>
    <w:rsid w:val="002B6CF7"/>
    <w:rsid w:val="002C2114"/>
    <w:rsid w:val="002C2539"/>
    <w:rsid w:val="002C51CD"/>
    <w:rsid w:val="002D0B16"/>
    <w:rsid w:val="002D0D9E"/>
    <w:rsid w:val="002D1E57"/>
    <w:rsid w:val="002D2D71"/>
    <w:rsid w:val="002D56A5"/>
    <w:rsid w:val="002E04C4"/>
    <w:rsid w:val="002E06FB"/>
    <w:rsid w:val="002F1B4F"/>
    <w:rsid w:val="002F2C42"/>
    <w:rsid w:val="002F61BC"/>
    <w:rsid w:val="002F62D2"/>
    <w:rsid w:val="002F6BCC"/>
    <w:rsid w:val="002F70EF"/>
    <w:rsid w:val="003026DA"/>
    <w:rsid w:val="003033E8"/>
    <w:rsid w:val="003056E7"/>
    <w:rsid w:val="0030748A"/>
    <w:rsid w:val="003075E3"/>
    <w:rsid w:val="00307940"/>
    <w:rsid w:val="00310788"/>
    <w:rsid w:val="003122A4"/>
    <w:rsid w:val="0031252F"/>
    <w:rsid w:val="00317C32"/>
    <w:rsid w:val="0032046E"/>
    <w:rsid w:val="00320A2C"/>
    <w:rsid w:val="003212FD"/>
    <w:rsid w:val="00324BD1"/>
    <w:rsid w:val="00325BCB"/>
    <w:rsid w:val="00327740"/>
    <w:rsid w:val="003300E7"/>
    <w:rsid w:val="003305CA"/>
    <w:rsid w:val="00331E40"/>
    <w:rsid w:val="00334543"/>
    <w:rsid w:val="00335054"/>
    <w:rsid w:val="00337B44"/>
    <w:rsid w:val="0034291A"/>
    <w:rsid w:val="003433FE"/>
    <w:rsid w:val="003441C7"/>
    <w:rsid w:val="00344288"/>
    <w:rsid w:val="00346982"/>
    <w:rsid w:val="00350421"/>
    <w:rsid w:val="00352B38"/>
    <w:rsid w:val="00352EE0"/>
    <w:rsid w:val="003547FB"/>
    <w:rsid w:val="00360D6D"/>
    <w:rsid w:val="003615D8"/>
    <w:rsid w:val="00361D27"/>
    <w:rsid w:val="00366534"/>
    <w:rsid w:val="0036783B"/>
    <w:rsid w:val="0037279F"/>
    <w:rsid w:val="003740EF"/>
    <w:rsid w:val="003756BE"/>
    <w:rsid w:val="003766AC"/>
    <w:rsid w:val="00377025"/>
    <w:rsid w:val="003829C7"/>
    <w:rsid w:val="003842D9"/>
    <w:rsid w:val="00384630"/>
    <w:rsid w:val="003861FD"/>
    <w:rsid w:val="00390110"/>
    <w:rsid w:val="00391EDB"/>
    <w:rsid w:val="00394905"/>
    <w:rsid w:val="003960DC"/>
    <w:rsid w:val="00396C05"/>
    <w:rsid w:val="003A0370"/>
    <w:rsid w:val="003A58A6"/>
    <w:rsid w:val="003A5E6F"/>
    <w:rsid w:val="003B0AB8"/>
    <w:rsid w:val="003B0B72"/>
    <w:rsid w:val="003B1096"/>
    <w:rsid w:val="003B1395"/>
    <w:rsid w:val="003B218D"/>
    <w:rsid w:val="003B3498"/>
    <w:rsid w:val="003B3B1E"/>
    <w:rsid w:val="003B4A04"/>
    <w:rsid w:val="003B4D23"/>
    <w:rsid w:val="003B56AC"/>
    <w:rsid w:val="003B6D5E"/>
    <w:rsid w:val="003B7130"/>
    <w:rsid w:val="003B7977"/>
    <w:rsid w:val="003C443B"/>
    <w:rsid w:val="003D19C6"/>
    <w:rsid w:val="003D682A"/>
    <w:rsid w:val="003D6902"/>
    <w:rsid w:val="003D6E01"/>
    <w:rsid w:val="003E066F"/>
    <w:rsid w:val="003E1EA6"/>
    <w:rsid w:val="003E4B3F"/>
    <w:rsid w:val="003E4EE2"/>
    <w:rsid w:val="003F0FC7"/>
    <w:rsid w:val="003F26E3"/>
    <w:rsid w:val="003F29AE"/>
    <w:rsid w:val="003F7A18"/>
    <w:rsid w:val="00401774"/>
    <w:rsid w:val="004034AE"/>
    <w:rsid w:val="00403B78"/>
    <w:rsid w:val="00406E9D"/>
    <w:rsid w:val="00410FA3"/>
    <w:rsid w:val="00413F71"/>
    <w:rsid w:val="004163C4"/>
    <w:rsid w:val="0041672D"/>
    <w:rsid w:val="004208C0"/>
    <w:rsid w:val="00425122"/>
    <w:rsid w:val="0042513C"/>
    <w:rsid w:val="004254C5"/>
    <w:rsid w:val="00426F5C"/>
    <w:rsid w:val="00430926"/>
    <w:rsid w:val="004321EC"/>
    <w:rsid w:val="00434190"/>
    <w:rsid w:val="004346DF"/>
    <w:rsid w:val="00435D48"/>
    <w:rsid w:val="0043698E"/>
    <w:rsid w:val="00437B3B"/>
    <w:rsid w:val="00441C51"/>
    <w:rsid w:val="00444DB1"/>
    <w:rsid w:val="004471F5"/>
    <w:rsid w:val="00450990"/>
    <w:rsid w:val="00453D54"/>
    <w:rsid w:val="00460E3E"/>
    <w:rsid w:val="00462224"/>
    <w:rsid w:val="004638FE"/>
    <w:rsid w:val="004669CE"/>
    <w:rsid w:val="00467FCE"/>
    <w:rsid w:val="004707FC"/>
    <w:rsid w:val="00473076"/>
    <w:rsid w:val="00477F37"/>
    <w:rsid w:val="00480182"/>
    <w:rsid w:val="00485613"/>
    <w:rsid w:val="00490823"/>
    <w:rsid w:val="00490EEE"/>
    <w:rsid w:val="00491CEA"/>
    <w:rsid w:val="00494DEE"/>
    <w:rsid w:val="004A110B"/>
    <w:rsid w:val="004A15B0"/>
    <w:rsid w:val="004A1A01"/>
    <w:rsid w:val="004A41CD"/>
    <w:rsid w:val="004A5E75"/>
    <w:rsid w:val="004B3780"/>
    <w:rsid w:val="004B3D27"/>
    <w:rsid w:val="004B7993"/>
    <w:rsid w:val="004C0EA8"/>
    <w:rsid w:val="004C1ACC"/>
    <w:rsid w:val="004C20D7"/>
    <w:rsid w:val="004C6D25"/>
    <w:rsid w:val="004C7455"/>
    <w:rsid w:val="004D036B"/>
    <w:rsid w:val="004D3055"/>
    <w:rsid w:val="004D41D5"/>
    <w:rsid w:val="004D59FF"/>
    <w:rsid w:val="004D5A43"/>
    <w:rsid w:val="004D5CC9"/>
    <w:rsid w:val="004D757A"/>
    <w:rsid w:val="004E19EE"/>
    <w:rsid w:val="004E674A"/>
    <w:rsid w:val="004F26EA"/>
    <w:rsid w:val="004F29AD"/>
    <w:rsid w:val="004F2F0A"/>
    <w:rsid w:val="004F364B"/>
    <w:rsid w:val="004F5840"/>
    <w:rsid w:val="004F698D"/>
    <w:rsid w:val="00501E9B"/>
    <w:rsid w:val="00505FB1"/>
    <w:rsid w:val="00506571"/>
    <w:rsid w:val="00506F00"/>
    <w:rsid w:val="005125B7"/>
    <w:rsid w:val="00512CB2"/>
    <w:rsid w:val="0051482E"/>
    <w:rsid w:val="0051540B"/>
    <w:rsid w:val="0051586F"/>
    <w:rsid w:val="00515878"/>
    <w:rsid w:val="0051628C"/>
    <w:rsid w:val="00516908"/>
    <w:rsid w:val="00522BEA"/>
    <w:rsid w:val="00522F69"/>
    <w:rsid w:val="00523ACE"/>
    <w:rsid w:val="00524262"/>
    <w:rsid w:val="00524F1B"/>
    <w:rsid w:val="00531292"/>
    <w:rsid w:val="00531A1F"/>
    <w:rsid w:val="00532FF4"/>
    <w:rsid w:val="005332B6"/>
    <w:rsid w:val="00542611"/>
    <w:rsid w:val="00542979"/>
    <w:rsid w:val="0054424E"/>
    <w:rsid w:val="005462C2"/>
    <w:rsid w:val="0055642C"/>
    <w:rsid w:val="00556FA0"/>
    <w:rsid w:val="005570CA"/>
    <w:rsid w:val="005577C2"/>
    <w:rsid w:val="00566880"/>
    <w:rsid w:val="00566DEB"/>
    <w:rsid w:val="00571EDA"/>
    <w:rsid w:val="00572CFF"/>
    <w:rsid w:val="00573165"/>
    <w:rsid w:val="005733DF"/>
    <w:rsid w:val="00576236"/>
    <w:rsid w:val="005764B4"/>
    <w:rsid w:val="00587030"/>
    <w:rsid w:val="005A1128"/>
    <w:rsid w:val="005A2496"/>
    <w:rsid w:val="005A2915"/>
    <w:rsid w:val="005A2F2F"/>
    <w:rsid w:val="005A3586"/>
    <w:rsid w:val="005A3AF0"/>
    <w:rsid w:val="005A5636"/>
    <w:rsid w:val="005A5CD9"/>
    <w:rsid w:val="005A6F0B"/>
    <w:rsid w:val="005A71CE"/>
    <w:rsid w:val="005A7A63"/>
    <w:rsid w:val="005B1B4D"/>
    <w:rsid w:val="005B2643"/>
    <w:rsid w:val="005B4E75"/>
    <w:rsid w:val="005B6195"/>
    <w:rsid w:val="005B6303"/>
    <w:rsid w:val="005C0B3B"/>
    <w:rsid w:val="005C32D2"/>
    <w:rsid w:val="005C6D73"/>
    <w:rsid w:val="005D1540"/>
    <w:rsid w:val="005D1F93"/>
    <w:rsid w:val="005D24EF"/>
    <w:rsid w:val="005D2B2A"/>
    <w:rsid w:val="005D2FED"/>
    <w:rsid w:val="005D544F"/>
    <w:rsid w:val="005D7206"/>
    <w:rsid w:val="005D7965"/>
    <w:rsid w:val="005E179D"/>
    <w:rsid w:val="005E3BCB"/>
    <w:rsid w:val="005E6B9C"/>
    <w:rsid w:val="005F0405"/>
    <w:rsid w:val="005F3C21"/>
    <w:rsid w:val="005F4CCA"/>
    <w:rsid w:val="005F56CA"/>
    <w:rsid w:val="005F6AB5"/>
    <w:rsid w:val="005F74BD"/>
    <w:rsid w:val="00603511"/>
    <w:rsid w:val="006065D8"/>
    <w:rsid w:val="006067A5"/>
    <w:rsid w:val="00614D2E"/>
    <w:rsid w:val="0061733F"/>
    <w:rsid w:val="006214F4"/>
    <w:rsid w:val="00621D9E"/>
    <w:rsid w:val="006238D1"/>
    <w:rsid w:val="00624F32"/>
    <w:rsid w:val="00625211"/>
    <w:rsid w:val="00625CEB"/>
    <w:rsid w:val="00625D19"/>
    <w:rsid w:val="006313EA"/>
    <w:rsid w:val="00637424"/>
    <w:rsid w:val="00641569"/>
    <w:rsid w:val="0064305F"/>
    <w:rsid w:val="00643488"/>
    <w:rsid w:val="00644856"/>
    <w:rsid w:val="00644B46"/>
    <w:rsid w:val="00645471"/>
    <w:rsid w:val="00645A23"/>
    <w:rsid w:val="00647966"/>
    <w:rsid w:val="00653130"/>
    <w:rsid w:val="00667D79"/>
    <w:rsid w:val="00672136"/>
    <w:rsid w:val="00673518"/>
    <w:rsid w:val="006807E1"/>
    <w:rsid w:val="00681CFA"/>
    <w:rsid w:val="00684046"/>
    <w:rsid w:val="006866F6"/>
    <w:rsid w:val="00687311"/>
    <w:rsid w:val="0069317C"/>
    <w:rsid w:val="00695F2F"/>
    <w:rsid w:val="006A103E"/>
    <w:rsid w:val="006A1648"/>
    <w:rsid w:val="006A1779"/>
    <w:rsid w:val="006A19DE"/>
    <w:rsid w:val="006A3D78"/>
    <w:rsid w:val="006A6B45"/>
    <w:rsid w:val="006B1155"/>
    <w:rsid w:val="006B1561"/>
    <w:rsid w:val="006B1B59"/>
    <w:rsid w:val="006B57AC"/>
    <w:rsid w:val="006B5C13"/>
    <w:rsid w:val="006B74BB"/>
    <w:rsid w:val="006B78B5"/>
    <w:rsid w:val="006C0DA2"/>
    <w:rsid w:val="006C23AA"/>
    <w:rsid w:val="006C3CC7"/>
    <w:rsid w:val="006C4D1D"/>
    <w:rsid w:val="006C54C3"/>
    <w:rsid w:val="006C599F"/>
    <w:rsid w:val="006D100F"/>
    <w:rsid w:val="006D472D"/>
    <w:rsid w:val="006D5FCC"/>
    <w:rsid w:val="006E46C7"/>
    <w:rsid w:val="006E4E98"/>
    <w:rsid w:val="006F0E2C"/>
    <w:rsid w:val="006F3863"/>
    <w:rsid w:val="006F633D"/>
    <w:rsid w:val="006F7A6F"/>
    <w:rsid w:val="00700AF0"/>
    <w:rsid w:val="0070132A"/>
    <w:rsid w:val="00703DF3"/>
    <w:rsid w:val="0070594D"/>
    <w:rsid w:val="007126D0"/>
    <w:rsid w:val="00713581"/>
    <w:rsid w:val="007137CC"/>
    <w:rsid w:val="00713EB3"/>
    <w:rsid w:val="00716596"/>
    <w:rsid w:val="00720690"/>
    <w:rsid w:val="0072093D"/>
    <w:rsid w:val="007223A8"/>
    <w:rsid w:val="00723E95"/>
    <w:rsid w:val="00726994"/>
    <w:rsid w:val="007272CE"/>
    <w:rsid w:val="007306D1"/>
    <w:rsid w:val="007313B5"/>
    <w:rsid w:val="00732691"/>
    <w:rsid w:val="00732DAE"/>
    <w:rsid w:val="00737E92"/>
    <w:rsid w:val="00741382"/>
    <w:rsid w:val="00743F93"/>
    <w:rsid w:val="00745423"/>
    <w:rsid w:val="00750A54"/>
    <w:rsid w:val="00750B37"/>
    <w:rsid w:val="0075479D"/>
    <w:rsid w:val="00755499"/>
    <w:rsid w:val="007608E3"/>
    <w:rsid w:val="00762547"/>
    <w:rsid w:val="00762AC5"/>
    <w:rsid w:val="00763016"/>
    <w:rsid w:val="00763F8D"/>
    <w:rsid w:val="00764922"/>
    <w:rsid w:val="007762E4"/>
    <w:rsid w:val="00776A00"/>
    <w:rsid w:val="0077737F"/>
    <w:rsid w:val="0078139F"/>
    <w:rsid w:val="00781B49"/>
    <w:rsid w:val="00782A56"/>
    <w:rsid w:val="00782FF5"/>
    <w:rsid w:val="00783E51"/>
    <w:rsid w:val="00784957"/>
    <w:rsid w:val="00784BB4"/>
    <w:rsid w:val="00785E19"/>
    <w:rsid w:val="00786437"/>
    <w:rsid w:val="0078686E"/>
    <w:rsid w:val="00787432"/>
    <w:rsid w:val="00794AD7"/>
    <w:rsid w:val="00794F37"/>
    <w:rsid w:val="007A1C0B"/>
    <w:rsid w:val="007A2FED"/>
    <w:rsid w:val="007A47BD"/>
    <w:rsid w:val="007A47D1"/>
    <w:rsid w:val="007A60BB"/>
    <w:rsid w:val="007B3457"/>
    <w:rsid w:val="007B5C31"/>
    <w:rsid w:val="007B60A3"/>
    <w:rsid w:val="007C3270"/>
    <w:rsid w:val="007C363A"/>
    <w:rsid w:val="007D1771"/>
    <w:rsid w:val="007D1CF0"/>
    <w:rsid w:val="007D243B"/>
    <w:rsid w:val="007D3954"/>
    <w:rsid w:val="007D5A93"/>
    <w:rsid w:val="007D5DB7"/>
    <w:rsid w:val="007E3447"/>
    <w:rsid w:val="007E54AB"/>
    <w:rsid w:val="007E7B7D"/>
    <w:rsid w:val="007F0A20"/>
    <w:rsid w:val="007F14AF"/>
    <w:rsid w:val="007F72BE"/>
    <w:rsid w:val="0080354F"/>
    <w:rsid w:val="00805C89"/>
    <w:rsid w:val="0080647A"/>
    <w:rsid w:val="00810D74"/>
    <w:rsid w:val="00810F3F"/>
    <w:rsid w:val="008146CA"/>
    <w:rsid w:val="008167E1"/>
    <w:rsid w:val="0082150A"/>
    <w:rsid w:val="008247B3"/>
    <w:rsid w:val="00826206"/>
    <w:rsid w:val="00827715"/>
    <w:rsid w:val="00827B81"/>
    <w:rsid w:val="008309FD"/>
    <w:rsid w:val="0083522D"/>
    <w:rsid w:val="00837FBE"/>
    <w:rsid w:val="00840BC4"/>
    <w:rsid w:val="00841605"/>
    <w:rsid w:val="00842147"/>
    <w:rsid w:val="0084418E"/>
    <w:rsid w:val="0085467D"/>
    <w:rsid w:val="00855C03"/>
    <w:rsid w:val="0085602A"/>
    <w:rsid w:val="0086299C"/>
    <w:rsid w:val="0086577E"/>
    <w:rsid w:val="0086591B"/>
    <w:rsid w:val="00867A5D"/>
    <w:rsid w:val="0087076A"/>
    <w:rsid w:val="00870FA0"/>
    <w:rsid w:val="00871708"/>
    <w:rsid w:val="00871A83"/>
    <w:rsid w:val="00872891"/>
    <w:rsid w:val="00872D8F"/>
    <w:rsid w:val="0087328A"/>
    <w:rsid w:val="00874226"/>
    <w:rsid w:val="00874725"/>
    <w:rsid w:val="00877497"/>
    <w:rsid w:val="00877F8B"/>
    <w:rsid w:val="00880E6B"/>
    <w:rsid w:val="008811B7"/>
    <w:rsid w:val="008868F5"/>
    <w:rsid w:val="00887FFE"/>
    <w:rsid w:val="00890E41"/>
    <w:rsid w:val="00890EED"/>
    <w:rsid w:val="008916E0"/>
    <w:rsid w:val="00893D84"/>
    <w:rsid w:val="008942F6"/>
    <w:rsid w:val="00897F3E"/>
    <w:rsid w:val="008A0BD5"/>
    <w:rsid w:val="008A0EF4"/>
    <w:rsid w:val="008A331C"/>
    <w:rsid w:val="008A445B"/>
    <w:rsid w:val="008A6FD4"/>
    <w:rsid w:val="008A7C8B"/>
    <w:rsid w:val="008B2945"/>
    <w:rsid w:val="008B4FFB"/>
    <w:rsid w:val="008C307E"/>
    <w:rsid w:val="008C6327"/>
    <w:rsid w:val="008C71DF"/>
    <w:rsid w:val="008C7E75"/>
    <w:rsid w:val="008D5A39"/>
    <w:rsid w:val="008E0783"/>
    <w:rsid w:val="008E2A97"/>
    <w:rsid w:val="008E44AD"/>
    <w:rsid w:val="008F0C32"/>
    <w:rsid w:val="008F15AF"/>
    <w:rsid w:val="008F180E"/>
    <w:rsid w:val="008F1A19"/>
    <w:rsid w:val="008F28BC"/>
    <w:rsid w:val="00903507"/>
    <w:rsid w:val="00904549"/>
    <w:rsid w:val="00910533"/>
    <w:rsid w:val="00911372"/>
    <w:rsid w:val="0091473C"/>
    <w:rsid w:val="00915266"/>
    <w:rsid w:val="009155B3"/>
    <w:rsid w:val="009217E4"/>
    <w:rsid w:val="00927662"/>
    <w:rsid w:val="00930094"/>
    <w:rsid w:val="00932640"/>
    <w:rsid w:val="009375E2"/>
    <w:rsid w:val="00943369"/>
    <w:rsid w:val="009436BB"/>
    <w:rsid w:val="00943E8C"/>
    <w:rsid w:val="0094781D"/>
    <w:rsid w:val="009513E8"/>
    <w:rsid w:val="00954E96"/>
    <w:rsid w:val="00960D8C"/>
    <w:rsid w:val="00962DBB"/>
    <w:rsid w:val="00964DEC"/>
    <w:rsid w:val="009677A8"/>
    <w:rsid w:val="009677C5"/>
    <w:rsid w:val="009701F9"/>
    <w:rsid w:val="00971175"/>
    <w:rsid w:val="00973070"/>
    <w:rsid w:val="0097441D"/>
    <w:rsid w:val="00974F1B"/>
    <w:rsid w:val="0097527F"/>
    <w:rsid w:val="00976779"/>
    <w:rsid w:val="009774DE"/>
    <w:rsid w:val="00977988"/>
    <w:rsid w:val="00981953"/>
    <w:rsid w:val="00982060"/>
    <w:rsid w:val="00983702"/>
    <w:rsid w:val="0098689C"/>
    <w:rsid w:val="009901CC"/>
    <w:rsid w:val="0099029A"/>
    <w:rsid w:val="009908B2"/>
    <w:rsid w:val="009912F3"/>
    <w:rsid w:val="00992E60"/>
    <w:rsid w:val="009B0127"/>
    <w:rsid w:val="009B1AAB"/>
    <w:rsid w:val="009B2C12"/>
    <w:rsid w:val="009B3D2E"/>
    <w:rsid w:val="009B4DA6"/>
    <w:rsid w:val="009B5280"/>
    <w:rsid w:val="009B5A17"/>
    <w:rsid w:val="009B70EE"/>
    <w:rsid w:val="009C06A8"/>
    <w:rsid w:val="009C1355"/>
    <w:rsid w:val="009C29B3"/>
    <w:rsid w:val="009C2D13"/>
    <w:rsid w:val="009C413E"/>
    <w:rsid w:val="009C5A09"/>
    <w:rsid w:val="009C5F7E"/>
    <w:rsid w:val="009C7EB1"/>
    <w:rsid w:val="009D21F7"/>
    <w:rsid w:val="009D26CF"/>
    <w:rsid w:val="009D5234"/>
    <w:rsid w:val="009D5BD6"/>
    <w:rsid w:val="009D7F27"/>
    <w:rsid w:val="009E14F5"/>
    <w:rsid w:val="009E31B2"/>
    <w:rsid w:val="009E36C2"/>
    <w:rsid w:val="009E39F3"/>
    <w:rsid w:val="009E411A"/>
    <w:rsid w:val="009E47FA"/>
    <w:rsid w:val="009E6F53"/>
    <w:rsid w:val="009F327C"/>
    <w:rsid w:val="009F4711"/>
    <w:rsid w:val="009F476A"/>
    <w:rsid w:val="00A021FB"/>
    <w:rsid w:val="00A03D6E"/>
    <w:rsid w:val="00A061AA"/>
    <w:rsid w:val="00A078B5"/>
    <w:rsid w:val="00A11407"/>
    <w:rsid w:val="00A126B3"/>
    <w:rsid w:val="00A147E3"/>
    <w:rsid w:val="00A15230"/>
    <w:rsid w:val="00A15DC4"/>
    <w:rsid w:val="00A22892"/>
    <w:rsid w:val="00A2371B"/>
    <w:rsid w:val="00A24DE0"/>
    <w:rsid w:val="00A25A1C"/>
    <w:rsid w:val="00A31334"/>
    <w:rsid w:val="00A3203C"/>
    <w:rsid w:val="00A3579A"/>
    <w:rsid w:val="00A4037D"/>
    <w:rsid w:val="00A43EE1"/>
    <w:rsid w:val="00A511D9"/>
    <w:rsid w:val="00A51CB4"/>
    <w:rsid w:val="00A55354"/>
    <w:rsid w:val="00A5542B"/>
    <w:rsid w:val="00A60F50"/>
    <w:rsid w:val="00A61189"/>
    <w:rsid w:val="00A61388"/>
    <w:rsid w:val="00A66F32"/>
    <w:rsid w:val="00A721B8"/>
    <w:rsid w:val="00A73305"/>
    <w:rsid w:val="00A74135"/>
    <w:rsid w:val="00A74DA8"/>
    <w:rsid w:val="00A754F1"/>
    <w:rsid w:val="00A77BCB"/>
    <w:rsid w:val="00A80191"/>
    <w:rsid w:val="00A80846"/>
    <w:rsid w:val="00A82627"/>
    <w:rsid w:val="00A86061"/>
    <w:rsid w:val="00A869CC"/>
    <w:rsid w:val="00A87D0F"/>
    <w:rsid w:val="00A9158F"/>
    <w:rsid w:val="00A9444E"/>
    <w:rsid w:val="00A95142"/>
    <w:rsid w:val="00A978FD"/>
    <w:rsid w:val="00A979B5"/>
    <w:rsid w:val="00A979FD"/>
    <w:rsid w:val="00AA47A1"/>
    <w:rsid w:val="00AA4BE0"/>
    <w:rsid w:val="00AA5060"/>
    <w:rsid w:val="00AA5FE3"/>
    <w:rsid w:val="00AB0208"/>
    <w:rsid w:val="00AB1A59"/>
    <w:rsid w:val="00AB4758"/>
    <w:rsid w:val="00AB7688"/>
    <w:rsid w:val="00AC20D9"/>
    <w:rsid w:val="00AC3DED"/>
    <w:rsid w:val="00AC473B"/>
    <w:rsid w:val="00AD0AF2"/>
    <w:rsid w:val="00AD6A0B"/>
    <w:rsid w:val="00AD7FE0"/>
    <w:rsid w:val="00AE00C1"/>
    <w:rsid w:val="00AE2324"/>
    <w:rsid w:val="00AE3C0E"/>
    <w:rsid w:val="00AE413C"/>
    <w:rsid w:val="00AE5CDE"/>
    <w:rsid w:val="00AF1E28"/>
    <w:rsid w:val="00AF3689"/>
    <w:rsid w:val="00AF5607"/>
    <w:rsid w:val="00AF7833"/>
    <w:rsid w:val="00B01FFF"/>
    <w:rsid w:val="00B0270A"/>
    <w:rsid w:val="00B038FC"/>
    <w:rsid w:val="00B10854"/>
    <w:rsid w:val="00B12014"/>
    <w:rsid w:val="00B145BB"/>
    <w:rsid w:val="00B15156"/>
    <w:rsid w:val="00B201FF"/>
    <w:rsid w:val="00B2027F"/>
    <w:rsid w:val="00B20D8F"/>
    <w:rsid w:val="00B227A6"/>
    <w:rsid w:val="00B24052"/>
    <w:rsid w:val="00B24FE1"/>
    <w:rsid w:val="00B26522"/>
    <w:rsid w:val="00B30F88"/>
    <w:rsid w:val="00B32115"/>
    <w:rsid w:val="00B33329"/>
    <w:rsid w:val="00B3539F"/>
    <w:rsid w:val="00B402FD"/>
    <w:rsid w:val="00B40EE4"/>
    <w:rsid w:val="00B4226A"/>
    <w:rsid w:val="00B446F9"/>
    <w:rsid w:val="00B47375"/>
    <w:rsid w:val="00B51426"/>
    <w:rsid w:val="00B56EFE"/>
    <w:rsid w:val="00B65D4D"/>
    <w:rsid w:val="00B7011B"/>
    <w:rsid w:val="00B70C9C"/>
    <w:rsid w:val="00B7369E"/>
    <w:rsid w:val="00B763A4"/>
    <w:rsid w:val="00B769BA"/>
    <w:rsid w:val="00B81E4A"/>
    <w:rsid w:val="00B82340"/>
    <w:rsid w:val="00B82B31"/>
    <w:rsid w:val="00B83A2A"/>
    <w:rsid w:val="00B83B19"/>
    <w:rsid w:val="00B83C17"/>
    <w:rsid w:val="00B95E1C"/>
    <w:rsid w:val="00B9622D"/>
    <w:rsid w:val="00BA02F7"/>
    <w:rsid w:val="00BA1333"/>
    <w:rsid w:val="00BA16FE"/>
    <w:rsid w:val="00BA18FC"/>
    <w:rsid w:val="00BA21B4"/>
    <w:rsid w:val="00BB0170"/>
    <w:rsid w:val="00BB0C78"/>
    <w:rsid w:val="00BB3099"/>
    <w:rsid w:val="00BC0F57"/>
    <w:rsid w:val="00BC17DA"/>
    <w:rsid w:val="00BC43EE"/>
    <w:rsid w:val="00BC4BEA"/>
    <w:rsid w:val="00BC5A68"/>
    <w:rsid w:val="00BC69A2"/>
    <w:rsid w:val="00BD1486"/>
    <w:rsid w:val="00BD1688"/>
    <w:rsid w:val="00BD2269"/>
    <w:rsid w:val="00BD34BA"/>
    <w:rsid w:val="00BD7723"/>
    <w:rsid w:val="00BD7D60"/>
    <w:rsid w:val="00BD7EA4"/>
    <w:rsid w:val="00BD7F1A"/>
    <w:rsid w:val="00BE093F"/>
    <w:rsid w:val="00BE2570"/>
    <w:rsid w:val="00BE2C27"/>
    <w:rsid w:val="00BE5BA6"/>
    <w:rsid w:val="00BE6678"/>
    <w:rsid w:val="00BF3560"/>
    <w:rsid w:val="00BF3FB9"/>
    <w:rsid w:val="00BF47E6"/>
    <w:rsid w:val="00BF6632"/>
    <w:rsid w:val="00C034CA"/>
    <w:rsid w:val="00C03F77"/>
    <w:rsid w:val="00C059FB"/>
    <w:rsid w:val="00C05E36"/>
    <w:rsid w:val="00C06940"/>
    <w:rsid w:val="00C0722C"/>
    <w:rsid w:val="00C103F6"/>
    <w:rsid w:val="00C134F0"/>
    <w:rsid w:val="00C13B38"/>
    <w:rsid w:val="00C1597E"/>
    <w:rsid w:val="00C170BD"/>
    <w:rsid w:val="00C200B4"/>
    <w:rsid w:val="00C22E85"/>
    <w:rsid w:val="00C33441"/>
    <w:rsid w:val="00C34C6C"/>
    <w:rsid w:val="00C34E6B"/>
    <w:rsid w:val="00C34F66"/>
    <w:rsid w:val="00C36F72"/>
    <w:rsid w:val="00C40E57"/>
    <w:rsid w:val="00C41300"/>
    <w:rsid w:val="00C42ADB"/>
    <w:rsid w:val="00C543D2"/>
    <w:rsid w:val="00C57BA2"/>
    <w:rsid w:val="00C57F1A"/>
    <w:rsid w:val="00C63843"/>
    <w:rsid w:val="00C64689"/>
    <w:rsid w:val="00C66C0A"/>
    <w:rsid w:val="00C727A9"/>
    <w:rsid w:val="00C7424B"/>
    <w:rsid w:val="00C74997"/>
    <w:rsid w:val="00C74B5C"/>
    <w:rsid w:val="00C81D86"/>
    <w:rsid w:val="00C86B7E"/>
    <w:rsid w:val="00C954F8"/>
    <w:rsid w:val="00CA2CDE"/>
    <w:rsid w:val="00CA51D4"/>
    <w:rsid w:val="00CA5A29"/>
    <w:rsid w:val="00CA5F58"/>
    <w:rsid w:val="00CB606D"/>
    <w:rsid w:val="00CC1D84"/>
    <w:rsid w:val="00CC1E2B"/>
    <w:rsid w:val="00CC2382"/>
    <w:rsid w:val="00CC4FA1"/>
    <w:rsid w:val="00CC56A1"/>
    <w:rsid w:val="00CD0F16"/>
    <w:rsid w:val="00CD1432"/>
    <w:rsid w:val="00CD4063"/>
    <w:rsid w:val="00CE09EF"/>
    <w:rsid w:val="00CE1B0F"/>
    <w:rsid w:val="00CE2FCA"/>
    <w:rsid w:val="00CE45BA"/>
    <w:rsid w:val="00CE49C5"/>
    <w:rsid w:val="00CE5984"/>
    <w:rsid w:val="00CE7355"/>
    <w:rsid w:val="00CF0323"/>
    <w:rsid w:val="00CF613F"/>
    <w:rsid w:val="00D00CBF"/>
    <w:rsid w:val="00D01924"/>
    <w:rsid w:val="00D01F35"/>
    <w:rsid w:val="00D0295F"/>
    <w:rsid w:val="00D030BD"/>
    <w:rsid w:val="00D073A1"/>
    <w:rsid w:val="00D07AC3"/>
    <w:rsid w:val="00D14A92"/>
    <w:rsid w:val="00D15F95"/>
    <w:rsid w:val="00D16FE8"/>
    <w:rsid w:val="00D22EC8"/>
    <w:rsid w:val="00D2446C"/>
    <w:rsid w:val="00D24970"/>
    <w:rsid w:val="00D25899"/>
    <w:rsid w:val="00D30175"/>
    <w:rsid w:val="00D30419"/>
    <w:rsid w:val="00D340A7"/>
    <w:rsid w:val="00D36F6A"/>
    <w:rsid w:val="00D427E1"/>
    <w:rsid w:val="00D4331D"/>
    <w:rsid w:val="00D4417E"/>
    <w:rsid w:val="00D45120"/>
    <w:rsid w:val="00D53D1B"/>
    <w:rsid w:val="00D54EEB"/>
    <w:rsid w:val="00D56402"/>
    <w:rsid w:val="00D6106F"/>
    <w:rsid w:val="00D61582"/>
    <w:rsid w:val="00D626CE"/>
    <w:rsid w:val="00D63403"/>
    <w:rsid w:val="00D64739"/>
    <w:rsid w:val="00D6552C"/>
    <w:rsid w:val="00D66571"/>
    <w:rsid w:val="00D77D16"/>
    <w:rsid w:val="00D8011E"/>
    <w:rsid w:val="00D812F9"/>
    <w:rsid w:val="00D830E0"/>
    <w:rsid w:val="00D835E0"/>
    <w:rsid w:val="00D83A87"/>
    <w:rsid w:val="00D863C5"/>
    <w:rsid w:val="00D873EE"/>
    <w:rsid w:val="00D9245C"/>
    <w:rsid w:val="00D94F0C"/>
    <w:rsid w:val="00D96DD6"/>
    <w:rsid w:val="00D97DA0"/>
    <w:rsid w:val="00DA0B57"/>
    <w:rsid w:val="00DA0CE3"/>
    <w:rsid w:val="00DA2E40"/>
    <w:rsid w:val="00DA37EA"/>
    <w:rsid w:val="00DA3FA7"/>
    <w:rsid w:val="00DA6185"/>
    <w:rsid w:val="00DB10DF"/>
    <w:rsid w:val="00DB31FF"/>
    <w:rsid w:val="00DB4052"/>
    <w:rsid w:val="00DB5173"/>
    <w:rsid w:val="00DB5B83"/>
    <w:rsid w:val="00DB7398"/>
    <w:rsid w:val="00DC0D29"/>
    <w:rsid w:val="00DC2A99"/>
    <w:rsid w:val="00DC2C6A"/>
    <w:rsid w:val="00DC2F94"/>
    <w:rsid w:val="00DC5E18"/>
    <w:rsid w:val="00DD4DFD"/>
    <w:rsid w:val="00DD5E10"/>
    <w:rsid w:val="00DE0726"/>
    <w:rsid w:val="00DE29CD"/>
    <w:rsid w:val="00DE5B20"/>
    <w:rsid w:val="00DE6647"/>
    <w:rsid w:val="00DF1BAB"/>
    <w:rsid w:val="00DF23C3"/>
    <w:rsid w:val="00DF290C"/>
    <w:rsid w:val="00DF329B"/>
    <w:rsid w:val="00DF618A"/>
    <w:rsid w:val="00DF61C3"/>
    <w:rsid w:val="00DF6F1F"/>
    <w:rsid w:val="00DF77AF"/>
    <w:rsid w:val="00E027C4"/>
    <w:rsid w:val="00E10B5D"/>
    <w:rsid w:val="00E11559"/>
    <w:rsid w:val="00E11A5D"/>
    <w:rsid w:val="00E11CD7"/>
    <w:rsid w:val="00E13CAC"/>
    <w:rsid w:val="00E167F3"/>
    <w:rsid w:val="00E20EAF"/>
    <w:rsid w:val="00E30F20"/>
    <w:rsid w:val="00E34F2F"/>
    <w:rsid w:val="00E4086A"/>
    <w:rsid w:val="00E45099"/>
    <w:rsid w:val="00E46F81"/>
    <w:rsid w:val="00E527ED"/>
    <w:rsid w:val="00E5457F"/>
    <w:rsid w:val="00E54991"/>
    <w:rsid w:val="00E55BCB"/>
    <w:rsid w:val="00E5682B"/>
    <w:rsid w:val="00E6070B"/>
    <w:rsid w:val="00E747E4"/>
    <w:rsid w:val="00E763B8"/>
    <w:rsid w:val="00E7652C"/>
    <w:rsid w:val="00E76944"/>
    <w:rsid w:val="00E82926"/>
    <w:rsid w:val="00E8606E"/>
    <w:rsid w:val="00E861AF"/>
    <w:rsid w:val="00E8714D"/>
    <w:rsid w:val="00E87B21"/>
    <w:rsid w:val="00E90937"/>
    <w:rsid w:val="00E90D96"/>
    <w:rsid w:val="00E925A6"/>
    <w:rsid w:val="00E92A23"/>
    <w:rsid w:val="00E93F29"/>
    <w:rsid w:val="00E947BC"/>
    <w:rsid w:val="00E94862"/>
    <w:rsid w:val="00E94DE4"/>
    <w:rsid w:val="00EA16B5"/>
    <w:rsid w:val="00EA2953"/>
    <w:rsid w:val="00EA3D30"/>
    <w:rsid w:val="00EA6140"/>
    <w:rsid w:val="00EB0DE0"/>
    <w:rsid w:val="00EB40B7"/>
    <w:rsid w:val="00EB675F"/>
    <w:rsid w:val="00EC054E"/>
    <w:rsid w:val="00EC08FE"/>
    <w:rsid w:val="00ED09B1"/>
    <w:rsid w:val="00ED3341"/>
    <w:rsid w:val="00EE2530"/>
    <w:rsid w:val="00EE4902"/>
    <w:rsid w:val="00EE60D1"/>
    <w:rsid w:val="00EE6D4B"/>
    <w:rsid w:val="00EF2385"/>
    <w:rsid w:val="00EF2715"/>
    <w:rsid w:val="00EF2C52"/>
    <w:rsid w:val="00EF385D"/>
    <w:rsid w:val="00EF5FEF"/>
    <w:rsid w:val="00EF706B"/>
    <w:rsid w:val="00F045C1"/>
    <w:rsid w:val="00F06881"/>
    <w:rsid w:val="00F11653"/>
    <w:rsid w:val="00F12636"/>
    <w:rsid w:val="00F13F19"/>
    <w:rsid w:val="00F13F61"/>
    <w:rsid w:val="00F15AF9"/>
    <w:rsid w:val="00F165C1"/>
    <w:rsid w:val="00F17204"/>
    <w:rsid w:val="00F236E9"/>
    <w:rsid w:val="00F24E41"/>
    <w:rsid w:val="00F26E21"/>
    <w:rsid w:val="00F27423"/>
    <w:rsid w:val="00F27F52"/>
    <w:rsid w:val="00F309CB"/>
    <w:rsid w:val="00F35F97"/>
    <w:rsid w:val="00F36378"/>
    <w:rsid w:val="00F43A86"/>
    <w:rsid w:val="00F444D6"/>
    <w:rsid w:val="00F44E66"/>
    <w:rsid w:val="00F453BC"/>
    <w:rsid w:val="00F46506"/>
    <w:rsid w:val="00F51693"/>
    <w:rsid w:val="00F55BDF"/>
    <w:rsid w:val="00F607A3"/>
    <w:rsid w:val="00F61F48"/>
    <w:rsid w:val="00F64B89"/>
    <w:rsid w:val="00F671F1"/>
    <w:rsid w:val="00F72298"/>
    <w:rsid w:val="00F72312"/>
    <w:rsid w:val="00F72C7B"/>
    <w:rsid w:val="00F75890"/>
    <w:rsid w:val="00F8262C"/>
    <w:rsid w:val="00F8269C"/>
    <w:rsid w:val="00F848E5"/>
    <w:rsid w:val="00F849EB"/>
    <w:rsid w:val="00F95EF7"/>
    <w:rsid w:val="00FA06F4"/>
    <w:rsid w:val="00FA56C6"/>
    <w:rsid w:val="00FA638A"/>
    <w:rsid w:val="00FA6533"/>
    <w:rsid w:val="00FA7F32"/>
    <w:rsid w:val="00FB62EA"/>
    <w:rsid w:val="00FB77A7"/>
    <w:rsid w:val="00FC110E"/>
    <w:rsid w:val="00FC23BC"/>
    <w:rsid w:val="00FC4211"/>
    <w:rsid w:val="00FC4562"/>
    <w:rsid w:val="00FC4EAD"/>
    <w:rsid w:val="00FC58F4"/>
    <w:rsid w:val="00FC6D5B"/>
    <w:rsid w:val="00FC7187"/>
    <w:rsid w:val="00FD1E7C"/>
    <w:rsid w:val="00FD2A7B"/>
    <w:rsid w:val="00FD6AA9"/>
    <w:rsid w:val="00FE102E"/>
    <w:rsid w:val="00FE12AA"/>
    <w:rsid w:val="00FE3D37"/>
    <w:rsid w:val="00FE4C28"/>
    <w:rsid w:val="00FE56D1"/>
    <w:rsid w:val="00FE5B2E"/>
    <w:rsid w:val="00FF3508"/>
    <w:rsid w:val="00FF63AB"/>
    <w:rsid w:val="00FF6416"/>
    <w:rsid w:val="00FF7F88"/>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BEB37"/>
  <w15:docId w15:val="{7D1FFD72-B781-4628-8CDD-E22DD473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496"/>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6"/>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unhideWhenUsed/>
    <w:qFormat/>
    <w:rsid w:val="00A147E3"/>
    <w:pPr>
      <w:keepNext/>
      <w:numPr>
        <w:ilvl w:val="1"/>
        <w:numId w:val="16"/>
      </w:numPr>
      <w:spacing w:before="240" w:after="60"/>
      <w:outlineLvl w:val="1"/>
    </w:pPr>
    <w:rPr>
      <w:rFonts w:eastAsiaTheme="majorEastAsia"/>
      <w:b/>
      <w:bCs/>
      <w:i/>
      <w:szCs w:val="26"/>
    </w:rPr>
  </w:style>
  <w:style w:type="paragraph" w:styleId="Heading3">
    <w:name w:val="heading 3"/>
    <w:basedOn w:val="Normal"/>
    <w:next w:val="Text"/>
    <w:link w:val="Heading3Char"/>
    <w:uiPriority w:val="9"/>
    <w:unhideWhenUsed/>
    <w:qFormat/>
    <w:rsid w:val="00A147E3"/>
    <w:pPr>
      <w:keepNext/>
      <w:numPr>
        <w:ilvl w:val="2"/>
        <w:numId w:val="16"/>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6"/>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C6327"/>
    <w:rPr>
      <w:color w:val="0000FF"/>
      <w:u w:val="single"/>
    </w:rPr>
  </w:style>
  <w:style w:type="character" w:styleId="CommentReference">
    <w:name w:val="annotation reference"/>
    <w:basedOn w:val="DefaultParagraphFont"/>
    <w:uiPriority w:val="99"/>
    <w:semiHidden/>
    <w:unhideWhenUsed/>
    <w:rsid w:val="00DA3FA7"/>
    <w:rPr>
      <w:sz w:val="16"/>
      <w:szCs w:val="16"/>
    </w:rPr>
  </w:style>
  <w:style w:type="paragraph" w:styleId="CommentText">
    <w:name w:val="annotation text"/>
    <w:basedOn w:val="Normal"/>
    <w:link w:val="CommentTextChar"/>
    <w:uiPriority w:val="99"/>
    <w:unhideWhenUsed/>
    <w:rsid w:val="00DA3FA7"/>
    <w:rPr>
      <w:sz w:val="20"/>
      <w:szCs w:val="20"/>
    </w:rPr>
  </w:style>
  <w:style w:type="character" w:customStyle="1" w:styleId="CommentTextChar">
    <w:name w:val="Comment Text Char"/>
    <w:basedOn w:val="DefaultParagraphFont"/>
    <w:link w:val="CommentText"/>
    <w:uiPriority w:val="99"/>
    <w:rsid w:val="00DA3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A3FA7"/>
    <w:rPr>
      <w:b/>
      <w:bCs/>
    </w:rPr>
  </w:style>
  <w:style w:type="character" w:customStyle="1" w:styleId="CommentSubjectChar">
    <w:name w:val="Comment Subject Char"/>
    <w:basedOn w:val="CommentTextChar"/>
    <w:link w:val="CommentSubject"/>
    <w:uiPriority w:val="99"/>
    <w:semiHidden/>
    <w:rsid w:val="00DA3FA7"/>
    <w:rPr>
      <w:rFonts w:ascii="Arial" w:hAnsi="Arial" w:cs="Arial"/>
      <w:b/>
      <w:bCs/>
      <w:sz w:val="20"/>
      <w:szCs w:val="20"/>
    </w:rPr>
  </w:style>
  <w:style w:type="paragraph" w:styleId="BalloonText">
    <w:name w:val="Balloon Text"/>
    <w:basedOn w:val="Normal"/>
    <w:link w:val="BalloonTextChar"/>
    <w:uiPriority w:val="99"/>
    <w:semiHidden/>
    <w:unhideWhenUsed/>
    <w:rsid w:val="00DA3FA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A7"/>
    <w:rPr>
      <w:rFonts w:ascii="Segoe UI" w:hAnsi="Segoe UI" w:cs="Segoe UI"/>
      <w:sz w:val="18"/>
      <w:szCs w:val="18"/>
    </w:rPr>
  </w:style>
  <w:style w:type="paragraph" w:styleId="Revision">
    <w:name w:val="Revision"/>
    <w:hidden/>
    <w:uiPriority w:val="99"/>
    <w:semiHidden/>
    <w:rsid w:val="00BD7F1A"/>
    <w:pPr>
      <w:spacing w:after="0" w:line="240" w:lineRule="auto"/>
    </w:pPr>
    <w:rPr>
      <w:rFonts w:ascii="Arial" w:hAnsi="Arial" w:cs="Arial"/>
    </w:rPr>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List Paragraph2,Ha"/>
    <w:basedOn w:val="Normal"/>
    <w:link w:val="ListParagraphChar"/>
    <w:uiPriority w:val="34"/>
    <w:qFormat/>
    <w:rsid w:val="00F444D6"/>
    <w:pPr>
      <w:spacing w:before="0" w:after="160" w:line="259" w:lineRule="auto"/>
      <w:ind w:left="720"/>
      <w:contextualSpacing/>
      <w:jc w:val="left"/>
    </w:pPr>
    <w:rPr>
      <w:rFonts w:ascii="Times New Roman" w:hAnsi="Times New Roman" w:cstheme="minorBidi"/>
      <w:sz w:val="24"/>
    </w:r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basedOn w:val="DefaultParagraphFont"/>
    <w:link w:val="ListParagraph"/>
    <w:uiPriority w:val="34"/>
    <w:qFormat/>
    <w:rsid w:val="00F444D6"/>
    <w:rPr>
      <w:rFonts w:ascii="Times New Roman" w:hAnsi="Times New Roman"/>
      <w:sz w:val="24"/>
    </w:rPr>
  </w:style>
  <w:style w:type="table" w:styleId="TableGrid">
    <w:name w:val="Table Grid"/>
    <w:basedOn w:val="TableNormal"/>
    <w:uiPriority w:val="59"/>
    <w:rsid w:val="00310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E082A"/>
    <w:pPr>
      <w:numPr>
        <w:ilvl w:val="1"/>
      </w:numPr>
      <w:spacing w:before="0" w:after="200" w:line="276" w:lineRule="auto"/>
      <w:jc w:val="left"/>
    </w:pPr>
    <w:rPr>
      <w:rFonts w:asciiTheme="majorHAnsi" w:eastAsiaTheme="majorEastAsia" w:hAnsiTheme="majorHAnsi" w:cstheme="majorBidi"/>
      <w:i/>
      <w:iCs/>
      <w:color w:val="080808"/>
      <w:spacing w:val="15"/>
      <w:sz w:val="24"/>
      <w:szCs w:val="24"/>
    </w:rPr>
  </w:style>
  <w:style w:type="character" w:customStyle="1" w:styleId="SubtitleChar">
    <w:name w:val="Subtitle Char"/>
    <w:basedOn w:val="DefaultParagraphFont"/>
    <w:link w:val="Subtitle"/>
    <w:uiPriority w:val="11"/>
    <w:rsid w:val="001E082A"/>
    <w:rPr>
      <w:rFonts w:asciiTheme="majorHAnsi" w:eastAsiaTheme="majorEastAsia" w:hAnsiTheme="majorHAnsi" w:cstheme="majorBidi"/>
      <w:i/>
      <w:iCs/>
      <w:color w:val="080808"/>
      <w:spacing w:val="15"/>
      <w:sz w:val="24"/>
      <w:szCs w:val="24"/>
    </w:rPr>
  </w:style>
  <w:style w:type="character" w:styleId="IntenseEmphasis">
    <w:name w:val="Intense Emphasis"/>
    <w:basedOn w:val="DefaultParagraphFont"/>
    <w:uiPriority w:val="21"/>
    <w:qFormat/>
    <w:rsid w:val="001E082A"/>
    <w:rPr>
      <w:b/>
      <w:bCs/>
      <w:i/>
      <w:iCs/>
      <w:color w:val="080808"/>
    </w:rPr>
  </w:style>
  <w:style w:type="paragraph" w:styleId="IntenseQuote">
    <w:name w:val="Intense Quote"/>
    <w:basedOn w:val="Normal"/>
    <w:next w:val="Normal"/>
    <w:link w:val="IntenseQuoteChar"/>
    <w:uiPriority w:val="30"/>
    <w:qFormat/>
    <w:rsid w:val="001E082A"/>
    <w:pPr>
      <w:pBdr>
        <w:bottom w:val="single" w:sz="4" w:space="4" w:color="080808"/>
      </w:pBdr>
      <w:spacing w:before="200" w:after="280" w:line="276" w:lineRule="auto"/>
      <w:ind w:left="936" w:right="936"/>
      <w:jc w:val="left"/>
    </w:pPr>
    <w:rPr>
      <w:rFonts w:asciiTheme="minorHAnsi" w:hAnsiTheme="minorHAnsi" w:cstheme="minorBidi"/>
      <w:b/>
      <w:bCs/>
      <w:i/>
      <w:iCs/>
      <w:color w:val="080808"/>
    </w:rPr>
  </w:style>
  <w:style w:type="character" w:customStyle="1" w:styleId="IntenseQuoteChar">
    <w:name w:val="Intense Quote Char"/>
    <w:basedOn w:val="DefaultParagraphFont"/>
    <w:link w:val="IntenseQuote"/>
    <w:uiPriority w:val="30"/>
    <w:rsid w:val="001E082A"/>
    <w:rPr>
      <w:b/>
      <w:bCs/>
      <w:i/>
      <w:iCs/>
      <w:color w:val="080808"/>
    </w:rPr>
  </w:style>
  <w:style w:type="paragraph" w:styleId="NoSpacing">
    <w:name w:val="No Spacing"/>
    <w:uiPriority w:val="1"/>
    <w:qFormat/>
    <w:rsid w:val="001E082A"/>
    <w:pPr>
      <w:spacing w:after="0" w:line="240" w:lineRule="auto"/>
    </w:pPr>
  </w:style>
  <w:style w:type="character" w:styleId="BookTitle">
    <w:name w:val="Book Title"/>
    <w:basedOn w:val="DefaultParagraphFont"/>
    <w:uiPriority w:val="33"/>
    <w:qFormat/>
    <w:rsid w:val="001E082A"/>
    <w:rPr>
      <w:b/>
      <w:bCs/>
      <w:smallCaps/>
      <w:spacing w:val="5"/>
    </w:rPr>
  </w:style>
  <w:style w:type="character" w:styleId="SubtleReference">
    <w:name w:val="Subtle Reference"/>
    <w:basedOn w:val="DefaultParagraphFont"/>
    <w:uiPriority w:val="31"/>
    <w:qFormat/>
    <w:rsid w:val="001E082A"/>
    <w:rPr>
      <w:smallCaps/>
      <w:color w:val="C0504D" w:themeColor="accent2"/>
      <w:u w:val="single"/>
    </w:rPr>
  </w:style>
  <w:style w:type="character" w:styleId="Strong">
    <w:name w:val="Strong"/>
    <w:basedOn w:val="DefaultParagraphFont"/>
    <w:uiPriority w:val="22"/>
    <w:qFormat/>
    <w:rsid w:val="001E082A"/>
    <w:rPr>
      <w:b/>
      <w:bCs/>
    </w:rPr>
  </w:style>
  <w:style w:type="character" w:styleId="FollowedHyperlink">
    <w:name w:val="FollowedHyperlink"/>
    <w:basedOn w:val="DefaultParagraphFont"/>
    <w:uiPriority w:val="99"/>
    <w:semiHidden/>
    <w:unhideWhenUsed/>
    <w:rsid w:val="001E082A"/>
    <w:rPr>
      <w:color w:val="800080" w:themeColor="followedHyperlink"/>
      <w:u w:val="single"/>
    </w:rPr>
  </w:style>
  <w:style w:type="paragraph" w:styleId="Caption">
    <w:name w:val="caption"/>
    <w:basedOn w:val="Normal"/>
    <w:next w:val="Normal"/>
    <w:uiPriority w:val="35"/>
    <w:unhideWhenUsed/>
    <w:qFormat/>
    <w:rsid w:val="001E082A"/>
    <w:pPr>
      <w:spacing w:before="0" w:after="200"/>
      <w:jc w:val="left"/>
    </w:pPr>
    <w:rPr>
      <w:rFonts w:asciiTheme="minorHAnsi" w:hAnsiTheme="minorHAnsi" w:cstheme="minorBidi"/>
      <w:b/>
      <w:bCs/>
      <w:color w:val="4F81BD" w:themeColor="accent1"/>
      <w:sz w:val="18"/>
      <w:szCs w:val="18"/>
    </w:rPr>
  </w:style>
  <w:style w:type="character" w:styleId="PlaceholderText">
    <w:name w:val="Placeholder Text"/>
    <w:basedOn w:val="DefaultParagraphFont"/>
    <w:uiPriority w:val="99"/>
    <w:semiHidden/>
    <w:rsid w:val="001E082A"/>
    <w:rPr>
      <w:color w:val="808080"/>
    </w:rPr>
  </w:style>
  <w:style w:type="character" w:customStyle="1" w:styleId="Formatvorlage1">
    <w:name w:val="Formatvorlage1"/>
    <w:basedOn w:val="DefaultParagraphFont"/>
    <w:uiPriority w:val="1"/>
    <w:rsid w:val="001E082A"/>
    <w:rPr>
      <w:color w:val="FF0000"/>
    </w:rPr>
  </w:style>
  <w:style w:type="character" w:customStyle="1" w:styleId="Formatvorlage2">
    <w:name w:val="Formatvorlage2"/>
    <w:basedOn w:val="DefaultParagraphFont"/>
    <w:uiPriority w:val="1"/>
    <w:rsid w:val="001E082A"/>
    <w:rPr>
      <w:rFonts w:ascii="MetaNormalLF-Roman" w:hAnsi="MetaNormalLF-Roman"/>
      <w:sz w:val="22"/>
    </w:rPr>
  </w:style>
  <w:style w:type="table" w:customStyle="1" w:styleId="Tabellenraster1">
    <w:name w:val="Tabellenraster1"/>
    <w:basedOn w:val="TableNormal"/>
    <w:next w:val="TableGrid"/>
    <w:uiPriority w:val="59"/>
    <w:rsid w:val="00AE5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6A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59"/>
    <w:rsid w:val="009C2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Normal"/>
    <w:next w:val="TableGrid"/>
    <w:uiPriority w:val="59"/>
    <w:rsid w:val="00A35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2"/>
      </w:numPr>
      <w:spacing w:before="60" w:after="60"/>
    </w:pPr>
    <w:rPr>
      <w:sz w:val="18"/>
    </w:rPr>
  </w:style>
  <w:style w:type="paragraph" w:customStyle="1" w:styleId="TabelleListe">
    <w:name w:val="Tabelle Liste"/>
    <w:basedOn w:val="Normal"/>
    <w:rsid w:val="00A147E3"/>
    <w:pPr>
      <w:numPr>
        <w:numId w:val="13"/>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11"/>
      </w:numPr>
      <w:tabs>
        <w:tab w:val="left" w:pos="0"/>
      </w:tabs>
    </w:pPr>
  </w:style>
  <w:style w:type="paragraph" w:customStyle="1" w:styleId="ListeFolgeabsatzStufe1">
    <w:name w:val="Liste Folgeabsatz (Stufe 1)"/>
    <w:basedOn w:val="Normal"/>
    <w:rsid w:val="00A147E3"/>
    <w:pPr>
      <w:numPr>
        <w:ilvl w:val="1"/>
        <w:numId w:val="11"/>
      </w:numPr>
    </w:pPr>
  </w:style>
  <w:style w:type="paragraph" w:customStyle="1" w:styleId="ListeStufe2">
    <w:name w:val="Liste (Stufe 2)"/>
    <w:basedOn w:val="Normal"/>
    <w:rsid w:val="00A147E3"/>
    <w:pPr>
      <w:numPr>
        <w:ilvl w:val="2"/>
        <w:numId w:val="11"/>
      </w:numPr>
    </w:pPr>
  </w:style>
  <w:style w:type="paragraph" w:customStyle="1" w:styleId="ListeFolgeabsatzStufe2">
    <w:name w:val="Liste Folgeabsatz (Stufe 2)"/>
    <w:basedOn w:val="Normal"/>
    <w:rsid w:val="00A147E3"/>
    <w:pPr>
      <w:numPr>
        <w:ilvl w:val="3"/>
        <w:numId w:val="11"/>
      </w:numPr>
    </w:pPr>
  </w:style>
  <w:style w:type="paragraph" w:customStyle="1" w:styleId="ListeStufe3">
    <w:name w:val="Liste (Stufe 3)"/>
    <w:basedOn w:val="Normal"/>
    <w:rsid w:val="00A147E3"/>
    <w:pPr>
      <w:numPr>
        <w:ilvl w:val="4"/>
        <w:numId w:val="11"/>
      </w:numPr>
    </w:pPr>
  </w:style>
  <w:style w:type="paragraph" w:customStyle="1" w:styleId="ListeFolgeabsatzStufe3">
    <w:name w:val="Liste Folgeabsatz (Stufe 3)"/>
    <w:basedOn w:val="Normal"/>
    <w:rsid w:val="00A147E3"/>
    <w:pPr>
      <w:numPr>
        <w:ilvl w:val="5"/>
        <w:numId w:val="11"/>
      </w:numPr>
    </w:pPr>
  </w:style>
  <w:style w:type="paragraph" w:customStyle="1" w:styleId="ListeStufe4">
    <w:name w:val="Liste (Stufe 4)"/>
    <w:basedOn w:val="Normal"/>
    <w:rsid w:val="00A147E3"/>
    <w:pPr>
      <w:numPr>
        <w:ilvl w:val="6"/>
        <w:numId w:val="11"/>
      </w:numPr>
    </w:pPr>
  </w:style>
  <w:style w:type="paragraph" w:customStyle="1" w:styleId="ListeFolgeabsatzStufe4">
    <w:name w:val="Liste Folgeabsatz (Stufe 4)"/>
    <w:basedOn w:val="Normal"/>
    <w:rsid w:val="00A147E3"/>
    <w:pPr>
      <w:numPr>
        <w:ilvl w:val="7"/>
        <w:numId w:val="11"/>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6"/>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7"/>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8"/>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9"/>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0"/>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6"/>
      </w:numPr>
      <w:outlineLvl w:val="5"/>
    </w:pPr>
  </w:style>
  <w:style w:type="paragraph" w:customStyle="1" w:styleId="NummerierungStufe2">
    <w:name w:val="Nummerierung (Stufe 2)"/>
    <w:basedOn w:val="Normal"/>
    <w:rsid w:val="00A147E3"/>
    <w:pPr>
      <w:numPr>
        <w:ilvl w:val="4"/>
        <w:numId w:val="26"/>
      </w:numPr>
    </w:pPr>
  </w:style>
  <w:style w:type="paragraph" w:customStyle="1" w:styleId="NummerierungStufe3">
    <w:name w:val="Nummerierung (Stufe 3)"/>
    <w:basedOn w:val="Normal"/>
    <w:rsid w:val="00A147E3"/>
    <w:pPr>
      <w:numPr>
        <w:ilvl w:val="5"/>
        <w:numId w:val="26"/>
      </w:numPr>
    </w:pPr>
  </w:style>
  <w:style w:type="paragraph" w:customStyle="1" w:styleId="NummerierungStufe4">
    <w:name w:val="Nummerierung (Stufe 4)"/>
    <w:basedOn w:val="Normal"/>
    <w:rsid w:val="00A147E3"/>
    <w:pPr>
      <w:numPr>
        <w:ilvl w:val="6"/>
        <w:numId w:val="26"/>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4"/>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5"/>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7"/>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6"/>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6"/>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8"/>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9"/>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8"/>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9"/>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8"/>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9"/>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8"/>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9"/>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8"/>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9"/>
      </w:numPr>
      <w:spacing w:after="240"/>
      <w:jc w:val="center"/>
      <w:outlineLvl w:val="2"/>
    </w:pPr>
  </w:style>
  <w:style w:type="paragraph" w:customStyle="1" w:styleId="TitelBezeichner">
    <w:name w:val="Titel Bezeichner"/>
    <w:basedOn w:val="Normal"/>
    <w:next w:val="Titelberschrift"/>
    <w:rsid w:val="00A147E3"/>
    <w:pPr>
      <w:keepNext/>
      <w:numPr>
        <w:ilvl w:val="5"/>
        <w:numId w:val="28"/>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9"/>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8"/>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9"/>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30"/>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30"/>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7"/>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7"/>
      </w:numPr>
    </w:pPr>
    <w:rPr>
      <w:color w:val="800000"/>
    </w:rPr>
  </w:style>
  <w:style w:type="paragraph" w:customStyle="1" w:styleId="RevisionNummerierungStufe2">
    <w:name w:val="Revision Nummerierung (Stufe 2)"/>
    <w:basedOn w:val="Normal"/>
    <w:rsid w:val="00A147E3"/>
    <w:pPr>
      <w:numPr>
        <w:ilvl w:val="4"/>
        <w:numId w:val="17"/>
      </w:numPr>
    </w:pPr>
    <w:rPr>
      <w:color w:val="800000"/>
    </w:rPr>
  </w:style>
  <w:style w:type="paragraph" w:customStyle="1" w:styleId="RevisionNummerierungStufe3">
    <w:name w:val="Revision Nummerierung (Stufe 3)"/>
    <w:basedOn w:val="Normal"/>
    <w:rsid w:val="00A147E3"/>
    <w:pPr>
      <w:numPr>
        <w:ilvl w:val="5"/>
        <w:numId w:val="17"/>
      </w:numPr>
    </w:pPr>
    <w:rPr>
      <w:color w:val="800000"/>
    </w:rPr>
  </w:style>
  <w:style w:type="paragraph" w:customStyle="1" w:styleId="RevisionNummerierungStufe4">
    <w:name w:val="Revision Nummerierung (Stufe 4)"/>
    <w:basedOn w:val="Normal"/>
    <w:rsid w:val="00A147E3"/>
    <w:pPr>
      <w:numPr>
        <w:ilvl w:val="6"/>
        <w:numId w:val="17"/>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7"/>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7"/>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4"/>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8"/>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8"/>
      </w:numPr>
    </w:pPr>
    <w:rPr>
      <w:color w:val="800000"/>
    </w:rPr>
  </w:style>
  <w:style w:type="paragraph" w:customStyle="1" w:styleId="RevisionListeStufe2">
    <w:name w:val="Revision Liste (Stufe 2)"/>
    <w:basedOn w:val="Normal"/>
    <w:rsid w:val="00A147E3"/>
    <w:pPr>
      <w:numPr>
        <w:ilvl w:val="2"/>
        <w:numId w:val="18"/>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8"/>
      </w:numPr>
    </w:pPr>
    <w:rPr>
      <w:color w:val="800000"/>
    </w:rPr>
  </w:style>
  <w:style w:type="paragraph" w:customStyle="1" w:styleId="RevisionListeStufe3">
    <w:name w:val="Revision Liste (Stufe 3)"/>
    <w:basedOn w:val="Normal"/>
    <w:rsid w:val="00A147E3"/>
    <w:pPr>
      <w:numPr>
        <w:ilvl w:val="4"/>
        <w:numId w:val="18"/>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8"/>
      </w:numPr>
    </w:pPr>
    <w:rPr>
      <w:color w:val="800000"/>
    </w:rPr>
  </w:style>
  <w:style w:type="paragraph" w:customStyle="1" w:styleId="RevisionListeStufe4">
    <w:name w:val="Revision Liste (Stufe 4)"/>
    <w:basedOn w:val="Normal"/>
    <w:rsid w:val="00A147E3"/>
    <w:pPr>
      <w:numPr>
        <w:ilvl w:val="6"/>
        <w:numId w:val="18"/>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8"/>
      </w:numPr>
    </w:pPr>
    <w:rPr>
      <w:color w:val="800000"/>
    </w:rPr>
  </w:style>
  <w:style w:type="paragraph" w:customStyle="1" w:styleId="RevisionAufzhlungStufe1">
    <w:name w:val="Revision Aufzählung (Stufe 1)"/>
    <w:basedOn w:val="Normal"/>
    <w:rsid w:val="00A147E3"/>
    <w:pPr>
      <w:numPr>
        <w:numId w:val="19"/>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0"/>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1"/>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2"/>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3"/>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5"/>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6"/>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5327">
      <w:bodyDiv w:val="1"/>
      <w:marLeft w:val="0"/>
      <w:marRight w:val="0"/>
      <w:marTop w:val="0"/>
      <w:marBottom w:val="0"/>
      <w:divBdr>
        <w:top w:val="none" w:sz="0" w:space="0" w:color="auto"/>
        <w:left w:val="none" w:sz="0" w:space="0" w:color="auto"/>
        <w:bottom w:val="none" w:sz="0" w:space="0" w:color="auto"/>
        <w:right w:val="none" w:sz="0" w:space="0" w:color="auto"/>
      </w:divBdr>
    </w:div>
    <w:div w:id="39398751">
      <w:bodyDiv w:val="1"/>
      <w:marLeft w:val="0"/>
      <w:marRight w:val="0"/>
      <w:marTop w:val="0"/>
      <w:marBottom w:val="0"/>
      <w:divBdr>
        <w:top w:val="none" w:sz="0" w:space="0" w:color="auto"/>
        <w:left w:val="none" w:sz="0" w:space="0" w:color="auto"/>
        <w:bottom w:val="none" w:sz="0" w:space="0" w:color="auto"/>
        <w:right w:val="none" w:sz="0" w:space="0" w:color="auto"/>
      </w:divBdr>
    </w:div>
    <w:div w:id="318924429">
      <w:bodyDiv w:val="1"/>
      <w:marLeft w:val="0"/>
      <w:marRight w:val="0"/>
      <w:marTop w:val="0"/>
      <w:marBottom w:val="0"/>
      <w:divBdr>
        <w:top w:val="none" w:sz="0" w:space="0" w:color="auto"/>
        <w:left w:val="none" w:sz="0" w:space="0" w:color="auto"/>
        <w:bottom w:val="none" w:sz="0" w:space="0" w:color="auto"/>
        <w:right w:val="none" w:sz="0" w:space="0" w:color="auto"/>
      </w:divBdr>
    </w:div>
    <w:div w:id="505440599">
      <w:bodyDiv w:val="1"/>
      <w:marLeft w:val="0"/>
      <w:marRight w:val="0"/>
      <w:marTop w:val="0"/>
      <w:marBottom w:val="0"/>
      <w:divBdr>
        <w:top w:val="none" w:sz="0" w:space="0" w:color="auto"/>
        <w:left w:val="none" w:sz="0" w:space="0" w:color="auto"/>
        <w:bottom w:val="none" w:sz="0" w:space="0" w:color="auto"/>
        <w:right w:val="none" w:sz="0" w:space="0" w:color="auto"/>
      </w:divBdr>
    </w:div>
    <w:div w:id="587886149">
      <w:bodyDiv w:val="1"/>
      <w:marLeft w:val="0"/>
      <w:marRight w:val="0"/>
      <w:marTop w:val="0"/>
      <w:marBottom w:val="0"/>
      <w:divBdr>
        <w:top w:val="none" w:sz="0" w:space="0" w:color="auto"/>
        <w:left w:val="none" w:sz="0" w:space="0" w:color="auto"/>
        <w:bottom w:val="none" w:sz="0" w:space="0" w:color="auto"/>
        <w:right w:val="none" w:sz="0" w:space="0" w:color="auto"/>
      </w:divBdr>
    </w:div>
    <w:div w:id="611740014">
      <w:bodyDiv w:val="1"/>
      <w:marLeft w:val="0"/>
      <w:marRight w:val="0"/>
      <w:marTop w:val="0"/>
      <w:marBottom w:val="0"/>
      <w:divBdr>
        <w:top w:val="none" w:sz="0" w:space="0" w:color="auto"/>
        <w:left w:val="none" w:sz="0" w:space="0" w:color="auto"/>
        <w:bottom w:val="none" w:sz="0" w:space="0" w:color="auto"/>
        <w:right w:val="none" w:sz="0" w:space="0" w:color="auto"/>
      </w:divBdr>
    </w:div>
    <w:div w:id="839083086">
      <w:bodyDiv w:val="1"/>
      <w:marLeft w:val="0"/>
      <w:marRight w:val="0"/>
      <w:marTop w:val="0"/>
      <w:marBottom w:val="0"/>
      <w:divBdr>
        <w:top w:val="none" w:sz="0" w:space="0" w:color="auto"/>
        <w:left w:val="none" w:sz="0" w:space="0" w:color="auto"/>
        <w:bottom w:val="none" w:sz="0" w:space="0" w:color="auto"/>
        <w:right w:val="none" w:sz="0" w:space="0" w:color="auto"/>
      </w:divBdr>
    </w:div>
    <w:div w:id="905607329">
      <w:bodyDiv w:val="1"/>
      <w:marLeft w:val="0"/>
      <w:marRight w:val="0"/>
      <w:marTop w:val="0"/>
      <w:marBottom w:val="0"/>
      <w:divBdr>
        <w:top w:val="none" w:sz="0" w:space="0" w:color="auto"/>
        <w:left w:val="none" w:sz="0" w:space="0" w:color="auto"/>
        <w:bottom w:val="none" w:sz="0" w:space="0" w:color="auto"/>
        <w:right w:val="none" w:sz="0" w:space="0" w:color="auto"/>
      </w:divBdr>
    </w:div>
    <w:div w:id="952371201">
      <w:bodyDiv w:val="1"/>
      <w:marLeft w:val="0"/>
      <w:marRight w:val="0"/>
      <w:marTop w:val="0"/>
      <w:marBottom w:val="0"/>
      <w:divBdr>
        <w:top w:val="none" w:sz="0" w:space="0" w:color="auto"/>
        <w:left w:val="none" w:sz="0" w:space="0" w:color="auto"/>
        <w:bottom w:val="none" w:sz="0" w:space="0" w:color="auto"/>
        <w:right w:val="none" w:sz="0" w:space="0" w:color="auto"/>
      </w:divBdr>
    </w:div>
    <w:div w:id="1622417473">
      <w:bodyDiv w:val="1"/>
      <w:marLeft w:val="0"/>
      <w:marRight w:val="0"/>
      <w:marTop w:val="0"/>
      <w:marBottom w:val="0"/>
      <w:divBdr>
        <w:top w:val="none" w:sz="0" w:space="0" w:color="auto"/>
        <w:left w:val="none" w:sz="0" w:space="0" w:color="auto"/>
        <w:bottom w:val="none" w:sz="0" w:space="0" w:color="auto"/>
        <w:right w:val="none" w:sz="0" w:space="0" w:color="auto"/>
      </w:divBdr>
    </w:div>
    <w:div w:id="1701083467">
      <w:bodyDiv w:val="1"/>
      <w:marLeft w:val="0"/>
      <w:marRight w:val="0"/>
      <w:marTop w:val="0"/>
      <w:marBottom w:val="0"/>
      <w:divBdr>
        <w:top w:val="none" w:sz="0" w:space="0" w:color="auto"/>
        <w:left w:val="none" w:sz="0" w:space="0" w:color="auto"/>
        <w:bottom w:val="none" w:sz="0" w:space="0" w:color="auto"/>
        <w:right w:val="none" w:sz="0" w:space="0" w:color="auto"/>
      </w:divBdr>
      <w:divsChild>
        <w:div w:id="688794187">
          <w:marLeft w:val="0"/>
          <w:marRight w:val="0"/>
          <w:marTop w:val="0"/>
          <w:marBottom w:val="0"/>
          <w:divBdr>
            <w:top w:val="none" w:sz="0" w:space="0" w:color="auto"/>
            <w:left w:val="none" w:sz="0" w:space="0" w:color="auto"/>
            <w:bottom w:val="none" w:sz="0" w:space="0" w:color="auto"/>
            <w:right w:val="none" w:sz="0" w:space="0" w:color="auto"/>
          </w:divBdr>
        </w:div>
        <w:div w:id="432895119">
          <w:marLeft w:val="0"/>
          <w:marRight w:val="0"/>
          <w:marTop w:val="0"/>
          <w:marBottom w:val="0"/>
          <w:divBdr>
            <w:top w:val="none" w:sz="0" w:space="0" w:color="auto"/>
            <w:left w:val="none" w:sz="0" w:space="0" w:color="auto"/>
            <w:bottom w:val="none" w:sz="0" w:space="0" w:color="auto"/>
            <w:right w:val="none" w:sz="0" w:space="0" w:color="auto"/>
          </w:divBdr>
        </w:div>
        <w:div w:id="850098916">
          <w:marLeft w:val="0"/>
          <w:marRight w:val="0"/>
          <w:marTop w:val="0"/>
          <w:marBottom w:val="0"/>
          <w:divBdr>
            <w:top w:val="none" w:sz="0" w:space="0" w:color="auto"/>
            <w:left w:val="none" w:sz="0" w:space="0" w:color="auto"/>
            <w:bottom w:val="none" w:sz="0" w:space="0" w:color="auto"/>
            <w:right w:val="none" w:sz="0" w:space="0" w:color="auto"/>
          </w:divBdr>
        </w:div>
        <w:div w:id="942496917">
          <w:marLeft w:val="0"/>
          <w:marRight w:val="0"/>
          <w:marTop w:val="0"/>
          <w:marBottom w:val="0"/>
          <w:divBdr>
            <w:top w:val="none" w:sz="0" w:space="0" w:color="auto"/>
            <w:left w:val="none" w:sz="0" w:space="0" w:color="auto"/>
            <w:bottom w:val="none" w:sz="0" w:space="0" w:color="auto"/>
            <w:right w:val="none" w:sz="0" w:space="0" w:color="auto"/>
          </w:divBdr>
        </w:div>
      </w:divsChild>
    </w:div>
    <w:div w:id="1715688464">
      <w:bodyDiv w:val="1"/>
      <w:marLeft w:val="0"/>
      <w:marRight w:val="0"/>
      <w:marTop w:val="0"/>
      <w:marBottom w:val="0"/>
      <w:divBdr>
        <w:top w:val="none" w:sz="0" w:space="0" w:color="auto"/>
        <w:left w:val="none" w:sz="0" w:space="0" w:color="auto"/>
        <w:bottom w:val="none" w:sz="0" w:space="0" w:color="auto"/>
        <w:right w:val="none" w:sz="0" w:space="0" w:color="auto"/>
      </w:divBdr>
    </w:div>
    <w:div w:id="1900163428">
      <w:bodyDiv w:val="1"/>
      <w:marLeft w:val="0"/>
      <w:marRight w:val="0"/>
      <w:marTop w:val="0"/>
      <w:marBottom w:val="0"/>
      <w:divBdr>
        <w:top w:val="none" w:sz="0" w:space="0" w:color="auto"/>
        <w:left w:val="none" w:sz="0" w:space="0" w:color="auto"/>
        <w:bottom w:val="none" w:sz="0" w:space="0" w:color="auto"/>
        <w:right w:val="none" w:sz="0" w:space="0" w:color="auto"/>
      </w:divBdr>
    </w:div>
    <w:div w:id="2065641889">
      <w:bodyDiv w:val="1"/>
      <w:marLeft w:val="0"/>
      <w:marRight w:val="0"/>
      <w:marTop w:val="0"/>
      <w:marBottom w:val="0"/>
      <w:divBdr>
        <w:top w:val="none" w:sz="0" w:space="0" w:color="auto"/>
        <w:left w:val="none" w:sz="0" w:space="0" w:color="auto"/>
        <w:bottom w:val="none" w:sz="0" w:space="0" w:color="auto"/>
        <w:right w:val="none" w:sz="0" w:space="0" w:color="auto"/>
      </w:divBdr>
    </w:div>
    <w:div w:id="208806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ecircle.de/" TargetMode="External"/><Relationship Id="rId1" Type="http://schemas.openxmlformats.org/officeDocument/2006/relationships/hyperlink" Target="https://www.cupcycle.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93726E2E32452A8E5139DEE9CE43E0"/>
        <w:category>
          <w:name w:val="Allgemein"/>
          <w:gallery w:val="placeholder"/>
        </w:category>
        <w:types>
          <w:type w:val="bbPlcHdr"/>
        </w:types>
        <w:behaviors>
          <w:behavior w:val="content"/>
        </w:behaviors>
        <w:guid w:val="{0F394D6C-59F9-4131-832B-CB5ED6B61449}"/>
      </w:docPartPr>
      <w:docPartBody>
        <w:p w:rsidR="00093C7B" w:rsidRDefault="00093C7B" w:rsidP="00093C7B">
          <w:pPr>
            <w:pStyle w:val="5193726E2E32452A8E5139DEE9CE43E0"/>
          </w:pPr>
          <w:r w:rsidRPr="00804CCE">
            <w:rPr>
              <w:rStyle w:val="PlaceholderText"/>
            </w:rPr>
            <w:t>Wählen Sie ein Element aus.</w:t>
          </w:r>
        </w:p>
      </w:docPartBody>
    </w:docPart>
    <w:docPart>
      <w:docPartPr>
        <w:name w:val="06B281533DEE48E5803C6A35A06E4131"/>
        <w:category>
          <w:name w:val="Allgemein"/>
          <w:gallery w:val="placeholder"/>
        </w:category>
        <w:types>
          <w:type w:val="bbPlcHdr"/>
        </w:types>
        <w:behaviors>
          <w:behavior w:val="content"/>
        </w:behaviors>
        <w:guid w:val="{9FF881BF-02F2-4D19-A389-978B5532F99E}"/>
      </w:docPartPr>
      <w:docPartBody>
        <w:p w:rsidR="00093C7B" w:rsidRDefault="00093C7B" w:rsidP="00093C7B">
          <w:pPr>
            <w:pStyle w:val="06B281533DEE48E5803C6A35A06E4131"/>
          </w:pPr>
          <w:r w:rsidRPr="00804CCE">
            <w:rPr>
              <w:rStyle w:val="PlaceholderText"/>
            </w:rPr>
            <w:t>Wählen Sie ein Element aus.</w:t>
          </w:r>
        </w:p>
      </w:docPartBody>
    </w:docPart>
    <w:docPart>
      <w:docPartPr>
        <w:name w:val="6C584C4F6ECE4DF982FC8F19838DC9FC"/>
        <w:category>
          <w:name w:val="Allgemein"/>
          <w:gallery w:val="placeholder"/>
        </w:category>
        <w:types>
          <w:type w:val="bbPlcHdr"/>
        </w:types>
        <w:behaviors>
          <w:behavior w:val="content"/>
        </w:behaviors>
        <w:guid w:val="{5752F26A-191C-41CC-B397-D0E43B3847E2}"/>
      </w:docPartPr>
      <w:docPartBody>
        <w:p w:rsidR="00093C7B" w:rsidRDefault="00093C7B" w:rsidP="00093C7B">
          <w:pPr>
            <w:pStyle w:val="6C584C4F6ECE4DF982FC8F19838DC9FC"/>
          </w:pPr>
          <w:r w:rsidRPr="00804CCE">
            <w:rPr>
              <w:rStyle w:val="PlaceholderText"/>
            </w:rPr>
            <w:t>Wählen Sie ein Element aus.</w:t>
          </w:r>
        </w:p>
      </w:docPartBody>
    </w:docPart>
    <w:docPart>
      <w:docPartPr>
        <w:name w:val="AF233DF46C4B4F01BDA67AF18972775F"/>
        <w:category>
          <w:name w:val="Allgemein"/>
          <w:gallery w:val="placeholder"/>
        </w:category>
        <w:types>
          <w:type w:val="bbPlcHdr"/>
        </w:types>
        <w:behaviors>
          <w:behavior w:val="content"/>
        </w:behaviors>
        <w:guid w:val="{DC3FBB97-EB05-4DBF-97FE-040A2508B550}"/>
      </w:docPartPr>
      <w:docPartBody>
        <w:p w:rsidR="00093C7B" w:rsidRDefault="00093C7B" w:rsidP="00093C7B">
          <w:pPr>
            <w:pStyle w:val="AF233DF46C4B4F01BDA67AF18972775F"/>
          </w:pPr>
          <w:r w:rsidRPr="00804CCE">
            <w:rPr>
              <w:rStyle w:val="PlaceholderText"/>
            </w:rPr>
            <w:t>Wählen Sie ein Element aus.</w:t>
          </w:r>
        </w:p>
      </w:docPartBody>
    </w:docPart>
    <w:docPart>
      <w:docPartPr>
        <w:name w:val="615F12189CE24C23B3DF434F1AB79C21"/>
        <w:category>
          <w:name w:val="Allgemein"/>
          <w:gallery w:val="placeholder"/>
        </w:category>
        <w:types>
          <w:type w:val="bbPlcHdr"/>
        </w:types>
        <w:behaviors>
          <w:behavior w:val="content"/>
        </w:behaviors>
        <w:guid w:val="{F59AE7B9-3ED6-47C9-A12B-B0A1D8B433FC}"/>
      </w:docPartPr>
      <w:docPartBody>
        <w:p w:rsidR="00093C7B" w:rsidRDefault="00093C7B" w:rsidP="00093C7B">
          <w:pPr>
            <w:pStyle w:val="615F12189CE24C23B3DF434F1AB79C21"/>
          </w:pPr>
          <w:r w:rsidRPr="00804CCE">
            <w:rPr>
              <w:rStyle w:val="PlaceholderText"/>
            </w:rPr>
            <w:t>Wählen Sie ein Element aus.</w:t>
          </w:r>
        </w:p>
      </w:docPartBody>
    </w:docPart>
    <w:docPart>
      <w:docPartPr>
        <w:name w:val="D70666095692499E9A1DB70D7E062BDD"/>
        <w:category>
          <w:name w:val="Allgemein"/>
          <w:gallery w:val="placeholder"/>
        </w:category>
        <w:types>
          <w:type w:val="bbPlcHdr"/>
        </w:types>
        <w:behaviors>
          <w:behavior w:val="content"/>
        </w:behaviors>
        <w:guid w:val="{CA1DD2E2-78D5-45E5-BEDF-EFF150BB2177}"/>
      </w:docPartPr>
      <w:docPartBody>
        <w:p w:rsidR="00093C7B" w:rsidRDefault="00093C7B" w:rsidP="00093C7B">
          <w:pPr>
            <w:pStyle w:val="D70666095692499E9A1DB70D7E062BDD"/>
          </w:pPr>
          <w:r w:rsidRPr="00804CCE">
            <w:rPr>
              <w:rStyle w:val="PlaceholderText"/>
            </w:rPr>
            <w:t>Wählen Sie ein Element aus.</w:t>
          </w:r>
        </w:p>
      </w:docPartBody>
    </w:docPart>
    <w:docPart>
      <w:docPartPr>
        <w:name w:val="856F3FA0DE42406E81B1F0F1DB114393"/>
        <w:category>
          <w:name w:val="Allgemein"/>
          <w:gallery w:val="placeholder"/>
        </w:category>
        <w:types>
          <w:type w:val="bbPlcHdr"/>
        </w:types>
        <w:behaviors>
          <w:behavior w:val="content"/>
        </w:behaviors>
        <w:guid w:val="{2087C276-55FD-44A7-B9B7-E4F109A135DD}"/>
      </w:docPartPr>
      <w:docPartBody>
        <w:p w:rsidR="00093C7B" w:rsidRDefault="00093C7B" w:rsidP="00093C7B">
          <w:pPr>
            <w:pStyle w:val="856F3FA0DE42406E81B1F0F1DB114393"/>
          </w:pPr>
          <w:r w:rsidRPr="00804CCE">
            <w:rPr>
              <w:rStyle w:val="PlaceholderText"/>
            </w:rPr>
            <w:t>Wählen Sie ein Element aus.</w:t>
          </w:r>
        </w:p>
      </w:docPartBody>
    </w:docPart>
    <w:docPart>
      <w:docPartPr>
        <w:name w:val="18EEE4D8CBFC4E94870E101CF4030EB9"/>
        <w:category>
          <w:name w:val="Allgemein"/>
          <w:gallery w:val="placeholder"/>
        </w:category>
        <w:types>
          <w:type w:val="bbPlcHdr"/>
        </w:types>
        <w:behaviors>
          <w:behavior w:val="content"/>
        </w:behaviors>
        <w:guid w:val="{566FC0A0-844E-4616-95E2-6950A131598C}"/>
      </w:docPartPr>
      <w:docPartBody>
        <w:p w:rsidR="00093C7B" w:rsidRDefault="00093C7B" w:rsidP="00093C7B">
          <w:pPr>
            <w:pStyle w:val="18EEE4D8CBFC4E94870E101CF4030EB9"/>
          </w:pPr>
          <w:r w:rsidRPr="00804CCE">
            <w:rPr>
              <w:rStyle w:val="PlaceholderText"/>
            </w:rPr>
            <w:t>Wählen Sie ein Element aus.</w:t>
          </w:r>
        </w:p>
      </w:docPartBody>
    </w:docPart>
    <w:docPart>
      <w:docPartPr>
        <w:name w:val="B875BADDA0C04248B9FBCDF86C519DCF"/>
        <w:category>
          <w:name w:val="Allgemein"/>
          <w:gallery w:val="placeholder"/>
        </w:category>
        <w:types>
          <w:type w:val="bbPlcHdr"/>
        </w:types>
        <w:behaviors>
          <w:behavior w:val="content"/>
        </w:behaviors>
        <w:guid w:val="{A9E4C60A-C262-4700-B9F0-A56B9EB50C59}"/>
      </w:docPartPr>
      <w:docPartBody>
        <w:p w:rsidR="00A21A96" w:rsidRDefault="00A21A96" w:rsidP="00A21A96">
          <w:pPr>
            <w:pStyle w:val="B875BADDA0C04248B9FBCDF86C519DCF"/>
          </w:pPr>
          <w:r w:rsidRPr="00804CCE">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etaNormalLF-Roman">
    <w:altName w:val="Times New Roman"/>
    <w:charset w:val="00"/>
    <w:family w:val="swiss"/>
    <w:pitch w:val="variable"/>
    <w:sig w:usb0="8000002F" w:usb1="10000048"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7B"/>
    <w:rsid w:val="00021B53"/>
    <w:rsid w:val="00046981"/>
    <w:rsid w:val="00052B88"/>
    <w:rsid w:val="0007011E"/>
    <w:rsid w:val="00093C7B"/>
    <w:rsid w:val="000C4D43"/>
    <w:rsid w:val="000E3A0C"/>
    <w:rsid w:val="000F6A10"/>
    <w:rsid w:val="00141655"/>
    <w:rsid w:val="001F1671"/>
    <w:rsid w:val="00236308"/>
    <w:rsid w:val="00241D22"/>
    <w:rsid w:val="00261894"/>
    <w:rsid w:val="002B595E"/>
    <w:rsid w:val="002D772B"/>
    <w:rsid w:val="003E7FAB"/>
    <w:rsid w:val="00491D3A"/>
    <w:rsid w:val="004D074F"/>
    <w:rsid w:val="00500836"/>
    <w:rsid w:val="005249FF"/>
    <w:rsid w:val="0054397D"/>
    <w:rsid w:val="005B187C"/>
    <w:rsid w:val="006B439E"/>
    <w:rsid w:val="006E24D6"/>
    <w:rsid w:val="00707F2F"/>
    <w:rsid w:val="00730E24"/>
    <w:rsid w:val="00736F5C"/>
    <w:rsid w:val="00752EA1"/>
    <w:rsid w:val="008359A1"/>
    <w:rsid w:val="00855792"/>
    <w:rsid w:val="008614B9"/>
    <w:rsid w:val="008D0DAD"/>
    <w:rsid w:val="00913D9E"/>
    <w:rsid w:val="009551CA"/>
    <w:rsid w:val="009746D6"/>
    <w:rsid w:val="009E1A39"/>
    <w:rsid w:val="00A04EF9"/>
    <w:rsid w:val="00A21A96"/>
    <w:rsid w:val="00A8462E"/>
    <w:rsid w:val="00A86F1B"/>
    <w:rsid w:val="00AB649A"/>
    <w:rsid w:val="00AC527C"/>
    <w:rsid w:val="00B14B2F"/>
    <w:rsid w:val="00C2015C"/>
    <w:rsid w:val="00C210B6"/>
    <w:rsid w:val="00C543F4"/>
    <w:rsid w:val="00D93CAA"/>
    <w:rsid w:val="00DA4A5D"/>
    <w:rsid w:val="00DB4D88"/>
    <w:rsid w:val="00DF6CF3"/>
    <w:rsid w:val="00E046CB"/>
    <w:rsid w:val="00EB75D3"/>
    <w:rsid w:val="00ED18BE"/>
    <w:rsid w:val="00EE5436"/>
    <w:rsid w:val="00FB3B67"/>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CF3"/>
    <w:rPr>
      <w:color w:val="808080"/>
    </w:rPr>
  </w:style>
  <w:style w:type="paragraph" w:customStyle="1" w:styleId="5193726E2E32452A8E5139DEE9CE43E0">
    <w:name w:val="5193726E2E32452A8E5139DEE9CE43E0"/>
    <w:rsid w:val="00093C7B"/>
  </w:style>
  <w:style w:type="paragraph" w:customStyle="1" w:styleId="06B281533DEE48E5803C6A35A06E4131">
    <w:name w:val="06B281533DEE48E5803C6A35A06E4131"/>
    <w:rsid w:val="00093C7B"/>
  </w:style>
  <w:style w:type="paragraph" w:customStyle="1" w:styleId="6C584C4F6ECE4DF982FC8F19838DC9FC">
    <w:name w:val="6C584C4F6ECE4DF982FC8F19838DC9FC"/>
    <w:rsid w:val="00093C7B"/>
  </w:style>
  <w:style w:type="paragraph" w:customStyle="1" w:styleId="AF233DF46C4B4F01BDA67AF18972775F">
    <w:name w:val="AF233DF46C4B4F01BDA67AF18972775F"/>
    <w:rsid w:val="00093C7B"/>
  </w:style>
  <w:style w:type="paragraph" w:customStyle="1" w:styleId="615F12189CE24C23B3DF434F1AB79C21">
    <w:name w:val="615F12189CE24C23B3DF434F1AB79C21"/>
    <w:rsid w:val="00093C7B"/>
  </w:style>
  <w:style w:type="paragraph" w:customStyle="1" w:styleId="D70666095692499E9A1DB70D7E062BDD">
    <w:name w:val="D70666095692499E9A1DB70D7E062BDD"/>
    <w:rsid w:val="00093C7B"/>
  </w:style>
  <w:style w:type="paragraph" w:customStyle="1" w:styleId="856F3FA0DE42406E81B1F0F1DB114393">
    <w:name w:val="856F3FA0DE42406E81B1F0F1DB114393"/>
    <w:rsid w:val="00093C7B"/>
  </w:style>
  <w:style w:type="paragraph" w:customStyle="1" w:styleId="18EEE4D8CBFC4E94870E101CF4030EB9">
    <w:name w:val="18EEE4D8CBFC4E94870E101CF4030EB9"/>
    <w:rsid w:val="00093C7B"/>
  </w:style>
  <w:style w:type="paragraph" w:customStyle="1" w:styleId="B875BADDA0C04248B9FBCDF86C519DCF">
    <w:name w:val="B875BADDA0C04248B9FBCDF86C519DCF"/>
    <w:rsid w:val="00A21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A0A2E-6A2D-473D-AD06-84586C13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15</TotalTime>
  <Pages>96</Pages>
  <Words>43497</Words>
  <Characters>247936</Characters>
  <Application>Microsoft Office Word</Application>
  <DocSecurity>0</DocSecurity>
  <Lines>2066</Lines>
  <Paragraphs>581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Fabiana</dc:creator>
  <cp:keywords/>
  <dc:description/>
  <cp:lastModifiedBy>Ke, Tingting</cp:lastModifiedBy>
  <cp:revision>5</cp:revision>
  <cp:lastPrinted>2020-12-10T17:36:00Z</cp:lastPrinted>
  <dcterms:created xsi:type="dcterms:W3CDTF">2021-01-21T17:54:00Z</dcterms:created>
  <dcterms:modified xsi:type="dcterms:W3CDTF">2021-01-25T01:49:00Z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20200526</vt:lpwstr>
  </property>
  <property fmtid="{D5CDD505-2E9C-101B-9397-08002B2CF9AE}" pid="7" name="eNorm-Version Erstellung">
    <vt:lpwstr>4.0.3.1, Bundesregierung, [20190301]</vt:lpwstr>
  </property>
  <property fmtid="{D5CDD505-2E9C-101B-9397-08002B2CF9AE}" pid="8" name="Meta_Initiant">
    <vt:lpwstr>Bundesministerium der Justiz und für Verbraucherschutz</vt:lpwstr>
  </property>
  <property fmtid="{D5CDD505-2E9C-101B-9397-08002B2CF9AE}" pid="9" name="eNorm-Version vorherige Bearbeitung">
    <vt:lpwstr>4.1.5 Bundesregierung [20200526]</vt:lpwstr>
  </property>
  <property fmtid="{D5CDD505-2E9C-101B-9397-08002B2CF9AE}" pid="10" name="Bearbeitungsstand">
    <vt:lpwstr>Bearbeitungsstand: 22.12.2020  17:00 Uhr</vt:lpwstr>
  </property>
  <property fmtid="{D5CDD505-2E9C-101B-9397-08002B2CF9AE}" pid="11" name="eNorm-Version letzte Bearbeitung">
    <vt:lpwstr>4.1.5 Bundesregierung [20200526]</vt:lpwstr>
  </property>
  <property fmtid="{D5CDD505-2E9C-101B-9397-08002B2CF9AE}" pid="12" name="Meta_Bezeichnung">
    <vt:lpwstr>Gesetz zur Umsetzung von Vorgaben der Einwegkunststoffrichtlinie und der Abfallrahmenrichtlinie im Verpackungsgesetz und in anderen Gesetzen</vt:lpwstr>
  </property>
  <property fmtid="{D5CDD505-2E9C-101B-9397-08002B2CF9AE}" pid="13" name="Meta_Kurzbezeichnung">
    <vt:lpwstr/>
  </property>
  <property fmtid="{D5CDD505-2E9C-101B-9397-08002B2CF9AE}" pid="14" name="Meta_Abkürzung">
    <vt:lpwstr/>
  </property>
  <property fmtid="{D5CDD505-2E9C-101B-9397-08002B2CF9AE}" pid="15" name="Meta_Typ der Vorschrift">
    <vt:lpwstr>Artikelgesetz</vt:lpwstr>
  </property>
  <property fmtid="{D5CDD505-2E9C-101B-9397-08002B2CF9AE}" pid="16" name="Meta_Federführung">
    <vt:lpwstr/>
  </property>
  <property fmtid="{D5CDD505-2E9C-101B-9397-08002B2CF9AE}" pid="17" name="Meta_Umsetzung von EU-Recht">
    <vt:lpwstr>Dieses Gesetz dient der Umsetzung der Richtlinie 2018/851/EU des Europäischen Parlaments und des Rates vom 30. Mai 2018 zur Änderung der Richtlinie 2008/98/EG über Abfälle (ABl. L 150 vom 14.6.2018, S. 109) sowie der Richtlinie 2019/904/EU des Europäische</vt:lpwstr>
  </property>
  <property fmtid="{D5CDD505-2E9C-101B-9397-08002B2CF9AE}" pid="18" name="Meta_Umsetzung von EU-Recht_2">
    <vt:lpwstr>n Parlaments und des Rates vom 5. Juni 2019 über die Verringerung der Auswirkungen bestimmter Kunststoffprodukte auf die Umwelt (ABl. L 155 vom 12.6.2019, S. 1).</vt:lpwstr>
  </property>
  <property fmtid="{D5CDD505-2E9C-101B-9397-08002B2CF9AE}" pid="19" name="Meta_Anlagen">
    <vt:lpwstr/>
  </property>
</Properties>
</file>