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1502D" w14:textId="77777777" w:rsidR="004A062D" w:rsidRPr="001D6C6C" w:rsidRDefault="004A062D" w:rsidP="00D906B7">
      <w:pPr>
        <w:pStyle w:val="10Entwurf"/>
      </w:pPr>
      <w:r>
        <w:t xml:space="preserve">Proyecto</w:t>
      </w:r>
    </w:p>
    <w:p w14:paraId="0A4D8FC4" w14:textId="77777777" w:rsidR="004A062D" w:rsidRPr="001D6C6C" w:rsidRDefault="004A062D" w:rsidP="00D906B7">
      <w:pPr>
        <w:pStyle w:val="11Titel"/>
      </w:pPr>
      <w:r>
        <w:t xml:space="preserve">Ordenanza del Ministro Federal de Protección del Clima, Medio Ambiente, Energía, Movilidad, Innovación y Tecnología sobre el depósito para envases de bebidas de un solo uso hechos de plástico o metal (Ordenanza sobre el depósito para envases de bebidas de un solo uso)</w:t>
      </w:r>
    </w:p>
    <w:p w14:paraId="5C910C45" w14:textId="77777777" w:rsidR="004A062D" w:rsidRPr="001D6C6C" w:rsidRDefault="004A062D" w:rsidP="00D906B7">
      <w:pPr>
        <w:pStyle w:val="12PromKlEinlSatz"/>
      </w:pPr>
      <w:r>
        <w:t xml:space="preserve">Sobre la base del artículo 12 </w:t>
      </w:r>
      <w:r>
        <w:rPr>
          <w:i/>
          <w:iCs/>
        </w:rPr>
        <w:t xml:space="preserve">ter</w:t>
      </w:r>
      <w:r>
        <w:t xml:space="preserve">, apartados 1 y 6, el artículo 14, el artículo 14 </w:t>
      </w:r>
      <w:r>
        <w:rPr>
          <w:i/>
          <w:iCs/>
        </w:rPr>
        <w:t xml:space="preserve">quater</w:t>
      </w:r>
      <w:r>
        <w:t xml:space="preserve">, el artículo 23, apartados 1 y 3, y el artículo 28 </w:t>
      </w:r>
      <w:r>
        <w:rPr>
          <w:i/>
          <w:iCs/>
        </w:rPr>
        <w:t xml:space="preserve">quater</w:t>
      </w:r>
      <w:r>
        <w:t xml:space="preserve"> de la Ley federal sobre la gestión de residuos de 2002 (AWG, por su versión en alemán), Boletín Oficial Federal de Austria, parte I, n.º 102/2002, modificada en último lugar por el Boletín Oficial Federal de Austria, parte I, n.º xxx, se decreta de acuerdo con el Ministro Federal de Trabajo y Economía:</w:t>
      </w:r>
    </w:p>
    <w:p w14:paraId="4390AA81" w14:textId="77777777" w:rsidR="00244452" w:rsidRPr="001D6C6C" w:rsidRDefault="00244452" w:rsidP="00D72F48">
      <w:pPr>
        <w:pStyle w:val="41UeberschrG1"/>
      </w:pPr>
      <w:r>
        <w:t xml:space="preserve">1.</w:t>
      </w:r>
      <w:r>
        <w:t xml:space="preserve"> </w:t>
      </w:r>
      <w:r>
        <w:t xml:space="preserve">Sección</w:t>
      </w:r>
    </w:p>
    <w:p w14:paraId="1FE9DEDF" w14:textId="77777777" w:rsidR="004A062D" w:rsidRPr="001D6C6C" w:rsidRDefault="001A6E8A" w:rsidP="00B3762B">
      <w:pPr>
        <w:pStyle w:val="43UeberschrG2"/>
      </w:pPr>
      <w:r>
        <w:t xml:space="preserve">Información general</w:t>
      </w:r>
    </w:p>
    <w:p w14:paraId="6A17D9D7" w14:textId="77777777" w:rsidR="004A062D" w:rsidRPr="001D6C6C" w:rsidRDefault="004A062D" w:rsidP="00D906B7">
      <w:pPr>
        <w:pStyle w:val="45UeberschrPara"/>
      </w:pPr>
      <w:r>
        <w:t xml:space="preserve">Objetivos</w:t>
      </w:r>
    </w:p>
    <w:p w14:paraId="300CFC3A" w14:textId="77777777" w:rsidR="005A58ED" w:rsidRPr="001D6C6C" w:rsidRDefault="004A062D" w:rsidP="00D906B7">
      <w:pPr>
        <w:pStyle w:val="51Abs"/>
      </w:pPr>
      <w:r>
        <w:rPr>
          <w:rStyle w:val="991GldSymbol"/>
        </w:rPr>
        <w:t xml:space="preserve">Artículo 1.</w:t>
      </w:r>
      <w:r>
        <w:t xml:space="preserve"> </w:t>
      </w:r>
      <w:r>
        <w:t xml:space="preserve">Los objetivos de la presente Ordenanza son los siguientes:</w:t>
      </w:r>
    </w:p>
    <w:p w14:paraId="7D34FEDB" w14:textId="77777777" w:rsidR="004A062D" w:rsidRPr="001D6C6C" w:rsidRDefault="005A58ED" w:rsidP="005A58ED">
      <w:pPr>
        <w:pStyle w:val="52Aufzaehle1Ziffer"/>
      </w:pPr>
      <w:r>
        <w:tab/>
      </w:r>
      <w:r>
        <w:t xml:space="preserve">1)</w:t>
      </w:r>
      <w:r>
        <w:tab/>
      </w:r>
      <w:r>
        <w:t xml:space="preserve">la consecución de los objetivos de recogida en una cuantía de al menos el 80 % a partir del año 2025 y de al menos el 90 % a partir del año 2027;</w:t>
      </w:r>
    </w:p>
    <w:p w14:paraId="752203D4" w14:textId="77777777" w:rsidR="00A050A9" w:rsidRPr="001D6C6C" w:rsidRDefault="005A58ED" w:rsidP="005A58ED">
      <w:pPr>
        <w:pStyle w:val="52Aufzaehle1Ziffer"/>
      </w:pPr>
      <w:r>
        <w:tab/>
      </w:r>
      <w:r>
        <w:t xml:space="preserve">2)</w:t>
      </w:r>
      <w:r>
        <w:tab/>
      </w:r>
      <w:r>
        <w:t xml:space="preserve">el reciclaje de alta calidad de los residuos de envases;</w:t>
      </w:r>
    </w:p>
    <w:p w14:paraId="34F9C7FD" w14:textId="77777777" w:rsidR="00D824B9" w:rsidRPr="001D6C6C" w:rsidRDefault="00A050A9" w:rsidP="00A050A9">
      <w:pPr>
        <w:pStyle w:val="52Aufzaehle1Ziffer"/>
      </w:pPr>
      <w:r>
        <w:tab/>
      </w:r>
      <w:r>
        <w:t xml:space="preserve">3)</w:t>
      </w:r>
      <w:r>
        <w:tab/>
      </w:r>
      <w:r>
        <w:t xml:space="preserve">la reutilización de plásticos y metales reciclados en recipientes para bebidas;</w:t>
      </w:r>
      <w:r>
        <w:t xml:space="preserve"> </w:t>
      </w:r>
      <w:r>
        <w:t xml:space="preserve">y</w:t>
      </w:r>
    </w:p>
    <w:p w14:paraId="6D7A0502" w14:textId="77777777" w:rsidR="004A062D" w:rsidRPr="001D6C6C" w:rsidRDefault="00D824B9" w:rsidP="00D824B9">
      <w:pPr>
        <w:pStyle w:val="52Aufzaehle1Ziffer"/>
      </w:pPr>
      <w:r>
        <w:tab/>
      </w:r>
      <w:r>
        <w:t xml:space="preserve">4)</w:t>
      </w:r>
      <w:r>
        <w:tab/>
      </w:r>
      <w:r>
        <w:t xml:space="preserve">la prevención de la basura procedente de envases de bebidas de un solo uso hechos de plástico y metal.</w:t>
      </w:r>
    </w:p>
    <w:p w14:paraId="7D1EFE3B" w14:textId="77777777" w:rsidR="004A062D" w:rsidRPr="001D6C6C" w:rsidRDefault="004A062D" w:rsidP="00D906B7">
      <w:pPr>
        <w:pStyle w:val="45UeberschrPara"/>
      </w:pPr>
      <w:r>
        <w:t xml:space="preserve">Ámbito de aplicación</w:t>
      </w:r>
    </w:p>
    <w:p w14:paraId="290C1BD7" w14:textId="77777777" w:rsidR="004A062D" w:rsidRPr="001D6C6C" w:rsidRDefault="004A062D" w:rsidP="00D906B7">
      <w:pPr>
        <w:pStyle w:val="51Abs"/>
      </w:pPr>
      <w:r>
        <w:rPr>
          <w:rStyle w:val="991GldSymbol"/>
        </w:rPr>
        <w:t xml:space="preserve">Artículo 2.</w:t>
      </w:r>
      <w:r>
        <w:t xml:space="preserve"> </w:t>
      </w:r>
      <w:r>
        <w:t xml:space="preserve">1.</w:t>
      </w:r>
      <w:r>
        <w:t xml:space="preserve"> </w:t>
      </w:r>
      <w:r>
        <w:t xml:space="preserve">La presente Ordenanza se aplicará a los envases de bebidas de un solo uso hechos de plástico y metal comercializados en Austria.</w:t>
      </w:r>
    </w:p>
    <w:p w14:paraId="5094CB11" w14:textId="77777777" w:rsidR="004A062D" w:rsidRPr="001D6C6C" w:rsidRDefault="004A062D" w:rsidP="00D906B7">
      <w:pPr>
        <w:pStyle w:val="51Abs"/>
      </w:pPr>
      <w:r>
        <w:t xml:space="preserve">2.</w:t>
      </w:r>
      <w:r>
        <w:t xml:space="preserve"> </w:t>
      </w:r>
      <w:r>
        <w:t xml:space="preserve">En el caso de las ventas a distancia en el sentido del artículo 3, punto 2, de la Ley sobre las transacciones a distancia y en el extranjero (FAGG, por su versión en alemán), Boletín Oficial Federal, parte I, n.º 33/2014, por parte de un comerciante de venta por correo que no tenga domicilio social ni establecimiento en Austria, los envases entregados en Austria y los residuos de envases acumulados posteriormente también están sujetos al ámbito de aplicación de la Ordenanza.</w:t>
      </w:r>
    </w:p>
    <w:p w14:paraId="773F1B59" w14:textId="77777777" w:rsidR="00AB0D4F" w:rsidRPr="001D6C6C" w:rsidRDefault="00AB0D4F" w:rsidP="00D906B7">
      <w:pPr>
        <w:pStyle w:val="51Abs"/>
      </w:pPr>
      <w:r>
        <w:t xml:space="preserve">3.</w:t>
      </w:r>
      <w:r>
        <w:t xml:space="preserve"> </w:t>
      </w:r>
      <w:r>
        <w:t xml:space="preserve">Las disposiciones de la Ordenanza sobre envases de 2014, Boletín Oficial Federal de Austria, parte II, n.º 184/2014, en su versión modificada, no se verán afectadas.</w:t>
      </w:r>
    </w:p>
    <w:p w14:paraId="4B090CCF" w14:textId="77777777" w:rsidR="004A062D" w:rsidRPr="001D6C6C" w:rsidRDefault="004A062D" w:rsidP="00D906B7">
      <w:pPr>
        <w:pStyle w:val="45UeberschrPara"/>
      </w:pPr>
      <w:r>
        <w:t xml:space="preserve">Definiciones</w:t>
      </w:r>
    </w:p>
    <w:p w14:paraId="353D3532" w14:textId="77777777" w:rsidR="004A062D" w:rsidRPr="001D6C6C" w:rsidRDefault="004A062D" w:rsidP="00D906B7">
      <w:pPr>
        <w:pStyle w:val="51Abs"/>
      </w:pPr>
      <w:r>
        <w:rPr>
          <w:rStyle w:val="991GldSymbol"/>
        </w:rPr>
        <w:t xml:space="preserve">Artículo 3.</w:t>
      </w:r>
      <w:r>
        <w:t xml:space="preserve"> </w:t>
      </w:r>
      <w:r>
        <w:t xml:space="preserve">A los efectos de la presente Ordenanza, se entenderá por:</w:t>
      </w:r>
    </w:p>
    <w:p w14:paraId="082E8A65" w14:textId="77777777" w:rsidR="004A062D" w:rsidRPr="001D6C6C" w:rsidRDefault="005034BF" w:rsidP="00D906B7">
      <w:pPr>
        <w:pStyle w:val="52Aufzaehle1Ziffer"/>
        <w:rPr>
          <w:rFonts w:eastAsiaTheme="minorHAnsi"/>
        </w:rPr>
      </w:pPr>
      <w:r>
        <w:tab/>
      </w:r>
      <w:r>
        <w:t xml:space="preserve">1)</w:t>
      </w:r>
      <w:r>
        <w:tab/>
      </w:r>
      <w:r>
        <w:t xml:space="preserve">«envases de bebidas»: envases de venta cerrados o predominantemente cerrados para bebidas;</w:t>
      </w:r>
    </w:p>
    <w:p w14:paraId="7C800640" w14:textId="77777777" w:rsidR="00234D9D" w:rsidRPr="001D6C6C" w:rsidRDefault="0007177B" w:rsidP="00234D9D">
      <w:pPr>
        <w:pStyle w:val="52Aufzaehle1Ziffer"/>
      </w:pPr>
      <w:r>
        <w:tab/>
      </w:r>
      <w:r>
        <w:t xml:space="preserve">2)</w:t>
      </w:r>
      <w:r>
        <w:tab/>
      </w:r>
      <w:r>
        <w:t xml:space="preserve">«envases de bebidas de plástico de un solo uso»: botellas de plástico de un solo uso para bebidas que estén total o parcialmente fabricadas en plástico, incluidas sus etiquetas, tapones y cierres que no hayan sido diseñadas, desarrolladas y comercializadas para someterse a múltiples ciclos de producción durante su ciclo de vida.</w:t>
      </w:r>
      <w:r>
        <w:t xml:space="preserve"> </w:t>
      </w:r>
      <w:r>
        <w:t xml:space="preserve">Quedan exentas las siguientes:</w:t>
      </w:r>
    </w:p>
    <w:p w14:paraId="567CC2FB" w14:textId="77777777" w:rsidR="00234D9D" w:rsidRPr="001D6C6C" w:rsidRDefault="00234D9D" w:rsidP="00234D9D">
      <w:pPr>
        <w:pStyle w:val="52Aufzaehle2Lit"/>
      </w:pPr>
      <w:r>
        <w:tab/>
      </w:r>
      <w:r>
        <w:t xml:space="preserve">a)</w:t>
      </w:r>
      <w:r>
        <w:tab/>
      </w:r>
      <w:r>
        <w:t xml:space="preserve">las botellas de bebidas de vidrio o metal que tengan tapas o cierres de plástico;</w:t>
      </w:r>
    </w:p>
    <w:p w14:paraId="0B50E93C" w14:textId="77777777" w:rsidR="008742DC" w:rsidRPr="001D6C6C" w:rsidRDefault="00234D9D" w:rsidP="00D678CB">
      <w:pPr>
        <w:pStyle w:val="52Aufzaehle2Lit"/>
      </w:pPr>
      <w:r>
        <w:tab/>
      </w:r>
      <w:r>
        <w:t xml:space="preserve">b)</w:t>
      </w:r>
      <w:r>
        <w:tab/>
      </w:r>
      <w:r>
        <w:t xml:space="preserve">las botellas de bebidas destinadas a alimentos líquidos para usos médicos especiales, tal como se definen en el artículo 2, letra g), del Reglamento (UE) n.º 609/2013 del Parlamento Europeo y del Consejo, relativo a los alimentos destinados a los lactantes y niños de corta edad, los alimentos para usos médicos especiales y los sustitutivos de la dieta completa para el control de peso y por el que se derogan la Directiva 92/52/CEE del Consejo, las Directivas 96/8/CE, 1999/21/CE, 2006/125/CE y 2006/141/CE de la Comisión, la Directiva 2009/39/CE del Parlamento Europeo y del Consejo y los Reglamentos (CE) n.º 41/2009 y (CE) n.º 953/2009 de la Comisión;</w:t>
      </w:r>
      <w:r>
        <w:t xml:space="preserve"> </w:t>
      </w:r>
      <w:r>
        <w:t xml:space="preserve">[DO L 181 de 29.6.2013, p. 35, modificado en último lugar por el Reglamento Delegado (UE) n.º 2021/571 (DO L 120 de 8.4.2021, p. 1)];</w:t>
      </w:r>
    </w:p>
    <w:p w14:paraId="3A10524D" w14:textId="77777777" w:rsidR="00234D9D" w:rsidRPr="001D6C6C" w:rsidRDefault="008742DC" w:rsidP="008742DC">
      <w:pPr>
        <w:pStyle w:val="52Aufzaehle2Lit"/>
      </w:pPr>
      <w:r>
        <w:tab/>
      </w:r>
      <w:r>
        <w:t xml:space="preserve">c)</w:t>
      </w:r>
      <w:r>
        <w:tab/>
      </w:r>
      <w:r>
        <w:t xml:space="preserve">las cajas de bebidas;</w:t>
      </w:r>
    </w:p>
    <w:p w14:paraId="1F3233F5" w14:textId="77777777" w:rsidR="00234D9D" w:rsidRPr="001D6C6C" w:rsidRDefault="00234D9D" w:rsidP="00234D9D">
      <w:pPr>
        <w:pStyle w:val="52Aufzaehle1Ziffer"/>
      </w:pPr>
      <w:r>
        <w:tab/>
      </w:r>
      <w:r>
        <w:t xml:space="preserve">3)</w:t>
      </w:r>
      <w:r>
        <w:tab/>
      </w:r>
      <w:r>
        <w:t xml:space="preserve">«envases de bebidas de un solo uso hechos de metal»: latas o botellas de bebidas fabricadas total o parcialmente con metal ferroso o aluminio, incluidas sus etiquetas, tapas y cierres, que no están diseñadas, desarrolladas y comercializadas para someterse a múltiples ciclos de producto durante su ciclo de vida;</w:t>
      </w:r>
    </w:p>
    <w:p w14:paraId="64000BA1" w14:textId="77777777" w:rsidR="00636C7E" w:rsidRPr="001D6C6C" w:rsidRDefault="00445122" w:rsidP="0007177B">
      <w:pPr>
        <w:pStyle w:val="52Aufzaehle1Ziffer"/>
      </w:pPr>
      <w:r>
        <w:tab/>
      </w:r>
      <w:r>
        <w:t xml:space="preserve">4)</w:t>
      </w:r>
      <w:r>
        <w:tab/>
      </w:r>
      <w:r>
        <w:t xml:space="preserve">«distribuidores iniciales»: las principales partes obligadas con arreglo al artículo 13 </w:t>
      </w:r>
      <w:r>
        <w:rPr>
          <w:i/>
          <w:iCs/>
        </w:rPr>
        <w:t xml:space="preserve">septies</w:t>
      </w:r>
      <w:r>
        <w:t xml:space="preserve"> de la AWG 2002 o, en el caso del embotellado por contrato, los mandantes de los embotelladores por contrato.</w:t>
      </w:r>
    </w:p>
    <w:p w14:paraId="70CB0038" w14:textId="77777777" w:rsidR="00DD5641" w:rsidRPr="001D6C6C" w:rsidRDefault="00DD5641" w:rsidP="00D72F48">
      <w:pPr>
        <w:pStyle w:val="41UeberschrG1"/>
      </w:pPr>
      <w:r>
        <w:t xml:space="preserve">2.</w:t>
      </w:r>
      <w:r>
        <w:t xml:space="preserve"> </w:t>
      </w:r>
      <w:r>
        <w:t xml:space="preserve">Sección</w:t>
      </w:r>
    </w:p>
    <w:p w14:paraId="36D4514A" w14:textId="77777777" w:rsidR="001A6E8A" w:rsidRPr="001D6C6C" w:rsidRDefault="001C4785" w:rsidP="00B3762B">
      <w:pPr>
        <w:pStyle w:val="43UeberschrG2"/>
      </w:pPr>
      <w:r>
        <w:t xml:space="preserve">Depósito de un solo uso</w:t>
      </w:r>
    </w:p>
    <w:p w14:paraId="0A3F61EC" w14:textId="77777777" w:rsidR="004A062D" w:rsidRPr="001D6C6C" w:rsidRDefault="004A062D" w:rsidP="00D906B7">
      <w:pPr>
        <w:pStyle w:val="45UeberschrPara"/>
      </w:pPr>
      <w:r>
        <w:t xml:space="preserve">Recogida de depósitos para envases de bebidas de un solo uso</w:t>
      </w:r>
    </w:p>
    <w:p w14:paraId="3C9C4CA3" w14:textId="77777777" w:rsidR="00234D9D" w:rsidRPr="001D6C6C" w:rsidRDefault="004A062D" w:rsidP="00E44EE3">
      <w:pPr>
        <w:pStyle w:val="51Abs"/>
      </w:pPr>
      <w:r>
        <w:rPr>
          <w:rStyle w:val="991GldSymbol"/>
        </w:rPr>
        <w:t xml:space="preserve">Artículo 4.</w:t>
      </w:r>
      <w:r>
        <w:t xml:space="preserve"> </w:t>
      </w:r>
      <w:r>
        <w:t xml:space="preserve">1.</w:t>
      </w:r>
      <w:r>
        <w:t xml:space="preserve"> </w:t>
      </w:r>
      <w:r>
        <w:t xml:space="preserve">A partir del 1 de enero de 2025, quien comercialice bebidas en envases de bebidas de un solo uso de plástico o metal con un volumen de llenado de 0,1 a 3,0 litros deberá recaudar del cliente respectivo, en nombre y por cuenta del organismo central, un depósito de 0,25 EUR por cada envase.</w:t>
      </w:r>
      <w:r>
        <w:t xml:space="preserve"> </w:t>
      </w:r>
      <w:r>
        <w:t xml:space="preserve">Los distribuidores iniciales comunicarán al organismo central, al menos mensualmente, los importes de los depósitos recaudados.</w:t>
      </w:r>
    </w:p>
    <w:p w14:paraId="5334E201" w14:textId="77777777" w:rsidR="00E44EE3" w:rsidRPr="001D6C6C" w:rsidRDefault="00DD5641" w:rsidP="00E44EE3">
      <w:pPr>
        <w:pStyle w:val="51Abs"/>
      </w:pPr>
      <w:r>
        <w:t xml:space="preserve">2.</w:t>
      </w:r>
      <w:r>
        <w:t xml:space="preserve"> </w:t>
      </w:r>
      <w:r>
        <w:t xml:space="preserve">No obstante lo dispuesto en el apartado 1, las bebidas en envases de bebidas de un solo uso fabricados en plástico o metal podrán venderse sin recoger un depósito hasta finales del 31 de diciembre de 2025, si se embotellan antes del 1 de marzo de 2025.</w:t>
      </w:r>
    </w:p>
    <w:p w14:paraId="2ECF2392" w14:textId="77777777" w:rsidR="00EA61CD" w:rsidRPr="001D6C6C" w:rsidRDefault="006E7F94" w:rsidP="001C4785">
      <w:pPr>
        <w:pStyle w:val="51Abs"/>
      </w:pPr>
      <w:r>
        <w:t xml:space="preserve">3.</w:t>
      </w:r>
      <w:r>
        <w:t xml:space="preserve"> </w:t>
      </w:r>
      <w:r>
        <w:t xml:space="preserve">Todos los tipos de bebidas, a excepción de la leche y las bebidas lácteas mezcladas, tal y como se definen en el Código Alimentario de Austria (</w:t>
      </w:r>
      <w:r>
        <w:rPr>
          <w:i/>
          <w:iCs/>
        </w:rPr>
        <w:t xml:space="preserve">Codex Alimentarius Austriacus</w:t>
      </w:r>
      <w:r>
        <w:t xml:space="preserve">, capítulo B32 del Código) están cubiertas por la obligación de depósito de acuerdo con el apartado 1.</w:t>
      </w:r>
    </w:p>
    <w:p w14:paraId="5B945E65" w14:textId="77777777" w:rsidR="00636C7E" w:rsidRPr="001D6C6C" w:rsidRDefault="00636C7E" w:rsidP="001C4785">
      <w:pPr>
        <w:pStyle w:val="51Abs"/>
      </w:pPr>
      <w:r>
        <w:t xml:space="preserve">4.</w:t>
      </w:r>
      <w:r>
        <w:t xml:space="preserve"> </w:t>
      </w:r>
      <w:r>
        <w:t xml:space="preserve">Los distribuidores iniciales están obligados a registrarse en el organismo central y a firmar un contrato con este.</w:t>
      </w:r>
      <w:r>
        <w:t xml:space="preserve"> </w:t>
      </w:r>
      <w:r>
        <w:t xml:space="preserve">Además, los distribuidores iniciales están obligados a registrar en el organismo central los tipos de recipientes que comercializan de acuerdo con los apartados 1 a 3 y a pagar las contribuciones del productor o los costes de registro previstos.</w:t>
      </w:r>
    </w:p>
    <w:p w14:paraId="65F63808" w14:textId="77777777" w:rsidR="006E7F94" w:rsidRPr="001D6C6C" w:rsidRDefault="006E7F94" w:rsidP="000D0CAE">
      <w:pPr>
        <w:pStyle w:val="45UeberschrPara"/>
      </w:pPr>
      <w:r>
        <w:t xml:space="preserve">Devolución de envases de bebidas de un solo uso sujetos a depósito y pago del importe del depósito</w:t>
      </w:r>
    </w:p>
    <w:p w14:paraId="31D087F6" w14:textId="77777777" w:rsidR="004E47AD" w:rsidRPr="001D6C6C" w:rsidRDefault="009258FF" w:rsidP="004E47AD">
      <w:pPr>
        <w:pStyle w:val="51Abs"/>
      </w:pPr>
      <w:r>
        <w:rPr>
          <w:rStyle w:val="991GldSymbol"/>
        </w:rPr>
        <w:t xml:space="preserve">Artículo 5.</w:t>
      </w:r>
      <w:r>
        <w:t xml:space="preserve"> </w:t>
      </w:r>
      <w:r>
        <w:t xml:space="preserve">1.</w:t>
      </w:r>
      <w:r>
        <w:t xml:space="preserve"> </w:t>
      </w:r>
      <w:r>
        <w:t xml:space="preserve">Cada distribuidor final de envases de bebidas de un solo uso sujetos a depósito de conformidad con el artículo 4, deberá recuperarlos del consumidor final durante el horario comercial normal contra el pago del importe de depósito de 0,25 EUR por envase si han sido vaciados de su contenido.</w:t>
      </w:r>
      <w:r>
        <w:t xml:space="preserve"> </w:t>
      </w:r>
      <w:r>
        <w:t xml:space="preserve">La devolución puede realizarse mediante máquinas de devolución automáticas o manualmente.</w:t>
      </w:r>
    </w:p>
    <w:p w14:paraId="27FCC847" w14:textId="77777777" w:rsidR="00D7653D" w:rsidRPr="001D6C6C" w:rsidRDefault="00D7653D" w:rsidP="006E7F94">
      <w:pPr>
        <w:pStyle w:val="51Abs"/>
      </w:pPr>
      <w:r>
        <w:t xml:space="preserve">2.</w:t>
      </w:r>
      <w:r>
        <w:t xml:space="preserve"> </w:t>
      </w:r>
      <w:r>
        <w:t xml:space="preserve">No obstante lo dispuesto en el apartado 1, los operadores de los puntos de venta en los que la devolución no se realice a través de una máquina expendedora de devolución solo aceptarán en dicho punto de venta aquellos envases de bebidas de un solo uso por los que se haya pagado un depósito que corresponda a los envases de bebidas de un solo uso ofrecidos en lo que respecta al material de envasado y al volumen de llenado.</w:t>
      </w:r>
      <w:r>
        <w:t xml:space="preserve"> </w:t>
      </w:r>
      <w:r>
        <w:t xml:space="preserve">Estos operadores solo tienen que recuperar el número de envases de bebidas de un solo uso que los consumidores finales suelen comprar en este punto de venta.</w:t>
      </w:r>
    </w:p>
    <w:p w14:paraId="279C1274" w14:textId="77777777" w:rsidR="004421D6" w:rsidRPr="001D6C6C" w:rsidRDefault="009F7F39" w:rsidP="006E7F94">
      <w:pPr>
        <w:pStyle w:val="51Abs"/>
      </w:pPr>
      <w:r>
        <w:t xml:space="preserve">3.</w:t>
      </w:r>
      <w:r>
        <w:t xml:space="preserve"> </w:t>
      </w:r>
      <w:r>
        <w:t xml:space="preserve">No obstante lo dispuesto en el apartado 2, varios operadores de puntos de venta situados en lugares muy frecuentados, como en particular aeropuertos, estaciones de ferrocarril o centros comerciales, también podrán designar un punto de devolución alternativo común en el que los consumidores finales puedan devolver los recipientes de depósito.</w:t>
      </w:r>
      <w:r>
        <w:t xml:space="preserve"> </w:t>
      </w:r>
      <w:r>
        <w:t xml:space="preserve">Este punto de devolución debe estar muy cerca de los puntos de venta.</w:t>
      </w:r>
      <w:r>
        <w:t xml:space="preserve"> </w:t>
      </w:r>
      <w:r>
        <w:t xml:space="preserve">Los consumidores finales deben estar claramente informados de estas opciones de devolución en los puntos de venta.</w:t>
      </w:r>
      <w:r>
        <w:t xml:space="preserve"> </w:t>
      </w:r>
      <w:r>
        <w:t xml:space="preserve">Los vales de depósito que allí se expidan deberán poder canjearse en las inmediaciones de la máquina expendedora.</w:t>
      </w:r>
      <w:r>
        <w:t xml:space="preserve"> </w:t>
      </w:r>
      <w:r>
        <w:t xml:space="preserve">Los distribuidores finales tienen que informar claramente a los consumidores finales en la máquina expendedora sobre estas opciones de devolución.</w:t>
      </w:r>
    </w:p>
    <w:p w14:paraId="297CAAA2" w14:textId="77777777" w:rsidR="0075561E" w:rsidRPr="001D6C6C" w:rsidRDefault="00176A9D" w:rsidP="00780B72">
      <w:pPr>
        <w:pStyle w:val="51Abs"/>
      </w:pPr>
      <w:r>
        <w:t xml:space="preserve">4.</w:t>
      </w:r>
      <w:r>
        <w:t xml:space="preserve"> </w:t>
      </w:r>
      <w:r>
        <w:t xml:space="preserve">Los operadores de establecimientos de restauración, como, en particular, los establecimientos de alojamiento, los restaurantes, las cafeterías, los establecimientos de restauración o los puestos de salchichas, se consideran distribuidores finales.</w:t>
      </w:r>
      <w:r>
        <w:t xml:space="preserve"> </w:t>
      </w:r>
      <w:r>
        <w:t xml:space="preserve">Los explotadores de establecimientos de restauración en los que, por regla general, no se retiran envases de bebidas de un solo uso, no tienen que cobrar y reembolsar al consumidor un depósito por los envases de bebidas de un solo uso que permanezcan en el establecimiento, como excepción a lo dispuesto en el artículo 4 y en el apartado 1, y tampoco existe la obligación de aceptar devoluciones.</w:t>
      </w:r>
      <w:r>
        <w:t xml:space="preserve"> </w:t>
      </w:r>
      <w:r>
        <w:t xml:space="preserve">Si los envases de bebidas de un solo uso se retiran de los locales, los operadores de los establecimientos de restauración están obligados a aceptar las devoluciones de conformidad con el apartado 2.</w:t>
      </w:r>
    </w:p>
    <w:p w14:paraId="2EAACF10" w14:textId="77777777" w:rsidR="000478AB" w:rsidRPr="001D6C6C" w:rsidRDefault="00591062" w:rsidP="002467E6">
      <w:pPr>
        <w:pStyle w:val="51Abs"/>
      </w:pPr>
      <w:r>
        <w:t xml:space="preserve">5.</w:t>
      </w:r>
      <w:r>
        <w:t xml:space="preserve"> </w:t>
      </w:r>
      <w:r>
        <w:t xml:space="preserve">No obstante lo dispuesto en el apartado 1, los distribuidores finales que vendan envases de bebidas de un solo uso con depósito de máquinas expendedoras pagarán al organismo central una tasa de compensación por envase determinada por dicho organismo central, que se basará en el coste del canje adicional en otros puntos de canje, a menos que el distribuidor final pueda demostrar al organismo central que existe una opción de devolución en las inmediaciones de la máquina expendedora.</w:t>
      </w:r>
      <w:r>
        <w:t xml:space="preserve"> </w:t>
      </w:r>
      <w:r>
        <w:t xml:space="preserve">Los distribuidores finales tienen que informar claramente a los consumidores finales en la máquina expendedora sobre estas opciones de devolución.</w:t>
      </w:r>
    </w:p>
    <w:p w14:paraId="69D653DB" w14:textId="77777777" w:rsidR="00A279C5" w:rsidRPr="001D6C6C" w:rsidRDefault="00BA1695" w:rsidP="002467E6">
      <w:pPr>
        <w:pStyle w:val="51Abs"/>
      </w:pPr>
      <w:r>
        <w:t xml:space="preserve">6.</w:t>
      </w:r>
      <w:r>
        <w:t xml:space="preserve"> </w:t>
      </w:r>
      <w:r>
        <w:t xml:space="preserve">En caso de ventas a través de servicios de entrega, en particular a través del comercio en línea, el distribuidor final debe garantizar la devolución y el reembolso del depósito en el momento de la entrega.</w:t>
      </w:r>
      <w:r>
        <w:t xml:space="preserve"> </w:t>
      </w:r>
      <w:r>
        <w:t xml:space="preserve">No obstante lo dispuesto en el apartado 1, el importe del depósito podrá abonarse por la misma vía que la liquidación del pedido.</w:t>
      </w:r>
      <w:r>
        <w:t xml:space="preserve"> </w:t>
      </w:r>
      <w:r>
        <w:t xml:space="preserve">Solo deben retirarse los envases de bebidas de un solo uso con un depósito que corresponda al envase de bebidas de un solo uso ofrecido por material de envasado y volumen.</w:t>
      </w:r>
      <w:r>
        <w:t xml:space="preserve"> </w:t>
      </w:r>
      <w:r>
        <w:t xml:space="preserve">Estos distribuidores finales solo tienen que recuperar el número de envases de bebidas de un solo uso que suelen pedir los consumidores finales.</w:t>
      </w:r>
      <w:r>
        <w:t xml:space="preserve"> </w:t>
      </w:r>
      <w:r>
        <w:t xml:space="preserve">Los proveedores de servicios postales, de paquetería u otros servicios de transporte de mercancías están exentos de estas obligaciones.</w:t>
      </w:r>
    </w:p>
    <w:p w14:paraId="5E5BD77E" w14:textId="77777777" w:rsidR="0075561E" w:rsidRPr="001D6C6C" w:rsidRDefault="004B427A" w:rsidP="0075561E">
      <w:pPr>
        <w:pStyle w:val="51Abs"/>
      </w:pPr>
      <w:r>
        <w:t xml:space="preserve">7.</w:t>
      </w:r>
      <w:r>
        <w:t xml:space="preserve"> </w:t>
      </w:r>
      <w:r>
        <w:t xml:space="preserve">No obstante lo dispuesto en los apartados 1 y 6, en el caso de la venta de envases de bebidas de un solo uso con depósito, cuando la entrega se realice a través de servicios postales, servicios de paquetería u otros proveedores de servicios de transporte de mercancías, el distribuidor final deberá abonar al organismo central una contribución compensatoria por envase determinada por dicho organismo central, que se basará en el coste del reembolso adicional de otros puntos de recogida.</w:t>
      </w:r>
      <w:r>
        <w:t xml:space="preserve"> </w:t>
      </w:r>
      <w:r>
        <w:t xml:space="preserve">Lo mismo se aplica a las entregas de alimentos de restaurantes y terceros encargados por ellos.</w:t>
      </w:r>
    </w:p>
    <w:p w14:paraId="0466DBF0" w14:textId="77777777" w:rsidR="00C06551" w:rsidRPr="001D6C6C" w:rsidRDefault="006E7F94" w:rsidP="002467E6">
      <w:pPr>
        <w:pStyle w:val="51Abs"/>
      </w:pPr>
      <w:r>
        <w:t xml:space="preserve">8.</w:t>
      </w:r>
      <w:r>
        <w:t xml:space="preserve"> </w:t>
      </w:r>
      <w:r>
        <w:t xml:space="preserve">La devolución voluntaria de los envases de bebidas de un solo uso sujetos a depósito de conformidad con el artículo 4 también podrá realizarse en los puntos de devolución integrados contractualmente por el organismo central.</w:t>
      </w:r>
      <w:r>
        <w:t xml:space="preserve"> </w:t>
      </w:r>
      <w:r>
        <w:t xml:space="preserve">Dichos contratos se celebrarán teniendo especialmente en cuenta la rentabilidad, la accesibilidad para los consumidores finales y la distribución geográfica.</w:t>
      </w:r>
    </w:p>
    <w:p w14:paraId="79102D86" w14:textId="77777777" w:rsidR="001A6E8A" w:rsidRPr="001D6C6C" w:rsidRDefault="00C06551" w:rsidP="002467E6">
      <w:pPr>
        <w:pStyle w:val="51Abs"/>
      </w:pPr>
      <w:r>
        <w:t xml:space="preserve">9.</w:t>
      </w:r>
      <w:r>
        <w:t xml:space="preserve"> </w:t>
      </w:r>
      <w:r>
        <w:t xml:space="preserve">La aceptación voluntaria de devoluciones también puede ser acordada por el organizador con el organismo central de eventos, donde las bebidas en envases de bebidas de un solo uso solo se comercializan y se aceptan devoluciones durante un período de tiempo limitado.</w:t>
      </w:r>
      <w:r>
        <w:t xml:space="preserve"> </w:t>
      </w:r>
      <w:r>
        <w:t xml:space="preserve">Además, puede acordarse con el organismo central un reembolso voluntario en el marco de campañas de recaudación de fondos.</w:t>
      </w:r>
    </w:p>
    <w:p w14:paraId="7CAF5561" w14:textId="77777777" w:rsidR="006E7F94" w:rsidRPr="001D6C6C" w:rsidRDefault="006E7F94" w:rsidP="006E7F94">
      <w:pPr>
        <w:pStyle w:val="45UeberschrPara"/>
      </w:pPr>
      <w:r>
        <w:t xml:space="preserve">Etiquetado</w:t>
      </w:r>
    </w:p>
    <w:p w14:paraId="6D6B530F" w14:textId="77777777" w:rsidR="002A5380" w:rsidRPr="001D6C6C" w:rsidRDefault="0094404F" w:rsidP="00D906B7">
      <w:pPr>
        <w:pStyle w:val="51Abs"/>
      </w:pPr>
      <w:r>
        <w:rPr>
          <w:rStyle w:val="991GldSymbol"/>
        </w:rPr>
        <w:t xml:space="preserve">Artículo 6.</w:t>
      </w:r>
      <w:r>
        <w:t xml:space="preserve"> </w:t>
      </w:r>
      <w:r>
        <w:t xml:space="preserve">Los envases de bebidas de un solo uso conforme al artículo 4 deberán ser visibles, reconocibles y estar marcados de forma permanente con un código de barras y con el símbolo de depósito conforme al </w:t>
      </w:r>
      <w:r>
        <w:rPr>
          <w:b/>
          <w:bCs/>
        </w:rPr>
        <w:t xml:space="preserve">anexo</w:t>
      </w:r>
      <w:r>
        <w:t xml:space="preserve">.</w:t>
      </w:r>
    </w:p>
    <w:p w14:paraId="495E6B26" w14:textId="77777777" w:rsidR="004B427A" w:rsidRPr="001D6C6C" w:rsidRDefault="004B427A" w:rsidP="00D72F48">
      <w:pPr>
        <w:pStyle w:val="41UeberschrG1"/>
      </w:pPr>
      <w:r>
        <w:t xml:space="preserve">3.</w:t>
      </w:r>
      <w:r>
        <w:t xml:space="preserve"> </w:t>
      </w:r>
      <w:r>
        <w:t xml:space="preserve">Sección</w:t>
      </w:r>
    </w:p>
    <w:p w14:paraId="46415EA8" w14:textId="77777777" w:rsidR="001A6E8A" w:rsidRPr="001D6C6C" w:rsidRDefault="004B427A" w:rsidP="00B3762B">
      <w:pPr>
        <w:pStyle w:val="43UeberschrG2"/>
      </w:pPr>
      <w:r>
        <w:t xml:space="preserve">Organismo central</w:t>
      </w:r>
    </w:p>
    <w:p w14:paraId="54D9224E" w14:textId="77777777" w:rsidR="006E7F94" w:rsidRPr="001D6C6C" w:rsidRDefault="00E601E2" w:rsidP="00E601E2">
      <w:pPr>
        <w:pStyle w:val="45UeberschrPara"/>
      </w:pPr>
      <w:r>
        <w:t xml:space="preserve">Establecimiento de un organismo central</w:t>
      </w:r>
    </w:p>
    <w:p w14:paraId="2905EAEC" w14:textId="77777777" w:rsidR="00441FD1" w:rsidRPr="001D6C6C" w:rsidRDefault="007222BF" w:rsidP="007222BF">
      <w:pPr>
        <w:pStyle w:val="51Abs"/>
      </w:pPr>
      <w:r>
        <w:rPr>
          <w:rStyle w:val="991GldSymbol"/>
        </w:rPr>
        <w:t xml:space="preserve">Artículo 7.</w:t>
      </w:r>
      <w:r>
        <w:t xml:space="preserve"> </w:t>
      </w:r>
      <w:r>
        <w:t xml:space="preserve">1.</w:t>
      </w:r>
      <w:r>
        <w:t xml:space="preserve"> </w:t>
      </w:r>
      <w:r>
        <w:t xml:space="preserve">Los distribuidores iniciales y los operadores de recogida establecerán un organismo central sin ánimo de lucro en forma de sociedad de responsabilidad limitada [SL (GmbH, por su versión en alemán)].</w:t>
      </w:r>
    </w:p>
    <w:p w14:paraId="63121861" w14:textId="77777777" w:rsidR="0077633F" w:rsidRPr="001D6C6C" w:rsidRDefault="003615AB" w:rsidP="007222BF">
      <w:pPr>
        <w:pStyle w:val="51Abs"/>
      </w:pPr>
      <w:r>
        <w:t xml:space="preserve">2.</w:t>
      </w:r>
      <w:r>
        <w:t xml:space="preserve"> </w:t>
      </w:r>
      <w:r>
        <w:t xml:space="preserve">Se alcanzará un acuerdo con el Ministro Federal de Protección del Clima, Medio Ambiente, Energía, Movilidad, Innovación y Tecnología sobre los estatutos de la asociación patrocinadora, el memorándum y los estatutos del órgano central y cualquier modificación sustancial prevista de estos documentos.</w:t>
      </w:r>
      <w:r>
        <w:t xml:space="preserve"> </w:t>
      </w:r>
      <w:r>
        <w:t xml:space="preserve">Si no se alcanza la aprobación, el Ministro Federal de Protección del Clima, Medio Ambiente, Energía, Movilidad, Innovación y Tecnología emitirá, previa solicitud, un aviso en el que se indiquen los motivos del rechazo.</w:t>
      </w:r>
    </w:p>
    <w:p w14:paraId="483E275E" w14:textId="77777777" w:rsidR="00DF3A34" w:rsidRPr="001D6C6C" w:rsidRDefault="003615AB" w:rsidP="007222BF">
      <w:pPr>
        <w:pStyle w:val="51Abs"/>
      </w:pPr>
      <w:r>
        <w:t xml:space="preserve">3.</w:t>
      </w:r>
      <w:r>
        <w:t xml:space="preserve"> </w:t>
      </w:r>
      <w:r>
        <w:t xml:space="preserve">La sociedad de responsabilidad limitada nombrará un consejo de supervisión, que en cualquier caso tendrá derecho de aprobación sobre la determinación de la compensación de los gastos de reembolso, así como de los contratos:</w:t>
      </w:r>
      <w:r>
        <w:t xml:space="preserve"> </w:t>
      </w:r>
    </w:p>
    <w:p w14:paraId="13790ABB" w14:textId="77777777" w:rsidR="00DF3A34" w:rsidRPr="001D6C6C" w:rsidRDefault="002553AD" w:rsidP="002553AD">
      <w:pPr>
        <w:pStyle w:val="52Aufzaehle1Ziffer"/>
      </w:pPr>
      <w:r>
        <w:tab/>
      </w:r>
      <w:r>
        <w:t xml:space="preserve">1)</w:t>
      </w:r>
      <w:r>
        <w:tab/>
      </w:r>
      <w:r>
        <w:t xml:space="preserve">con un volumen superior a 250 000 euros; o</w:t>
      </w:r>
      <w:r>
        <w:t xml:space="preserve"> </w:t>
      </w:r>
    </w:p>
    <w:p w14:paraId="22EAC43F" w14:textId="6DF007DB" w:rsidR="00A7395C" w:rsidRPr="001D6C6C" w:rsidRDefault="002553AD" w:rsidP="00FB180A">
      <w:pPr>
        <w:pStyle w:val="52Aufzaehle1Ziffer"/>
      </w:pPr>
      <w:r>
        <w:tab/>
      </w:r>
      <w:r>
        <w:t xml:space="preserve">2)</w:t>
      </w:r>
      <w:r>
        <w:tab/>
      </w:r>
      <w:r>
        <w:t xml:space="preserve">con un volumen superior a 100 000 euros. Si se supera el presupuesto aprobado, se concederá.</w:t>
      </w:r>
      <w:r>
        <w:t xml:space="preserve"> </w:t>
      </w:r>
    </w:p>
    <w:p w14:paraId="23776E8B" w14:textId="77777777" w:rsidR="00A93961" w:rsidRPr="001D6C6C" w:rsidRDefault="00561881" w:rsidP="00A93961">
      <w:pPr>
        <w:pStyle w:val="51Abs"/>
      </w:pPr>
      <w:r>
        <w:t xml:space="preserve">4.</w:t>
      </w:r>
      <w:r>
        <w:t xml:space="preserve"> </w:t>
      </w:r>
      <w:r>
        <w:t xml:space="preserve">La sociedad de responsabilidad limitada designará un comité de empresa propio al que, en contra de lo dispuesto en el apartado 3, se le concederá en todo caso el derecho de aprobar los contratos que se celebren entre el órgano central y los miembros de la asociación de apoyo en lugar del consejo de supervisión.</w:t>
      </w:r>
      <w:r>
        <w:t xml:space="preserve"> </w:t>
      </w:r>
      <w:r>
        <w:t xml:space="preserve">En tales casos, el comité de empresa en sí tendrá la función de un consejo de supervisión especial.</w:t>
      </w:r>
      <w:r>
        <w:t xml:space="preserve"> </w:t>
      </w:r>
      <w:r>
        <w:t xml:space="preserve">Los miembros que deban considerarse partes vinculadas en relación con un contrato y las personas que mantengan con ellos una relación de competencia no podrán participar en la votación sobre la concesión de la aprobación del comité de empresa.</w:t>
      </w:r>
    </w:p>
    <w:p w14:paraId="37D8932D" w14:textId="77777777" w:rsidR="00E601E2" w:rsidRPr="001D6C6C" w:rsidRDefault="00E72B42" w:rsidP="00E601E2">
      <w:pPr>
        <w:pStyle w:val="45UeberschrPara"/>
      </w:pPr>
      <w:r>
        <w:t xml:space="preserve">Tareas generales del organismo central</w:t>
      </w:r>
    </w:p>
    <w:p w14:paraId="0A930689" w14:textId="77777777" w:rsidR="00086FE8" w:rsidRPr="001D6C6C" w:rsidRDefault="007222BF" w:rsidP="00080D0C">
      <w:pPr>
        <w:pStyle w:val="51Abs"/>
      </w:pPr>
      <w:r>
        <w:rPr>
          <w:rStyle w:val="991GldSymbol"/>
        </w:rPr>
        <w:t xml:space="preserve">Artículo 8.</w:t>
      </w:r>
      <w:r>
        <w:t xml:space="preserve"> </w:t>
      </w:r>
      <w:r>
        <w:t xml:space="preserve">1.</w:t>
      </w:r>
      <w:r>
        <w:t xml:space="preserve"> </w:t>
      </w:r>
      <w:r>
        <w:t xml:space="preserve">El organismo central llevará a cabo todas las tareas relacionadas con la organización y ejecución de flujos materiales, de efectivo y de datos de conformidad con las secciones 4 a 6 de la presente Ordenanza.</w:t>
      </w:r>
      <w:r>
        <w:t xml:space="preserve"> </w:t>
      </w:r>
      <w:r>
        <w:t xml:space="preserve">El organismo central deberá cumplir los requisitos mínimos establecidos en el artículo 28 </w:t>
      </w:r>
      <w:r>
        <w:rPr>
          <w:i/>
          <w:iCs/>
        </w:rPr>
        <w:t xml:space="preserve">quater</w:t>
      </w:r>
      <w:r>
        <w:t xml:space="preserve">, apartados 2 y 3, de la AWG de 2002.</w:t>
      </w:r>
    </w:p>
    <w:p w14:paraId="456E596F" w14:textId="77777777" w:rsidR="00272194" w:rsidRPr="001D6C6C" w:rsidRDefault="00272194" w:rsidP="00080D0C">
      <w:pPr>
        <w:pStyle w:val="51Abs"/>
      </w:pPr>
      <w:r>
        <w:t xml:space="preserve">2.</w:t>
      </w:r>
      <w:r>
        <w:t xml:space="preserve"> </w:t>
      </w:r>
      <w:r>
        <w:t xml:space="preserve">El organismo central podrá recurrir a uno o varios terceros independientes en el desempeño de las tareas individuales a que se refiere el apartado 1.</w:t>
      </w:r>
    </w:p>
    <w:p w14:paraId="3569E2D9" w14:textId="77777777" w:rsidR="00A279C5" w:rsidRPr="001D6C6C" w:rsidRDefault="00E72B42" w:rsidP="00F67F0F">
      <w:pPr>
        <w:pStyle w:val="51Abs"/>
      </w:pPr>
      <w:r>
        <w:t xml:space="preserve">3.</w:t>
      </w:r>
      <w:r>
        <w:t xml:space="preserve"> </w:t>
      </w:r>
      <w:r>
        <w:t xml:space="preserve">El organismo central elaborará un concepto de control eficaz para los distribuidores iniciales.</w:t>
      </w:r>
      <w:r>
        <w:t xml:space="preserve"> </w:t>
      </w:r>
      <w:r>
        <w:t xml:space="preserve">Además, este concepto de control debe incluir también un control de los responsables de la recogida de los recipientes, en particular mediante la comprobación de la exactitud de los recipientes de depósito devueltos y de las liquidaciones.</w:t>
      </w:r>
      <w:r>
        <w:t xml:space="preserve"> </w:t>
      </w:r>
      <w:r>
        <w:t xml:space="preserve">Este concepto de control se presentará al Ministro Federal de Protección del Clima, Medio Ambiente, Energía, Movilidad, Innovación y Tecnología a más tardar el 1 de julio de 2025 y posteriormente en caso de cambios significativos.</w:t>
      </w:r>
    </w:p>
    <w:p w14:paraId="3A306B69" w14:textId="77777777" w:rsidR="00A279C5" w:rsidRPr="001D6C6C" w:rsidRDefault="00A279C5" w:rsidP="00F67F0F">
      <w:pPr>
        <w:pStyle w:val="51Abs"/>
      </w:pPr>
      <w:r>
        <w:t xml:space="preserve">4.</w:t>
      </w:r>
      <w:r>
        <w:t xml:space="preserve"> </w:t>
      </w:r>
      <w:r>
        <w:t xml:space="preserve">El organismo central se hará cargo de los costes de las operaciones de limpieza relacionadas con los residuos de envases de plástico de un solo uso para bebidas con depósito y del posterior transporte y tratamiento de dichos residuos a partir del año natural 2025.</w:t>
      </w:r>
      <w:r>
        <w:t xml:space="preserve"> </w:t>
      </w:r>
      <w:r>
        <w:t xml:space="preserve">Los costes que deban sufragarse se determinarán entre los agentes afectados de manera transparente con arreglo al Derecho civil.</w:t>
      </w:r>
      <w:r>
        <w:t xml:space="preserve"> </w:t>
      </w:r>
      <w:r>
        <w:t xml:space="preserve">Los costes de las operaciones de limpieza relacionadas con los residuos se limitan a las actividades realizadas por las autoridades públicas o en nombre de las autoridades públicas.</w:t>
      </w:r>
      <w:r>
        <w:t xml:space="preserve"> </w:t>
      </w:r>
      <w:r>
        <w:t xml:space="preserve">El método de cálculo se diseñará para determinar los costes asociados a la eliminación de residuos de manera proporcionada.</w:t>
      </w:r>
      <w:r>
        <w:t xml:space="preserve"> </w:t>
      </w:r>
      <w:r>
        <w:t xml:space="preserve">A fin de mantener los costes administrativos lo más bajos posible, las contribuciones financieras a los costes de las operaciones de limpieza podrán determinarse mediante importes fijos adecuados, incluidos importes fijos plurianuales.</w:t>
      </w:r>
    </w:p>
    <w:p w14:paraId="6E95670B" w14:textId="77777777" w:rsidR="006F362E" w:rsidRPr="001D6C6C" w:rsidRDefault="006F362E" w:rsidP="006F362E">
      <w:pPr>
        <w:pStyle w:val="45UeberschrPara"/>
      </w:pPr>
      <w:r>
        <w:t xml:space="preserve">Información de los consumidores finales</w:t>
      </w:r>
    </w:p>
    <w:p w14:paraId="749F1145" w14:textId="77777777" w:rsidR="00E133F7" w:rsidRPr="001D6C6C" w:rsidRDefault="006F362E" w:rsidP="00E133F7">
      <w:pPr>
        <w:pStyle w:val="51Abs"/>
      </w:pPr>
      <w:r>
        <w:rPr>
          <w:rStyle w:val="991GldSymbol"/>
        </w:rPr>
        <w:t xml:space="preserve">Artículo 9.</w:t>
      </w:r>
      <w:r>
        <w:t xml:space="preserve"> </w:t>
      </w:r>
      <w:r>
        <w:t xml:space="preserve">El organismo central debe informar a los consumidores finales sobre la correcta manipulación de los recipientes para bebidas, el significado del símbolo de depósito y los puntos de devolución adecuados implicando a las estructuras existentes de consulta de residuos municipales.</w:t>
      </w:r>
      <w:r>
        <w:t xml:space="preserve"> </w:t>
      </w:r>
      <w:r>
        <w:t xml:space="preserve">En particular, dicha información abarcará lo siguiente:</w:t>
      </w:r>
    </w:p>
    <w:p w14:paraId="15668313" w14:textId="77777777" w:rsidR="00E133F7" w:rsidRPr="001D6C6C" w:rsidRDefault="00E133F7" w:rsidP="00E133F7">
      <w:pPr>
        <w:pStyle w:val="52Aufzaehle1Ziffer"/>
      </w:pPr>
      <w:r>
        <w:tab/>
      </w:r>
      <w:r>
        <w:t xml:space="preserve">1)</w:t>
      </w:r>
      <w:r>
        <w:tab/>
      </w:r>
      <w:r>
        <w:t xml:space="preserve">medidas para prevenir los residuos, incluidos incentivos para un comportamiento responsable de los consumidores;</w:t>
      </w:r>
    </w:p>
    <w:p w14:paraId="18BF1EE3" w14:textId="77777777" w:rsidR="00E133F7" w:rsidRPr="001D6C6C" w:rsidRDefault="00E133F7" w:rsidP="00E133F7">
      <w:pPr>
        <w:pStyle w:val="52Aufzaehle1Ziffer"/>
      </w:pPr>
      <w:r>
        <w:tab/>
      </w:r>
      <w:r>
        <w:t xml:space="preserve">2)</w:t>
      </w:r>
      <w:r>
        <w:tab/>
      </w:r>
      <w:r>
        <w:t xml:space="preserve">disponibilidad de alternativas reutilizables y sistemas de reutilización;</w:t>
      </w:r>
    </w:p>
    <w:p w14:paraId="771099AB" w14:textId="77777777" w:rsidR="00E133F7" w:rsidRPr="001D6C6C" w:rsidRDefault="00E133F7" w:rsidP="00E133F7">
      <w:pPr>
        <w:pStyle w:val="52Aufzaehle1Ziffer"/>
      </w:pPr>
      <w:r>
        <w:tab/>
      </w:r>
      <w:r>
        <w:t xml:space="preserve">3)</w:t>
      </w:r>
      <w:r>
        <w:tab/>
      </w:r>
      <w:r>
        <w:t xml:space="preserve">posibilidades y conveniencia de las posibilidades de eliminación y recuperación adecuadas en términos de conservación de los recursos;</w:t>
      </w:r>
      <w:r>
        <w:t xml:space="preserve"> </w:t>
      </w:r>
      <w:r>
        <w:t xml:space="preserve">y</w:t>
      </w:r>
    </w:p>
    <w:p w14:paraId="52E41F98" w14:textId="77777777" w:rsidR="00E133F7" w:rsidRPr="001D6C6C" w:rsidRDefault="00E133F7" w:rsidP="00E133F7">
      <w:pPr>
        <w:pStyle w:val="52Aufzaehle1Ziffer"/>
      </w:pPr>
      <w:r>
        <w:tab/>
      </w:r>
      <w:r>
        <w:t xml:space="preserve">4)</w:t>
      </w:r>
      <w:r>
        <w:tab/>
      </w:r>
      <w:r>
        <w:t xml:space="preserve">repercusión negativa en el medio ambiente de la basura y otra eliminación inadecuada del producto en cuestión.</w:t>
      </w:r>
    </w:p>
    <w:p w14:paraId="149CE868" w14:textId="77777777" w:rsidR="006F362E" w:rsidRPr="001D6C6C" w:rsidRDefault="00E133F7" w:rsidP="00605F73">
      <w:pPr>
        <w:pStyle w:val="58Schlussteile0Abs"/>
      </w:pPr>
      <w:r>
        <w:t xml:space="preserve">Deben cumplirse los requisitos pertinentes relacionados con el contenido del Ministro Federal de Protección del Clima, Medio Ambiente, Energía, Movilidad, Innovación y Tecnología.</w:t>
      </w:r>
    </w:p>
    <w:p w14:paraId="628C9D9E" w14:textId="77777777" w:rsidR="005B0145" w:rsidRPr="001D6C6C" w:rsidRDefault="005B0145" w:rsidP="00D72F48">
      <w:pPr>
        <w:pStyle w:val="41UeberschrG1"/>
      </w:pPr>
      <w:r>
        <w:t xml:space="preserve">4.</w:t>
      </w:r>
      <w:r>
        <w:t xml:space="preserve"> </w:t>
      </w:r>
      <w:r>
        <w:t xml:space="preserve">Sección</w:t>
      </w:r>
    </w:p>
    <w:p w14:paraId="4787AD4F" w14:textId="77777777" w:rsidR="001A6E8A" w:rsidRPr="001D6C6C" w:rsidRDefault="001A6E8A" w:rsidP="00B3762B">
      <w:pPr>
        <w:pStyle w:val="43UeberschrG2"/>
      </w:pPr>
      <w:r>
        <w:t xml:space="preserve">Financiación y flujos de efectivo</w:t>
      </w:r>
    </w:p>
    <w:p w14:paraId="3B1093A7" w14:textId="77777777" w:rsidR="00272194" w:rsidRPr="001D6C6C" w:rsidRDefault="001A6E8A" w:rsidP="00BF6EDE">
      <w:pPr>
        <w:pStyle w:val="45UeberschrPara"/>
      </w:pPr>
      <w:r>
        <w:t xml:space="preserve">Contribuciones de los productores y contribuciones compensatorias</w:t>
      </w:r>
    </w:p>
    <w:p w14:paraId="05FD5359" w14:textId="77777777" w:rsidR="00DE7A2F" w:rsidRPr="001D6C6C" w:rsidRDefault="00886063" w:rsidP="00BF6EDE">
      <w:pPr>
        <w:pStyle w:val="51Abs"/>
      </w:pPr>
      <w:r>
        <w:rPr>
          <w:rStyle w:val="991GldSymbol"/>
        </w:rPr>
        <w:t xml:space="preserve">Artículo 10.</w:t>
      </w:r>
      <w:r>
        <w:t xml:space="preserve"> </w:t>
      </w:r>
      <w:r>
        <w:t xml:space="preserve">1.</w:t>
      </w:r>
      <w:r>
        <w:t xml:space="preserve"> </w:t>
      </w:r>
      <w:r>
        <w:t xml:space="preserve">Para llevar a cabo las tareas del organismo central, se recaudará una contribución del productor por cada envase de bebida de un solo uso comercializado por el distribuidor inicial de conformidad con el artículo 4.</w:t>
      </w:r>
    </w:p>
    <w:p w14:paraId="62734377" w14:textId="77777777" w:rsidR="00817FD9" w:rsidRPr="001D6C6C" w:rsidRDefault="001A6E8A" w:rsidP="00BF6EDE">
      <w:pPr>
        <w:pStyle w:val="51Abs"/>
      </w:pPr>
      <w:r>
        <w:t xml:space="preserve">2.</w:t>
      </w:r>
      <w:r>
        <w:t xml:space="preserve"> </w:t>
      </w:r>
      <w:r>
        <w:t xml:space="preserve">El organismo central determinará y publicará periódicamente el importe de estas contribuciones al productor por material (plástico y metal), al menos una vez al año.</w:t>
      </w:r>
      <w:r>
        <w:t xml:space="preserve"> </w:t>
      </w:r>
      <w:r>
        <w:t xml:space="preserve">El cálculo permite la diferenciación en función de si se utiliza un código de barras nacional o internacional.</w:t>
      </w:r>
      <w:r>
        <w:t xml:space="preserve"> </w:t>
      </w:r>
      <w:r>
        <w:t xml:space="preserve">Además, se hará una diferenciación de las contribuciones de los productores en función de consideraciones ecológicas.</w:t>
      </w:r>
    </w:p>
    <w:p w14:paraId="7AF006AA" w14:textId="77777777" w:rsidR="00547942" w:rsidRPr="001D6C6C" w:rsidRDefault="00901689" w:rsidP="00547942">
      <w:pPr>
        <w:pStyle w:val="51Abs"/>
      </w:pPr>
      <w:r>
        <w:t xml:space="preserve">3.</w:t>
      </w:r>
      <w:r>
        <w:t xml:space="preserve"> </w:t>
      </w:r>
      <w:r>
        <w:t xml:space="preserve">A la hora de calcular las contribuciones del productor por material de envasado, deben tenerse en cuenta los ingresos (en particular, las cuotas de registro, los ingresos de material y los depósitos no pagados) y los gastos [en particular, la compensación de gastos (cuotas de manipulación, costes de recogida, clasificación, recuento y transporte, costes de administración, costes de relaciones públicas y costes de prevención de residuos o costes de limpieza)].</w:t>
      </w:r>
      <w:r>
        <w:t xml:space="preserve"> </w:t>
      </w:r>
      <w:r>
        <w:t xml:space="preserve">No se permite una contribución negativa del productor.</w:t>
      </w:r>
      <w:r>
        <w:t xml:space="preserve"> </w:t>
      </w:r>
      <w:r>
        <w:t xml:space="preserve">Cuando los ingresos y gastos de uno o varios materiales de envasado permitan contribuciones negativas al productor en un año determinado, se determinará una contribución del productor de al menos 0 EUR en cada caso y los fondos que superen los gastos se utilizarán para mejorar el sistema global.</w:t>
      </w:r>
      <w:r>
        <w:t xml:space="preserve"> </w:t>
      </w:r>
    </w:p>
    <w:p w14:paraId="653CB12D" w14:textId="77777777" w:rsidR="00547942" w:rsidRPr="001D6C6C" w:rsidRDefault="00547942" w:rsidP="00547942">
      <w:pPr>
        <w:pStyle w:val="51Abs"/>
      </w:pPr>
      <w:r>
        <w:t xml:space="preserve">4.</w:t>
      </w:r>
      <w:r>
        <w:t xml:space="preserve"> </w:t>
      </w:r>
      <w:r>
        <w:t xml:space="preserve">Los distribuidores de máquinas expendedoras y los comerciantes que realicen entregas a consumidores finales a través de proveedores de servicios postales, de paquetería u otros servicios de transporte de mercancías deberán inscribirse en el organismo central y deberán abonar cada uno de ellos la contribución de compensación determinada por el organismo central de conformidad con el artículo 5, apartados 5 y 7.</w:t>
      </w:r>
    </w:p>
    <w:p w14:paraId="6465EA48" w14:textId="77777777" w:rsidR="001A6E8A" w:rsidRPr="001D6C6C" w:rsidRDefault="0095006F" w:rsidP="001A6E8A">
      <w:pPr>
        <w:pStyle w:val="45UeberschrPara"/>
      </w:pPr>
      <w:r>
        <w:t xml:space="preserve">Ingresos significativos y depósitos no pagados</w:t>
      </w:r>
    </w:p>
    <w:p w14:paraId="34D9AB51" w14:textId="77777777" w:rsidR="001A6E8A" w:rsidRPr="001D6C6C" w:rsidRDefault="00AF4E5E" w:rsidP="00F37619">
      <w:pPr>
        <w:pStyle w:val="51Abs"/>
      </w:pPr>
      <w:r>
        <w:rPr>
          <w:rStyle w:val="991GldSymbol"/>
        </w:rPr>
        <w:t xml:space="preserve">Artículo 11.</w:t>
      </w:r>
      <w:r>
        <w:t xml:space="preserve"> </w:t>
      </w:r>
      <w:r>
        <w:t xml:space="preserve">El organismo central conservará los ingresos significativos y los depósitos no pagados, que servirán para financiar sus tareas.</w:t>
      </w:r>
    </w:p>
    <w:p w14:paraId="1D8E1021" w14:textId="77777777" w:rsidR="00013ADB" w:rsidRPr="001D6C6C" w:rsidRDefault="00235642" w:rsidP="00013ADB">
      <w:pPr>
        <w:pStyle w:val="45UeberschrPara"/>
      </w:pPr>
      <w:r>
        <w:t xml:space="preserve">Asignaciones de gastos para la devolución (tasa de gestión)</w:t>
      </w:r>
    </w:p>
    <w:p w14:paraId="6E0D8353" w14:textId="77777777" w:rsidR="00013ADB" w:rsidRPr="001D6C6C" w:rsidRDefault="00013ADB" w:rsidP="00013ADB">
      <w:pPr>
        <w:pStyle w:val="51Abs"/>
      </w:pPr>
      <w:r>
        <w:rPr>
          <w:rStyle w:val="991GldSymbol"/>
        </w:rPr>
        <w:t xml:space="preserve">Artículo 12.</w:t>
      </w:r>
      <w:r>
        <w:t xml:space="preserve"> </w:t>
      </w:r>
      <w:r>
        <w:t xml:space="preserve">1.</w:t>
      </w:r>
      <w:r>
        <w:t xml:space="preserve"> </w:t>
      </w:r>
      <w:r>
        <w:t xml:space="preserve">La tasa de gestión sirve como compensación por el gasto medio en que incurre un sujeto obligado a la devolución o un sujeto obligado a la devolución voluntaria de acuerdo con el artículo 21 en la recogida de envases de bebidas de un solo uso sujetos a depósito, incluido el almacenamiento previo a la retirada.</w:t>
      </w:r>
      <w:r>
        <w:t xml:space="preserve"> </w:t>
      </w:r>
      <w:r>
        <w:t xml:space="preserve">A la hora de determinar la tasa de gestión para la devolución de envases de bebidas de un solo uso con depósito de conformidad con el artículo 4, se tendrán en cuenta, en particular, los costes de personal necesarios, los costes de mantenimiento, las necesidades de espacio y la depreciación.</w:t>
      </w:r>
      <w:r>
        <w:t xml:space="preserve"> </w:t>
      </w:r>
      <w:r>
        <w:t xml:space="preserve">Se permite una distinción en el importe de la tasa de gestión para una devolución con máquina expendedora y para una devolución manual y por material (plástico y metal).</w:t>
      </w:r>
    </w:p>
    <w:p w14:paraId="1773EFFB" w14:textId="77777777" w:rsidR="00013ADB" w:rsidRPr="001D6C6C" w:rsidRDefault="00013ADB" w:rsidP="00013ADB">
      <w:pPr>
        <w:pStyle w:val="51Abs"/>
      </w:pPr>
      <w:r>
        <w:t xml:space="preserve">2.</w:t>
      </w:r>
      <w:r>
        <w:t xml:space="preserve"> </w:t>
      </w:r>
      <w:r>
        <w:t xml:space="preserve">El organismo central debe determinar y publicar el importe de una tasa de gestión de acuerdo con el Ministro Federal de Protección del Clima, Medio Ambiente, Energía, Movilidad, Innovación y Tecnología.</w:t>
      </w:r>
      <w:r>
        <w:t xml:space="preserve"> </w:t>
      </w:r>
      <w:r>
        <w:t xml:space="preserve">La base de cada determinación es una encuesta externa, encargada junto con el Ministerio Federal de Protección del Clima, Medio Ambiente, Energía, Movilidad, Innovación y Tecnología.</w:t>
      </w:r>
      <w:r>
        <w:t xml:space="preserve"> </w:t>
      </w:r>
      <w:r>
        <w:t xml:space="preserve">El importe de la tasa de gestión debe evaluarse si los factores significativos han cambiado o al menos cada cinco años.</w:t>
      </w:r>
    </w:p>
    <w:p w14:paraId="55CA2827" w14:textId="77777777" w:rsidR="00013ADB" w:rsidRPr="001D6C6C" w:rsidRDefault="00013ADB" w:rsidP="00013ADB">
      <w:pPr>
        <w:pStyle w:val="51Abs"/>
      </w:pPr>
      <w:r>
        <w:t xml:space="preserve">3.</w:t>
      </w:r>
      <w:r>
        <w:t xml:space="preserve"> </w:t>
      </w:r>
      <w:r>
        <w:t xml:space="preserve">El organismo central pagará al menos mensualmente a todos los aceptantes registrados de envases de bebidas de un solo uso devueltos en depósito de conformidad con el artículo 4 la tasa de gestión a la que tengan derecho al menos mensualmente.</w:t>
      </w:r>
    </w:p>
    <w:p w14:paraId="4773544F" w14:textId="77777777" w:rsidR="00272194" w:rsidRPr="001D6C6C" w:rsidRDefault="00E60626" w:rsidP="00E60626">
      <w:pPr>
        <w:pStyle w:val="45UeberschrPara"/>
      </w:pPr>
      <w:r>
        <w:t xml:space="preserve">Recálculo del depósito</w:t>
      </w:r>
      <w:r>
        <w:t xml:space="preserve"> </w:t>
      </w:r>
    </w:p>
    <w:p w14:paraId="2E762302" w14:textId="77777777" w:rsidR="00D906B7" w:rsidRPr="001D6C6C" w:rsidRDefault="00D906B7" w:rsidP="00D906B7">
      <w:pPr>
        <w:pStyle w:val="51Abs"/>
      </w:pPr>
      <w:r>
        <w:rPr>
          <w:rStyle w:val="991GldSymbol"/>
        </w:rPr>
        <w:t xml:space="preserve">Artículo 13.</w:t>
      </w:r>
      <w:r>
        <w:t xml:space="preserve"> </w:t>
      </w:r>
      <w:r>
        <w:t xml:space="preserve">El organismo central reembolsará a todos los retornantes obligados registrados y a los retornantes voluntarios registrados de envases de bebidas de un solo uso devueltos en depósito de conformidad con el artículo 4 los importes de depósito abonados por ellos al menos mensualmente.</w:t>
      </w:r>
      <w:r>
        <w:t xml:space="preserve"> </w:t>
      </w:r>
      <w:r>
        <w:t xml:space="preserve">Al calcular los importes de depósito, se utilizarán los datos de las máquina expendedora de devolución o los datos obtenidos a partir de un punto de recuento.</w:t>
      </w:r>
    </w:p>
    <w:p w14:paraId="0529C212" w14:textId="77777777" w:rsidR="002D5F78" w:rsidRPr="001D6C6C" w:rsidRDefault="002D5F78" w:rsidP="002D5F78">
      <w:pPr>
        <w:pStyle w:val="45UeberschrPara"/>
      </w:pPr>
      <w:r>
        <w:t xml:space="preserve">Prevención</w:t>
      </w:r>
    </w:p>
    <w:p w14:paraId="2E06E4D0" w14:textId="77777777" w:rsidR="00CF32B4" w:rsidRPr="001D6C6C" w:rsidRDefault="00CF32B4" w:rsidP="00CF32B4">
      <w:pPr>
        <w:pStyle w:val="51Abs"/>
      </w:pPr>
      <w:r>
        <w:rPr>
          <w:rStyle w:val="991GldSymbol"/>
        </w:rPr>
        <w:t xml:space="preserve">Artículo 14.</w:t>
      </w:r>
      <w:r>
        <w:t xml:space="preserve"> </w:t>
      </w:r>
      <w:r>
        <w:t xml:space="preserve">El organismo central proporcionará al Ministro Federal de Protección del Clima, Medio Ambiente, Energía, Movilidad, Innovación y Tecnología una lista de proyectos financiados de prevención de residuos (artículo 29, apartado 4 </w:t>
      </w:r>
      <w:r>
        <w:rPr>
          <w:i/>
          <w:iCs/>
        </w:rPr>
        <w:t xml:space="preserve">bis</w:t>
      </w:r>
      <w:r>
        <w:t xml:space="preserve">), de la AWG de 2002), incluida una descripción como parte de su informe de actividades (apartado 14 </w:t>
      </w:r>
      <w:r>
        <w:rPr>
          <w:i/>
          <w:iCs/>
        </w:rPr>
        <w:t xml:space="preserve">quater</w:t>
      </w:r>
      <w:r>
        <w:t xml:space="preserve"> de la AWG de 2002).</w:t>
      </w:r>
      <w:r>
        <w:t xml:space="preserve"> </w:t>
      </w:r>
      <w:r>
        <w:t xml:space="preserve">El organismo central podrá recurrir a un tercero para la gestión de proyectos de prevención de residuos.</w:t>
      </w:r>
    </w:p>
    <w:p w14:paraId="5984C2D9" w14:textId="77777777" w:rsidR="00415F33" w:rsidRPr="001D6C6C" w:rsidRDefault="00415F33" w:rsidP="00D72F48">
      <w:pPr>
        <w:pStyle w:val="41UeberschrG1"/>
      </w:pPr>
      <w:r>
        <w:t xml:space="preserve">5.</w:t>
      </w:r>
      <w:r>
        <w:t xml:space="preserve"> </w:t>
      </w:r>
      <w:r>
        <w:t xml:space="preserve">Sección</w:t>
      </w:r>
    </w:p>
    <w:p w14:paraId="5533DD04" w14:textId="77777777" w:rsidR="00272194" w:rsidRPr="001D6C6C" w:rsidRDefault="00AF4E5E" w:rsidP="00B3762B">
      <w:pPr>
        <w:pStyle w:val="43UeberschrG2"/>
      </w:pPr>
      <w:r>
        <w:t xml:space="preserve">Flujo de materiales</w:t>
      </w:r>
    </w:p>
    <w:p w14:paraId="41B2C8A8" w14:textId="77777777" w:rsidR="004D1C2C" w:rsidRPr="001D6C6C" w:rsidRDefault="00BA23F6" w:rsidP="004D1C2C">
      <w:pPr>
        <w:pStyle w:val="45UeberschrPara"/>
      </w:pPr>
      <w:r>
        <w:t xml:space="preserve">Propiedad de los bienes recogidos</w:t>
      </w:r>
    </w:p>
    <w:p w14:paraId="02C8A595" w14:textId="77777777" w:rsidR="004D1C2C" w:rsidRPr="001D6C6C" w:rsidRDefault="004D1C2C" w:rsidP="004D1C2C">
      <w:pPr>
        <w:pStyle w:val="51Abs"/>
      </w:pPr>
      <w:r>
        <w:rPr>
          <w:rStyle w:val="991GldSymbol"/>
        </w:rPr>
        <w:t xml:space="preserve">Artículo 15.</w:t>
      </w:r>
      <w:r>
        <w:t xml:space="preserve"> </w:t>
      </w:r>
      <w:r>
        <w:t xml:space="preserve">El organismo central será propietario de todos los envases de bebidas de un solo uso por los que se haya pagado un depósito manualmente y que hayan sido retirados a través de máquinas expendedoras de devolución de envases o manualmente de acuerdo con el artículo 4.</w:t>
      </w:r>
    </w:p>
    <w:p w14:paraId="668502B8" w14:textId="77777777" w:rsidR="004F0193" w:rsidRPr="001D6C6C" w:rsidRDefault="004F0193" w:rsidP="00A66477">
      <w:pPr>
        <w:pStyle w:val="45UeberschrPara"/>
      </w:pPr>
      <w:r>
        <w:t xml:space="preserve">Tasas de recogida</w:t>
      </w:r>
    </w:p>
    <w:p w14:paraId="17C63287" w14:textId="77777777" w:rsidR="004F0193" w:rsidRPr="001D6C6C" w:rsidRDefault="00CF32B4" w:rsidP="0029685A">
      <w:pPr>
        <w:pStyle w:val="51Abs"/>
      </w:pPr>
      <w:r>
        <w:rPr>
          <w:rStyle w:val="991GldSymbol"/>
        </w:rPr>
        <w:t xml:space="preserve">Artículo 16.</w:t>
      </w:r>
      <w:r>
        <w:t xml:space="preserve"> </w:t>
      </w:r>
      <w:r>
        <w:t xml:space="preserve">El organismo central debe garantizar que para cada material de envasado:</w:t>
      </w:r>
    </w:p>
    <w:p w14:paraId="298D1BD1" w14:textId="77777777" w:rsidR="004F0193" w:rsidRPr="001D6C6C" w:rsidRDefault="004F0193" w:rsidP="00DE7A2F">
      <w:pPr>
        <w:pStyle w:val="52Aufzaehle1Ziffer"/>
      </w:pPr>
      <w:r>
        <w:tab/>
      </w:r>
      <w:r>
        <w:t xml:space="preserve">1)</w:t>
      </w:r>
      <w:r>
        <w:tab/>
      </w:r>
      <w:r>
        <w:t xml:space="preserve">a partir de 2025, al menos el 80 % en peso de los residuos de envases de bebidas de un solo uso sujetos a depósito;</w:t>
      </w:r>
    </w:p>
    <w:p w14:paraId="2570F24D" w14:textId="77777777" w:rsidR="00DE7A2F" w:rsidRPr="001D6C6C" w:rsidRDefault="00D56BE2" w:rsidP="00DE7A2F">
      <w:pPr>
        <w:pStyle w:val="52Aufzaehle1Ziffer"/>
      </w:pPr>
      <w:r>
        <w:tab/>
      </w:r>
      <w:r>
        <w:t xml:space="preserve">2)</w:t>
      </w:r>
      <w:r>
        <w:tab/>
      </w:r>
      <w:r>
        <w:t xml:space="preserve">a partir de 2027, al menos el 90 % en peso de los residuos de envases de bebidas de un solo uso sujetos a depósito;</w:t>
      </w:r>
    </w:p>
    <w:p w14:paraId="790C317C" w14:textId="77777777" w:rsidR="004F0193" w:rsidRPr="001D6C6C" w:rsidRDefault="004D1C2C" w:rsidP="00D56BE2">
      <w:pPr>
        <w:pStyle w:val="58Schlussteile0Abs"/>
      </w:pPr>
      <w:r>
        <w:t xml:space="preserve">se recoja por separado.</w:t>
      </w:r>
    </w:p>
    <w:p w14:paraId="63D3671E" w14:textId="77777777" w:rsidR="004A210C" w:rsidRPr="001D6C6C" w:rsidRDefault="004A210C" w:rsidP="004A210C">
      <w:pPr>
        <w:pStyle w:val="45UeberschrPara"/>
      </w:pPr>
      <w:r>
        <w:t xml:space="preserve">Recogida en los colectores de devolución</w:t>
      </w:r>
    </w:p>
    <w:p w14:paraId="4027DA84" w14:textId="77777777" w:rsidR="00433C23" w:rsidRPr="001D6C6C" w:rsidRDefault="004A210C" w:rsidP="008B286B">
      <w:pPr>
        <w:pStyle w:val="51Abs"/>
      </w:pPr>
      <w:r>
        <w:rPr>
          <w:rStyle w:val="991GldSymbol"/>
        </w:rPr>
        <w:t xml:space="preserve">Artículo 17.</w:t>
      </w:r>
      <w:r>
        <w:t xml:space="preserve"> </w:t>
      </w:r>
      <w:r>
        <w:t xml:space="preserve">1.</w:t>
      </w:r>
      <w:r>
        <w:t xml:space="preserve"> </w:t>
      </w:r>
      <w:r>
        <w:t xml:space="preserve">El organismo central recogerá o dispondrá la recogida de los envases de bebidas de un solo uso que hayan sido depositados y devueltos por los canjeadores registrados de conformidad con el artículo 5 a intervalos de tiempo adecuados.</w:t>
      </w:r>
      <w:r>
        <w:t xml:space="preserve"> </w:t>
      </w:r>
      <w:r>
        <w:t xml:space="preserve">A la hora de determinar los intervalos y las modalidades de recogida, hay que tener en cuenta la viabilidad para los recolectores, la rentabilidad del sistema global y la consecución garantizada de los objetivos de recogida.</w:t>
      </w:r>
    </w:p>
    <w:p w14:paraId="53F6D404" w14:textId="77777777" w:rsidR="008B286B" w:rsidRPr="001D6C6C" w:rsidRDefault="008B286B" w:rsidP="008B286B">
      <w:pPr>
        <w:pStyle w:val="51Abs"/>
      </w:pPr>
      <w:r>
        <w:t xml:space="preserve">2.</w:t>
      </w:r>
      <w:r>
        <w:t xml:space="preserve"> </w:t>
      </w:r>
      <w:r>
        <w:t xml:space="preserve">La recogida de los envases de bebidas de un solo uso depositados será licitada por el organismo central según criterios regionales y de hecho.</w:t>
      </w:r>
    </w:p>
    <w:p w14:paraId="3F308408" w14:textId="77777777" w:rsidR="00A25C65" w:rsidRPr="001D6C6C" w:rsidRDefault="008B286B" w:rsidP="00A25C65">
      <w:pPr>
        <w:pStyle w:val="51Abs"/>
      </w:pPr>
      <w:r>
        <w:t xml:space="preserve">3.</w:t>
      </w:r>
      <w:r>
        <w:t xml:space="preserve"> </w:t>
      </w:r>
      <w:r>
        <w:t xml:space="preserve">No obstante lo dispuesto en el artículo 8, apartado 2, el organismo central puede disponer que la recogida de los envases de bebidas de un solo uso devueltos con depósito sea realizada por la logística de reparto existente, por ejemplo, por cadenas de supermercados o mayoristas, sin tener que sacarlo a concurso, siempre y cuando se garantice que esta recogida es más eficaz en su conjunto y es necesaria por razones de protección del medio ambiente.</w:t>
      </w:r>
    </w:p>
    <w:p w14:paraId="4345F3EF" w14:textId="77777777" w:rsidR="004A210C" w:rsidRPr="001D6C6C" w:rsidRDefault="004A210C" w:rsidP="00433C23">
      <w:pPr>
        <w:pStyle w:val="45UeberschrPara"/>
      </w:pPr>
      <w:r>
        <w:t xml:space="preserve">Puntos de recuento</w:t>
      </w:r>
    </w:p>
    <w:p w14:paraId="6DABE72C" w14:textId="77777777" w:rsidR="004A210C" w:rsidRPr="001D6C6C" w:rsidRDefault="004A210C" w:rsidP="004A210C">
      <w:pPr>
        <w:pStyle w:val="51Abs"/>
      </w:pPr>
      <w:r>
        <w:rPr>
          <w:rStyle w:val="991GldSymbol"/>
        </w:rPr>
        <w:t xml:space="preserve">Artículo 18.</w:t>
      </w:r>
      <w:r>
        <w:t xml:space="preserve"> </w:t>
      </w:r>
      <w:r>
        <w:t xml:space="preserve">El organismo central establecerá y gestionará los puntos de recuento.</w:t>
      </w:r>
      <w:r>
        <w:t xml:space="preserve"> </w:t>
      </w:r>
      <w:r>
        <w:t xml:space="preserve">Estos puntos de recuento se utilizan para registrar los envases de bebidas de un solo uso devueltos manualmente.</w:t>
      </w:r>
    </w:p>
    <w:p w14:paraId="76D06A88" w14:textId="77777777" w:rsidR="00D45E62" w:rsidRPr="001D6C6C" w:rsidRDefault="00415F33" w:rsidP="004A210C">
      <w:pPr>
        <w:pStyle w:val="45UeberschrPara"/>
      </w:pPr>
      <w:r>
        <w:t xml:space="preserve">Derecho de preferencia</w:t>
      </w:r>
    </w:p>
    <w:p w14:paraId="3493E4CF" w14:textId="77777777" w:rsidR="00DD02B8" w:rsidRPr="001D6C6C" w:rsidRDefault="004A210C" w:rsidP="00ED64E9">
      <w:pPr>
        <w:pStyle w:val="51Abs"/>
      </w:pPr>
      <w:r>
        <w:rPr>
          <w:rStyle w:val="991GldSymbol"/>
        </w:rPr>
        <w:t xml:space="preserve">Artículo 19.</w:t>
      </w:r>
      <w:r>
        <w:t xml:space="preserve"> </w:t>
      </w:r>
      <w:r>
        <w:t xml:space="preserve">El organismo central ofrecerá a cada primer distribuidor, a prorrata, los envases de bebidas de un solo uso clasificados por material y color para su compra a precios de mercado.</w:t>
      </w:r>
      <w:r>
        <w:t xml:space="preserve"> </w:t>
      </w:r>
      <w:r>
        <w:t xml:space="preserve">Se publicarán los respectivos precios.</w:t>
      </w:r>
      <w:r>
        <w:t xml:space="preserve"> </w:t>
      </w:r>
      <w:r>
        <w:t xml:space="preserve">La proporción se determina a partir de la recogida de los envases de bebidas de un solo uso puestos en circulación por el primer distribuidor respectivo.</w:t>
      </w:r>
      <w:r>
        <w:t xml:space="preserve"> </w:t>
      </w:r>
      <w:r>
        <w:t xml:space="preserve">El derecho de preferencia está limitado al 90 % de los envases de bebidas de un solo uso clasificados.</w:t>
      </w:r>
    </w:p>
    <w:p w14:paraId="28BDA75A" w14:textId="77777777" w:rsidR="0029685A" w:rsidRPr="001D6C6C" w:rsidRDefault="0029685A" w:rsidP="0029685A">
      <w:pPr>
        <w:pStyle w:val="45UeberschrPara"/>
      </w:pPr>
      <w:r>
        <w:t xml:space="preserve">Reciclado</w:t>
      </w:r>
    </w:p>
    <w:p w14:paraId="0EC9EC7C" w14:textId="77777777" w:rsidR="00AF4E5E" w:rsidRPr="001D6C6C" w:rsidRDefault="0029685A" w:rsidP="005470FB">
      <w:pPr>
        <w:pStyle w:val="51Abs"/>
      </w:pPr>
      <w:r>
        <w:rPr>
          <w:rStyle w:val="991GldSymbol"/>
        </w:rPr>
        <w:t xml:space="preserve">Artículo 20.</w:t>
      </w:r>
      <w:r>
        <w:t xml:space="preserve"> </w:t>
      </w:r>
      <w:r>
        <w:t xml:space="preserve">Los distribuidores iniciales y el organismo central entregarán las respectivas masas de envases de bebidas de un solo uso hechos de plástico o metal a una instalación de reciclado y las reciclarán en la mayor medida posible de acuerdo con el estado de la técnica.</w:t>
      </w:r>
      <w:r>
        <w:t xml:space="preserve"> </w:t>
      </w:r>
    </w:p>
    <w:p w14:paraId="7381FAC7" w14:textId="77777777" w:rsidR="00415F33" w:rsidRPr="001D6C6C" w:rsidRDefault="00415F33" w:rsidP="00D72F48">
      <w:pPr>
        <w:pStyle w:val="41UeberschrG1"/>
      </w:pPr>
      <w:r>
        <w:t xml:space="preserve">6.</w:t>
      </w:r>
      <w:r>
        <w:t xml:space="preserve"> </w:t>
      </w:r>
      <w:r>
        <w:t xml:space="preserve">Sección</w:t>
      </w:r>
    </w:p>
    <w:p w14:paraId="5C7EAB2A" w14:textId="77777777" w:rsidR="00AF4E5E" w:rsidRPr="001D6C6C" w:rsidRDefault="00415F33" w:rsidP="00415F33">
      <w:pPr>
        <w:pStyle w:val="43UeberschrG2"/>
      </w:pPr>
      <w:r>
        <w:t xml:space="preserve">Gestión de la información</w:t>
      </w:r>
    </w:p>
    <w:p w14:paraId="0279424D" w14:textId="77777777" w:rsidR="00AF4E5E" w:rsidRPr="001D6C6C" w:rsidRDefault="009238B5" w:rsidP="00AF4E5E">
      <w:pPr>
        <w:pStyle w:val="45UeberschrPara"/>
      </w:pPr>
      <w:r>
        <w:t xml:space="preserve">Registro</w:t>
      </w:r>
    </w:p>
    <w:p w14:paraId="00F147DD" w14:textId="77777777" w:rsidR="002566A1" w:rsidRPr="001D6C6C" w:rsidRDefault="00043F85" w:rsidP="00D906B7">
      <w:pPr>
        <w:pStyle w:val="51Abs"/>
      </w:pPr>
      <w:r>
        <w:rPr>
          <w:rStyle w:val="991GldSymbol"/>
        </w:rPr>
        <w:t xml:space="preserve">Artículo 21.</w:t>
      </w:r>
      <w:r>
        <w:t xml:space="preserve"> </w:t>
      </w:r>
      <w:r>
        <w:t xml:space="preserve">1.</w:t>
      </w:r>
      <w:r>
        <w:t xml:space="preserve"> </w:t>
      </w:r>
      <w:r>
        <w:t xml:space="preserve">El organismo central establecerá y mantendrá un registro de los datos necesarios para sus tareas de los distribuidores iniciales, los recolectores de devoluciones, los distribuidores con arreglo al artículo 5, apartados 5 y 7, los puntos de recuento y los tipos de recipientes.</w:t>
      </w:r>
      <w:r>
        <w:t xml:space="preserve"> </w:t>
      </w:r>
      <w:r>
        <w:t xml:space="preserve">Puede utilizarse un tercero independiente para este fin.</w:t>
      </w:r>
    </w:p>
    <w:p w14:paraId="435E8C21" w14:textId="77777777" w:rsidR="00810EAB" w:rsidRPr="001D6C6C" w:rsidRDefault="00810EAB" w:rsidP="00810EAB">
      <w:pPr>
        <w:pStyle w:val="51Abs"/>
      </w:pPr>
      <w:r>
        <w:t xml:space="preserve">2.</w:t>
      </w:r>
      <w:r>
        <w:t xml:space="preserve"> </w:t>
      </w:r>
      <w:r>
        <w:t xml:space="preserve">En este registro:</w:t>
      </w:r>
    </w:p>
    <w:p w14:paraId="1D32AA39" w14:textId="77777777" w:rsidR="00810EAB" w:rsidRPr="001D6C6C" w:rsidRDefault="002307EB" w:rsidP="00810EAB">
      <w:pPr>
        <w:pStyle w:val="52Aufzaehle1Ziffer"/>
      </w:pPr>
      <w:r>
        <w:tab/>
      </w:r>
      <w:r>
        <w:t xml:space="preserve">1)</w:t>
      </w:r>
      <w:r>
        <w:tab/>
      </w:r>
      <w:r>
        <w:t xml:space="preserve">los distribuidores iniciales;</w:t>
      </w:r>
    </w:p>
    <w:p w14:paraId="3BB90414" w14:textId="77777777" w:rsidR="00810EAB" w:rsidRPr="001D6C6C" w:rsidRDefault="00810EAB" w:rsidP="00810EAB">
      <w:pPr>
        <w:pStyle w:val="52Aufzaehle1Ziffer"/>
      </w:pPr>
      <w:r>
        <w:tab/>
      </w:r>
      <w:r>
        <w:t xml:space="preserve">2)</w:t>
      </w:r>
      <w:r>
        <w:tab/>
      </w:r>
      <w:r>
        <w:t xml:space="preserve">las partes obligadas a aceptar devoluciones que deseen hacer uso de un nuevo cálculo de depósitos;</w:t>
      </w:r>
    </w:p>
    <w:p w14:paraId="43DE5605" w14:textId="77777777" w:rsidR="00810EAB" w:rsidRPr="001D6C6C" w:rsidRDefault="00810EAB" w:rsidP="00810EAB">
      <w:pPr>
        <w:pStyle w:val="52Aufzaehle1Ziffer"/>
      </w:pPr>
      <w:r>
        <w:tab/>
      </w:r>
      <w:r>
        <w:t xml:space="preserve">3)</w:t>
      </w:r>
      <w:r>
        <w:tab/>
      </w:r>
      <w:r>
        <w:t xml:space="preserve">los canjeadores voluntarios que deseen hacer uso de un nuevo cálculo de depósito; y</w:t>
      </w:r>
    </w:p>
    <w:p w14:paraId="4396E717" w14:textId="77777777" w:rsidR="00810EAB" w:rsidRPr="001D6C6C" w:rsidRDefault="00810EAB" w:rsidP="00810EAB">
      <w:pPr>
        <w:pStyle w:val="52Aufzaehle1Ziffer"/>
      </w:pPr>
      <w:r>
        <w:tab/>
      </w:r>
      <w:r>
        <w:t xml:space="preserve">4)</w:t>
      </w:r>
      <w:r>
        <w:tab/>
      </w:r>
      <w:r>
        <w:t xml:space="preserve">los distribuidores de conformidad con el artículo 5, apartados 5 y 7;</w:t>
      </w:r>
    </w:p>
    <w:p w14:paraId="0F2C3F11" w14:textId="77777777" w:rsidR="00810EAB" w:rsidRPr="001D6C6C" w:rsidRDefault="00810EAB" w:rsidP="00810EAB">
      <w:pPr>
        <w:pStyle w:val="58Schlussteile0Abs"/>
      </w:pPr>
      <w:r>
        <w:t xml:space="preserve">tienen que registrarse con sus datos maestros y mantener estos datos actualizados.</w:t>
      </w:r>
    </w:p>
    <w:p w14:paraId="2F7C1D42" w14:textId="77777777" w:rsidR="00622BFB" w:rsidRPr="001D6C6C" w:rsidRDefault="009238B5" w:rsidP="00D906B7">
      <w:pPr>
        <w:pStyle w:val="51Abs"/>
      </w:pPr>
      <w:r>
        <w:t xml:space="preserve">3.</w:t>
      </w:r>
      <w:r>
        <w:t xml:space="preserve"> </w:t>
      </w:r>
      <w:r>
        <w:t xml:space="preserve">El organismo central podrá fijar una tasa de inscripción única para el registro de los distribuidores iniciales.</w:t>
      </w:r>
      <w:r>
        <w:t xml:space="preserve"> </w:t>
      </w:r>
      <w:r>
        <w:t xml:space="preserve">No podrá cobrarse ningún coste por el registro de los recolectores de devoluciones, los recolectores de devoluciones voluntarias y los distribuidores de conformidad con el artículo 5, apartados 5 y 7.</w:t>
      </w:r>
    </w:p>
    <w:p w14:paraId="477B3BA7" w14:textId="77777777" w:rsidR="00AF4E5E" w:rsidRPr="001D6C6C" w:rsidRDefault="00AF4E5E" w:rsidP="00AF4E5E">
      <w:pPr>
        <w:pStyle w:val="45UeberschrPara"/>
      </w:pPr>
      <w:r>
        <w:t xml:space="preserve">Registro de los tipos de recipientes</w:t>
      </w:r>
    </w:p>
    <w:p w14:paraId="5DAC44DE" w14:textId="77777777" w:rsidR="00CA1DCA" w:rsidRPr="001D6C6C" w:rsidRDefault="00043F85" w:rsidP="00043F85">
      <w:pPr>
        <w:pStyle w:val="51Abs"/>
      </w:pPr>
      <w:r>
        <w:rPr>
          <w:rStyle w:val="991GldSymbol"/>
        </w:rPr>
        <w:t xml:space="preserve">Artículo 22.</w:t>
      </w:r>
      <w:r>
        <w:t xml:space="preserve"> </w:t>
      </w:r>
      <w:r>
        <w:t xml:space="preserve">1.</w:t>
      </w:r>
      <w:r>
        <w:t xml:space="preserve"> </w:t>
      </w:r>
      <w:r>
        <w:t xml:space="preserve">Los distribuidores iniciales deben registrar el envase de bebidas de un solo uso que utilizan con un depósito por tipo de recipiente en el organismo central.</w:t>
      </w:r>
      <w:r>
        <w:t xml:space="preserve"> </w:t>
      </w:r>
      <w:r>
        <w:t xml:space="preserve">Deberá especificarse el material (recipiente, tapa, etiqueta), las dimensiones, el volumen de llenado, el peso, el espesor del material y el color.</w:t>
      </w:r>
      <w:r>
        <w:t xml:space="preserve"> </w:t>
      </w:r>
      <w:r>
        <w:t xml:space="preserve">Además, debe presentarse al organismo central o a un tercero designado por él una muestra de envases de bebidas de un solo uso, incluido el código de barras.</w:t>
      </w:r>
    </w:p>
    <w:p w14:paraId="34DAD244" w14:textId="77777777" w:rsidR="002566A1" w:rsidRPr="001D6C6C" w:rsidRDefault="00043F85" w:rsidP="00043F85">
      <w:pPr>
        <w:pStyle w:val="51Abs"/>
      </w:pPr>
      <w:r>
        <w:t xml:space="preserve">2.</w:t>
      </w:r>
      <w:r>
        <w:t xml:space="preserve"> </w:t>
      </w:r>
      <w:r>
        <w:t xml:space="preserve">El organismo central incluirá cada tipo de recipiente que cumpla los requisitos técnicos del registro de datos con arreglo al artículo 21 y facilitará los datos necesarios a los fabricantes de máquina expendedora de devolución para adaptarlas.</w:t>
      </w:r>
    </w:p>
    <w:p w14:paraId="49C13778" w14:textId="77777777" w:rsidR="00043F85" w:rsidRPr="001D6C6C" w:rsidRDefault="00043F85" w:rsidP="00043F85">
      <w:pPr>
        <w:pStyle w:val="51Abs"/>
      </w:pPr>
      <w:r>
        <w:t xml:space="preserve">3.</w:t>
      </w:r>
      <w:r>
        <w:t xml:space="preserve"> </w:t>
      </w:r>
      <w:r>
        <w:t xml:space="preserve">El organismo central cobrará una tasa de registro única por tipo de recipiente para cubrir los gastos de registro, cualquier inspección técnica y el ajuste de las máquina expendedora de devolución.</w:t>
      </w:r>
    </w:p>
    <w:p w14:paraId="1479DC59" w14:textId="77777777" w:rsidR="002467E6" w:rsidRPr="001D6C6C" w:rsidRDefault="002467E6" w:rsidP="002467E6">
      <w:pPr>
        <w:pStyle w:val="45UeberschrPara"/>
      </w:pPr>
      <w:r>
        <w:t xml:space="preserve">Notificaciones al organismo central</w:t>
      </w:r>
    </w:p>
    <w:p w14:paraId="22070F6F" w14:textId="77777777" w:rsidR="002467E6" w:rsidRPr="001D6C6C" w:rsidRDefault="00E129EF" w:rsidP="00E129EF">
      <w:pPr>
        <w:pStyle w:val="51Abs"/>
      </w:pPr>
      <w:r>
        <w:rPr>
          <w:rStyle w:val="991GldSymbol"/>
        </w:rPr>
        <w:t xml:space="preserve">Artículo 23.</w:t>
      </w:r>
      <w:r>
        <w:t xml:space="preserve"> </w:t>
      </w:r>
      <w:r>
        <w:t xml:space="preserve">1.</w:t>
      </w:r>
      <w:r>
        <w:t xml:space="preserve"> </w:t>
      </w:r>
      <w:r>
        <w:t xml:space="preserve">Los distribuidores iniciales deben comunicar la masa y el número de envases de bebidas de un solo uso puestos en el mercado con un depósito por tipo de recipiente o por código de barras al organismo central a través del registro de conformidad con el artículo 21.</w:t>
      </w:r>
    </w:p>
    <w:p w14:paraId="03E7EBA5" w14:textId="77777777" w:rsidR="00622BFB" w:rsidRPr="001D6C6C" w:rsidRDefault="00A66477" w:rsidP="001C13E1">
      <w:pPr>
        <w:pStyle w:val="51Abs"/>
      </w:pPr>
      <w:r>
        <w:t xml:space="preserve">2.</w:t>
      </w:r>
      <w:r>
        <w:t xml:space="preserve"> </w:t>
      </w:r>
      <w:r>
        <w:t xml:space="preserve">Los recolectores de devoluciones de conformidad con el artículo 5 que utilicen máquina expendedora de devolución comunicarán al organismo central a través del registro el número por código de barras del envase de bebidas de un solo uso recuperado, de conformidad con el artículo 21.</w:t>
      </w:r>
      <w:r>
        <w:t xml:space="preserve"> </w:t>
      </w:r>
      <w:r>
        <w:t xml:space="preserve">En caso de reembolso manual, el operador del punto de recuento comunicará estos datos, desglosados por canjeadores individuales, al organismo central a través del registro de conformidad con el artículo 21.</w:t>
      </w:r>
    </w:p>
    <w:p w14:paraId="7347D601" w14:textId="77777777" w:rsidR="00303D17" w:rsidRPr="001D6C6C" w:rsidRDefault="00325D7D" w:rsidP="005E1053">
      <w:pPr>
        <w:pStyle w:val="51Abs"/>
      </w:pPr>
      <w:r>
        <w:t xml:space="preserve">3.</w:t>
      </w:r>
      <w:r>
        <w:t xml:space="preserve"> </w:t>
      </w:r>
      <w:r>
        <w:t xml:space="preserve">Los distribuidores iniciales facilitarán las masas por material de envasado asumidas en virtud del derecho de preferencia y entregadas al respectivo reciclador, el nombre y la dirección de la instalación de reciclado y las respectivas masas recicladas por material de envasado, teniendo en cuenta la Decisión de la Comisión, de 22 de marzo de 2005, por la que se establecen los modelos relativos al sistema de bases de datos de conformidad con la Directiva 94/62/CE del Parlamento Europeo y del Consejo relativa a los envases y residuos de envases (DO L 86 de 5.4.2005, p. 6), modificada por la Decisión de Ejecución (UE) 2019/665 que modifica la Decisión 2005/270/CE ( DO L 112 de 26.4.2019, p. 26), que deberá notificarse anualmente al organismo central a más tardar el 10 de marzo del año siguiente.</w:t>
      </w:r>
    </w:p>
    <w:p w14:paraId="25E9E5FE" w14:textId="77777777" w:rsidR="0054768A" w:rsidRPr="001D6C6C" w:rsidRDefault="0054768A" w:rsidP="0054768A">
      <w:pPr>
        <w:pStyle w:val="51Abs"/>
      </w:pPr>
      <w:r>
        <w:t xml:space="preserve">4.</w:t>
      </w:r>
      <w:r>
        <w:t xml:space="preserve"> </w:t>
      </w:r>
      <w:r>
        <w:t xml:space="preserve">Los distribuidores iniciales están obligados a comunicar al organismo central la masa de reciclado utilizada a través del registro conforme al artículo 21 para cada año natural, a más tardar el 15 de marzo del año siguiente, en relación con:</w:t>
      </w:r>
    </w:p>
    <w:p w14:paraId="1928FE0B" w14:textId="77777777" w:rsidR="0054768A" w:rsidRPr="001D6C6C" w:rsidRDefault="0054768A" w:rsidP="0054768A">
      <w:pPr>
        <w:pStyle w:val="52Aufzaehle1Ziffer"/>
      </w:pPr>
      <w:r>
        <w:tab/>
      </w:r>
      <w:r>
        <w:t xml:space="preserve">1)</w:t>
      </w:r>
      <w:r>
        <w:tab/>
      </w:r>
      <w:r>
        <w:t xml:space="preserve">las botellas de bebidas fabricadas principalmente con tereftalato de polietileno («botellas PET») que comercialicen en el año natural anterior, que se comunicarán por primera vez en el año natural 2025;</w:t>
      </w:r>
    </w:p>
    <w:p w14:paraId="54A6AB62" w14:textId="77777777" w:rsidR="0054768A" w:rsidRPr="001D6C6C" w:rsidRDefault="0054768A" w:rsidP="00FD5D41">
      <w:pPr>
        <w:pStyle w:val="52Aufzaehle1Ziffer"/>
      </w:pPr>
      <w:r>
        <w:tab/>
      </w:r>
      <w:r>
        <w:t xml:space="preserve">2)</w:t>
      </w:r>
      <w:r>
        <w:tab/>
      </w:r>
      <w:r>
        <w:t xml:space="preserve">las botellas de plástico de un solo uso que comercialicen, que se comunicarán por primera vez para 2028.</w:t>
      </w:r>
    </w:p>
    <w:p w14:paraId="1909C212" w14:textId="77777777" w:rsidR="00325D7D" w:rsidRPr="001D6C6C" w:rsidRDefault="00325D7D" w:rsidP="00325D7D">
      <w:pPr>
        <w:pStyle w:val="45UeberschrPara"/>
      </w:pPr>
      <w:r>
        <w:t xml:space="preserve">Obligaciones de información del organismo central</w:t>
      </w:r>
    </w:p>
    <w:p w14:paraId="2666DC7F" w14:textId="77777777" w:rsidR="009454B6" w:rsidRPr="001D6C6C" w:rsidRDefault="00325D7D" w:rsidP="001A5C0F">
      <w:pPr>
        <w:pStyle w:val="51Abs"/>
      </w:pPr>
      <w:r>
        <w:rPr>
          <w:rStyle w:val="991GldSymbol"/>
        </w:rPr>
        <w:t xml:space="preserve">Artículo 24.</w:t>
      </w:r>
      <w:r>
        <w:t xml:space="preserve"> </w:t>
      </w:r>
      <w:r>
        <w:t xml:space="preserve">1.</w:t>
      </w:r>
      <w:r>
        <w:t xml:space="preserve"> </w:t>
      </w:r>
      <w:r>
        <w:t xml:space="preserve">Cada año, a más tardar el 10 de abril del año siguiente, el organismo central comunicará electrónicamente los siguientes datos al Ministro Federal de Protección del Clima, Medio Ambiente, Energía, Movilidad, Innovación y Tecnología a través del registro previsto en el artículo 22 de la AWG de 2002:</w:t>
      </w:r>
    </w:p>
    <w:p w14:paraId="5325B134" w14:textId="77777777" w:rsidR="001C13E1" w:rsidRPr="001D6C6C" w:rsidRDefault="00325D7D" w:rsidP="00325D7D">
      <w:pPr>
        <w:pStyle w:val="52Aufzaehle1Ziffer"/>
      </w:pPr>
      <w:r>
        <w:tab/>
      </w:r>
      <w:r>
        <w:t xml:space="preserve">1)</w:t>
      </w:r>
      <w:r>
        <w:tab/>
      </w:r>
      <w:r>
        <w:t xml:space="preserve">la masa y el número de envases de bebidas de un solo uso con depósito introducido en el mercado por los distribuidores iniciales en Austria, desglosados por material de envasado y, además, por PET y otros envases de plástico;</w:t>
      </w:r>
    </w:p>
    <w:p w14:paraId="680BF327" w14:textId="77777777" w:rsidR="001C13E1" w:rsidRPr="001D6C6C" w:rsidRDefault="00325D7D" w:rsidP="00325D7D">
      <w:pPr>
        <w:pStyle w:val="52Aufzaehle1Ziffer"/>
      </w:pPr>
      <w:r>
        <w:tab/>
      </w:r>
      <w:r>
        <w:t xml:space="preserve">2)</w:t>
      </w:r>
      <w:r>
        <w:tab/>
      </w:r>
      <w:r>
        <w:t xml:space="preserve">la masa y el número de envases de bebidas de un solo uso con depósito por tipo de recipiente, desglosados por material de envasado y, además, por PET y otros recipientes de plástico;</w:t>
      </w:r>
    </w:p>
    <w:p w14:paraId="2D7C0226" w14:textId="77777777" w:rsidR="006A4F52" w:rsidRPr="001D6C6C" w:rsidRDefault="00325D7D" w:rsidP="00325D7D">
      <w:pPr>
        <w:pStyle w:val="52Aufzaehle1Ziffer"/>
      </w:pPr>
      <w:r>
        <w:tab/>
      </w:r>
      <w:r>
        <w:t xml:space="preserve">3)</w:t>
      </w:r>
      <w:r>
        <w:tab/>
      </w:r>
      <w:r>
        <w:t xml:space="preserve">los datos agregados de las masas recicladas comunicados por los distribuidores iniciales de conformidad con el artículo 23, apartado 3;</w:t>
      </w:r>
    </w:p>
    <w:p w14:paraId="096B43A0" w14:textId="77777777" w:rsidR="006A4F52" w:rsidRPr="001D6C6C" w:rsidRDefault="006A4F52" w:rsidP="006A4F52">
      <w:pPr>
        <w:pStyle w:val="52Aufzaehle1Ziffer"/>
      </w:pPr>
      <w:r>
        <w:tab/>
      </w:r>
      <w:r>
        <w:t xml:space="preserve">4)</w:t>
      </w:r>
      <w:r>
        <w:tab/>
      </w:r>
      <w:r>
        <w:t xml:space="preserve">las masas entregadas por el organismo central para cada empresa de reciclaje y material de envasado, el nombre y la dirección de la planta de reciclaje y las masas recicladas respectivas para cada material de envasado; y</w:t>
      </w:r>
    </w:p>
    <w:p w14:paraId="730E001A" w14:textId="77777777" w:rsidR="00FD5D41" w:rsidRPr="001D6C6C" w:rsidRDefault="009478EF" w:rsidP="00FD5D41">
      <w:pPr>
        <w:pStyle w:val="52Aufzaehle1Ziffer"/>
      </w:pPr>
      <w:r>
        <w:tab/>
      </w:r>
      <w:r>
        <w:t xml:space="preserve">5)</w:t>
      </w:r>
      <w:r>
        <w:tab/>
      </w:r>
      <w:r>
        <w:t xml:space="preserve">los datos del año natural anterior comunicados de conformidad con el artículo 23, apartado 4.</w:t>
      </w:r>
    </w:p>
    <w:p w14:paraId="7B26E160" w14:textId="77777777" w:rsidR="009454B6" w:rsidRPr="001D6C6C" w:rsidRDefault="009454B6" w:rsidP="009454B6">
      <w:pPr>
        <w:pStyle w:val="58Schlussteile0Abs"/>
      </w:pPr>
      <w:r>
        <w:t xml:space="preserve">Los respectivos documentos y cálculos relativos a estas notificaciones se conservarán durante siete años y se presentarán al Ministro Federal de Protección del Clima, Medio Ambiente, Energía, Movilidad, Innovación y Tecnología, previa solicitud a efectos de supervisión.</w:t>
      </w:r>
    </w:p>
    <w:p w14:paraId="1DA10A80" w14:textId="77777777" w:rsidR="009454B6" w:rsidRPr="001D6C6C" w:rsidRDefault="009454B6" w:rsidP="00287D0D">
      <w:pPr>
        <w:pStyle w:val="51Abs"/>
      </w:pPr>
      <w:r>
        <w:t xml:space="preserve">2.</w:t>
      </w:r>
      <w:r>
        <w:t xml:space="preserve"> </w:t>
      </w:r>
      <w:r>
        <w:t xml:space="preserve">Además, el Ministro Federal de Protección del Clima, Medio Ambiente, Energía, Movilidad, Innovación y Tecnología debe recibir evaluaciones agregadas periódicas a partir de los datos del organismo central.</w:t>
      </w:r>
    </w:p>
    <w:p w14:paraId="461C9642" w14:textId="77777777" w:rsidR="009454B6" w:rsidRPr="001D6C6C" w:rsidRDefault="001C13E1" w:rsidP="002F7F55">
      <w:pPr>
        <w:pStyle w:val="51Abs"/>
      </w:pPr>
      <w:r>
        <w:t xml:space="preserve">3.</w:t>
      </w:r>
      <w:r>
        <w:t xml:space="preserve"> </w:t>
      </w:r>
      <w:r>
        <w:t xml:space="preserve">Los secretos empresariales y comerciales deben protegerse al transmitir datos.</w:t>
      </w:r>
      <w:r>
        <w:t xml:space="preserve"> </w:t>
      </w:r>
      <w:r>
        <w:t xml:space="preserve">En particular, los datos solo pueden transmitirse a terceros de forma agregada y anonimizada y no rastreable.</w:t>
      </w:r>
    </w:p>
    <w:p w14:paraId="51BD3FF0" w14:textId="77777777" w:rsidR="002F7F55" w:rsidRPr="001D6C6C" w:rsidRDefault="002F7F55" w:rsidP="002F7F55">
      <w:pPr>
        <w:pStyle w:val="51Abs"/>
      </w:pPr>
      <w:r>
        <w:t xml:space="preserve">4.</w:t>
      </w:r>
      <w:r>
        <w:t xml:space="preserve"> </w:t>
      </w:r>
      <w:r>
        <w:t xml:space="preserve">Los datos a que se refiere el apartado 1 se recogerán teniendo en cuenta:</w:t>
      </w:r>
    </w:p>
    <w:p w14:paraId="644AAB7C" w14:textId="77777777" w:rsidR="002F7F55" w:rsidRPr="001D6C6C" w:rsidRDefault="002F7F55" w:rsidP="002F7F55">
      <w:pPr>
        <w:pStyle w:val="52Aufzaehle1Ziffer"/>
      </w:pPr>
      <w:r>
        <w:tab/>
      </w:r>
      <w:r>
        <w:t xml:space="preserve">1)</w:t>
      </w:r>
      <w:r>
        <w:tab/>
      </w:r>
      <w:r>
        <w:t xml:space="preserve">la Decisión 2005/270/CE por la que se establecen los modelos relativos al sistema de bases de datos de conformidad con la Directiva 94/62/CE del Parlamento Europeo y del Consejo relativa a los envases y residuos de envases (DO L 86 de 5.4.2005, p. 6), modificada por la Decisión de Ejecución (UE) 2019/665 que modifica la Decisión 2005/270/CE (DO L 112 de 26.4.2019, p. 26).</w:t>
      </w:r>
    </w:p>
    <w:p w14:paraId="1442E9D6" w14:textId="052DF0C5" w:rsidR="002F7F55" w:rsidRPr="001D6C6C" w:rsidRDefault="002F7F55" w:rsidP="00FB180A">
      <w:pPr>
        <w:pStyle w:val="52Aufzaehle1Ziffer"/>
      </w:pPr>
      <w:r>
        <w:tab/>
      </w:r>
      <w:r>
        <w:t xml:space="preserve">2)</w:t>
      </w:r>
      <w:r>
        <w:tab/>
      </w:r>
      <w:r>
        <w:t xml:space="preserve">la Decisión de Ejecución (UE) 2021/1752 por la que se establecen disposiciones de aplicación de la Directiva (UE) 2019/904 en lo que respecta al cálculo, la verificación y la comunicación de datos sobre la recogida separada de residuos de botellas para bebidas de plástico de un solo uso (DO L 349 de 4.10.2021, p. 19).</w:t>
      </w:r>
    </w:p>
    <w:p w14:paraId="6611809F" w14:textId="77777777" w:rsidR="001D5AFD" w:rsidRPr="001D6C6C" w:rsidRDefault="001D5AFD" w:rsidP="00D72F48">
      <w:pPr>
        <w:pStyle w:val="41UeberschrG1"/>
      </w:pPr>
      <w:r>
        <w:t xml:space="preserve">7.</w:t>
      </w:r>
      <w:r>
        <w:t xml:space="preserve"> </w:t>
      </w:r>
      <w:r>
        <w:t xml:space="preserve">Sección</w:t>
      </w:r>
    </w:p>
    <w:p w14:paraId="48803159" w14:textId="77777777" w:rsidR="00AF4E5E" w:rsidRPr="001D6C6C" w:rsidRDefault="00AF4E5E" w:rsidP="00B3762B">
      <w:pPr>
        <w:pStyle w:val="43UeberschrG2"/>
      </w:pPr>
      <w:r>
        <w:t xml:space="preserve">Disposiciones transitorias y finales</w:t>
      </w:r>
    </w:p>
    <w:p w14:paraId="78F1F826" w14:textId="77777777" w:rsidR="00AF4E5E" w:rsidRPr="001D6C6C" w:rsidRDefault="00AF4E5E" w:rsidP="00AF4E5E">
      <w:pPr>
        <w:pStyle w:val="45UeberschrPara"/>
      </w:pPr>
      <w:r>
        <w:t xml:space="preserve">Aplicación del Derecho de la Unión</w:t>
      </w:r>
    </w:p>
    <w:p w14:paraId="75C9BB51" w14:textId="77777777" w:rsidR="00AF4E5E" w:rsidRPr="001D6C6C" w:rsidRDefault="00AF4E5E" w:rsidP="00AF4E5E">
      <w:pPr>
        <w:pStyle w:val="51Abs"/>
      </w:pPr>
      <w:r>
        <w:rPr>
          <w:rStyle w:val="991GldSymbol"/>
        </w:rPr>
        <w:t xml:space="preserve">Artículo 25.</w:t>
      </w:r>
      <w:r>
        <w:t xml:space="preserve"> </w:t>
      </w:r>
      <w:r>
        <w:t xml:space="preserve">La presente Ordenanza transpone las siguientes Directivas:</w:t>
      </w:r>
    </w:p>
    <w:p w14:paraId="572419D2" w14:textId="77777777" w:rsidR="00AF4E5E" w:rsidRPr="001D6C6C" w:rsidRDefault="00AF4E5E" w:rsidP="00AF4E5E">
      <w:pPr>
        <w:pStyle w:val="52Aufzaehle1Ziffer"/>
      </w:pPr>
      <w:r>
        <w:tab/>
      </w:r>
      <w:r>
        <w:t xml:space="preserve">1)</w:t>
      </w:r>
      <w:r>
        <w:tab/>
      </w:r>
      <w:r>
        <w:t xml:space="preserve">Directiva 94/62/CE del Parlamento Europeo y del Consejo, de 20 de diciembre de 1994, relativa a los envases y residuos de envases (DO L 365 de 31.12.1994, p. 10);</w:t>
      </w:r>
    </w:p>
    <w:p w14:paraId="1EFF6FD2" w14:textId="77777777" w:rsidR="00AF4E5E" w:rsidRPr="001D6C6C" w:rsidRDefault="00AF4E5E" w:rsidP="00AF4E5E">
      <w:pPr>
        <w:pStyle w:val="52Aufzaehle1Ziffer"/>
      </w:pPr>
      <w:r>
        <w:tab/>
      </w:r>
      <w:r>
        <w:t xml:space="preserve">2)</w:t>
      </w:r>
      <w:r>
        <w:tab/>
      </w:r>
      <w:r>
        <w:t xml:space="preserve">Directiva 2004/12/CE del Parlamento Europeo y del Consejo, de 11 de febrero de 2004, por la que se modifica la Directiva 94/62/CE relativa a los envases y residuos de envases (DO L 47 de 18.2.2004, p. 26);</w:t>
      </w:r>
    </w:p>
    <w:p w14:paraId="48719FA8" w14:textId="77777777" w:rsidR="00AF4E5E" w:rsidRPr="001D6C6C" w:rsidRDefault="00AF4E5E" w:rsidP="00AF4E5E">
      <w:pPr>
        <w:pStyle w:val="52Aufzaehle1Ziffer"/>
      </w:pPr>
      <w:r>
        <w:tab/>
      </w:r>
      <w:r>
        <w:t xml:space="preserve">3)</w:t>
      </w:r>
      <w:r>
        <w:tab/>
      </w:r>
      <w:r>
        <w:t xml:space="preserve">Directiva 2013/2/UE de la Comisión, de 7 de febrero de 2013, que modifica el anexo I de la Directiva 94/62/CE del Parlamento Europeo y del Consejo, relativa a los envases y residuos de envases (DO L 37 de 8.2.2013, p. 10);</w:t>
      </w:r>
    </w:p>
    <w:p w14:paraId="4A06DE1A" w14:textId="77777777" w:rsidR="00AF4E5E" w:rsidRPr="001D6C6C" w:rsidRDefault="00AF4E5E" w:rsidP="00AF4E5E">
      <w:pPr>
        <w:pStyle w:val="52Aufzaehle1Ziffer"/>
      </w:pPr>
      <w:r>
        <w:tab/>
      </w:r>
      <w:r>
        <w:t xml:space="preserve">4)</w:t>
      </w:r>
      <w:r>
        <w:tab/>
      </w:r>
      <w:r>
        <w:t xml:space="preserve">Directiva (UE) 2018/852 del Parlamento Europeo y del Consejo, de 30 de mayo de 2018, por la que se modifica la Directiva 94/62/CE relativa a los envases y residuos de envases (DO L 150 de 14.6.2018, p. 141);</w:t>
      </w:r>
    </w:p>
    <w:p w14:paraId="04835EC5" w14:textId="77777777" w:rsidR="00AF4E5E" w:rsidRPr="001D6C6C" w:rsidRDefault="00AF4E5E" w:rsidP="00AF4E5E">
      <w:pPr>
        <w:pStyle w:val="52Aufzaehle1Ziffer"/>
      </w:pPr>
      <w:r>
        <w:tab/>
      </w:r>
      <w:r>
        <w:t xml:space="preserve">5)</w:t>
      </w:r>
      <w:r>
        <w:tab/>
      </w:r>
      <w:r>
        <w:t xml:space="preserve">Directiva (UE) 2018/851 del Parlamento Europeo y del Consejo, de 30 de mayo de 2018, por la que se modifica la Directiva 2008/98/CE sobre los residuos (DO L 150 de 14.6.2018, p. 109);</w:t>
      </w:r>
    </w:p>
    <w:p w14:paraId="3ED75E71" w14:textId="77777777" w:rsidR="00AF4E5E" w:rsidRPr="001D6C6C" w:rsidRDefault="00AF4E5E" w:rsidP="00AF4E5E">
      <w:pPr>
        <w:pStyle w:val="52Aufzaehle1Ziffer"/>
      </w:pPr>
      <w:r>
        <w:tab/>
      </w:r>
      <w:r>
        <w:t xml:space="preserve">6)</w:t>
      </w:r>
      <w:r>
        <w:tab/>
      </w:r>
      <w:r>
        <w:t xml:space="preserve">Decisión de Ejecución (UE) 2019/665 de la Comisión, de 17 de abril de 2019, que modifica la Decisión 2005/270/CE, por la que se establecen los formatos relativos al sistema de bases de datos de conformidad con la Directiva 94/62/CE del Parlamento Europeo y del Consejo, relativa a los envases y residuos de envases (DO L 112 de 26.4.2019, p. 26); y</w:t>
      </w:r>
    </w:p>
    <w:p w14:paraId="5C1AFC62" w14:textId="2C6A4D8D" w:rsidR="00AF4E5E" w:rsidRPr="001D6C6C" w:rsidRDefault="00AF4E5E" w:rsidP="00FB180A">
      <w:pPr>
        <w:pStyle w:val="52Aufzaehle1Ziffer"/>
      </w:pPr>
      <w:r>
        <w:tab/>
      </w:r>
      <w:r>
        <w:t xml:space="preserve">7)</w:t>
      </w:r>
      <w:r>
        <w:tab/>
      </w:r>
      <w:r>
        <w:t xml:space="preserve">Directiva (UE) 2019/904 relativa a la reducción del impacto de determinados productos de plástico en el medio ambiente (DO L 155 de 12.6.2019, p. 1).</w:t>
      </w:r>
    </w:p>
    <w:p w14:paraId="12512D32" w14:textId="77777777" w:rsidR="00AF4E5E" w:rsidRPr="001D6C6C" w:rsidRDefault="00AF4E5E" w:rsidP="00AF4E5E">
      <w:pPr>
        <w:pStyle w:val="45UeberschrPara"/>
      </w:pPr>
      <w:r>
        <w:t xml:space="preserve">Notificación</w:t>
      </w:r>
    </w:p>
    <w:p w14:paraId="4F3F98BA" w14:textId="77777777" w:rsidR="00AF4E5E" w:rsidRPr="001D6C6C" w:rsidRDefault="00AF4E5E" w:rsidP="001A5C0F">
      <w:pPr>
        <w:pStyle w:val="51Abs"/>
      </w:pPr>
      <w:r>
        <w:rPr>
          <w:rStyle w:val="991GldSymbol"/>
        </w:rPr>
        <w:t xml:space="preserve">Artículo 26.</w:t>
      </w:r>
      <w:r>
        <w:t xml:space="preserve"> </w:t>
      </w:r>
      <w:r>
        <w:t xml:space="preserve">La Ordenanza del Ministro Federal de Protección del Clima, Medio Ambiente, Energía, Movilidad, Innovación y Tecnología sobre el depósito para envases de bebidas de un solo uso hechos de plástico o metal (Ordenanza sobre el depósito para envases de bebidas de un solo uso), Boletín Oficial Federal de Austria, parte II n.º xxx, fue notificada de conformidad con lo dispuesto en la Directiva 98/34/CE del Parlamento Europeo y del Consejo de 22 de junio de 1998 por la que se establece un procedimiento de información en materia de las normas y reglamentaciones técnicas (DO L 204 de 21.7.1998, p. 37), modificada por la Directiva 98/48/CE (DO L 217 de 5.8.1998, p. 18) (numero de notificación:</w:t>
      </w:r>
      <w:r>
        <w:t xml:space="preserve"> </w:t>
      </w:r>
      <w:r>
        <w:t xml:space="preserve">2023/xxx/A).</w:t>
      </w:r>
    </w:p>
    <w:p w14:paraId="55D2EEF0" w14:textId="77777777" w:rsidR="00AF4E5E" w:rsidRPr="001D6C6C" w:rsidRDefault="00AF4E5E" w:rsidP="00AF4E5E">
      <w:pPr>
        <w:pStyle w:val="45UeberschrPara"/>
      </w:pPr>
      <w:r>
        <w:t xml:space="preserve">Entrada en vigor</w:t>
      </w:r>
    </w:p>
    <w:p w14:paraId="18253F16" w14:textId="77777777" w:rsidR="00AF4E5E" w:rsidRPr="001D6C6C" w:rsidRDefault="00AF4E5E" w:rsidP="00AF4E5E">
      <w:pPr>
        <w:pStyle w:val="51Abs"/>
      </w:pPr>
      <w:r>
        <w:rPr>
          <w:rStyle w:val="991GldSymbol"/>
        </w:rPr>
        <w:t xml:space="preserve">Artículo 27.</w:t>
      </w:r>
      <w:r>
        <w:t xml:space="preserve"> </w:t>
      </w:r>
      <w:r>
        <w:t xml:space="preserve">La presente Ordenanza entrará en vigor el 1 de xxx de 2023.</w:t>
      </w:r>
    </w:p>
    <w:p w14:paraId="67F1F6EC" w14:textId="77777777" w:rsidR="001D5AFD" w:rsidRPr="001D6C6C" w:rsidRDefault="001D5AFD" w:rsidP="001D5AFD">
      <w:pPr>
        <w:pStyle w:val="09Abstand"/>
      </w:pPr>
    </w:p>
    <w:p w14:paraId="489AA3F6" w14:textId="77777777" w:rsidR="001D5AFD" w:rsidRPr="001D6C6C" w:rsidRDefault="001D5AFD" w:rsidP="001D5AFD">
      <w:pPr>
        <w:pStyle w:val="09Abstand"/>
      </w:pPr>
    </w:p>
    <w:p w14:paraId="6F90E13E" w14:textId="77777777" w:rsidR="00AF4E5E" w:rsidRPr="001D6C6C" w:rsidRDefault="00593324" w:rsidP="00593324">
      <w:pPr>
        <w:pStyle w:val="71Anlagenbez"/>
      </w:pPr>
      <w:r>
        <w:t xml:space="preserve">Anexo</w:t>
      </w:r>
    </w:p>
    <w:p w14:paraId="241DEF4D" w14:textId="77777777" w:rsidR="000123DE" w:rsidRPr="001D6C6C" w:rsidRDefault="00593324" w:rsidP="00B3762B">
      <w:pPr>
        <w:pStyle w:val="41UeberschrG1"/>
      </w:pPr>
      <w:r>
        <w:t xml:space="preserve">Símbolo del depósito</w:t>
      </w:r>
    </w:p>
    <w:p w14:paraId="2B72267B" w14:textId="77777777" w:rsidR="000123DE" w:rsidRPr="001D6C6C" w:rsidRDefault="000123DE" w:rsidP="00AF4E5E">
      <w:pPr>
        <w:pStyle w:val="51Abs"/>
      </w:pPr>
      <w:r>
        <w:t xml:space="preserve">Los recipientes para bebidas de un solo uso de conformidad con el artículo 4 están marcados de forma visible, reconocible y permanente con el símbolo de depósito que se muestra aquí (marca denominativa figurativa):</w:t>
      </w:r>
      <w:r>
        <w:t xml:space="preserve"> </w:t>
      </w:r>
    </w:p>
    <w:p w14:paraId="553AF76D" w14:textId="77777777" w:rsidR="00852724" w:rsidRPr="001D6C6C" w:rsidRDefault="00216B88" w:rsidP="008A0D0F">
      <w:pPr>
        <w:pStyle w:val="18AbbildungoderObjekt"/>
      </w:pPr>
      <w:r>
        <w:drawing>
          <wp:inline distT="0" distB="0" distL="0" distR="0" wp14:anchorId="29A95812" wp14:editId="60A479F6">
            <wp:extent cx="1790700" cy="20193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90700" cy="2019300"/>
                    </a:xfrm>
                    <a:prstGeom prst="rect">
                      <a:avLst/>
                    </a:prstGeom>
                  </pic:spPr>
                </pic:pic>
              </a:graphicData>
            </a:graphic>
          </wp:inline>
        </w:drawing>
      </w:r>
    </w:p>
    <w:p w14:paraId="5232FA05" w14:textId="77777777" w:rsidR="00441DE6" w:rsidRPr="001D6C6C" w:rsidRDefault="00852724" w:rsidP="00852724">
      <w:pPr>
        <w:pStyle w:val="19Beschriftung"/>
      </w:pPr>
      <w:r>
        <w:t xml:space="preserve">Figura 1 Símbolo del depósito</w:t>
      </w:r>
    </w:p>
    <w:p w14:paraId="08AE8177" w14:textId="77777777" w:rsidR="001D5AFD" w:rsidRPr="001D6C6C" w:rsidRDefault="001D5AFD" w:rsidP="00B3762B">
      <w:pPr>
        <w:pStyle w:val="09Abstand"/>
      </w:pPr>
    </w:p>
    <w:sectPr w:rsidR="001D5AFD" w:rsidRPr="001D6C6C" w:rsidSect="00104D5F">
      <w:headerReference w:type="even" r:id="rId13"/>
      <w:headerReference w:type="default" r:id="rId14"/>
      <w:footerReference w:type="even" r:id="rId15"/>
      <w:footerReference w:type="default" r:id="rId16"/>
      <w:headerReference w:type="first" r:id="rId17"/>
      <w:footerReference w:type="first" r:id="rId18"/>
      <w:pgSz w:w="11900" w:h="16840" w:code="9"/>
      <w:pgMar w:top="1701" w:right="1701" w:bottom="1701" w:left="1701" w:header="567" w:footer="1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26455" w14:textId="77777777" w:rsidR="00B3762B" w:rsidRDefault="00B3762B" w:rsidP="009D1A7C">
      <w:r>
        <w:separator/>
      </w:r>
    </w:p>
  </w:endnote>
  <w:endnote w:type="continuationSeparator" w:id="0">
    <w:p w14:paraId="5D4F16A0" w14:textId="77777777" w:rsidR="00B3762B" w:rsidRDefault="00B3762B" w:rsidP="009D1A7C">
      <w:r>
        <w:continuationSeparator/>
      </w:r>
    </w:p>
  </w:endnote>
  <w:endnote w:type="continuationNotice" w:id="1">
    <w:p w14:paraId="7EF005C3" w14:textId="77777777" w:rsidR="00B3762B" w:rsidRDefault="00B376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7C6E7" w14:textId="77777777" w:rsidR="000C677B" w:rsidRDefault="000C6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CE5B" w14:textId="77777777" w:rsidR="000C677B" w:rsidRDefault="000C67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99193" w14:textId="77777777" w:rsidR="000C677B" w:rsidRDefault="000C6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7C0E3" w14:textId="77777777" w:rsidR="00B3762B" w:rsidRDefault="00B3762B" w:rsidP="009D1A7C">
      <w:r>
        <w:separator/>
      </w:r>
    </w:p>
  </w:footnote>
  <w:footnote w:type="continuationSeparator" w:id="0">
    <w:p w14:paraId="1E530D50" w14:textId="77777777" w:rsidR="00B3762B" w:rsidRDefault="00B3762B" w:rsidP="009D1A7C">
      <w:r>
        <w:continuationSeparator/>
      </w:r>
    </w:p>
  </w:footnote>
  <w:footnote w:type="continuationNotice" w:id="1">
    <w:p w14:paraId="724C4AAE" w14:textId="77777777" w:rsidR="00B3762B" w:rsidRDefault="00B376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E283A"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Pr="001D6C6C">
      <w:t>1</w:t>
    </w:r>
    <w:r w:rsidRPr="001D6C6C">
      <w:fldChar w:fldCharType="end"/>
    </w:r>
    <w:r>
      <w:t xml:space="preserve"> de </w:t>
    </w:r>
    <w:r w:rsidR="00FB180A">
      <w:fldChar w:fldCharType="begin" w:dirty="true"/>
    </w:r>
    <w:r w:rsidR="00FB180A">
      <w:instrText xml:space="preserve"> NUMPAGES  \* Arabic  \* MERGEFORMAT </w:instrText>
    </w:r>
    <w:r w:rsidR="00FB180A">
      <w:fldChar w:fldCharType="separate"/>
    </w:r>
    <w:r w:rsidR="00F24E44" w:rsidRPr="001D6C6C">
      <w:t>9</w:t>
    </w:r>
    <w:r w:rsidR="00FB180A">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58FF"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00643B44">
      <w:t>2</w:t>
    </w:r>
    <w:r w:rsidRPr="001D6C6C">
      <w:fldChar w:fldCharType="end"/>
    </w:r>
    <w:r>
      <w:t xml:space="preserve"> de </w:t>
    </w:r>
    <w:r w:rsidR="00FB180A">
      <w:fldChar w:fldCharType="begin" w:dirty="true"/>
    </w:r>
    <w:r w:rsidR="00FB180A">
      <w:instrText xml:space="preserve"> NUMPAGES  \* Arabic  \* MERGEFORMAT </w:instrText>
    </w:r>
    <w:r w:rsidR="00FB180A">
      <w:fldChar w:fldCharType="separate"/>
    </w:r>
    <w:r w:rsidR="00643B44">
      <w:t>9</w:t>
    </w:r>
    <w:r w:rsidR="00FB180A">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E166" w14:textId="77777777" w:rsidR="00325D7D" w:rsidRPr="001D6C6C" w:rsidRDefault="00325D7D" w:rsidP="00104D5F">
    <w:pPr>
      <w:pStyle w:val="62Kopfzeile"/>
    </w:pPr>
    <w:r>
      <w:tab/>
    </w:r>
    <w:r>
      <w:tab/>
    </w:r>
    <w:r w:rsidRPr="001D6C6C">
      <w:fldChar w:fldCharType="begin"/>
    </w:r>
    <w:r w:rsidRPr="001D6C6C">
      <w:instrText xml:space="preserve"> PAGE  \* Arabic  \* MERGEFORMAT </w:instrText>
    </w:r>
    <w:r w:rsidRPr="001D6C6C">
      <w:fldChar w:fldCharType="separate"/>
    </w:r>
    <w:r w:rsidR="00643B44">
      <w:t>1</w:t>
    </w:r>
    <w:r w:rsidRPr="001D6C6C">
      <w:fldChar w:fldCharType="end"/>
    </w:r>
    <w:r>
      <w:t xml:space="preserve"> de </w:t>
    </w:r>
    <w:r w:rsidR="00FB180A">
      <w:fldChar w:fldCharType="begin" w:dirty="true"/>
    </w:r>
    <w:r w:rsidR="00FB180A">
      <w:instrText xml:space="preserve"> NUMPAGES  \* Arabic  \* MERGEFORMAT </w:instrText>
    </w:r>
    <w:r w:rsidR="00FB180A">
      <w:fldChar w:fldCharType="separate"/>
    </w:r>
    <w:r w:rsidR="00643B44">
      <w:t>9</w:t>
    </w:r>
    <w:r w:rsidR="00FB180A">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16EC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0222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5E91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E84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CC8A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660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34A0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D66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808A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83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E2E69"/>
    <w:multiLevelType w:val="hybridMultilevel"/>
    <w:tmpl w:val="62EEAFDA"/>
    <w:lvl w:ilvl="0" w:tplc="60C6F420">
      <w:start w:val="1"/>
      <w:numFmt w:val="bullet"/>
      <w:pStyle w:val="ListParagraph"/>
      <w:lvlText w:val="•"/>
      <w:lvlJc w:val="left"/>
      <w:pPr>
        <w:ind w:left="720" w:hanging="360"/>
      </w:pPr>
      <w:rPr>
        <w:rFonts w:ascii="Corbel" w:hAnsi="Corbel" w:hint="default"/>
        <w:color w:val="E6320F"/>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5E56161"/>
    <w:multiLevelType w:val="multilevel"/>
    <w:tmpl w:val="E1F071FE"/>
    <w:lvl w:ilvl="0">
      <w:start w:val="1"/>
      <w:numFmt w:val="decimal"/>
      <w:pStyle w:val="Brief2nummeriert"/>
      <w:lvlText w:val="%1."/>
      <w:lvlJc w:val="left"/>
      <w:pPr>
        <w:tabs>
          <w:tab w:val="num" w:pos="567"/>
        </w:tabs>
        <w:ind w:left="567" w:hanging="567"/>
      </w:pPr>
      <w:rPr>
        <w:rFonts w:hint="default"/>
      </w:rPr>
    </w:lvl>
    <w:lvl w:ilvl="1">
      <w:start w:val="1"/>
      <w:numFmt w:val="decimal"/>
      <w:pStyle w:val="Brief2nummeriert"/>
      <w:lvlText w:val="%2."/>
      <w:lvlJc w:val="left"/>
      <w:pPr>
        <w:tabs>
          <w:tab w:val="num" w:pos="567"/>
        </w:tabs>
        <w:ind w:left="567" w:hanging="567"/>
      </w:pPr>
      <w:rPr>
        <w:rFonts w:hint="default"/>
      </w:rPr>
    </w:lvl>
    <w:lvl w:ilvl="2">
      <w:start w:val="1"/>
      <w:numFmt w:val="decimal"/>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12" w15:restartNumberingAfterBreak="0">
    <w:nsid w:val="08B83AD4"/>
    <w:multiLevelType w:val="multilevel"/>
    <w:tmpl w:val="728ABAB8"/>
    <w:styleLink w:val="ATberschriftennummeriert"/>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567"/>
        </w:tabs>
        <w:ind w:left="0" w:firstLine="0"/>
      </w:pPr>
      <w:rPr>
        <w:rFonts w:hint="default"/>
      </w:rPr>
    </w:lvl>
    <w:lvl w:ilvl="2">
      <w:start w:val="1"/>
      <w:numFmt w:val="decimal"/>
      <w:lvlText w:val="%1.%2.%3"/>
      <w:lvlJc w:val="left"/>
      <w:pPr>
        <w:tabs>
          <w:tab w:val="num" w:pos="709"/>
        </w:tabs>
        <w:ind w:left="0" w:firstLine="0"/>
      </w:pPr>
      <w:rPr>
        <w:rFonts w:hint="default"/>
      </w:rPr>
    </w:lvl>
    <w:lvl w:ilvl="3">
      <w:start w:val="1"/>
      <w:numFmt w:val="decimal"/>
      <w:lvlText w:val="%1.%2.%3.%4"/>
      <w:lvlJc w:val="left"/>
      <w:pPr>
        <w:tabs>
          <w:tab w:val="num" w:pos="839"/>
        </w:tabs>
        <w:ind w:left="0" w:firstLine="0"/>
      </w:pPr>
      <w:rPr>
        <w:rFonts w:hint="default"/>
      </w:rPr>
    </w:lvl>
    <w:lvl w:ilvl="4">
      <w:start w:val="1"/>
      <w:numFmt w:val="decimal"/>
      <w:lvlText w:val="%1.%2.%3.%4.%5"/>
      <w:lvlJc w:val="left"/>
      <w:pPr>
        <w:tabs>
          <w:tab w:val="num" w:pos="1077"/>
        </w:tabs>
        <w:ind w:left="0" w:firstLine="0"/>
      </w:pPr>
      <w:rPr>
        <w:rFonts w:hint="default"/>
      </w:rPr>
    </w:lvl>
    <w:lvl w:ilvl="5">
      <w:start w:val="1"/>
      <w:numFmt w:val="decimal"/>
      <w:lvlText w:val="%1.%2.%3.%4.%5.%6."/>
      <w:lvlJc w:val="left"/>
      <w:pPr>
        <w:ind w:left="2552" w:hanging="567"/>
      </w:pPr>
      <w:rPr>
        <w:rFonts w:hint="default"/>
      </w:rPr>
    </w:lvl>
    <w:lvl w:ilvl="6">
      <w:start w:val="1"/>
      <w:numFmt w:val="decimal"/>
      <w:lvlText w:val="%1.%2.%3.%4.%5.%6.%7."/>
      <w:lvlJc w:val="left"/>
      <w:pPr>
        <w:ind w:left="2949" w:hanging="567"/>
      </w:pPr>
      <w:rPr>
        <w:rFonts w:hint="default"/>
      </w:rPr>
    </w:lvl>
    <w:lvl w:ilvl="7">
      <w:start w:val="1"/>
      <w:numFmt w:val="decimal"/>
      <w:lvlText w:val="%1.%2.%3.%4.%5.%6.%7.%8."/>
      <w:lvlJc w:val="left"/>
      <w:pPr>
        <w:ind w:left="3346" w:hanging="567"/>
      </w:pPr>
      <w:rPr>
        <w:rFonts w:hint="default"/>
      </w:rPr>
    </w:lvl>
    <w:lvl w:ilvl="8">
      <w:start w:val="1"/>
      <w:numFmt w:val="decimal"/>
      <w:lvlText w:val="%1.%2.%3.%4.%5.%6.%7.%8.%9."/>
      <w:lvlJc w:val="left"/>
      <w:pPr>
        <w:ind w:left="3743" w:hanging="567"/>
      </w:pPr>
      <w:rPr>
        <w:rFonts w:hint="default"/>
      </w:rPr>
    </w:lvl>
  </w:abstractNum>
  <w:abstractNum w:abstractNumId="13" w15:restartNumberingAfterBreak="0">
    <w:nsid w:val="09EF39BC"/>
    <w:multiLevelType w:val="multilevel"/>
    <w:tmpl w:val="7CAC2F4E"/>
    <w:styleLink w:val="eu2018atUnsortierteListe"/>
    <w:lvl w:ilvl="0">
      <w:start w:val="1"/>
      <w:numFmt w:val="bullet"/>
      <w:lvlText w:val="■"/>
      <w:lvlJc w:val="left"/>
      <w:pPr>
        <w:ind w:left="397" w:hanging="397"/>
      </w:pPr>
      <w:rPr>
        <w:rFonts w:ascii="Arial" w:hAnsi="Arial" w:hint="default"/>
        <w:b w:val="0"/>
        <w:i w:val="0"/>
        <w:color w:val="E6242F"/>
        <w:sz w:val="22"/>
        <w:szCs w:val="20"/>
      </w:rPr>
    </w:lvl>
    <w:lvl w:ilvl="1">
      <w:start w:val="1"/>
      <w:numFmt w:val="bullet"/>
      <w:lvlText w:val="–"/>
      <w:lvlJc w:val="left"/>
      <w:pPr>
        <w:ind w:left="794" w:hanging="397"/>
      </w:pPr>
      <w:rPr>
        <w:rFonts w:ascii="Arial" w:hAnsi="Arial" w:hint="default"/>
        <w:b/>
        <w:i w:val="0"/>
        <w:caps w:val="0"/>
        <w:strike w:val="0"/>
        <w:dstrike w:val="0"/>
        <w:vanish w:val="0"/>
        <w:color w:val="E6242F"/>
        <w:sz w:val="22"/>
        <w:szCs w:val="20"/>
        <w:vertAlign w:val="baseline"/>
      </w:rPr>
    </w:lvl>
    <w:lvl w:ilvl="2">
      <w:start w:val="1"/>
      <w:numFmt w:val="bullet"/>
      <w:lvlText w:val="□"/>
      <w:lvlJc w:val="left"/>
      <w:pPr>
        <w:ind w:left="1191" w:hanging="397"/>
      </w:pPr>
      <w:rPr>
        <w:rFonts w:ascii="Arial" w:hAnsi="Arial" w:hint="default"/>
        <w:color w:val="E6242F"/>
      </w:rPr>
    </w:lvl>
    <w:lvl w:ilvl="3">
      <w:start w:val="1"/>
      <w:numFmt w:val="bullet"/>
      <w:lvlText w:val="■"/>
      <w:lvlJc w:val="left"/>
      <w:pPr>
        <w:ind w:left="1588" w:hanging="397"/>
      </w:pPr>
      <w:rPr>
        <w:rFonts w:ascii="Arial" w:hAnsi="Arial" w:hint="default"/>
        <w:color w:val="E6242F"/>
      </w:rPr>
    </w:lvl>
    <w:lvl w:ilvl="4">
      <w:start w:val="1"/>
      <w:numFmt w:val="bullet"/>
      <w:lvlText w:val="–"/>
      <w:lvlJc w:val="left"/>
      <w:pPr>
        <w:ind w:left="1985" w:hanging="341"/>
      </w:pPr>
      <w:rPr>
        <w:rFonts w:ascii="Arial" w:hAnsi="Arial" w:hint="default"/>
        <w:color w:val="E6242F"/>
      </w:rPr>
    </w:lvl>
    <w:lvl w:ilvl="5">
      <w:start w:val="1"/>
      <w:numFmt w:val="bullet"/>
      <w:lvlText w:val="□"/>
      <w:lvlJc w:val="left"/>
      <w:pPr>
        <w:ind w:left="2381" w:hanging="396"/>
      </w:pPr>
      <w:rPr>
        <w:rFonts w:ascii="Arial" w:hAnsi="Arial" w:hint="default"/>
        <w:color w:val="E6242F"/>
      </w:rPr>
    </w:lvl>
    <w:lvl w:ilvl="6">
      <w:start w:val="1"/>
      <w:numFmt w:val="bullet"/>
      <w:lvlText w:val="■"/>
      <w:lvlJc w:val="left"/>
      <w:pPr>
        <w:ind w:left="2778" w:hanging="397"/>
      </w:pPr>
      <w:rPr>
        <w:rFonts w:ascii="Arial" w:hAnsi="Arial" w:hint="default"/>
        <w:color w:val="E6242F"/>
      </w:rPr>
    </w:lvl>
    <w:lvl w:ilvl="7">
      <w:start w:val="1"/>
      <w:numFmt w:val="bullet"/>
      <w:lvlText w:val="–"/>
      <w:lvlJc w:val="left"/>
      <w:pPr>
        <w:ind w:left="3175" w:hanging="397"/>
      </w:pPr>
      <w:rPr>
        <w:rFonts w:ascii="Arial" w:hAnsi="Arial" w:hint="default"/>
        <w:color w:val="E6242F"/>
      </w:rPr>
    </w:lvl>
    <w:lvl w:ilvl="8">
      <w:start w:val="1"/>
      <w:numFmt w:val="bullet"/>
      <w:lvlText w:val="□"/>
      <w:lvlJc w:val="left"/>
      <w:pPr>
        <w:ind w:left="3572" w:hanging="397"/>
      </w:pPr>
      <w:rPr>
        <w:rFonts w:ascii="Arial" w:hAnsi="Arial" w:hint="default"/>
        <w:color w:val="E6242F"/>
      </w:rPr>
    </w:lvl>
  </w:abstractNum>
  <w:abstractNum w:abstractNumId="14" w15:restartNumberingAfterBreak="0">
    <w:nsid w:val="0C640B47"/>
    <w:multiLevelType w:val="multilevel"/>
    <w:tmpl w:val="9C48DE4C"/>
    <w:styleLink w:val="ATGliederungsliste"/>
    <w:lvl w:ilvl="0">
      <w:start w:val="1"/>
      <w:numFmt w:val="decimal"/>
      <w:lvlText w:val="%1."/>
      <w:lvlJc w:val="left"/>
      <w:pPr>
        <w:ind w:left="397" w:hanging="397"/>
      </w:pPr>
      <w:rPr>
        <w:rFonts w:hint="default"/>
      </w:rPr>
    </w:lvl>
    <w:lvl w:ilvl="1">
      <w:start w:val="1"/>
      <w:numFmt w:val="decimal"/>
      <w:lvlText w:val="%1.%2."/>
      <w:lvlJc w:val="left"/>
      <w:pPr>
        <w:ind w:left="1361" w:hanging="964"/>
      </w:pPr>
      <w:rPr>
        <w:rFonts w:hint="default"/>
      </w:rPr>
    </w:lvl>
    <w:lvl w:ilvl="2">
      <w:start w:val="1"/>
      <w:numFmt w:val="decimal"/>
      <w:lvlText w:val="%1.%2.%3."/>
      <w:lvlJc w:val="left"/>
      <w:pPr>
        <w:ind w:left="2013" w:hanging="878"/>
      </w:pPr>
      <w:rPr>
        <w:rFonts w:hint="default"/>
      </w:rPr>
    </w:lvl>
    <w:lvl w:ilvl="3">
      <w:start w:val="1"/>
      <w:numFmt w:val="decimal"/>
      <w:lvlText w:val="%1.%2.%3.%4."/>
      <w:lvlJc w:val="left"/>
      <w:pPr>
        <w:ind w:left="2524" w:hanging="397"/>
      </w:pPr>
      <w:rPr>
        <w:rFonts w:hint="default"/>
      </w:rPr>
    </w:lvl>
    <w:lvl w:ilvl="4">
      <w:start w:val="1"/>
      <w:numFmt w:val="decimal"/>
      <w:lvlText w:val="%1.%2.%3.%4.%5."/>
      <w:lvlJc w:val="left"/>
      <w:pPr>
        <w:ind w:left="2921" w:hanging="397"/>
      </w:pPr>
      <w:rPr>
        <w:rFonts w:hint="default"/>
      </w:rPr>
    </w:lvl>
    <w:lvl w:ilvl="5">
      <w:start w:val="1"/>
      <w:numFmt w:val="decimal"/>
      <w:lvlText w:val="%1.%2.%3.%4.%5.%6."/>
      <w:lvlJc w:val="left"/>
      <w:pPr>
        <w:ind w:left="3317" w:hanging="396"/>
      </w:pPr>
      <w:rPr>
        <w:rFonts w:hint="default"/>
      </w:rPr>
    </w:lvl>
    <w:lvl w:ilvl="6">
      <w:start w:val="1"/>
      <w:numFmt w:val="decimal"/>
      <w:lvlText w:val="%1.%2.%3.%4.%5.%6.%7."/>
      <w:lvlJc w:val="left"/>
      <w:pPr>
        <w:ind w:left="3714" w:hanging="397"/>
      </w:pPr>
      <w:rPr>
        <w:rFonts w:hint="default"/>
      </w:rPr>
    </w:lvl>
    <w:lvl w:ilvl="7">
      <w:start w:val="1"/>
      <w:numFmt w:val="decimal"/>
      <w:lvlText w:val="%1.%2.%3.%4.%5.%6.%7.%8."/>
      <w:lvlJc w:val="left"/>
      <w:pPr>
        <w:ind w:left="4111" w:hanging="397"/>
      </w:pPr>
      <w:rPr>
        <w:rFonts w:hint="default"/>
      </w:rPr>
    </w:lvl>
    <w:lvl w:ilvl="8">
      <w:start w:val="1"/>
      <w:numFmt w:val="decimal"/>
      <w:lvlText w:val="%1.%2.%3.%4.%5.%6.%7.%8.%9."/>
      <w:lvlJc w:val="left"/>
      <w:pPr>
        <w:ind w:left="4508" w:hanging="397"/>
      </w:pPr>
      <w:rPr>
        <w:rFonts w:hint="default"/>
      </w:rPr>
    </w:lvl>
  </w:abstractNum>
  <w:abstractNum w:abstractNumId="15" w15:restartNumberingAfterBreak="0">
    <w:nsid w:val="10EE2ED1"/>
    <w:multiLevelType w:val="hybridMultilevel"/>
    <w:tmpl w:val="1C9E4220"/>
    <w:lvl w:ilvl="0" w:tplc="2AD47F7E">
      <w:start w:val="1"/>
      <w:numFmt w:val="bullet"/>
      <w:lvlText w:val=""/>
      <w:lvlJc w:val="left"/>
      <w:pPr>
        <w:ind w:left="720" w:hanging="360"/>
      </w:pPr>
      <w:rPr>
        <w:rFonts w:ascii="Symbol" w:hAnsi="Symbol" w:hint="default"/>
        <w:color w:val="C00000"/>
        <w:sz w:val="18"/>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17247383"/>
    <w:multiLevelType w:val="multilevel"/>
    <w:tmpl w:val="E0EEB672"/>
    <w:styleLink w:val="Programm-Liste"/>
    <w:lvl w:ilvl="0">
      <w:start w:val="1"/>
      <w:numFmt w:val="bullet"/>
      <w:lvlText w:val="•"/>
      <w:lvlJc w:val="left"/>
      <w:pPr>
        <w:ind w:left="2285" w:hanging="397"/>
      </w:pPr>
      <w:rPr>
        <w:rFonts w:ascii="Corbel" w:hAnsi="Corbel" w:hint="default"/>
        <w:sz w:val="23"/>
      </w:rPr>
    </w:lvl>
    <w:lvl w:ilvl="1">
      <w:start w:val="1"/>
      <w:numFmt w:val="bullet"/>
      <w:lvlText w:val="o"/>
      <w:lvlJc w:val="left"/>
      <w:pPr>
        <w:ind w:left="3708" w:hanging="360"/>
      </w:pPr>
      <w:rPr>
        <w:rFonts w:ascii="Courier New" w:hAnsi="Courier New" w:cs="Courier New" w:hint="default"/>
      </w:rPr>
    </w:lvl>
    <w:lvl w:ilvl="2">
      <w:start w:val="1"/>
      <w:numFmt w:val="bullet"/>
      <w:lvlText w:val=""/>
      <w:lvlJc w:val="left"/>
      <w:pPr>
        <w:ind w:left="4428" w:hanging="360"/>
      </w:pPr>
      <w:rPr>
        <w:rFonts w:ascii="Wingdings" w:hAnsi="Wingdings" w:hint="default"/>
      </w:rPr>
    </w:lvl>
    <w:lvl w:ilvl="3">
      <w:start w:val="1"/>
      <w:numFmt w:val="bullet"/>
      <w:lvlText w:val=""/>
      <w:lvlJc w:val="left"/>
      <w:pPr>
        <w:ind w:left="5148" w:hanging="360"/>
      </w:pPr>
      <w:rPr>
        <w:rFonts w:ascii="Symbol" w:hAnsi="Symbol" w:hint="default"/>
      </w:rPr>
    </w:lvl>
    <w:lvl w:ilvl="4">
      <w:start w:val="1"/>
      <w:numFmt w:val="bullet"/>
      <w:lvlText w:val="o"/>
      <w:lvlJc w:val="left"/>
      <w:pPr>
        <w:ind w:left="5868" w:hanging="360"/>
      </w:pPr>
      <w:rPr>
        <w:rFonts w:ascii="Courier New" w:hAnsi="Courier New" w:cs="Courier New" w:hint="default"/>
      </w:rPr>
    </w:lvl>
    <w:lvl w:ilvl="5">
      <w:start w:val="1"/>
      <w:numFmt w:val="bullet"/>
      <w:lvlText w:val=""/>
      <w:lvlJc w:val="left"/>
      <w:pPr>
        <w:ind w:left="6588" w:hanging="360"/>
      </w:pPr>
      <w:rPr>
        <w:rFonts w:ascii="Wingdings" w:hAnsi="Wingdings" w:hint="default"/>
      </w:rPr>
    </w:lvl>
    <w:lvl w:ilvl="6">
      <w:start w:val="1"/>
      <w:numFmt w:val="bullet"/>
      <w:lvlText w:val=""/>
      <w:lvlJc w:val="left"/>
      <w:pPr>
        <w:ind w:left="7308" w:hanging="360"/>
      </w:pPr>
      <w:rPr>
        <w:rFonts w:ascii="Symbol" w:hAnsi="Symbol" w:hint="default"/>
      </w:rPr>
    </w:lvl>
    <w:lvl w:ilvl="7">
      <w:start w:val="1"/>
      <w:numFmt w:val="bullet"/>
      <w:lvlText w:val="o"/>
      <w:lvlJc w:val="left"/>
      <w:pPr>
        <w:ind w:left="8028" w:hanging="360"/>
      </w:pPr>
      <w:rPr>
        <w:rFonts w:ascii="Courier New" w:hAnsi="Courier New" w:cs="Courier New" w:hint="default"/>
      </w:rPr>
    </w:lvl>
    <w:lvl w:ilvl="8">
      <w:start w:val="1"/>
      <w:numFmt w:val="bullet"/>
      <w:lvlText w:val=""/>
      <w:lvlJc w:val="left"/>
      <w:pPr>
        <w:ind w:left="8748" w:hanging="360"/>
      </w:pPr>
      <w:rPr>
        <w:rFonts w:ascii="Wingdings" w:hAnsi="Wingdings" w:hint="default"/>
      </w:rPr>
    </w:lvl>
  </w:abstractNum>
  <w:abstractNum w:abstractNumId="17" w15:restartNumberingAfterBreak="0">
    <w:nsid w:val="18C20564"/>
    <w:multiLevelType w:val="hybridMultilevel"/>
    <w:tmpl w:val="1DF83E78"/>
    <w:lvl w:ilvl="0" w:tplc="930EE8E4">
      <w:start w:val="1"/>
      <w:numFmt w:val="lowerLetter"/>
      <w:pStyle w:val="Listennummera"/>
      <w:lvlText w:val="%1)"/>
      <w:lvlJc w:val="left"/>
      <w:pPr>
        <w:ind w:left="360" w:hanging="360"/>
      </w:pPr>
    </w:lvl>
    <w:lvl w:ilvl="1" w:tplc="9B347F0A">
      <w:start w:val="1"/>
      <w:numFmt w:val="lowerLetter"/>
      <w:lvlText w:val="%2."/>
      <w:lvlJc w:val="left"/>
      <w:pPr>
        <w:ind w:left="0" w:firstLine="397"/>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1A2663A7"/>
    <w:multiLevelType w:val="multilevel"/>
    <w:tmpl w:val="D47C4C50"/>
    <w:numStyleLink w:val="ATNummerierteListe"/>
  </w:abstractNum>
  <w:abstractNum w:abstractNumId="19" w15:restartNumberingAfterBreak="0">
    <w:nsid w:val="2DBE0A26"/>
    <w:multiLevelType w:val="hybridMultilevel"/>
    <w:tmpl w:val="FC8AE052"/>
    <w:lvl w:ilvl="0" w:tplc="2AD47F7E">
      <w:start w:val="1"/>
      <w:numFmt w:val="bullet"/>
      <w:lvlText w:val=""/>
      <w:lvlJc w:val="left"/>
      <w:pPr>
        <w:ind w:left="720" w:hanging="360"/>
      </w:pPr>
      <w:rPr>
        <w:rFonts w:ascii="Symbol" w:hAnsi="Symbol" w:hint="default"/>
        <w:color w:val="C00000"/>
        <w:sz w:val="18"/>
      </w:rPr>
    </w:lvl>
    <w:lvl w:ilvl="1" w:tplc="E5C2CAAE">
      <w:start w:val="1"/>
      <w:numFmt w:val="bullet"/>
      <w:lvlText w:val=""/>
      <w:lvlJc w:val="left"/>
      <w:pPr>
        <w:ind w:left="1440" w:hanging="360"/>
      </w:pPr>
      <w:rPr>
        <w:rFonts w:ascii="Symbol" w:hAnsi="Symbol" w:hint="default"/>
        <w:b w:val="0"/>
        <w:color w:val="4D86A0" w:themeColor="background1" w:themeShade="80"/>
        <w:sz w:val="18"/>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1B7673D"/>
    <w:multiLevelType w:val="multilevel"/>
    <w:tmpl w:val="1F50C09E"/>
    <w:styleLink w:val="ATUnsortierteListe"/>
    <w:lvl w:ilvl="0">
      <w:start w:val="1"/>
      <w:numFmt w:val="bullet"/>
      <w:lvlText w:val="•"/>
      <w:lvlJc w:val="left"/>
      <w:pPr>
        <w:ind w:left="397" w:hanging="397"/>
      </w:pPr>
      <w:rPr>
        <w:rFonts w:asciiTheme="minorHAnsi" w:hAnsiTheme="minorHAnsi" w:cs="Times New Roman" w:hint="default"/>
        <w:b w:val="0"/>
        <w:i w:val="0"/>
        <w:color w:val="E6242F"/>
        <w:sz w:val="23"/>
        <w:szCs w:val="20"/>
      </w:rPr>
    </w:lvl>
    <w:lvl w:ilvl="1">
      <w:start w:val="1"/>
      <w:numFmt w:val="bullet"/>
      <w:lvlText w:val="−"/>
      <w:lvlJc w:val="left"/>
      <w:pPr>
        <w:ind w:left="794" w:hanging="397"/>
      </w:pPr>
      <w:rPr>
        <w:rFonts w:asciiTheme="minorHAnsi" w:hAnsiTheme="minorHAnsi" w:hint="default"/>
        <w:b/>
        <w:i w:val="0"/>
        <w:caps w:val="0"/>
        <w:strike w:val="0"/>
        <w:dstrike w:val="0"/>
        <w:vanish w:val="0"/>
        <w:color w:val="auto"/>
        <w:sz w:val="23"/>
        <w:szCs w:val="20"/>
        <w:vertAlign w:val="baseline"/>
      </w:rPr>
    </w:lvl>
    <w:lvl w:ilvl="2">
      <w:start w:val="1"/>
      <w:numFmt w:val="bullet"/>
      <w:lvlText w:val="•"/>
      <w:lvlJc w:val="left"/>
      <w:pPr>
        <w:ind w:left="1191" w:hanging="397"/>
      </w:pPr>
      <w:rPr>
        <w:rFonts w:asciiTheme="minorHAnsi" w:hAnsiTheme="minorHAnsi" w:cs="Times New Roman" w:hint="default"/>
        <w:color w:val="auto"/>
        <w:sz w:val="23"/>
      </w:rPr>
    </w:lvl>
    <w:lvl w:ilvl="3">
      <w:start w:val="1"/>
      <w:numFmt w:val="bullet"/>
      <w:lvlText w:val="–"/>
      <w:lvlJc w:val="left"/>
      <w:pPr>
        <w:ind w:left="1588" w:hanging="397"/>
      </w:pPr>
      <w:rPr>
        <w:rFonts w:asciiTheme="minorHAnsi" w:hAnsiTheme="minorHAnsi" w:cs="Times New Roman" w:hint="default"/>
        <w:color w:val="E6320F" w:themeColor="text2"/>
        <w:sz w:val="23"/>
      </w:rPr>
    </w:lvl>
    <w:lvl w:ilvl="4">
      <w:start w:val="1"/>
      <w:numFmt w:val="bullet"/>
      <w:lvlText w:val="•"/>
      <w:lvlJc w:val="left"/>
      <w:pPr>
        <w:ind w:left="1985" w:hanging="341"/>
      </w:pPr>
      <w:rPr>
        <w:rFonts w:asciiTheme="minorHAnsi" w:hAnsiTheme="minorHAnsi" w:cs="Times New Roman" w:hint="default"/>
        <w:color w:val="E6242F"/>
      </w:rPr>
    </w:lvl>
    <w:lvl w:ilvl="5">
      <w:start w:val="1"/>
      <w:numFmt w:val="bullet"/>
      <w:lvlText w:val="–"/>
      <w:lvlJc w:val="left"/>
      <w:pPr>
        <w:ind w:left="2381" w:hanging="396"/>
      </w:pPr>
      <w:rPr>
        <w:rFonts w:asciiTheme="minorHAnsi" w:hAnsiTheme="minorHAnsi" w:cs="Times New Roman" w:hint="default"/>
        <w:color w:val="auto"/>
      </w:rPr>
    </w:lvl>
    <w:lvl w:ilvl="6">
      <w:start w:val="1"/>
      <w:numFmt w:val="bullet"/>
      <w:lvlText w:val="•"/>
      <w:lvlJc w:val="left"/>
      <w:pPr>
        <w:ind w:left="2778" w:hanging="397"/>
      </w:pPr>
      <w:rPr>
        <w:rFonts w:asciiTheme="minorHAnsi" w:hAnsiTheme="minorHAnsi" w:cs="Times New Roman" w:hint="default"/>
        <w:color w:val="auto"/>
      </w:rPr>
    </w:lvl>
    <w:lvl w:ilvl="7">
      <w:start w:val="1"/>
      <w:numFmt w:val="bullet"/>
      <w:lvlText w:val="–"/>
      <w:lvlJc w:val="left"/>
      <w:pPr>
        <w:ind w:left="3175" w:hanging="397"/>
      </w:pPr>
      <w:rPr>
        <w:rFonts w:asciiTheme="minorHAnsi" w:hAnsiTheme="minorHAnsi" w:cs="Times New Roman" w:hint="default"/>
        <w:color w:val="E6242F"/>
      </w:rPr>
    </w:lvl>
    <w:lvl w:ilvl="8">
      <w:start w:val="1"/>
      <w:numFmt w:val="bullet"/>
      <w:lvlText w:val="•"/>
      <w:lvlJc w:val="left"/>
      <w:pPr>
        <w:ind w:left="3572" w:hanging="397"/>
      </w:pPr>
      <w:rPr>
        <w:rFonts w:asciiTheme="minorHAnsi" w:hAnsiTheme="minorHAnsi" w:cs="Times New Roman" w:hint="default"/>
        <w:color w:val="E6242F"/>
      </w:rPr>
    </w:lvl>
  </w:abstractNum>
  <w:abstractNum w:abstractNumId="21" w15:restartNumberingAfterBreak="0">
    <w:nsid w:val="33DA788C"/>
    <w:multiLevelType w:val="hybridMultilevel"/>
    <w:tmpl w:val="939AF7C4"/>
    <w:lvl w:ilvl="0" w:tplc="CB52A934">
      <w:start w:val="1"/>
      <w:numFmt w:val="bullet"/>
      <w:pStyle w:val="BoxUL1"/>
      <w:lvlText w:val="•"/>
      <w:lvlJc w:val="left"/>
      <w:pPr>
        <w:ind w:left="720" w:hanging="360"/>
      </w:pPr>
      <w:rPr>
        <w:rFonts w:ascii="Corbel" w:hAnsi="Corbe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13A1237"/>
    <w:multiLevelType w:val="hybridMultilevel"/>
    <w:tmpl w:val="0A70E5BC"/>
    <w:lvl w:ilvl="0" w:tplc="1EE001E2">
      <w:start w:val="1"/>
      <w:numFmt w:val="bullet"/>
      <w:lvlText w:val=""/>
      <w:lvlJc w:val="left"/>
      <w:pPr>
        <w:ind w:left="720" w:hanging="360"/>
      </w:pPr>
      <w:rPr>
        <w:rFonts w:ascii="Symbol" w:hAnsi="Symbol" w:hint="default"/>
        <w:color w:val="auto"/>
        <w:sz w:val="16"/>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4EAA19BA"/>
    <w:multiLevelType w:val="multilevel"/>
    <w:tmpl w:val="D47C4C50"/>
    <w:styleLink w:val="ATNummerierteListe"/>
    <w:lvl w:ilvl="0">
      <w:start w:val="1"/>
      <w:numFmt w:val="decimal"/>
      <w:isLgl/>
      <w:lvlText w:val="%1."/>
      <w:lvlJc w:val="left"/>
      <w:pPr>
        <w:ind w:left="397" w:hanging="397"/>
      </w:pPr>
      <w:rPr>
        <w:rFonts w:asciiTheme="minorHAnsi" w:hAnsiTheme="minorHAnsi" w:hint="default"/>
        <w:color w:val="E6320F" w:themeColor="text2"/>
        <w:sz w:val="23"/>
      </w:rPr>
    </w:lvl>
    <w:lvl w:ilvl="1">
      <w:start w:val="1"/>
      <w:numFmt w:val="lowerLetter"/>
      <w:lvlText w:val="%2)"/>
      <w:lvlJc w:val="left"/>
      <w:pPr>
        <w:ind w:left="794" w:hanging="397"/>
      </w:pPr>
      <w:rPr>
        <w:rFonts w:asciiTheme="minorHAnsi" w:hAnsiTheme="minorHAnsi" w:hint="default"/>
        <w:sz w:val="23"/>
      </w:rPr>
    </w:lvl>
    <w:lvl w:ilvl="2">
      <w:start w:val="1"/>
      <w:numFmt w:val="lowerRoman"/>
      <w:lvlText w:val="%3)"/>
      <w:lvlJc w:val="left"/>
      <w:pPr>
        <w:ind w:left="1191" w:hanging="397"/>
      </w:pPr>
      <w:rPr>
        <w:rFonts w:hint="default"/>
      </w:rPr>
    </w:lvl>
    <w:lvl w:ilvl="3">
      <w:start w:val="1"/>
      <w:numFmt w:val="decimal"/>
      <w:lvlText w:val="%4."/>
      <w:lvlJc w:val="left"/>
      <w:pPr>
        <w:ind w:left="1588" w:hanging="397"/>
      </w:pPr>
      <w:rPr>
        <w:rFonts w:asciiTheme="minorHAnsi" w:hAnsiTheme="minorHAnsi" w:hint="default"/>
      </w:rPr>
    </w:lvl>
    <w:lvl w:ilvl="4">
      <w:start w:val="1"/>
      <w:numFmt w:val="lowerLetter"/>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decimal"/>
      <w:lvlText w:val="%7."/>
      <w:lvlJc w:val="left"/>
      <w:pPr>
        <w:ind w:left="2779" w:hanging="397"/>
      </w:pPr>
      <w:rPr>
        <w:rFonts w:asciiTheme="minorHAnsi" w:hAnsiTheme="minorHAnsi" w:hint="default"/>
      </w:rPr>
    </w:lvl>
    <w:lvl w:ilvl="7">
      <w:start w:val="1"/>
      <w:numFmt w:val="lowerLetter"/>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24" w15:restartNumberingAfterBreak="0">
    <w:nsid w:val="55D87CCC"/>
    <w:multiLevelType w:val="multilevel"/>
    <w:tmpl w:val="9C48DE4C"/>
    <w:numStyleLink w:val="ATGliederungsliste"/>
  </w:abstractNum>
  <w:abstractNum w:abstractNumId="25" w15:restartNumberingAfterBreak="0">
    <w:nsid w:val="610722F4"/>
    <w:multiLevelType w:val="multilevel"/>
    <w:tmpl w:val="AAB0C8CC"/>
    <w:styleLink w:val="eu2018atGliederungsliste2"/>
    <w:lvl w:ilvl="0">
      <w:start w:val="1"/>
      <w:numFmt w:val="decimal"/>
      <w:lvlText w:val="%1)"/>
      <w:lvlJc w:val="left"/>
      <w:pPr>
        <w:ind w:left="397" w:hanging="397"/>
      </w:pPr>
      <w:rPr>
        <w:rFonts w:hint="default"/>
        <w:b w:val="0"/>
        <w:i w:val="0"/>
        <w:color w:val="auto"/>
        <w:sz w:val="22"/>
      </w:rPr>
    </w:lvl>
    <w:lvl w:ilvl="1">
      <w:start w:val="1"/>
      <w:numFmt w:val="lowerLetter"/>
      <w:lvlText w:val="%2)"/>
      <w:lvlJc w:val="left"/>
      <w:pPr>
        <w:ind w:left="794" w:hanging="397"/>
      </w:pPr>
      <w:rPr>
        <w:rFonts w:hint="default"/>
        <w:b w:val="0"/>
        <w:i w:val="0"/>
        <w:color w:val="auto"/>
        <w:sz w:val="22"/>
      </w:rPr>
    </w:lvl>
    <w:lvl w:ilvl="2">
      <w:start w:val="1"/>
      <w:numFmt w:val="lowerRoman"/>
      <w:lvlText w:val="%3)"/>
      <w:lvlJc w:val="left"/>
      <w:pPr>
        <w:ind w:left="1191" w:hanging="397"/>
      </w:pPr>
      <w:rPr>
        <w:rFonts w:hint="default"/>
        <w:b w:val="0"/>
        <w:i w:val="0"/>
        <w:color w:val="auto"/>
        <w:sz w:val="22"/>
      </w:rPr>
    </w:lvl>
    <w:lvl w:ilvl="3">
      <w:start w:val="1"/>
      <w:numFmt w:val="decimal"/>
      <w:lvlText w:val="(%4)"/>
      <w:lvlJc w:val="left"/>
      <w:pPr>
        <w:ind w:left="1588" w:hanging="397"/>
      </w:pPr>
      <w:rPr>
        <w:rFonts w:hint="default"/>
        <w:b w:val="0"/>
        <w:i w:val="0"/>
        <w:color w:val="auto"/>
        <w:sz w:val="22"/>
      </w:rPr>
    </w:lvl>
    <w:lvl w:ilvl="4">
      <w:start w:val="1"/>
      <w:numFmt w:val="lowerLetter"/>
      <w:lvlText w:val="(%5)"/>
      <w:lvlJc w:val="left"/>
      <w:pPr>
        <w:ind w:left="1985" w:hanging="397"/>
      </w:pPr>
      <w:rPr>
        <w:rFonts w:hint="default"/>
        <w:b/>
        <w:i w:val="0"/>
        <w:color w:val="E6242F"/>
      </w:rPr>
    </w:lvl>
    <w:lvl w:ilvl="5">
      <w:start w:val="1"/>
      <w:numFmt w:val="lowerRoman"/>
      <w:lvlText w:val="(%6)"/>
      <w:lvlJc w:val="left"/>
      <w:pPr>
        <w:ind w:left="2381" w:hanging="396"/>
      </w:pPr>
      <w:rPr>
        <w:rFonts w:hint="default"/>
        <w:b/>
        <w:i w:val="0"/>
        <w:color w:val="E6242F"/>
      </w:rPr>
    </w:lvl>
    <w:lvl w:ilvl="6">
      <w:start w:val="1"/>
      <w:numFmt w:val="decimal"/>
      <w:lvlText w:val="%7."/>
      <w:lvlJc w:val="left"/>
      <w:pPr>
        <w:ind w:left="2778" w:hanging="397"/>
      </w:pPr>
      <w:rPr>
        <w:rFonts w:hint="default"/>
        <w:b/>
        <w:i w:val="0"/>
        <w:color w:val="E6242F"/>
      </w:rPr>
    </w:lvl>
    <w:lvl w:ilvl="7">
      <w:start w:val="1"/>
      <w:numFmt w:val="lowerLetter"/>
      <w:lvlText w:val="%8."/>
      <w:lvlJc w:val="left"/>
      <w:pPr>
        <w:ind w:left="3175" w:hanging="397"/>
      </w:pPr>
      <w:rPr>
        <w:rFonts w:hint="default"/>
        <w:b/>
        <w:i w:val="0"/>
        <w:color w:val="E6242F"/>
      </w:rPr>
    </w:lvl>
    <w:lvl w:ilvl="8">
      <w:start w:val="1"/>
      <w:numFmt w:val="lowerRoman"/>
      <w:lvlText w:val="%9."/>
      <w:lvlJc w:val="left"/>
      <w:pPr>
        <w:ind w:left="3572" w:hanging="397"/>
      </w:pPr>
      <w:rPr>
        <w:rFonts w:hint="default"/>
        <w:b/>
        <w:i w:val="0"/>
        <w:color w:val="E6242F"/>
      </w:rPr>
    </w:lvl>
  </w:abstractNum>
  <w:num w:numId="1" w16cid:durableId="185674136">
    <w:abstractNumId w:val="14"/>
  </w:num>
  <w:num w:numId="2" w16cid:durableId="136651222">
    <w:abstractNumId w:val="23"/>
  </w:num>
  <w:num w:numId="3" w16cid:durableId="837959650">
    <w:abstractNumId w:val="12"/>
  </w:num>
  <w:num w:numId="4" w16cid:durableId="1072780073">
    <w:abstractNumId w:val="20"/>
  </w:num>
  <w:num w:numId="5" w16cid:durableId="206066076">
    <w:abstractNumId w:val="20"/>
  </w:num>
  <w:num w:numId="6" w16cid:durableId="880945695">
    <w:abstractNumId w:val="21"/>
  </w:num>
  <w:num w:numId="7" w16cid:durableId="1999574521">
    <w:abstractNumId w:val="11"/>
  </w:num>
  <w:num w:numId="8" w16cid:durableId="227032966">
    <w:abstractNumId w:val="25"/>
  </w:num>
  <w:num w:numId="9" w16cid:durableId="1474325188">
    <w:abstractNumId w:val="13"/>
  </w:num>
  <w:num w:numId="10" w16cid:durableId="1481076557">
    <w:abstractNumId w:val="10"/>
  </w:num>
  <w:num w:numId="11" w16cid:durableId="580067975">
    <w:abstractNumId w:val="24"/>
  </w:num>
  <w:num w:numId="12" w16cid:durableId="1856649691">
    <w:abstractNumId w:val="25"/>
  </w:num>
  <w:num w:numId="13" w16cid:durableId="217742719">
    <w:abstractNumId w:val="18"/>
  </w:num>
  <w:num w:numId="14" w16cid:durableId="1396394689">
    <w:abstractNumId w:val="17"/>
  </w:num>
  <w:num w:numId="15" w16cid:durableId="1124348492">
    <w:abstractNumId w:val="16"/>
  </w:num>
  <w:num w:numId="16" w16cid:durableId="282426968">
    <w:abstractNumId w:val="12"/>
  </w:num>
  <w:num w:numId="17" w16cid:durableId="1720713393">
    <w:abstractNumId w:val="9"/>
  </w:num>
  <w:num w:numId="18" w16cid:durableId="1362971608">
    <w:abstractNumId w:val="7"/>
  </w:num>
  <w:num w:numId="19" w16cid:durableId="60059346">
    <w:abstractNumId w:val="6"/>
  </w:num>
  <w:num w:numId="20" w16cid:durableId="1036389218">
    <w:abstractNumId w:val="5"/>
  </w:num>
  <w:num w:numId="21" w16cid:durableId="1538539745">
    <w:abstractNumId w:val="4"/>
  </w:num>
  <w:num w:numId="22" w16cid:durableId="1661690790">
    <w:abstractNumId w:val="8"/>
  </w:num>
  <w:num w:numId="23" w16cid:durableId="1643078849">
    <w:abstractNumId w:val="3"/>
  </w:num>
  <w:num w:numId="24" w16cid:durableId="871261237">
    <w:abstractNumId w:val="2"/>
  </w:num>
  <w:num w:numId="25" w16cid:durableId="964962930">
    <w:abstractNumId w:val="1"/>
  </w:num>
  <w:num w:numId="26" w16cid:durableId="1960139877">
    <w:abstractNumId w:val="0"/>
  </w:num>
  <w:num w:numId="27" w16cid:durableId="983967170">
    <w:abstractNumId w:val="22"/>
  </w:num>
  <w:num w:numId="28" w16cid:durableId="1479296977">
    <w:abstractNumId w:val="15"/>
  </w:num>
  <w:num w:numId="29" w16cid:durableId="20008448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SpellingErrors/>
  <w:hideGrammaticalErrors/>
  <w:activeWritingStyle w:appName="MSWord" w:lang="de-DE" w:vendorID="64" w:dllVersion="6" w:nlCheck="1" w:checkStyle="0"/>
  <w:activeWritingStyle w:appName="MSWord" w:lang="de-AT" w:vendorID="64" w:dllVersion="6" w:nlCheck="1" w:checkStyle="0"/>
  <w:activeWritingStyle w:appName="MSWord" w:lang="en-GB" w:vendorID="64" w:dllVersion="0" w:nlCheck="1" w:checkStyle="0"/>
  <w:proofState w:spelling="dirty" w:grammar="dirty"/>
  <w:attachedTemplate r:id="rId1"/>
  <w:doNotTrackFormatting/>
  <w:defaultTabStop w:val="708"/>
  <w:hyphenationZone w:val="425"/>
  <w:clickAndTypeStyle w:val="51Abs"/>
  <w:drawingGridHorizontalSpacing w:val="108"/>
  <w:drawingGridVerticalSpacing w:val="108"/>
  <w:displayHorizontalDrawingGridEvery w:val="2"/>
  <w:displayVerticalDrawingGridEvery w:val="2"/>
  <w:doNotUseMarginsForDrawingGridOrigin/>
  <w:drawingGridHorizontalOrigin w:val="0"/>
  <w:drawingGridVerticalOrigin w:val="0"/>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D5F"/>
    <w:rsid w:val="0000022D"/>
    <w:rsid w:val="00001EE6"/>
    <w:rsid w:val="00003F95"/>
    <w:rsid w:val="00006D12"/>
    <w:rsid w:val="0000735E"/>
    <w:rsid w:val="000078A6"/>
    <w:rsid w:val="000100F8"/>
    <w:rsid w:val="00011FC5"/>
    <w:rsid w:val="000123DE"/>
    <w:rsid w:val="000123FF"/>
    <w:rsid w:val="00013491"/>
    <w:rsid w:val="000137A1"/>
    <w:rsid w:val="00013ADB"/>
    <w:rsid w:val="00014A5F"/>
    <w:rsid w:val="0001507C"/>
    <w:rsid w:val="000164EF"/>
    <w:rsid w:val="0001698D"/>
    <w:rsid w:val="00017121"/>
    <w:rsid w:val="000179DC"/>
    <w:rsid w:val="00020030"/>
    <w:rsid w:val="00020616"/>
    <w:rsid w:val="000212EF"/>
    <w:rsid w:val="000226DF"/>
    <w:rsid w:val="00024177"/>
    <w:rsid w:val="00025850"/>
    <w:rsid w:val="00025F0E"/>
    <w:rsid w:val="000268FB"/>
    <w:rsid w:val="00026F3D"/>
    <w:rsid w:val="00027F51"/>
    <w:rsid w:val="00030101"/>
    <w:rsid w:val="000305E9"/>
    <w:rsid w:val="000330C7"/>
    <w:rsid w:val="0003329B"/>
    <w:rsid w:val="0003484D"/>
    <w:rsid w:val="000358F6"/>
    <w:rsid w:val="00036400"/>
    <w:rsid w:val="0003687D"/>
    <w:rsid w:val="00037450"/>
    <w:rsid w:val="00040931"/>
    <w:rsid w:val="00042028"/>
    <w:rsid w:val="00043907"/>
    <w:rsid w:val="00043F85"/>
    <w:rsid w:val="00044475"/>
    <w:rsid w:val="00045099"/>
    <w:rsid w:val="000455E1"/>
    <w:rsid w:val="00046417"/>
    <w:rsid w:val="00046B8B"/>
    <w:rsid w:val="000478AB"/>
    <w:rsid w:val="000479FE"/>
    <w:rsid w:val="000503BA"/>
    <w:rsid w:val="00050FA9"/>
    <w:rsid w:val="00051020"/>
    <w:rsid w:val="00052BE7"/>
    <w:rsid w:val="000539BF"/>
    <w:rsid w:val="00053A9A"/>
    <w:rsid w:val="00053ACB"/>
    <w:rsid w:val="00054736"/>
    <w:rsid w:val="00054CF4"/>
    <w:rsid w:val="000551D8"/>
    <w:rsid w:val="00055860"/>
    <w:rsid w:val="00057008"/>
    <w:rsid w:val="0005722D"/>
    <w:rsid w:val="000619DC"/>
    <w:rsid w:val="0006392A"/>
    <w:rsid w:val="00064AC4"/>
    <w:rsid w:val="00065628"/>
    <w:rsid w:val="00065AF8"/>
    <w:rsid w:val="00067072"/>
    <w:rsid w:val="000673D0"/>
    <w:rsid w:val="00071587"/>
    <w:rsid w:val="0007177B"/>
    <w:rsid w:val="000726AA"/>
    <w:rsid w:val="000727F2"/>
    <w:rsid w:val="0007435D"/>
    <w:rsid w:val="00075471"/>
    <w:rsid w:val="00075EB7"/>
    <w:rsid w:val="00076F2E"/>
    <w:rsid w:val="00077736"/>
    <w:rsid w:val="00080D0C"/>
    <w:rsid w:val="0008182B"/>
    <w:rsid w:val="00082EBE"/>
    <w:rsid w:val="00083280"/>
    <w:rsid w:val="00084FA0"/>
    <w:rsid w:val="0008509E"/>
    <w:rsid w:val="00085C4F"/>
    <w:rsid w:val="00086FE8"/>
    <w:rsid w:val="000916B1"/>
    <w:rsid w:val="000919BA"/>
    <w:rsid w:val="00092D19"/>
    <w:rsid w:val="0009367F"/>
    <w:rsid w:val="00095015"/>
    <w:rsid w:val="00095B78"/>
    <w:rsid w:val="00095C6D"/>
    <w:rsid w:val="0009605F"/>
    <w:rsid w:val="0009611D"/>
    <w:rsid w:val="000967A1"/>
    <w:rsid w:val="00096AAF"/>
    <w:rsid w:val="00096E4F"/>
    <w:rsid w:val="00096E99"/>
    <w:rsid w:val="00097023"/>
    <w:rsid w:val="0009756A"/>
    <w:rsid w:val="0009781A"/>
    <w:rsid w:val="000A0372"/>
    <w:rsid w:val="000A12E3"/>
    <w:rsid w:val="000A28EE"/>
    <w:rsid w:val="000A3787"/>
    <w:rsid w:val="000A3C6D"/>
    <w:rsid w:val="000A4CA0"/>
    <w:rsid w:val="000A6BFD"/>
    <w:rsid w:val="000A7BD4"/>
    <w:rsid w:val="000B1770"/>
    <w:rsid w:val="000B1AE2"/>
    <w:rsid w:val="000B350F"/>
    <w:rsid w:val="000B413F"/>
    <w:rsid w:val="000B57F3"/>
    <w:rsid w:val="000B5ECC"/>
    <w:rsid w:val="000B63AF"/>
    <w:rsid w:val="000C2BFA"/>
    <w:rsid w:val="000C2D13"/>
    <w:rsid w:val="000C34EA"/>
    <w:rsid w:val="000C3D4B"/>
    <w:rsid w:val="000C47A0"/>
    <w:rsid w:val="000C4906"/>
    <w:rsid w:val="000C498C"/>
    <w:rsid w:val="000C677B"/>
    <w:rsid w:val="000D0CAE"/>
    <w:rsid w:val="000D1353"/>
    <w:rsid w:val="000D1ADB"/>
    <w:rsid w:val="000D5054"/>
    <w:rsid w:val="000D5B4B"/>
    <w:rsid w:val="000D6CD6"/>
    <w:rsid w:val="000D6D11"/>
    <w:rsid w:val="000D7AB0"/>
    <w:rsid w:val="000E0111"/>
    <w:rsid w:val="000E0443"/>
    <w:rsid w:val="000E075E"/>
    <w:rsid w:val="000E1225"/>
    <w:rsid w:val="000E15DF"/>
    <w:rsid w:val="000E18F3"/>
    <w:rsid w:val="000E1D65"/>
    <w:rsid w:val="000E235B"/>
    <w:rsid w:val="000E2622"/>
    <w:rsid w:val="000E3D1F"/>
    <w:rsid w:val="000E43D9"/>
    <w:rsid w:val="000E534A"/>
    <w:rsid w:val="000E594D"/>
    <w:rsid w:val="000E59E3"/>
    <w:rsid w:val="000E6501"/>
    <w:rsid w:val="000E7831"/>
    <w:rsid w:val="000E7EEB"/>
    <w:rsid w:val="000F0E59"/>
    <w:rsid w:val="000F4D65"/>
    <w:rsid w:val="000F709C"/>
    <w:rsid w:val="000F753C"/>
    <w:rsid w:val="000F7F3C"/>
    <w:rsid w:val="001015A4"/>
    <w:rsid w:val="00101813"/>
    <w:rsid w:val="00101EAA"/>
    <w:rsid w:val="001029A1"/>
    <w:rsid w:val="00102D80"/>
    <w:rsid w:val="001039AD"/>
    <w:rsid w:val="00104D5F"/>
    <w:rsid w:val="00106E85"/>
    <w:rsid w:val="00107A20"/>
    <w:rsid w:val="00110D8F"/>
    <w:rsid w:val="001119D1"/>
    <w:rsid w:val="00112197"/>
    <w:rsid w:val="00112599"/>
    <w:rsid w:val="00113267"/>
    <w:rsid w:val="00113572"/>
    <w:rsid w:val="00113919"/>
    <w:rsid w:val="0011419F"/>
    <w:rsid w:val="0011495D"/>
    <w:rsid w:val="00114F89"/>
    <w:rsid w:val="0011569C"/>
    <w:rsid w:val="001156F8"/>
    <w:rsid w:val="00115D81"/>
    <w:rsid w:val="001166B3"/>
    <w:rsid w:val="00117276"/>
    <w:rsid w:val="0011790D"/>
    <w:rsid w:val="00117F31"/>
    <w:rsid w:val="0012001B"/>
    <w:rsid w:val="001208AC"/>
    <w:rsid w:val="001215E0"/>
    <w:rsid w:val="00122BAA"/>
    <w:rsid w:val="001243FE"/>
    <w:rsid w:val="00124E19"/>
    <w:rsid w:val="00125FFA"/>
    <w:rsid w:val="0012606E"/>
    <w:rsid w:val="001276F2"/>
    <w:rsid w:val="00127D0B"/>
    <w:rsid w:val="00130BB6"/>
    <w:rsid w:val="00131B87"/>
    <w:rsid w:val="00133015"/>
    <w:rsid w:val="0013315E"/>
    <w:rsid w:val="0013364E"/>
    <w:rsid w:val="001336C3"/>
    <w:rsid w:val="001344E9"/>
    <w:rsid w:val="001370F3"/>
    <w:rsid w:val="001377E0"/>
    <w:rsid w:val="00141857"/>
    <w:rsid w:val="001436A9"/>
    <w:rsid w:val="00143D5C"/>
    <w:rsid w:val="001446E7"/>
    <w:rsid w:val="00144DE8"/>
    <w:rsid w:val="001463BA"/>
    <w:rsid w:val="00147179"/>
    <w:rsid w:val="0014767B"/>
    <w:rsid w:val="001477E8"/>
    <w:rsid w:val="00147A44"/>
    <w:rsid w:val="001515FB"/>
    <w:rsid w:val="00154118"/>
    <w:rsid w:val="00154F46"/>
    <w:rsid w:val="0015577F"/>
    <w:rsid w:val="00155809"/>
    <w:rsid w:val="00155B50"/>
    <w:rsid w:val="001561D5"/>
    <w:rsid w:val="00156322"/>
    <w:rsid w:val="001573F8"/>
    <w:rsid w:val="00157696"/>
    <w:rsid w:val="00160742"/>
    <w:rsid w:val="00162458"/>
    <w:rsid w:val="001625F1"/>
    <w:rsid w:val="001639CF"/>
    <w:rsid w:val="001641A4"/>
    <w:rsid w:val="00164C69"/>
    <w:rsid w:val="00164CBC"/>
    <w:rsid w:val="00165461"/>
    <w:rsid w:val="001668FE"/>
    <w:rsid w:val="00166AB5"/>
    <w:rsid w:val="001675E0"/>
    <w:rsid w:val="0017029E"/>
    <w:rsid w:val="00170724"/>
    <w:rsid w:val="00170937"/>
    <w:rsid w:val="00171351"/>
    <w:rsid w:val="00171F16"/>
    <w:rsid w:val="001729AD"/>
    <w:rsid w:val="00172C06"/>
    <w:rsid w:val="00173DD0"/>
    <w:rsid w:val="001741F8"/>
    <w:rsid w:val="001752CA"/>
    <w:rsid w:val="001762AE"/>
    <w:rsid w:val="00176306"/>
    <w:rsid w:val="00176A9D"/>
    <w:rsid w:val="00176DA2"/>
    <w:rsid w:val="00177F92"/>
    <w:rsid w:val="001810CC"/>
    <w:rsid w:val="00181294"/>
    <w:rsid w:val="001815FF"/>
    <w:rsid w:val="001831B3"/>
    <w:rsid w:val="00183237"/>
    <w:rsid w:val="00183392"/>
    <w:rsid w:val="00183440"/>
    <w:rsid w:val="00183C26"/>
    <w:rsid w:val="001852F6"/>
    <w:rsid w:val="00187E73"/>
    <w:rsid w:val="001938CC"/>
    <w:rsid w:val="001946E1"/>
    <w:rsid w:val="0019477F"/>
    <w:rsid w:val="00194C37"/>
    <w:rsid w:val="001958CF"/>
    <w:rsid w:val="00197CE8"/>
    <w:rsid w:val="001A0101"/>
    <w:rsid w:val="001A04BA"/>
    <w:rsid w:val="001A2228"/>
    <w:rsid w:val="001A2CC1"/>
    <w:rsid w:val="001A3036"/>
    <w:rsid w:val="001A3757"/>
    <w:rsid w:val="001A3B66"/>
    <w:rsid w:val="001A5C0F"/>
    <w:rsid w:val="001A6DFB"/>
    <w:rsid w:val="001A6E5D"/>
    <w:rsid w:val="001A6E8A"/>
    <w:rsid w:val="001A7241"/>
    <w:rsid w:val="001A7F32"/>
    <w:rsid w:val="001B2D59"/>
    <w:rsid w:val="001B38CF"/>
    <w:rsid w:val="001B4834"/>
    <w:rsid w:val="001B4C11"/>
    <w:rsid w:val="001B553A"/>
    <w:rsid w:val="001B5755"/>
    <w:rsid w:val="001B7E2C"/>
    <w:rsid w:val="001B7E49"/>
    <w:rsid w:val="001C0796"/>
    <w:rsid w:val="001C0BC4"/>
    <w:rsid w:val="001C12D4"/>
    <w:rsid w:val="001C13E1"/>
    <w:rsid w:val="001C18C0"/>
    <w:rsid w:val="001C1950"/>
    <w:rsid w:val="001C1B9F"/>
    <w:rsid w:val="001C2A6C"/>
    <w:rsid w:val="001C4606"/>
    <w:rsid w:val="001C4785"/>
    <w:rsid w:val="001C4998"/>
    <w:rsid w:val="001C4B2F"/>
    <w:rsid w:val="001C5508"/>
    <w:rsid w:val="001C5556"/>
    <w:rsid w:val="001C7A71"/>
    <w:rsid w:val="001D1031"/>
    <w:rsid w:val="001D12CE"/>
    <w:rsid w:val="001D3194"/>
    <w:rsid w:val="001D36C9"/>
    <w:rsid w:val="001D50A4"/>
    <w:rsid w:val="001D5AFD"/>
    <w:rsid w:val="001D68D0"/>
    <w:rsid w:val="001D6C6C"/>
    <w:rsid w:val="001D7225"/>
    <w:rsid w:val="001E0EF2"/>
    <w:rsid w:val="001E10BC"/>
    <w:rsid w:val="001E1361"/>
    <w:rsid w:val="001E13E3"/>
    <w:rsid w:val="001E23C7"/>
    <w:rsid w:val="001E41C4"/>
    <w:rsid w:val="001E4458"/>
    <w:rsid w:val="001E4E98"/>
    <w:rsid w:val="001E4FEE"/>
    <w:rsid w:val="001E7BFD"/>
    <w:rsid w:val="001F1FED"/>
    <w:rsid w:val="001F212F"/>
    <w:rsid w:val="001F2959"/>
    <w:rsid w:val="001F30B0"/>
    <w:rsid w:val="001F37CE"/>
    <w:rsid w:val="001F3897"/>
    <w:rsid w:val="001F4630"/>
    <w:rsid w:val="001F52EA"/>
    <w:rsid w:val="001F537F"/>
    <w:rsid w:val="001F548C"/>
    <w:rsid w:val="001F6D2D"/>
    <w:rsid w:val="001F7A2B"/>
    <w:rsid w:val="001F7E7B"/>
    <w:rsid w:val="002003B7"/>
    <w:rsid w:val="00202817"/>
    <w:rsid w:val="00202A96"/>
    <w:rsid w:val="00203EE0"/>
    <w:rsid w:val="002040F3"/>
    <w:rsid w:val="0020498C"/>
    <w:rsid w:val="002054B0"/>
    <w:rsid w:val="00207169"/>
    <w:rsid w:val="00207668"/>
    <w:rsid w:val="00207AF1"/>
    <w:rsid w:val="002111D9"/>
    <w:rsid w:val="002123BE"/>
    <w:rsid w:val="0021281A"/>
    <w:rsid w:val="002134A1"/>
    <w:rsid w:val="00213E1D"/>
    <w:rsid w:val="002149BA"/>
    <w:rsid w:val="00216B88"/>
    <w:rsid w:val="0021798B"/>
    <w:rsid w:val="00221089"/>
    <w:rsid w:val="00221C56"/>
    <w:rsid w:val="00222AD3"/>
    <w:rsid w:val="002248DC"/>
    <w:rsid w:val="00225FFF"/>
    <w:rsid w:val="002264C1"/>
    <w:rsid w:val="0022683F"/>
    <w:rsid w:val="00227414"/>
    <w:rsid w:val="002303F8"/>
    <w:rsid w:val="002307EB"/>
    <w:rsid w:val="0023094D"/>
    <w:rsid w:val="00230AA3"/>
    <w:rsid w:val="00232ABD"/>
    <w:rsid w:val="00232B46"/>
    <w:rsid w:val="002337B3"/>
    <w:rsid w:val="00233DBB"/>
    <w:rsid w:val="0023449A"/>
    <w:rsid w:val="00234D9D"/>
    <w:rsid w:val="0023527E"/>
    <w:rsid w:val="00235642"/>
    <w:rsid w:val="00236ACB"/>
    <w:rsid w:val="00236D20"/>
    <w:rsid w:val="00236E3F"/>
    <w:rsid w:val="0023706A"/>
    <w:rsid w:val="00240144"/>
    <w:rsid w:val="002417E4"/>
    <w:rsid w:val="00241FB1"/>
    <w:rsid w:val="00242865"/>
    <w:rsid w:val="002429C4"/>
    <w:rsid w:val="00242C84"/>
    <w:rsid w:val="00243DC9"/>
    <w:rsid w:val="00244452"/>
    <w:rsid w:val="00246075"/>
    <w:rsid w:val="002467E6"/>
    <w:rsid w:val="002476C4"/>
    <w:rsid w:val="00250049"/>
    <w:rsid w:val="00250210"/>
    <w:rsid w:val="002505E0"/>
    <w:rsid w:val="002515DA"/>
    <w:rsid w:val="00251992"/>
    <w:rsid w:val="00251B46"/>
    <w:rsid w:val="00251FE9"/>
    <w:rsid w:val="00252BF1"/>
    <w:rsid w:val="00253028"/>
    <w:rsid w:val="002553AD"/>
    <w:rsid w:val="00255A03"/>
    <w:rsid w:val="002566A1"/>
    <w:rsid w:val="00257A86"/>
    <w:rsid w:val="00257E11"/>
    <w:rsid w:val="00262685"/>
    <w:rsid w:val="00263291"/>
    <w:rsid w:val="00263C66"/>
    <w:rsid w:val="002642AB"/>
    <w:rsid w:val="00265A39"/>
    <w:rsid w:val="00267023"/>
    <w:rsid w:val="002670E9"/>
    <w:rsid w:val="0026716E"/>
    <w:rsid w:val="00271668"/>
    <w:rsid w:val="00272194"/>
    <w:rsid w:val="0027294F"/>
    <w:rsid w:val="00273620"/>
    <w:rsid w:val="0027389B"/>
    <w:rsid w:val="00275EBF"/>
    <w:rsid w:val="00277059"/>
    <w:rsid w:val="00277391"/>
    <w:rsid w:val="002810E6"/>
    <w:rsid w:val="0028158C"/>
    <w:rsid w:val="002819DF"/>
    <w:rsid w:val="00281B7F"/>
    <w:rsid w:val="00282EE0"/>
    <w:rsid w:val="00284A5A"/>
    <w:rsid w:val="00287D0D"/>
    <w:rsid w:val="002901B7"/>
    <w:rsid w:val="002902F6"/>
    <w:rsid w:val="00290732"/>
    <w:rsid w:val="00292476"/>
    <w:rsid w:val="00292BA2"/>
    <w:rsid w:val="00292BD1"/>
    <w:rsid w:val="002936BF"/>
    <w:rsid w:val="0029493C"/>
    <w:rsid w:val="00295C2A"/>
    <w:rsid w:val="00295E5C"/>
    <w:rsid w:val="0029685A"/>
    <w:rsid w:val="002A0B69"/>
    <w:rsid w:val="002A1617"/>
    <w:rsid w:val="002A162F"/>
    <w:rsid w:val="002A268D"/>
    <w:rsid w:val="002A431C"/>
    <w:rsid w:val="002A47E9"/>
    <w:rsid w:val="002A521F"/>
    <w:rsid w:val="002A5380"/>
    <w:rsid w:val="002A722E"/>
    <w:rsid w:val="002A736A"/>
    <w:rsid w:val="002A7649"/>
    <w:rsid w:val="002A76E7"/>
    <w:rsid w:val="002B0950"/>
    <w:rsid w:val="002B1E1D"/>
    <w:rsid w:val="002B2CE2"/>
    <w:rsid w:val="002B3487"/>
    <w:rsid w:val="002B3762"/>
    <w:rsid w:val="002B62ED"/>
    <w:rsid w:val="002B7156"/>
    <w:rsid w:val="002B72C1"/>
    <w:rsid w:val="002B735B"/>
    <w:rsid w:val="002B769B"/>
    <w:rsid w:val="002B7F17"/>
    <w:rsid w:val="002C0831"/>
    <w:rsid w:val="002C184B"/>
    <w:rsid w:val="002C3642"/>
    <w:rsid w:val="002C4C4F"/>
    <w:rsid w:val="002C5BB4"/>
    <w:rsid w:val="002C70C9"/>
    <w:rsid w:val="002D0250"/>
    <w:rsid w:val="002D06A3"/>
    <w:rsid w:val="002D219A"/>
    <w:rsid w:val="002D474E"/>
    <w:rsid w:val="002D5F78"/>
    <w:rsid w:val="002D6B95"/>
    <w:rsid w:val="002E01DC"/>
    <w:rsid w:val="002E0DFD"/>
    <w:rsid w:val="002E185D"/>
    <w:rsid w:val="002E1DE5"/>
    <w:rsid w:val="002E24A0"/>
    <w:rsid w:val="002E3580"/>
    <w:rsid w:val="002E4226"/>
    <w:rsid w:val="002E4545"/>
    <w:rsid w:val="002E4735"/>
    <w:rsid w:val="002E4BB6"/>
    <w:rsid w:val="002E4C38"/>
    <w:rsid w:val="002E64EA"/>
    <w:rsid w:val="002E6CED"/>
    <w:rsid w:val="002E7DD1"/>
    <w:rsid w:val="002E7FAC"/>
    <w:rsid w:val="002F09F4"/>
    <w:rsid w:val="002F1616"/>
    <w:rsid w:val="002F1BFC"/>
    <w:rsid w:val="002F3801"/>
    <w:rsid w:val="002F3BCB"/>
    <w:rsid w:val="002F5116"/>
    <w:rsid w:val="002F58CF"/>
    <w:rsid w:val="002F5B98"/>
    <w:rsid w:val="002F7429"/>
    <w:rsid w:val="002F7B3B"/>
    <w:rsid w:val="002F7F10"/>
    <w:rsid w:val="002F7F55"/>
    <w:rsid w:val="003004CC"/>
    <w:rsid w:val="003016B2"/>
    <w:rsid w:val="00301898"/>
    <w:rsid w:val="00301927"/>
    <w:rsid w:val="00301C71"/>
    <w:rsid w:val="00302806"/>
    <w:rsid w:val="003032F1"/>
    <w:rsid w:val="00303D17"/>
    <w:rsid w:val="00304094"/>
    <w:rsid w:val="00304C54"/>
    <w:rsid w:val="00305500"/>
    <w:rsid w:val="003075C2"/>
    <w:rsid w:val="003077B7"/>
    <w:rsid w:val="00307BE8"/>
    <w:rsid w:val="00307FEF"/>
    <w:rsid w:val="00310B4A"/>
    <w:rsid w:val="003117DD"/>
    <w:rsid w:val="0031194C"/>
    <w:rsid w:val="0031263C"/>
    <w:rsid w:val="00315FE4"/>
    <w:rsid w:val="00316CF5"/>
    <w:rsid w:val="003171A1"/>
    <w:rsid w:val="00320333"/>
    <w:rsid w:val="00320F64"/>
    <w:rsid w:val="0032106A"/>
    <w:rsid w:val="00321959"/>
    <w:rsid w:val="003230C5"/>
    <w:rsid w:val="00325D7D"/>
    <w:rsid w:val="00326810"/>
    <w:rsid w:val="00331A8F"/>
    <w:rsid w:val="00332959"/>
    <w:rsid w:val="0033302F"/>
    <w:rsid w:val="003337E7"/>
    <w:rsid w:val="003340AD"/>
    <w:rsid w:val="003368B1"/>
    <w:rsid w:val="00336913"/>
    <w:rsid w:val="003401EA"/>
    <w:rsid w:val="003406EA"/>
    <w:rsid w:val="003408F6"/>
    <w:rsid w:val="00340C96"/>
    <w:rsid w:val="00341CF0"/>
    <w:rsid w:val="00342B6A"/>
    <w:rsid w:val="00343D51"/>
    <w:rsid w:val="003446A8"/>
    <w:rsid w:val="00344B9A"/>
    <w:rsid w:val="00346745"/>
    <w:rsid w:val="00347E5F"/>
    <w:rsid w:val="00350EC8"/>
    <w:rsid w:val="003516CD"/>
    <w:rsid w:val="00353057"/>
    <w:rsid w:val="0035319B"/>
    <w:rsid w:val="003533AF"/>
    <w:rsid w:val="00353DA2"/>
    <w:rsid w:val="00354756"/>
    <w:rsid w:val="00354A81"/>
    <w:rsid w:val="0036125B"/>
    <w:rsid w:val="003615AB"/>
    <w:rsid w:val="0036214B"/>
    <w:rsid w:val="00362D8F"/>
    <w:rsid w:val="00363557"/>
    <w:rsid w:val="003657C7"/>
    <w:rsid w:val="003664D5"/>
    <w:rsid w:val="00366A86"/>
    <w:rsid w:val="003672B1"/>
    <w:rsid w:val="003703A4"/>
    <w:rsid w:val="00370952"/>
    <w:rsid w:val="003714B5"/>
    <w:rsid w:val="00371F7B"/>
    <w:rsid w:val="003732ED"/>
    <w:rsid w:val="00375572"/>
    <w:rsid w:val="00376328"/>
    <w:rsid w:val="003769B8"/>
    <w:rsid w:val="00380142"/>
    <w:rsid w:val="00380164"/>
    <w:rsid w:val="00380572"/>
    <w:rsid w:val="003817CB"/>
    <w:rsid w:val="00381990"/>
    <w:rsid w:val="00382BE7"/>
    <w:rsid w:val="00382F60"/>
    <w:rsid w:val="00383149"/>
    <w:rsid w:val="0038357C"/>
    <w:rsid w:val="00383D93"/>
    <w:rsid w:val="00383F7C"/>
    <w:rsid w:val="0038456E"/>
    <w:rsid w:val="00384FD0"/>
    <w:rsid w:val="003853EF"/>
    <w:rsid w:val="0038576C"/>
    <w:rsid w:val="003869A7"/>
    <w:rsid w:val="00386B86"/>
    <w:rsid w:val="00387ED7"/>
    <w:rsid w:val="00387F8F"/>
    <w:rsid w:val="00390A0F"/>
    <w:rsid w:val="00391C56"/>
    <w:rsid w:val="00392E7D"/>
    <w:rsid w:val="003939FF"/>
    <w:rsid w:val="00394469"/>
    <w:rsid w:val="00395C21"/>
    <w:rsid w:val="00397AFC"/>
    <w:rsid w:val="003A0501"/>
    <w:rsid w:val="003A0627"/>
    <w:rsid w:val="003A370C"/>
    <w:rsid w:val="003A4E05"/>
    <w:rsid w:val="003A5731"/>
    <w:rsid w:val="003A603A"/>
    <w:rsid w:val="003A6397"/>
    <w:rsid w:val="003A64A8"/>
    <w:rsid w:val="003A6754"/>
    <w:rsid w:val="003A782A"/>
    <w:rsid w:val="003B04F6"/>
    <w:rsid w:val="003B25F1"/>
    <w:rsid w:val="003B3F0E"/>
    <w:rsid w:val="003B4DA6"/>
    <w:rsid w:val="003B4EE4"/>
    <w:rsid w:val="003B5B7C"/>
    <w:rsid w:val="003B66DE"/>
    <w:rsid w:val="003C0393"/>
    <w:rsid w:val="003C12BD"/>
    <w:rsid w:val="003C1DAB"/>
    <w:rsid w:val="003C2600"/>
    <w:rsid w:val="003C3304"/>
    <w:rsid w:val="003C3EEC"/>
    <w:rsid w:val="003C4C13"/>
    <w:rsid w:val="003C518D"/>
    <w:rsid w:val="003C61AC"/>
    <w:rsid w:val="003C7B64"/>
    <w:rsid w:val="003D09FA"/>
    <w:rsid w:val="003D0AA7"/>
    <w:rsid w:val="003D1109"/>
    <w:rsid w:val="003D25A6"/>
    <w:rsid w:val="003D25DD"/>
    <w:rsid w:val="003D2FBC"/>
    <w:rsid w:val="003D31DB"/>
    <w:rsid w:val="003D3C72"/>
    <w:rsid w:val="003D474E"/>
    <w:rsid w:val="003D55AA"/>
    <w:rsid w:val="003D5F85"/>
    <w:rsid w:val="003D6321"/>
    <w:rsid w:val="003D7172"/>
    <w:rsid w:val="003D72EC"/>
    <w:rsid w:val="003E0220"/>
    <w:rsid w:val="003E1712"/>
    <w:rsid w:val="003E2476"/>
    <w:rsid w:val="003E26C8"/>
    <w:rsid w:val="003E2D08"/>
    <w:rsid w:val="003E38AD"/>
    <w:rsid w:val="003E66D1"/>
    <w:rsid w:val="003E73F3"/>
    <w:rsid w:val="003F4F43"/>
    <w:rsid w:val="003F598F"/>
    <w:rsid w:val="003F6059"/>
    <w:rsid w:val="003F638C"/>
    <w:rsid w:val="003F7BEC"/>
    <w:rsid w:val="004007B9"/>
    <w:rsid w:val="00402DBD"/>
    <w:rsid w:val="004034D3"/>
    <w:rsid w:val="0040393A"/>
    <w:rsid w:val="0040395E"/>
    <w:rsid w:val="00403C98"/>
    <w:rsid w:val="004046D6"/>
    <w:rsid w:val="00404ACD"/>
    <w:rsid w:val="00405F6E"/>
    <w:rsid w:val="004061DD"/>
    <w:rsid w:val="00406C8F"/>
    <w:rsid w:val="004072D5"/>
    <w:rsid w:val="004101A9"/>
    <w:rsid w:val="00410EBA"/>
    <w:rsid w:val="0041251D"/>
    <w:rsid w:val="00412763"/>
    <w:rsid w:val="00412E33"/>
    <w:rsid w:val="004149A7"/>
    <w:rsid w:val="00415B42"/>
    <w:rsid w:val="00415F33"/>
    <w:rsid w:val="0041649D"/>
    <w:rsid w:val="00417388"/>
    <w:rsid w:val="00417A6D"/>
    <w:rsid w:val="00421862"/>
    <w:rsid w:val="00424085"/>
    <w:rsid w:val="00424FDF"/>
    <w:rsid w:val="004278A6"/>
    <w:rsid w:val="00430B49"/>
    <w:rsid w:val="00430FA7"/>
    <w:rsid w:val="00431289"/>
    <w:rsid w:val="00433093"/>
    <w:rsid w:val="00433C23"/>
    <w:rsid w:val="00435668"/>
    <w:rsid w:val="00436B70"/>
    <w:rsid w:val="00440CD3"/>
    <w:rsid w:val="00441CBA"/>
    <w:rsid w:val="00441DE6"/>
    <w:rsid w:val="00441FD1"/>
    <w:rsid w:val="004421D6"/>
    <w:rsid w:val="0044284A"/>
    <w:rsid w:val="00445050"/>
    <w:rsid w:val="00445122"/>
    <w:rsid w:val="00445FC1"/>
    <w:rsid w:val="004466CE"/>
    <w:rsid w:val="004479CA"/>
    <w:rsid w:val="00450768"/>
    <w:rsid w:val="00450BBD"/>
    <w:rsid w:val="00451533"/>
    <w:rsid w:val="00451C22"/>
    <w:rsid w:val="0045230C"/>
    <w:rsid w:val="0045394F"/>
    <w:rsid w:val="00453975"/>
    <w:rsid w:val="00453F2B"/>
    <w:rsid w:val="00454184"/>
    <w:rsid w:val="004560BF"/>
    <w:rsid w:val="00456184"/>
    <w:rsid w:val="0046017D"/>
    <w:rsid w:val="00460AC9"/>
    <w:rsid w:val="00460CA2"/>
    <w:rsid w:val="00460E08"/>
    <w:rsid w:val="004620D6"/>
    <w:rsid w:val="00462B9E"/>
    <w:rsid w:val="0046391D"/>
    <w:rsid w:val="004640DC"/>
    <w:rsid w:val="00464700"/>
    <w:rsid w:val="0046589F"/>
    <w:rsid w:val="00465BA8"/>
    <w:rsid w:val="00465D3F"/>
    <w:rsid w:val="00466C16"/>
    <w:rsid w:val="004708FB"/>
    <w:rsid w:val="004710A7"/>
    <w:rsid w:val="00471F06"/>
    <w:rsid w:val="0047218F"/>
    <w:rsid w:val="00472669"/>
    <w:rsid w:val="00472ADD"/>
    <w:rsid w:val="00472B73"/>
    <w:rsid w:val="00472EEA"/>
    <w:rsid w:val="00472FF4"/>
    <w:rsid w:val="004735C8"/>
    <w:rsid w:val="0047463E"/>
    <w:rsid w:val="0047730A"/>
    <w:rsid w:val="004802E4"/>
    <w:rsid w:val="00480550"/>
    <w:rsid w:val="00482773"/>
    <w:rsid w:val="00482C78"/>
    <w:rsid w:val="00483FA1"/>
    <w:rsid w:val="00485DE8"/>
    <w:rsid w:val="00486558"/>
    <w:rsid w:val="00487628"/>
    <w:rsid w:val="00487D4D"/>
    <w:rsid w:val="0049063D"/>
    <w:rsid w:val="0049068A"/>
    <w:rsid w:val="00490F0C"/>
    <w:rsid w:val="00492BA0"/>
    <w:rsid w:val="0049458E"/>
    <w:rsid w:val="00494FB6"/>
    <w:rsid w:val="0049689C"/>
    <w:rsid w:val="00497448"/>
    <w:rsid w:val="004978BE"/>
    <w:rsid w:val="004A00A8"/>
    <w:rsid w:val="004A02C1"/>
    <w:rsid w:val="004A062D"/>
    <w:rsid w:val="004A18E6"/>
    <w:rsid w:val="004A1C61"/>
    <w:rsid w:val="004A210C"/>
    <w:rsid w:val="004A2998"/>
    <w:rsid w:val="004A2DD0"/>
    <w:rsid w:val="004A4666"/>
    <w:rsid w:val="004A56BA"/>
    <w:rsid w:val="004A766E"/>
    <w:rsid w:val="004B0265"/>
    <w:rsid w:val="004B0B4F"/>
    <w:rsid w:val="004B0F99"/>
    <w:rsid w:val="004B101D"/>
    <w:rsid w:val="004B3BF6"/>
    <w:rsid w:val="004B40F0"/>
    <w:rsid w:val="004B427A"/>
    <w:rsid w:val="004B472E"/>
    <w:rsid w:val="004B4C2C"/>
    <w:rsid w:val="004B4D9F"/>
    <w:rsid w:val="004B5537"/>
    <w:rsid w:val="004B6247"/>
    <w:rsid w:val="004B637B"/>
    <w:rsid w:val="004B6EBA"/>
    <w:rsid w:val="004B7239"/>
    <w:rsid w:val="004B7319"/>
    <w:rsid w:val="004B741B"/>
    <w:rsid w:val="004C15BB"/>
    <w:rsid w:val="004C1F01"/>
    <w:rsid w:val="004C24F6"/>
    <w:rsid w:val="004C707C"/>
    <w:rsid w:val="004C737C"/>
    <w:rsid w:val="004D089A"/>
    <w:rsid w:val="004D10EE"/>
    <w:rsid w:val="004D1C2C"/>
    <w:rsid w:val="004D3829"/>
    <w:rsid w:val="004D39F5"/>
    <w:rsid w:val="004D3E4A"/>
    <w:rsid w:val="004D46D1"/>
    <w:rsid w:val="004D676E"/>
    <w:rsid w:val="004D6F12"/>
    <w:rsid w:val="004D7B28"/>
    <w:rsid w:val="004E0263"/>
    <w:rsid w:val="004E1CCD"/>
    <w:rsid w:val="004E2619"/>
    <w:rsid w:val="004E2DA6"/>
    <w:rsid w:val="004E36D5"/>
    <w:rsid w:val="004E39D5"/>
    <w:rsid w:val="004E47AD"/>
    <w:rsid w:val="004E633A"/>
    <w:rsid w:val="004E67D1"/>
    <w:rsid w:val="004E73B6"/>
    <w:rsid w:val="004E74BA"/>
    <w:rsid w:val="004E7971"/>
    <w:rsid w:val="004E7C0E"/>
    <w:rsid w:val="004F0193"/>
    <w:rsid w:val="004F16E8"/>
    <w:rsid w:val="004F1F88"/>
    <w:rsid w:val="004F591C"/>
    <w:rsid w:val="004F6AA0"/>
    <w:rsid w:val="004F7620"/>
    <w:rsid w:val="0050108C"/>
    <w:rsid w:val="00501C02"/>
    <w:rsid w:val="00501D14"/>
    <w:rsid w:val="00501D87"/>
    <w:rsid w:val="005034BF"/>
    <w:rsid w:val="00503D52"/>
    <w:rsid w:val="005042C1"/>
    <w:rsid w:val="005044FD"/>
    <w:rsid w:val="00505222"/>
    <w:rsid w:val="00505717"/>
    <w:rsid w:val="00505FC7"/>
    <w:rsid w:val="005072DB"/>
    <w:rsid w:val="00507B67"/>
    <w:rsid w:val="00507F9A"/>
    <w:rsid w:val="00510392"/>
    <w:rsid w:val="005111CB"/>
    <w:rsid w:val="00511894"/>
    <w:rsid w:val="00511FCA"/>
    <w:rsid w:val="00512C3C"/>
    <w:rsid w:val="005130BF"/>
    <w:rsid w:val="00513CC5"/>
    <w:rsid w:val="00514B3F"/>
    <w:rsid w:val="0051662D"/>
    <w:rsid w:val="005204CA"/>
    <w:rsid w:val="005204EC"/>
    <w:rsid w:val="0052185A"/>
    <w:rsid w:val="00522FC5"/>
    <w:rsid w:val="00524500"/>
    <w:rsid w:val="00524837"/>
    <w:rsid w:val="00525813"/>
    <w:rsid w:val="005278FC"/>
    <w:rsid w:val="00530C05"/>
    <w:rsid w:val="00530EB2"/>
    <w:rsid w:val="00533220"/>
    <w:rsid w:val="00534694"/>
    <w:rsid w:val="0053498C"/>
    <w:rsid w:val="0053565A"/>
    <w:rsid w:val="0053627F"/>
    <w:rsid w:val="00536299"/>
    <w:rsid w:val="005367FD"/>
    <w:rsid w:val="00537D26"/>
    <w:rsid w:val="0054079F"/>
    <w:rsid w:val="00540AA3"/>
    <w:rsid w:val="00542322"/>
    <w:rsid w:val="0054244D"/>
    <w:rsid w:val="00543E1B"/>
    <w:rsid w:val="00545869"/>
    <w:rsid w:val="00546BBD"/>
    <w:rsid w:val="005470FB"/>
    <w:rsid w:val="0054768A"/>
    <w:rsid w:val="005476FC"/>
    <w:rsid w:val="00547942"/>
    <w:rsid w:val="00550969"/>
    <w:rsid w:val="00551A51"/>
    <w:rsid w:val="00551B59"/>
    <w:rsid w:val="00553A30"/>
    <w:rsid w:val="00553AB4"/>
    <w:rsid w:val="00555114"/>
    <w:rsid w:val="00555BFB"/>
    <w:rsid w:val="00555CC6"/>
    <w:rsid w:val="0055652C"/>
    <w:rsid w:val="00557612"/>
    <w:rsid w:val="0056116B"/>
    <w:rsid w:val="0056170E"/>
    <w:rsid w:val="00561881"/>
    <w:rsid w:val="00563F5D"/>
    <w:rsid w:val="005646E0"/>
    <w:rsid w:val="00564D6B"/>
    <w:rsid w:val="00566570"/>
    <w:rsid w:val="0056680D"/>
    <w:rsid w:val="005670E3"/>
    <w:rsid w:val="005671E0"/>
    <w:rsid w:val="00567DC8"/>
    <w:rsid w:val="0057002A"/>
    <w:rsid w:val="00570DC5"/>
    <w:rsid w:val="00571E01"/>
    <w:rsid w:val="00573936"/>
    <w:rsid w:val="00573DB5"/>
    <w:rsid w:val="005746DC"/>
    <w:rsid w:val="00575D19"/>
    <w:rsid w:val="0057680A"/>
    <w:rsid w:val="005803B9"/>
    <w:rsid w:val="005803C4"/>
    <w:rsid w:val="0058070C"/>
    <w:rsid w:val="0058132C"/>
    <w:rsid w:val="005817FF"/>
    <w:rsid w:val="00581C86"/>
    <w:rsid w:val="00582FC3"/>
    <w:rsid w:val="00583DDF"/>
    <w:rsid w:val="0058497B"/>
    <w:rsid w:val="005856F0"/>
    <w:rsid w:val="00585BC3"/>
    <w:rsid w:val="0058647C"/>
    <w:rsid w:val="00586A12"/>
    <w:rsid w:val="0058762A"/>
    <w:rsid w:val="005907C6"/>
    <w:rsid w:val="00591062"/>
    <w:rsid w:val="00591F3A"/>
    <w:rsid w:val="00592208"/>
    <w:rsid w:val="00592C51"/>
    <w:rsid w:val="005931DA"/>
    <w:rsid w:val="00593321"/>
    <w:rsid w:val="00593324"/>
    <w:rsid w:val="00593658"/>
    <w:rsid w:val="00593978"/>
    <w:rsid w:val="00593ADC"/>
    <w:rsid w:val="00593E95"/>
    <w:rsid w:val="0059419B"/>
    <w:rsid w:val="0059456F"/>
    <w:rsid w:val="005945F4"/>
    <w:rsid w:val="00595E35"/>
    <w:rsid w:val="00596963"/>
    <w:rsid w:val="005A1882"/>
    <w:rsid w:val="005A2119"/>
    <w:rsid w:val="005A2BFE"/>
    <w:rsid w:val="005A3FDC"/>
    <w:rsid w:val="005A4582"/>
    <w:rsid w:val="005A50A0"/>
    <w:rsid w:val="005A58ED"/>
    <w:rsid w:val="005A6FBE"/>
    <w:rsid w:val="005A7B8D"/>
    <w:rsid w:val="005B0145"/>
    <w:rsid w:val="005B0959"/>
    <w:rsid w:val="005B0F3D"/>
    <w:rsid w:val="005B133A"/>
    <w:rsid w:val="005B16BD"/>
    <w:rsid w:val="005B25A0"/>
    <w:rsid w:val="005B2DA3"/>
    <w:rsid w:val="005B30CC"/>
    <w:rsid w:val="005B353C"/>
    <w:rsid w:val="005B512E"/>
    <w:rsid w:val="005B5215"/>
    <w:rsid w:val="005B6E21"/>
    <w:rsid w:val="005B6E49"/>
    <w:rsid w:val="005C1440"/>
    <w:rsid w:val="005C20D7"/>
    <w:rsid w:val="005C2781"/>
    <w:rsid w:val="005C34C2"/>
    <w:rsid w:val="005C3AFC"/>
    <w:rsid w:val="005C3C71"/>
    <w:rsid w:val="005C4BA5"/>
    <w:rsid w:val="005C5806"/>
    <w:rsid w:val="005C5C1D"/>
    <w:rsid w:val="005C76A8"/>
    <w:rsid w:val="005C790D"/>
    <w:rsid w:val="005D0771"/>
    <w:rsid w:val="005D080F"/>
    <w:rsid w:val="005D1229"/>
    <w:rsid w:val="005D3C24"/>
    <w:rsid w:val="005D4095"/>
    <w:rsid w:val="005D43D0"/>
    <w:rsid w:val="005D5D22"/>
    <w:rsid w:val="005D5D4B"/>
    <w:rsid w:val="005D6373"/>
    <w:rsid w:val="005D674F"/>
    <w:rsid w:val="005D6DDA"/>
    <w:rsid w:val="005D719C"/>
    <w:rsid w:val="005D7297"/>
    <w:rsid w:val="005D752B"/>
    <w:rsid w:val="005E02A5"/>
    <w:rsid w:val="005E05F9"/>
    <w:rsid w:val="005E0A99"/>
    <w:rsid w:val="005E1053"/>
    <w:rsid w:val="005E19F4"/>
    <w:rsid w:val="005E3C74"/>
    <w:rsid w:val="005E4488"/>
    <w:rsid w:val="005E4A81"/>
    <w:rsid w:val="005E6D2F"/>
    <w:rsid w:val="005F0489"/>
    <w:rsid w:val="005F04C3"/>
    <w:rsid w:val="005F05F4"/>
    <w:rsid w:val="005F1D5B"/>
    <w:rsid w:val="005F217D"/>
    <w:rsid w:val="005F4A32"/>
    <w:rsid w:val="005F5D2F"/>
    <w:rsid w:val="005F5E23"/>
    <w:rsid w:val="005F641B"/>
    <w:rsid w:val="005F72FB"/>
    <w:rsid w:val="00600464"/>
    <w:rsid w:val="0060097F"/>
    <w:rsid w:val="006016FF"/>
    <w:rsid w:val="006020DE"/>
    <w:rsid w:val="00605DB9"/>
    <w:rsid w:val="00605F73"/>
    <w:rsid w:val="006064E0"/>
    <w:rsid w:val="006066A0"/>
    <w:rsid w:val="00606D99"/>
    <w:rsid w:val="00607F4D"/>
    <w:rsid w:val="0061361F"/>
    <w:rsid w:val="00614779"/>
    <w:rsid w:val="006149AE"/>
    <w:rsid w:val="006162EF"/>
    <w:rsid w:val="00617CA7"/>
    <w:rsid w:val="00620487"/>
    <w:rsid w:val="006204B1"/>
    <w:rsid w:val="006207ED"/>
    <w:rsid w:val="0062081C"/>
    <w:rsid w:val="00622BF0"/>
    <w:rsid w:val="00622BFB"/>
    <w:rsid w:val="00623944"/>
    <w:rsid w:val="00624495"/>
    <w:rsid w:val="006247D8"/>
    <w:rsid w:val="00625EF2"/>
    <w:rsid w:val="00632A93"/>
    <w:rsid w:val="006331A4"/>
    <w:rsid w:val="00634BEE"/>
    <w:rsid w:val="00634C35"/>
    <w:rsid w:val="00636651"/>
    <w:rsid w:val="00636C7E"/>
    <w:rsid w:val="00637164"/>
    <w:rsid w:val="00640F88"/>
    <w:rsid w:val="006429F5"/>
    <w:rsid w:val="00642ECB"/>
    <w:rsid w:val="00643B44"/>
    <w:rsid w:val="006456D7"/>
    <w:rsid w:val="00646449"/>
    <w:rsid w:val="006465BC"/>
    <w:rsid w:val="006476B4"/>
    <w:rsid w:val="006479F8"/>
    <w:rsid w:val="006505B2"/>
    <w:rsid w:val="00651F40"/>
    <w:rsid w:val="0065256D"/>
    <w:rsid w:val="00653511"/>
    <w:rsid w:val="00653E0C"/>
    <w:rsid w:val="00653E3A"/>
    <w:rsid w:val="00654591"/>
    <w:rsid w:val="00654D9D"/>
    <w:rsid w:val="00656CFA"/>
    <w:rsid w:val="00657EF7"/>
    <w:rsid w:val="00657F48"/>
    <w:rsid w:val="0066041A"/>
    <w:rsid w:val="0066061F"/>
    <w:rsid w:val="0066171B"/>
    <w:rsid w:val="00661837"/>
    <w:rsid w:val="006627DA"/>
    <w:rsid w:val="0066322D"/>
    <w:rsid w:val="00664A00"/>
    <w:rsid w:val="00664FF8"/>
    <w:rsid w:val="00665F36"/>
    <w:rsid w:val="00666D36"/>
    <w:rsid w:val="006672DF"/>
    <w:rsid w:val="00667628"/>
    <w:rsid w:val="00667CD0"/>
    <w:rsid w:val="006715A8"/>
    <w:rsid w:val="00671D5C"/>
    <w:rsid w:val="006720C5"/>
    <w:rsid w:val="00675024"/>
    <w:rsid w:val="00677CA4"/>
    <w:rsid w:val="00680196"/>
    <w:rsid w:val="006801B7"/>
    <w:rsid w:val="006804AF"/>
    <w:rsid w:val="00680916"/>
    <w:rsid w:val="00680E58"/>
    <w:rsid w:val="00681786"/>
    <w:rsid w:val="00682650"/>
    <w:rsid w:val="00682EAD"/>
    <w:rsid w:val="00683809"/>
    <w:rsid w:val="00684F2B"/>
    <w:rsid w:val="00686857"/>
    <w:rsid w:val="00687BCB"/>
    <w:rsid w:val="0069040B"/>
    <w:rsid w:val="0069114A"/>
    <w:rsid w:val="006978CE"/>
    <w:rsid w:val="00697914"/>
    <w:rsid w:val="006A0403"/>
    <w:rsid w:val="006A19C4"/>
    <w:rsid w:val="006A2F8F"/>
    <w:rsid w:val="006A360A"/>
    <w:rsid w:val="006A3782"/>
    <w:rsid w:val="006A4F52"/>
    <w:rsid w:val="006A77FE"/>
    <w:rsid w:val="006A78BC"/>
    <w:rsid w:val="006A7E89"/>
    <w:rsid w:val="006B2268"/>
    <w:rsid w:val="006B2C18"/>
    <w:rsid w:val="006B35B1"/>
    <w:rsid w:val="006B3B84"/>
    <w:rsid w:val="006B575D"/>
    <w:rsid w:val="006B76A5"/>
    <w:rsid w:val="006C01B3"/>
    <w:rsid w:val="006C2F79"/>
    <w:rsid w:val="006C3FEE"/>
    <w:rsid w:val="006C4712"/>
    <w:rsid w:val="006C4B6A"/>
    <w:rsid w:val="006C5DA1"/>
    <w:rsid w:val="006C5E66"/>
    <w:rsid w:val="006C62AA"/>
    <w:rsid w:val="006C6A7A"/>
    <w:rsid w:val="006C7425"/>
    <w:rsid w:val="006C76FB"/>
    <w:rsid w:val="006D0297"/>
    <w:rsid w:val="006D0A84"/>
    <w:rsid w:val="006D0EA0"/>
    <w:rsid w:val="006D38B0"/>
    <w:rsid w:val="006D4659"/>
    <w:rsid w:val="006D5DDD"/>
    <w:rsid w:val="006D615A"/>
    <w:rsid w:val="006D71C0"/>
    <w:rsid w:val="006E0417"/>
    <w:rsid w:val="006E124B"/>
    <w:rsid w:val="006E1F71"/>
    <w:rsid w:val="006E4492"/>
    <w:rsid w:val="006E5DA4"/>
    <w:rsid w:val="006E71F7"/>
    <w:rsid w:val="006E7BA7"/>
    <w:rsid w:val="006E7F94"/>
    <w:rsid w:val="006F0F6A"/>
    <w:rsid w:val="006F1F8C"/>
    <w:rsid w:val="006F2187"/>
    <w:rsid w:val="006F2D47"/>
    <w:rsid w:val="006F2F66"/>
    <w:rsid w:val="006F31C8"/>
    <w:rsid w:val="006F362E"/>
    <w:rsid w:val="006F432A"/>
    <w:rsid w:val="006F466B"/>
    <w:rsid w:val="006F494C"/>
    <w:rsid w:val="006F54EA"/>
    <w:rsid w:val="006F573A"/>
    <w:rsid w:val="006F6AAC"/>
    <w:rsid w:val="006F72FF"/>
    <w:rsid w:val="006F73F7"/>
    <w:rsid w:val="006F7FA0"/>
    <w:rsid w:val="0070062E"/>
    <w:rsid w:val="00700E81"/>
    <w:rsid w:val="00700F1E"/>
    <w:rsid w:val="00702A7F"/>
    <w:rsid w:val="00702E02"/>
    <w:rsid w:val="007041CC"/>
    <w:rsid w:val="00704BF2"/>
    <w:rsid w:val="00705A28"/>
    <w:rsid w:val="0070632C"/>
    <w:rsid w:val="007071BC"/>
    <w:rsid w:val="00707358"/>
    <w:rsid w:val="0070794F"/>
    <w:rsid w:val="00707B75"/>
    <w:rsid w:val="007125E5"/>
    <w:rsid w:val="007131C4"/>
    <w:rsid w:val="00714348"/>
    <w:rsid w:val="00714731"/>
    <w:rsid w:val="00714981"/>
    <w:rsid w:val="0071661A"/>
    <w:rsid w:val="00717600"/>
    <w:rsid w:val="00717D2D"/>
    <w:rsid w:val="00717FAF"/>
    <w:rsid w:val="00720F2A"/>
    <w:rsid w:val="00721F3A"/>
    <w:rsid w:val="007222BF"/>
    <w:rsid w:val="00722B1E"/>
    <w:rsid w:val="007316EC"/>
    <w:rsid w:val="00731D1D"/>
    <w:rsid w:val="00731E79"/>
    <w:rsid w:val="007326FD"/>
    <w:rsid w:val="00733231"/>
    <w:rsid w:val="00733489"/>
    <w:rsid w:val="00733798"/>
    <w:rsid w:val="00733C8F"/>
    <w:rsid w:val="00734A43"/>
    <w:rsid w:val="007367B7"/>
    <w:rsid w:val="00736DBD"/>
    <w:rsid w:val="00737C0D"/>
    <w:rsid w:val="007403E0"/>
    <w:rsid w:val="0074105E"/>
    <w:rsid w:val="0074167D"/>
    <w:rsid w:val="0074204D"/>
    <w:rsid w:val="00744AB5"/>
    <w:rsid w:val="00744F39"/>
    <w:rsid w:val="00744FC5"/>
    <w:rsid w:val="0074577C"/>
    <w:rsid w:val="00745C43"/>
    <w:rsid w:val="00747E62"/>
    <w:rsid w:val="007508D6"/>
    <w:rsid w:val="007519A1"/>
    <w:rsid w:val="00752550"/>
    <w:rsid w:val="0075338D"/>
    <w:rsid w:val="007538F1"/>
    <w:rsid w:val="00754CF1"/>
    <w:rsid w:val="00754E01"/>
    <w:rsid w:val="00754FC4"/>
    <w:rsid w:val="0075521E"/>
    <w:rsid w:val="0075561E"/>
    <w:rsid w:val="007559A2"/>
    <w:rsid w:val="0075766E"/>
    <w:rsid w:val="007608A8"/>
    <w:rsid w:val="007608E5"/>
    <w:rsid w:val="0076251C"/>
    <w:rsid w:val="00762CF2"/>
    <w:rsid w:val="00762F41"/>
    <w:rsid w:val="00763C0B"/>
    <w:rsid w:val="00764A06"/>
    <w:rsid w:val="00764AB8"/>
    <w:rsid w:val="00765484"/>
    <w:rsid w:val="007664F8"/>
    <w:rsid w:val="00767C56"/>
    <w:rsid w:val="007711B4"/>
    <w:rsid w:val="00771B07"/>
    <w:rsid w:val="007731C7"/>
    <w:rsid w:val="007738B6"/>
    <w:rsid w:val="007748B2"/>
    <w:rsid w:val="00775CF4"/>
    <w:rsid w:val="0077633F"/>
    <w:rsid w:val="0077719B"/>
    <w:rsid w:val="00780B72"/>
    <w:rsid w:val="00782174"/>
    <w:rsid w:val="007828F2"/>
    <w:rsid w:val="00782FFF"/>
    <w:rsid w:val="007830A5"/>
    <w:rsid w:val="00784055"/>
    <w:rsid w:val="00785BC6"/>
    <w:rsid w:val="007863E6"/>
    <w:rsid w:val="007867C0"/>
    <w:rsid w:val="00787B3F"/>
    <w:rsid w:val="00790D6A"/>
    <w:rsid w:val="00791495"/>
    <w:rsid w:val="00793C98"/>
    <w:rsid w:val="00794F90"/>
    <w:rsid w:val="007955EF"/>
    <w:rsid w:val="007A0513"/>
    <w:rsid w:val="007A1F3C"/>
    <w:rsid w:val="007A43A6"/>
    <w:rsid w:val="007A4E39"/>
    <w:rsid w:val="007A58CA"/>
    <w:rsid w:val="007A5F82"/>
    <w:rsid w:val="007A7894"/>
    <w:rsid w:val="007B09FB"/>
    <w:rsid w:val="007B0B05"/>
    <w:rsid w:val="007B0E2A"/>
    <w:rsid w:val="007B120A"/>
    <w:rsid w:val="007B371C"/>
    <w:rsid w:val="007B5795"/>
    <w:rsid w:val="007B6D17"/>
    <w:rsid w:val="007C12BC"/>
    <w:rsid w:val="007C1982"/>
    <w:rsid w:val="007C32B2"/>
    <w:rsid w:val="007C4396"/>
    <w:rsid w:val="007C46ED"/>
    <w:rsid w:val="007C4E4A"/>
    <w:rsid w:val="007C7D10"/>
    <w:rsid w:val="007D19E6"/>
    <w:rsid w:val="007D1C54"/>
    <w:rsid w:val="007D3C92"/>
    <w:rsid w:val="007D4131"/>
    <w:rsid w:val="007D431E"/>
    <w:rsid w:val="007D54AB"/>
    <w:rsid w:val="007D618B"/>
    <w:rsid w:val="007D6675"/>
    <w:rsid w:val="007D678F"/>
    <w:rsid w:val="007D78A4"/>
    <w:rsid w:val="007E014A"/>
    <w:rsid w:val="007E196A"/>
    <w:rsid w:val="007E1BD9"/>
    <w:rsid w:val="007E2D8D"/>
    <w:rsid w:val="007E3FD5"/>
    <w:rsid w:val="007E4294"/>
    <w:rsid w:val="007E5477"/>
    <w:rsid w:val="007E67FD"/>
    <w:rsid w:val="007E6C01"/>
    <w:rsid w:val="007F045F"/>
    <w:rsid w:val="007F1923"/>
    <w:rsid w:val="007F1F39"/>
    <w:rsid w:val="007F208A"/>
    <w:rsid w:val="007F3AB7"/>
    <w:rsid w:val="007F437D"/>
    <w:rsid w:val="007F4EE5"/>
    <w:rsid w:val="007F5B91"/>
    <w:rsid w:val="007F6177"/>
    <w:rsid w:val="007F6D61"/>
    <w:rsid w:val="008001D3"/>
    <w:rsid w:val="00802848"/>
    <w:rsid w:val="0080358D"/>
    <w:rsid w:val="0080363F"/>
    <w:rsid w:val="00805858"/>
    <w:rsid w:val="00805AE0"/>
    <w:rsid w:val="00806828"/>
    <w:rsid w:val="00806A28"/>
    <w:rsid w:val="00807AD8"/>
    <w:rsid w:val="008108D2"/>
    <w:rsid w:val="00810BF1"/>
    <w:rsid w:val="00810EAB"/>
    <w:rsid w:val="00811204"/>
    <w:rsid w:val="0081161E"/>
    <w:rsid w:val="008117FA"/>
    <w:rsid w:val="0081318C"/>
    <w:rsid w:val="00813DB9"/>
    <w:rsid w:val="00815D55"/>
    <w:rsid w:val="00815E4F"/>
    <w:rsid w:val="00816AEC"/>
    <w:rsid w:val="00817A83"/>
    <w:rsid w:val="00817FD9"/>
    <w:rsid w:val="00821D14"/>
    <w:rsid w:val="00821FE0"/>
    <w:rsid w:val="00822817"/>
    <w:rsid w:val="008232B4"/>
    <w:rsid w:val="008237D1"/>
    <w:rsid w:val="0082452B"/>
    <w:rsid w:val="00824D11"/>
    <w:rsid w:val="00824D59"/>
    <w:rsid w:val="00824E40"/>
    <w:rsid w:val="00824F60"/>
    <w:rsid w:val="00825C00"/>
    <w:rsid w:val="00826648"/>
    <w:rsid w:val="0082695C"/>
    <w:rsid w:val="00827E2C"/>
    <w:rsid w:val="00827F62"/>
    <w:rsid w:val="00830A6A"/>
    <w:rsid w:val="00830BD4"/>
    <w:rsid w:val="00831FB3"/>
    <w:rsid w:val="008323EB"/>
    <w:rsid w:val="0083382F"/>
    <w:rsid w:val="00833D64"/>
    <w:rsid w:val="008352A8"/>
    <w:rsid w:val="00835B92"/>
    <w:rsid w:val="00835F0E"/>
    <w:rsid w:val="008366FB"/>
    <w:rsid w:val="0083718A"/>
    <w:rsid w:val="008375E1"/>
    <w:rsid w:val="0084086A"/>
    <w:rsid w:val="008422B2"/>
    <w:rsid w:val="00843CCD"/>
    <w:rsid w:val="00844378"/>
    <w:rsid w:val="00844617"/>
    <w:rsid w:val="00844F1E"/>
    <w:rsid w:val="00844F3B"/>
    <w:rsid w:val="00845A28"/>
    <w:rsid w:val="00845C35"/>
    <w:rsid w:val="008469B4"/>
    <w:rsid w:val="008473AF"/>
    <w:rsid w:val="008500AD"/>
    <w:rsid w:val="00850BAC"/>
    <w:rsid w:val="00852724"/>
    <w:rsid w:val="00853C84"/>
    <w:rsid w:val="00853FBC"/>
    <w:rsid w:val="008546C9"/>
    <w:rsid w:val="00855640"/>
    <w:rsid w:val="00856E37"/>
    <w:rsid w:val="00856F94"/>
    <w:rsid w:val="00857491"/>
    <w:rsid w:val="008610AB"/>
    <w:rsid w:val="00861D98"/>
    <w:rsid w:val="00861EA8"/>
    <w:rsid w:val="00861F95"/>
    <w:rsid w:val="00862FD8"/>
    <w:rsid w:val="00863936"/>
    <w:rsid w:val="00864420"/>
    <w:rsid w:val="008655E8"/>
    <w:rsid w:val="00865F4E"/>
    <w:rsid w:val="0086666D"/>
    <w:rsid w:val="008672A8"/>
    <w:rsid w:val="00867BDA"/>
    <w:rsid w:val="00867C70"/>
    <w:rsid w:val="00870CBD"/>
    <w:rsid w:val="00873CCE"/>
    <w:rsid w:val="008742DC"/>
    <w:rsid w:val="00874A0D"/>
    <w:rsid w:val="00874AC2"/>
    <w:rsid w:val="0087546C"/>
    <w:rsid w:val="008757CF"/>
    <w:rsid w:val="00875835"/>
    <w:rsid w:val="008770F7"/>
    <w:rsid w:val="00877E3A"/>
    <w:rsid w:val="00877F5C"/>
    <w:rsid w:val="00880866"/>
    <w:rsid w:val="00881F8C"/>
    <w:rsid w:val="0088216A"/>
    <w:rsid w:val="00882FB0"/>
    <w:rsid w:val="00884457"/>
    <w:rsid w:val="00884678"/>
    <w:rsid w:val="00886063"/>
    <w:rsid w:val="008874F3"/>
    <w:rsid w:val="00887541"/>
    <w:rsid w:val="00890E40"/>
    <w:rsid w:val="00891EA8"/>
    <w:rsid w:val="0089203A"/>
    <w:rsid w:val="0089215B"/>
    <w:rsid w:val="00892A2A"/>
    <w:rsid w:val="00892CB0"/>
    <w:rsid w:val="00892F58"/>
    <w:rsid w:val="00893593"/>
    <w:rsid w:val="00894171"/>
    <w:rsid w:val="00894554"/>
    <w:rsid w:val="00895AFB"/>
    <w:rsid w:val="00896E33"/>
    <w:rsid w:val="00896E93"/>
    <w:rsid w:val="008977D9"/>
    <w:rsid w:val="008A0D0F"/>
    <w:rsid w:val="008A15DE"/>
    <w:rsid w:val="008A1BC1"/>
    <w:rsid w:val="008A21BF"/>
    <w:rsid w:val="008A24B9"/>
    <w:rsid w:val="008A2BD8"/>
    <w:rsid w:val="008A3837"/>
    <w:rsid w:val="008A46CD"/>
    <w:rsid w:val="008A5EF1"/>
    <w:rsid w:val="008A6EFA"/>
    <w:rsid w:val="008A7673"/>
    <w:rsid w:val="008B01BF"/>
    <w:rsid w:val="008B286B"/>
    <w:rsid w:val="008B386F"/>
    <w:rsid w:val="008B4D1A"/>
    <w:rsid w:val="008B4DEA"/>
    <w:rsid w:val="008B5C5C"/>
    <w:rsid w:val="008B7926"/>
    <w:rsid w:val="008C0536"/>
    <w:rsid w:val="008C0DAA"/>
    <w:rsid w:val="008C16D0"/>
    <w:rsid w:val="008C3167"/>
    <w:rsid w:val="008C379D"/>
    <w:rsid w:val="008C521F"/>
    <w:rsid w:val="008C5373"/>
    <w:rsid w:val="008C5D40"/>
    <w:rsid w:val="008C664E"/>
    <w:rsid w:val="008C7932"/>
    <w:rsid w:val="008D0B26"/>
    <w:rsid w:val="008D2082"/>
    <w:rsid w:val="008D387A"/>
    <w:rsid w:val="008D3A2A"/>
    <w:rsid w:val="008D3BF1"/>
    <w:rsid w:val="008D3EAF"/>
    <w:rsid w:val="008D4001"/>
    <w:rsid w:val="008D4034"/>
    <w:rsid w:val="008D4C4B"/>
    <w:rsid w:val="008D4D3C"/>
    <w:rsid w:val="008D4F98"/>
    <w:rsid w:val="008D516A"/>
    <w:rsid w:val="008D554A"/>
    <w:rsid w:val="008D6653"/>
    <w:rsid w:val="008E072F"/>
    <w:rsid w:val="008E0F71"/>
    <w:rsid w:val="008E18A5"/>
    <w:rsid w:val="008E25E4"/>
    <w:rsid w:val="008E2771"/>
    <w:rsid w:val="008E3164"/>
    <w:rsid w:val="008E456B"/>
    <w:rsid w:val="008E4746"/>
    <w:rsid w:val="008E4CAA"/>
    <w:rsid w:val="008E586E"/>
    <w:rsid w:val="008E596A"/>
    <w:rsid w:val="008E5BDD"/>
    <w:rsid w:val="008E607A"/>
    <w:rsid w:val="008E7722"/>
    <w:rsid w:val="008F0024"/>
    <w:rsid w:val="008F22C2"/>
    <w:rsid w:val="008F2970"/>
    <w:rsid w:val="008F3B81"/>
    <w:rsid w:val="008F43DA"/>
    <w:rsid w:val="008F4A10"/>
    <w:rsid w:val="009008ED"/>
    <w:rsid w:val="00900BBA"/>
    <w:rsid w:val="00901689"/>
    <w:rsid w:val="00902F50"/>
    <w:rsid w:val="00904814"/>
    <w:rsid w:val="00905466"/>
    <w:rsid w:val="00905576"/>
    <w:rsid w:val="00905A39"/>
    <w:rsid w:val="0090606A"/>
    <w:rsid w:val="00906C81"/>
    <w:rsid w:val="00907B94"/>
    <w:rsid w:val="00907E29"/>
    <w:rsid w:val="009109C4"/>
    <w:rsid w:val="00911E53"/>
    <w:rsid w:val="00912730"/>
    <w:rsid w:val="00913FE3"/>
    <w:rsid w:val="00914F1C"/>
    <w:rsid w:val="0091683C"/>
    <w:rsid w:val="009176CC"/>
    <w:rsid w:val="009201DC"/>
    <w:rsid w:val="009204BD"/>
    <w:rsid w:val="00921639"/>
    <w:rsid w:val="009238B5"/>
    <w:rsid w:val="00923C59"/>
    <w:rsid w:val="0092510D"/>
    <w:rsid w:val="009258FF"/>
    <w:rsid w:val="0092593A"/>
    <w:rsid w:val="00925DA2"/>
    <w:rsid w:val="00925F74"/>
    <w:rsid w:val="00926424"/>
    <w:rsid w:val="009267D2"/>
    <w:rsid w:val="00927A59"/>
    <w:rsid w:val="00927E19"/>
    <w:rsid w:val="0093034A"/>
    <w:rsid w:val="00931E44"/>
    <w:rsid w:val="00932E24"/>
    <w:rsid w:val="00933195"/>
    <w:rsid w:val="00933749"/>
    <w:rsid w:val="00933B27"/>
    <w:rsid w:val="00934296"/>
    <w:rsid w:val="009345CD"/>
    <w:rsid w:val="00934F80"/>
    <w:rsid w:val="00934FB1"/>
    <w:rsid w:val="0093790D"/>
    <w:rsid w:val="00940448"/>
    <w:rsid w:val="00940501"/>
    <w:rsid w:val="009406F6"/>
    <w:rsid w:val="009415EB"/>
    <w:rsid w:val="00942272"/>
    <w:rsid w:val="0094404F"/>
    <w:rsid w:val="009449A4"/>
    <w:rsid w:val="009454B6"/>
    <w:rsid w:val="00945D55"/>
    <w:rsid w:val="00946E62"/>
    <w:rsid w:val="009475FB"/>
    <w:rsid w:val="009478EF"/>
    <w:rsid w:val="0095006F"/>
    <w:rsid w:val="00950322"/>
    <w:rsid w:val="00950490"/>
    <w:rsid w:val="00950EC0"/>
    <w:rsid w:val="009539E2"/>
    <w:rsid w:val="009546A2"/>
    <w:rsid w:val="00954773"/>
    <w:rsid w:val="00954FAC"/>
    <w:rsid w:val="00955612"/>
    <w:rsid w:val="0095614F"/>
    <w:rsid w:val="009565F2"/>
    <w:rsid w:val="00957B1A"/>
    <w:rsid w:val="00957B55"/>
    <w:rsid w:val="0096189B"/>
    <w:rsid w:val="00964E3C"/>
    <w:rsid w:val="00965DCF"/>
    <w:rsid w:val="00967112"/>
    <w:rsid w:val="00967B97"/>
    <w:rsid w:val="00971082"/>
    <w:rsid w:val="00972185"/>
    <w:rsid w:val="00972468"/>
    <w:rsid w:val="009724A5"/>
    <w:rsid w:val="0097298D"/>
    <w:rsid w:val="00972D4A"/>
    <w:rsid w:val="00973A68"/>
    <w:rsid w:val="00974DE9"/>
    <w:rsid w:val="009753D3"/>
    <w:rsid w:val="00977555"/>
    <w:rsid w:val="0097758B"/>
    <w:rsid w:val="0097765C"/>
    <w:rsid w:val="00977F0B"/>
    <w:rsid w:val="00982DB8"/>
    <w:rsid w:val="009830EE"/>
    <w:rsid w:val="00984531"/>
    <w:rsid w:val="00985418"/>
    <w:rsid w:val="00985807"/>
    <w:rsid w:val="00986C87"/>
    <w:rsid w:val="00986E87"/>
    <w:rsid w:val="00986FCE"/>
    <w:rsid w:val="00986FEB"/>
    <w:rsid w:val="009903C6"/>
    <w:rsid w:val="009904E3"/>
    <w:rsid w:val="009911C5"/>
    <w:rsid w:val="009921AE"/>
    <w:rsid w:val="009925C9"/>
    <w:rsid w:val="009925DA"/>
    <w:rsid w:val="00993ED2"/>
    <w:rsid w:val="00995DC6"/>
    <w:rsid w:val="00996334"/>
    <w:rsid w:val="00997971"/>
    <w:rsid w:val="00997A93"/>
    <w:rsid w:val="00997B3E"/>
    <w:rsid w:val="009A25E9"/>
    <w:rsid w:val="009A3993"/>
    <w:rsid w:val="009A504B"/>
    <w:rsid w:val="009A5AE7"/>
    <w:rsid w:val="009A732B"/>
    <w:rsid w:val="009A7650"/>
    <w:rsid w:val="009A77F7"/>
    <w:rsid w:val="009B0A16"/>
    <w:rsid w:val="009B14F3"/>
    <w:rsid w:val="009B1E48"/>
    <w:rsid w:val="009B3C57"/>
    <w:rsid w:val="009B502B"/>
    <w:rsid w:val="009B5A69"/>
    <w:rsid w:val="009B72B6"/>
    <w:rsid w:val="009C13CF"/>
    <w:rsid w:val="009C14E1"/>
    <w:rsid w:val="009C3F8D"/>
    <w:rsid w:val="009C3FA4"/>
    <w:rsid w:val="009C4475"/>
    <w:rsid w:val="009C4B76"/>
    <w:rsid w:val="009C5AA5"/>
    <w:rsid w:val="009C6BE0"/>
    <w:rsid w:val="009D03A1"/>
    <w:rsid w:val="009D0608"/>
    <w:rsid w:val="009D1A7C"/>
    <w:rsid w:val="009D1B5E"/>
    <w:rsid w:val="009D2149"/>
    <w:rsid w:val="009D288D"/>
    <w:rsid w:val="009D2A2A"/>
    <w:rsid w:val="009D2F4B"/>
    <w:rsid w:val="009D3758"/>
    <w:rsid w:val="009D3B69"/>
    <w:rsid w:val="009D443B"/>
    <w:rsid w:val="009D5490"/>
    <w:rsid w:val="009D594D"/>
    <w:rsid w:val="009D5B1E"/>
    <w:rsid w:val="009D6E37"/>
    <w:rsid w:val="009E0030"/>
    <w:rsid w:val="009E0785"/>
    <w:rsid w:val="009E3293"/>
    <w:rsid w:val="009E42C9"/>
    <w:rsid w:val="009E5DC0"/>
    <w:rsid w:val="009E76BC"/>
    <w:rsid w:val="009E76CD"/>
    <w:rsid w:val="009E7C1B"/>
    <w:rsid w:val="009E7F14"/>
    <w:rsid w:val="009F124E"/>
    <w:rsid w:val="009F12C4"/>
    <w:rsid w:val="009F1347"/>
    <w:rsid w:val="009F197F"/>
    <w:rsid w:val="009F1C4B"/>
    <w:rsid w:val="009F2341"/>
    <w:rsid w:val="009F2E4A"/>
    <w:rsid w:val="009F4E4F"/>
    <w:rsid w:val="009F4E95"/>
    <w:rsid w:val="009F4F81"/>
    <w:rsid w:val="009F54B2"/>
    <w:rsid w:val="009F7C18"/>
    <w:rsid w:val="009F7F39"/>
    <w:rsid w:val="00A0008F"/>
    <w:rsid w:val="00A0083A"/>
    <w:rsid w:val="00A015B5"/>
    <w:rsid w:val="00A01A10"/>
    <w:rsid w:val="00A02919"/>
    <w:rsid w:val="00A033D2"/>
    <w:rsid w:val="00A03C56"/>
    <w:rsid w:val="00A04C83"/>
    <w:rsid w:val="00A04C85"/>
    <w:rsid w:val="00A050A9"/>
    <w:rsid w:val="00A05544"/>
    <w:rsid w:val="00A05F09"/>
    <w:rsid w:val="00A06154"/>
    <w:rsid w:val="00A06E87"/>
    <w:rsid w:val="00A101C3"/>
    <w:rsid w:val="00A10B11"/>
    <w:rsid w:val="00A1105A"/>
    <w:rsid w:val="00A11670"/>
    <w:rsid w:val="00A11FF5"/>
    <w:rsid w:val="00A12213"/>
    <w:rsid w:val="00A12D57"/>
    <w:rsid w:val="00A12F2E"/>
    <w:rsid w:val="00A13371"/>
    <w:rsid w:val="00A141DA"/>
    <w:rsid w:val="00A1633E"/>
    <w:rsid w:val="00A17E47"/>
    <w:rsid w:val="00A200B0"/>
    <w:rsid w:val="00A20106"/>
    <w:rsid w:val="00A20C8D"/>
    <w:rsid w:val="00A213AE"/>
    <w:rsid w:val="00A217B6"/>
    <w:rsid w:val="00A2242A"/>
    <w:rsid w:val="00A226E0"/>
    <w:rsid w:val="00A226E4"/>
    <w:rsid w:val="00A22B3A"/>
    <w:rsid w:val="00A23314"/>
    <w:rsid w:val="00A23CEB"/>
    <w:rsid w:val="00A24339"/>
    <w:rsid w:val="00A24BB4"/>
    <w:rsid w:val="00A25B09"/>
    <w:rsid w:val="00A25C65"/>
    <w:rsid w:val="00A25DAA"/>
    <w:rsid w:val="00A26D77"/>
    <w:rsid w:val="00A279C5"/>
    <w:rsid w:val="00A27E2E"/>
    <w:rsid w:val="00A318C0"/>
    <w:rsid w:val="00A31925"/>
    <w:rsid w:val="00A31CB5"/>
    <w:rsid w:val="00A3334A"/>
    <w:rsid w:val="00A3385A"/>
    <w:rsid w:val="00A343CB"/>
    <w:rsid w:val="00A36014"/>
    <w:rsid w:val="00A366DD"/>
    <w:rsid w:val="00A36D4D"/>
    <w:rsid w:val="00A375E8"/>
    <w:rsid w:val="00A37BA3"/>
    <w:rsid w:val="00A40641"/>
    <w:rsid w:val="00A408B4"/>
    <w:rsid w:val="00A408CD"/>
    <w:rsid w:val="00A40E26"/>
    <w:rsid w:val="00A412B3"/>
    <w:rsid w:val="00A41A58"/>
    <w:rsid w:val="00A43819"/>
    <w:rsid w:val="00A43D96"/>
    <w:rsid w:val="00A44D07"/>
    <w:rsid w:val="00A45DCC"/>
    <w:rsid w:val="00A4603F"/>
    <w:rsid w:val="00A47A59"/>
    <w:rsid w:val="00A47C87"/>
    <w:rsid w:val="00A5083D"/>
    <w:rsid w:val="00A52436"/>
    <w:rsid w:val="00A527EA"/>
    <w:rsid w:val="00A52F36"/>
    <w:rsid w:val="00A533AB"/>
    <w:rsid w:val="00A538F4"/>
    <w:rsid w:val="00A53979"/>
    <w:rsid w:val="00A53D20"/>
    <w:rsid w:val="00A545E0"/>
    <w:rsid w:val="00A557FF"/>
    <w:rsid w:val="00A56997"/>
    <w:rsid w:val="00A5741D"/>
    <w:rsid w:val="00A57B44"/>
    <w:rsid w:val="00A60E24"/>
    <w:rsid w:val="00A61A67"/>
    <w:rsid w:val="00A62650"/>
    <w:rsid w:val="00A62CED"/>
    <w:rsid w:val="00A637D4"/>
    <w:rsid w:val="00A649B5"/>
    <w:rsid w:val="00A6524D"/>
    <w:rsid w:val="00A65C15"/>
    <w:rsid w:val="00A66477"/>
    <w:rsid w:val="00A66789"/>
    <w:rsid w:val="00A66B45"/>
    <w:rsid w:val="00A67BF1"/>
    <w:rsid w:val="00A71E14"/>
    <w:rsid w:val="00A724CA"/>
    <w:rsid w:val="00A73737"/>
    <w:rsid w:val="00A7395C"/>
    <w:rsid w:val="00A752A4"/>
    <w:rsid w:val="00A76AF0"/>
    <w:rsid w:val="00A771B8"/>
    <w:rsid w:val="00A7794D"/>
    <w:rsid w:val="00A812B7"/>
    <w:rsid w:val="00A8144D"/>
    <w:rsid w:val="00A81898"/>
    <w:rsid w:val="00A8290D"/>
    <w:rsid w:val="00A832A4"/>
    <w:rsid w:val="00A83F09"/>
    <w:rsid w:val="00A85281"/>
    <w:rsid w:val="00A854BD"/>
    <w:rsid w:val="00A85A7F"/>
    <w:rsid w:val="00A86CF1"/>
    <w:rsid w:val="00A86D5F"/>
    <w:rsid w:val="00A87123"/>
    <w:rsid w:val="00A8780C"/>
    <w:rsid w:val="00A903FF"/>
    <w:rsid w:val="00A9054D"/>
    <w:rsid w:val="00A905F0"/>
    <w:rsid w:val="00A932B2"/>
    <w:rsid w:val="00A93337"/>
    <w:rsid w:val="00A93961"/>
    <w:rsid w:val="00A95496"/>
    <w:rsid w:val="00A96A5B"/>
    <w:rsid w:val="00A97C9E"/>
    <w:rsid w:val="00AA052D"/>
    <w:rsid w:val="00AA06D8"/>
    <w:rsid w:val="00AA0E61"/>
    <w:rsid w:val="00AA12D5"/>
    <w:rsid w:val="00AA2294"/>
    <w:rsid w:val="00AA2932"/>
    <w:rsid w:val="00AA325C"/>
    <w:rsid w:val="00AA3284"/>
    <w:rsid w:val="00AA3CC8"/>
    <w:rsid w:val="00AA40E8"/>
    <w:rsid w:val="00AA4154"/>
    <w:rsid w:val="00AA50FC"/>
    <w:rsid w:val="00AA555D"/>
    <w:rsid w:val="00AA63D1"/>
    <w:rsid w:val="00AA690E"/>
    <w:rsid w:val="00AA70A4"/>
    <w:rsid w:val="00AA73CA"/>
    <w:rsid w:val="00AB0A98"/>
    <w:rsid w:val="00AB0D4F"/>
    <w:rsid w:val="00AB1C7C"/>
    <w:rsid w:val="00AB1FF8"/>
    <w:rsid w:val="00AB33ED"/>
    <w:rsid w:val="00AB3E38"/>
    <w:rsid w:val="00AB3E92"/>
    <w:rsid w:val="00AB453A"/>
    <w:rsid w:val="00AB4E69"/>
    <w:rsid w:val="00AB5853"/>
    <w:rsid w:val="00AB5E7E"/>
    <w:rsid w:val="00AB6D52"/>
    <w:rsid w:val="00AB791D"/>
    <w:rsid w:val="00AC0858"/>
    <w:rsid w:val="00AC114A"/>
    <w:rsid w:val="00AC11A3"/>
    <w:rsid w:val="00AC2639"/>
    <w:rsid w:val="00AC2B47"/>
    <w:rsid w:val="00AC3A76"/>
    <w:rsid w:val="00AC50A0"/>
    <w:rsid w:val="00AC51AB"/>
    <w:rsid w:val="00AC534D"/>
    <w:rsid w:val="00AC584F"/>
    <w:rsid w:val="00AC612E"/>
    <w:rsid w:val="00AC6174"/>
    <w:rsid w:val="00AC6269"/>
    <w:rsid w:val="00AC7C4B"/>
    <w:rsid w:val="00AD0E21"/>
    <w:rsid w:val="00AD15D7"/>
    <w:rsid w:val="00AD1943"/>
    <w:rsid w:val="00AD2ED2"/>
    <w:rsid w:val="00AD3457"/>
    <w:rsid w:val="00AD5829"/>
    <w:rsid w:val="00AD62FC"/>
    <w:rsid w:val="00AE0E03"/>
    <w:rsid w:val="00AE159B"/>
    <w:rsid w:val="00AE3135"/>
    <w:rsid w:val="00AE62EA"/>
    <w:rsid w:val="00AE746C"/>
    <w:rsid w:val="00AE7A88"/>
    <w:rsid w:val="00AE7BC3"/>
    <w:rsid w:val="00AF045E"/>
    <w:rsid w:val="00AF1C0B"/>
    <w:rsid w:val="00AF47CE"/>
    <w:rsid w:val="00AF4D2A"/>
    <w:rsid w:val="00AF4E5E"/>
    <w:rsid w:val="00AF4F7B"/>
    <w:rsid w:val="00AF5C7E"/>
    <w:rsid w:val="00AF5D2A"/>
    <w:rsid w:val="00AF6604"/>
    <w:rsid w:val="00AF6E34"/>
    <w:rsid w:val="00AF6FB6"/>
    <w:rsid w:val="00AF7308"/>
    <w:rsid w:val="00B02941"/>
    <w:rsid w:val="00B04010"/>
    <w:rsid w:val="00B056B7"/>
    <w:rsid w:val="00B0684C"/>
    <w:rsid w:val="00B06BF5"/>
    <w:rsid w:val="00B076A2"/>
    <w:rsid w:val="00B079F5"/>
    <w:rsid w:val="00B1023A"/>
    <w:rsid w:val="00B107A4"/>
    <w:rsid w:val="00B130F5"/>
    <w:rsid w:val="00B13159"/>
    <w:rsid w:val="00B151FF"/>
    <w:rsid w:val="00B155E3"/>
    <w:rsid w:val="00B15E12"/>
    <w:rsid w:val="00B214CF"/>
    <w:rsid w:val="00B22DC8"/>
    <w:rsid w:val="00B24088"/>
    <w:rsid w:val="00B251E6"/>
    <w:rsid w:val="00B25955"/>
    <w:rsid w:val="00B25A00"/>
    <w:rsid w:val="00B25F6D"/>
    <w:rsid w:val="00B26571"/>
    <w:rsid w:val="00B2657C"/>
    <w:rsid w:val="00B2693B"/>
    <w:rsid w:val="00B26FE8"/>
    <w:rsid w:val="00B3211E"/>
    <w:rsid w:val="00B330DF"/>
    <w:rsid w:val="00B3369E"/>
    <w:rsid w:val="00B33A24"/>
    <w:rsid w:val="00B341BC"/>
    <w:rsid w:val="00B34F72"/>
    <w:rsid w:val="00B3553B"/>
    <w:rsid w:val="00B35621"/>
    <w:rsid w:val="00B35696"/>
    <w:rsid w:val="00B35E07"/>
    <w:rsid w:val="00B3675A"/>
    <w:rsid w:val="00B3762B"/>
    <w:rsid w:val="00B400F9"/>
    <w:rsid w:val="00B405CD"/>
    <w:rsid w:val="00B41974"/>
    <w:rsid w:val="00B45971"/>
    <w:rsid w:val="00B47AA6"/>
    <w:rsid w:val="00B50935"/>
    <w:rsid w:val="00B51504"/>
    <w:rsid w:val="00B522F9"/>
    <w:rsid w:val="00B52650"/>
    <w:rsid w:val="00B52EF8"/>
    <w:rsid w:val="00B52FA5"/>
    <w:rsid w:val="00B533B5"/>
    <w:rsid w:val="00B5378F"/>
    <w:rsid w:val="00B54276"/>
    <w:rsid w:val="00B5502D"/>
    <w:rsid w:val="00B554E6"/>
    <w:rsid w:val="00B558A0"/>
    <w:rsid w:val="00B600B6"/>
    <w:rsid w:val="00B6081F"/>
    <w:rsid w:val="00B610B2"/>
    <w:rsid w:val="00B61CBF"/>
    <w:rsid w:val="00B62532"/>
    <w:rsid w:val="00B63AAA"/>
    <w:rsid w:val="00B64C7B"/>
    <w:rsid w:val="00B64C7C"/>
    <w:rsid w:val="00B656E8"/>
    <w:rsid w:val="00B67098"/>
    <w:rsid w:val="00B707ED"/>
    <w:rsid w:val="00B7134B"/>
    <w:rsid w:val="00B716C6"/>
    <w:rsid w:val="00B71EC5"/>
    <w:rsid w:val="00B726F1"/>
    <w:rsid w:val="00B727A3"/>
    <w:rsid w:val="00B7288E"/>
    <w:rsid w:val="00B74022"/>
    <w:rsid w:val="00B74621"/>
    <w:rsid w:val="00B7496E"/>
    <w:rsid w:val="00B77871"/>
    <w:rsid w:val="00B80A59"/>
    <w:rsid w:val="00B80BC2"/>
    <w:rsid w:val="00B81D6D"/>
    <w:rsid w:val="00B823B1"/>
    <w:rsid w:val="00B8260E"/>
    <w:rsid w:val="00B826A1"/>
    <w:rsid w:val="00B84572"/>
    <w:rsid w:val="00B8488E"/>
    <w:rsid w:val="00B84C5E"/>
    <w:rsid w:val="00B84D91"/>
    <w:rsid w:val="00B85391"/>
    <w:rsid w:val="00B85F1C"/>
    <w:rsid w:val="00B86852"/>
    <w:rsid w:val="00B86A67"/>
    <w:rsid w:val="00B90221"/>
    <w:rsid w:val="00B90372"/>
    <w:rsid w:val="00B90498"/>
    <w:rsid w:val="00B91527"/>
    <w:rsid w:val="00B958BA"/>
    <w:rsid w:val="00BA0C3F"/>
    <w:rsid w:val="00BA106F"/>
    <w:rsid w:val="00BA1695"/>
    <w:rsid w:val="00BA23F6"/>
    <w:rsid w:val="00BA39A2"/>
    <w:rsid w:val="00BA3ECA"/>
    <w:rsid w:val="00BA4B5E"/>
    <w:rsid w:val="00BA549B"/>
    <w:rsid w:val="00BA585D"/>
    <w:rsid w:val="00BA70E1"/>
    <w:rsid w:val="00BA7A96"/>
    <w:rsid w:val="00BA7AAE"/>
    <w:rsid w:val="00BA7E5C"/>
    <w:rsid w:val="00BB03F6"/>
    <w:rsid w:val="00BB07FA"/>
    <w:rsid w:val="00BB3FD0"/>
    <w:rsid w:val="00BB4265"/>
    <w:rsid w:val="00BB43BE"/>
    <w:rsid w:val="00BB5D1D"/>
    <w:rsid w:val="00BB6E6F"/>
    <w:rsid w:val="00BB7979"/>
    <w:rsid w:val="00BC14E6"/>
    <w:rsid w:val="00BC1E58"/>
    <w:rsid w:val="00BC242C"/>
    <w:rsid w:val="00BC2CB8"/>
    <w:rsid w:val="00BC472A"/>
    <w:rsid w:val="00BC49BF"/>
    <w:rsid w:val="00BC4D70"/>
    <w:rsid w:val="00BC4E35"/>
    <w:rsid w:val="00BC5852"/>
    <w:rsid w:val="00BC62AC"/>
    <w:rsid w:val="00BC685A"/>
    <w:rsid w:val="00BC6C9A"/>
    <w:rsid w:val="00BC6F86"/>
    <w:rsid w:val="00BC7423"/>
    <w:rsid w:val="00BC765C"/>
    <w:rsid w:val="00BD05B4"/>
    <w:rsid w:val="00BD05ED"/>
    <w:rsid w:val="00BD0D84"/>
    <w:rsid w:val="00BD1D56"/>
    <w:rsid w:val="00BD20E2"/>
    <w:rsid w:val="00BD27B7"/>
    <w:rsid w:val="00BD3A0C"/>
    <w:rsid w:val="00BD3A74"/>
    <w:rsid w:val="00BD3B0F"/>
    <w:rsid w:val="00BD43A6"/>
    <w:rsid w:val="00BD6A59"/>
    <w:rsid w:val="00BD6E69"/>
    <w:rsid w:val="00BD6F4E"/>
    <w:rsid w:val="00BD6F61"/>
    <w:rsid w:val="00BE02DF"/>
    <w:rsid w:val="00BE233F"/>
    <w:rsid w:val="00BE31BE"/>
    <w:rsid w:val="00BE416F"/>
    <w:rsid w:val="00BE55A5"/>
    <w:rsid w:val="00BE56D0"/>
    <w:rsid w:val="00BE5AD2"/>
    <w:rsid w:val="00BE638E"/>
    <w:rsid w:val="00BE6B16"/>
    <w:rsid w:val="00BE7AE7"/>
    <w:rsid w:val="00BE7BE1"/>
    <w:rsid w:val="00BF0B3F"/>
    <w:rsid w:val="00BF0E1A"/>
    <w:rsid w:val="00BF1A10"/>
    <w:rsid w:val="00BF2285"/>
    <w:rsid w:val="00BF4127"/>
    <w:rsid w:val="00BF4B45"/>
    <w:rsid w:val="00BF6EDE"/>
    <w:rsid w:val="00BF7328"/>
    <w:rsid w:val="00BF7418"/>
    <w:rsid w:val="00BF7C69"/>
    <w:rsid w:val="00BF7CEA"/>
    <w:rsid w:val="00C00276"/>
    <w:rsid w:val="00C0027C"/>
    <w:rsid w:val="00C007A7"/>
    <w:rsid w:val="00C03B9E"/>
    <w:rsid w:val="00C04972"/>
    <w:rsid w:val="00C05BD4"/>
    <w:rsid w:val="00C06551"/>
    <w:rsid w:val="00C07E78"/>
    <w:rsid w:val="00C102F1"/>
    <w:rsid w:val="00C113E2"/>
    <w:rsid w:val="00C11756"/>
    <w:rsid w:val="00C1230A"/>
    <w:rsid w:val="00C124EB"/>
    <w:rsid w:val="00C1305C"/>
    <w:rsid w:val="00C13D58"/>
    <w:rsid w:val="00C1555D"/>
    <w:rsid w:val="00C16E13"/>
    <w:rsid w:val="00C171E1"/>
    <w:rsid w:val="00C176E0"/>
    <w:rsid w:val="00C17CD0"/>
    <w:rsid w:val="00C17EC4"/>
    <w:rsid w:val="00C20AFA"/>
    <w:rsid w:val="00C20B35"/>
    <w:rsid w:val="00C20C62"/>
    <w:rsid w:val="00C21ED5"/>
    <w:rsid w:val="00C228FF"/>
    <w:rsid w:val="00C232C2"/>
    <w:rsid w:val="00C2442E"/>
    <w:rsid w:val="00C275F9"/>
    <w:rsid w:val="00C27821"/>
    <w:rsid w:val="00C3086B"/>
    <w:rsid w:val="00C3204A"/>
    <w:rsid w:val="00C33732"/>
    <w:rsid w:val="00C34605"/>
    <w:rsid w:val="00C34B73"/>
    <w:rsid w:val="00C34D6C"/>
    <w:rsid w:val="00C360B8"/>
    <w:rsid w:val="00C3645C"/>
    <w:rsid w:val="00C37146"/>
    <w:rsid w:val="00C4116C"/>
    <w:rsid w:val="00C41484"/>
    <w:rsid w:val="00C42327"/>
    <w:rsid w:val="00C427CD"/>
    <w:rsid w:val="00C429AD"/>
    <w:rsid w:val="00C429B4"/>
    <w:rsid w:val="00C42C62"/>
    <w:rsid w:val="00C43133"/>
    <w:rsid w:val="00C4592C"/>
    <w:rsid w:val="00C47156"/>
    <w:rsid w:val="00C50224"/>
    <w:rsid w:val="00C5225F"/>
    <w:rsid w:val="00C5323A"/>
    <w:rsid w:val="00C535B8"/>
    <w:rsid w:val="00C53D17"/>
    <w:rsid w:val="00C545E5"/>
    <w:rsid w:val="00C5510D"/>
    <w:rsid w:val="00C56017"/>
    <w:rsid w:val="00C5670A"/>
    <w:rsid w:val="00C57027"/>
    <w:rsid w:val="00C577B8"/>
    <w:rsid w:val="00C60789"/>
    <w:rsid w:val="00C61674"/>
    <w:rsid w:val="00C617BE"/>
    <w:rsid w:val="00C61DB9"/>
    <w:rsid w:val="00C629B5"/>
    <w:rsid w:val="00C62CDF"/>
    <w:rsid w:val="00C646D8"/>
    <w:rsid w:val="00C64BEA"/>
    <w:rsid w:val="00C64E8C"/>
    <w:rsid w:val="00C6543D"/>
    <w:rsid w:val="00C65DEF"/>
    <w:rsid w:val="00C66672"/>
    <w:rsid w:val="00C67362"/>
    <w:rsid w:val="00C67ACD"/>
    <w:rsid w:val="00C700D5"/>
    <w:rsid w:val="00C71010"/>
    <w:rsid w:val="00C7242D"/>
    <w:rsid w:val="00C72490"/>
    <w:rsid w:val="00C7312F"/>
    <w:rsid w:val="00C7382B"/>
    <w:rsid w:val="00C73848"/>
    <w:rsid w:val="00C757B2"/>
    <w:rsid w:val="00C76BA8"/>
    <w:rsid w:val="00C773A6"/>
    <w:rsid w:val="00C77AC4"/>
    <w:rsid w:val="00C77D3E"/>
    <w:rsid w:val="00C80747"/>
    <w:rsid w:val="00C80AB4"/>
    <w:rsid w:val="00C820DC"/>
    <w:rsid w:val="00C82CF8"/>
    <w:rsid w:val="00C83B38"/>
    <w:rsid w:val="00C84434"/>
    <w:rsid w:val="00C854D3"/>
    <w:rsid w:val="00C85575"/>
    <w:rsid w:val="00C85864"/>
    <w:rsid w:val="00C8736D"/>
    <w:rsid w:val="00C90EC0"/>
    <w:rsid w:val="00C91F0D"/>
    <w:rsid w:val="00C935D6"/>
    <w:rsid w:val="00C936C0"/>
    <w:rsid w:val="00C93AC3"/>
    <w:rsid w:val="00C940E6"/>
    <w:rsid w:val="00C96C44"/>
    <w:rsid w:val="00C96E15"/>
    <w:rsid w:val="00C974A0"/>
    <w:rsid w:val="00CA03E3"/>
    <w:rsid w:val="00CA1DCA"/>
    <w:rsid w:val="00CA2284"/>
    <w:rsid w:val="00CA25AF"/>
    <w:rsid w:val="00CA2A5E"/>
    <w:rsid w:val="00CA3235"/>
    <w:rsid w:val="00CA5DC2"/>
    <w:rsid w:val="00CA67D9"/>
    <w:rsid w:val="00CA6FB5"/>
    <w:rsid w:val="00CA7310"/>
    <w:rsid w:val="00CA798D"/>
    <w:rsid w:val="00CB160E"/>
    <w:rsid w:val="00CB5046"/>
    <w:rsid w:val="00CB53C2"/>
    <w:rsid w:val="00CB616D"/>
    <w:rsid w:val="00CB729E"/>
    <w:rsid w:val="00CC0698"/>
    <w:rsid w:val="00CC08FD"/>
    <w:rsid w:val="00CC183A"/>
    <w:rsid w:val="00CC1917"/>
    <w:rsid w:val="00CC2306"/>
    <w:rsid w:val="00CC2606"/>
    <w:rsid w:val="00CC387A"/>
    <w:rsid w:val="00CC3AC6"/>
    <w:rsid w:val="00CC3D49"/>
    <w:rsid w:val="00CC3F97"/>
    <w:rsid w:val="00CC5558"/>
    <w:rsid w:val="00CC5C8D"/>
    <w:rsid w:val="00CC6293"/>
    <w:rsid w:val="00CC63BB"/>
    <w:rsid w:val="00CC7196"/>
    <w:rsid w:val="00CD1734"/>
    <w:rsid w:val="00CD2257"/>
    <w:rsid w:val="00CD2D2E"/>
    <w:rsid w:val="00CD364D"/>
    <w:rsid w:val="00CD3DB0"/>
    <w:rsid w:val="00CD553B"/>
    <w:rsid w:val="00CD61E1"/>
    <w:rsid w:val="00CD6FA1"/>
    <w:rsid w:val="00CD72AC"/>
    <w:rsid w:val="00CD7E90"/>
    <w:rsid w:val="00CE1669"/>
    <w:rsid w:val="00CE1726"/>
    <w:rsid w:val="00CE1ED1"/>
    <w:rsid w:val="00CE224A"/>
    <w:rsid w:val="00CE2B4B"/>
    <w:rsid w:val="00CE470A"/>
    <w:rsid w:val="00CE48F0"/>
    <w:rsid w:val="00CE632B"/>
    <w:rsid w:val="00CE6880"/>
    <w:rsid w:val="00CF0EB0"/>
    <w:rsid w:val="00CF3207"/>
    <w:rsid w:val="00CF32B4"/>
    <w:rsid w:val="00CF3503"/>
    <w:rsid w:val="00CF3E02"/>
    <w:rsid w:val="00CF3EF5"/>
    <w:rsid w:val="00CF4687"/>
    <w:rsid w:val="00CF49A7"/>
    <w:rsid w:val="00CF4C02"/>
    <w:rsid w:val="00CF564E"/>
    <w:rsid w:val="00CF5F7B"/>
    <w:rsid w:val="00CF60B5"/>
    <w:rsid w:val="00CF68F0"/>
    <w:rsid w:val="00CF744B"/>
    <w:rsid w:val="00CF76BE"/>
    <w:rsid w:val="00CF7D35"/>
    <w:rsid w:val="00D0060C"/>
    <w:rsid w:val="00D00F44"/>
    <w:rsid w:val="00D01278"/>
    <w:rsid w:val="00D025CD"/>
    <w:rsid w:val="00D02A9E"/>
    <w:rsid w:val="00D02B70"/>
    <w:rsid w:val="00D03398"/>
    <w:rsid w:val="00D03E34"/>
    <w:rsid w:val="00D05510"/>
    <w:rsid w:val="00D057F4"/>
    <w:rsid w:val="00D06DAD"/>
    <w:rsid w:val="00D07FD7"/>
    <w:rsid w:val="00D10388"/>
    <w:rsid w:val="00D117E2"/>
    <w:rsid w:val="00D13771"/>
    <w:rsid w:val="00D13A84"/>
    <w:rsid w:val="00D13DCF"/>
    <w:rsid w:val="00D13E59"/>
    <w:rsid w:val="00D14C24"/>
    <w:rsid w:val="00D15A45"/>
    <w:rsid w:val="00D15CA3"/>
    <w:rsid w:val="00D15D1C"/>
    <w:rsid w:val="00D17740"/>
    <w:rsid w:val="00D21067"/>
    <w:rsid w:val="00D2109A"/>
    <w:rsid w:val="00D220F6"/>
    <w:rsid w:val="00D2314C"/>
    <w:rsid w:val="00D237A6"/>
    <w:rsid w:val="00D238F4"/>
    <w:rsid w:val="00D2470E"/>
    <w:rsid w:val="00D250AF"/>
    <w:rsid w:val="00D25D0A"/>
    <w:rsid w:val="00D26455"/>
    <w:rsid w:val="00D26D7B"/>
    <w:rsid w:val="00D2710D"/>
    <w:rsid w:val="00D27903"/>
    <w:rsid w:val="00D27960"/>
    <w:rsid w:val="00D3151C"/>
    <w:rsid w:val="00D31A23"/>
    <w:rsid w:val="00D32934"/>
    <w:rsid w:val="00D33653"/>
    <w:rsid w:val="00D33B71"/>
    <w:rsid w:val="00D34E81"/>
    <w:rsid w:val="00D35251"/>
    <w:rsid w:val="00D352D4"/>
    <w:rsid w:val="00D36951"/>
    <w:rsid w:val="00D36ADA"/>
    <w:rsid w:val="00D40D66"/>
    <w:rsid w:val="00D41DBE"/>
    <w:rsid w:val="00D41FEE"/>
    <w:rsid w:val="00D42ABA"/>
    <w:rsid w:val="00D44F2D"/>
    <w:rsid w:val="00D45E62"/>
    <w:rsid w:val="00D46F2F"/>
    <w:rsid w:val="00D51B01"/>
    <w:rsid w:val="00D53631"/>
    <w:rsid w:val="00D55B6D"/>
    <w:rsid w:val="00D56091"/>
    <w:rsid w:val="00D56136"/>
    <w:rsid w:val="00D56BE2"/>
    <w:rsid w:val="00D57CA8"/>
    <w:rsid w:val="00D601F2"/>
    <w:rsid w:val="00D60857"/>
    <w:rsid w:val="00D60F97"/>
    <w:rsid w:val="00D61B3F"/>
    <w:rsid w:val="00D62624"/>
    <w:rsid w:val="00D62763"/>
    <w:rsid w:val="00D62BCC"/>
    <w:rsid w:val="00D64A29"/>
    <w:rsid w:val="00D65114"/>
    <w:rsid w:val="00D66966"/>
    <w:rsid w:val="00D66B3B"/>
    <w:rsid w:val="00D678CB"/>
    <w:rsid w:val="00D701A2"/>
    <w:rsid w:val="00D70493"/>
    <w:rsid w:val="00D71339"/>
    <w:rsid w:val="00D71388"/>
    <w:rsid w:val="00D72F48"/>
    <w:rsid w:val="00D73988"/>
    <w:rsid w:val="00D74D66"/>
    <w:rsid w:val="00D7593C"/>
    <w:rsid w:val="00D7653D"/>
    <w:rsid w:val="00D772B4"/>
    <w:rsid w:val="00D77926"/>
    <w:rsid w:val="00D77C51"/>
    <w:rsid w:val="00D810C5"/>
    <w:rsid w:val="00D822BF"/>
    <w:rsid w:val="00D824B9"/>
    <w:rsid w:val="00D82EA8"/>
    <w:rsid w:val="00D82F2C"/>
    <w:rsid w:val="00D835D2"/>
    <w:rsid w:val="00D85312"/>
    <w:rsid w:val="00D873DC"/>
    <w:rsid w:val="00D874B3"/>
    <w:rsid w:val="00D906B7"/>
    <w:rsid w:val="00D90B6C"/>
    <w:rsid w:val="00D91781"/>
    <w:rsid w:val="00D91ABE"/>
    <w:rsid w:val="00D9206E"/>
    <w:rsid w:val="00D92A56"/>
    <w:rsid w:val="00D93676"/>
    <w:rsid w:val="00D94C7C"/>
    <w:rsid w:val="00D9516D"/>
    <w:rsid w:val="00D962C7"/>
    <w:rsid w:val="00D97859"/>
    <w:rsid w:val="00D97A4A"/>
    <w:rsid w:val="00D97ADE"/>
    <w:rsid w:val="00D97D79"/>
    <w:rsid w:val="00D97E6D"/>
    <w:rsid w:val="00DA063E"/>
    <w:rsid w:val="00DA07E4"/>
    <w:rsid w:val="00DA0C58"/>
    <w:rsid w:val="00DA0C97"/>
    <w:rsid w:val="00DA2502"/>
    <w:rsid w:val="00DA41FF"/>
    <w:rsid w:val="00DA7F7B"/>
    <w:rsid w:val="00DB17C7"/>
    <w:rsid w:val="00DB1B79"/>
    <w:rsid w:val="00DB2BCE"/>
    <w:rsid w:val="00DB38DC"/>
    <w:rsid w:val="00DB3B8C"/>
    <w:rsid w:val="00DB404B"/>
    <w:rsid w:val="00DB43CC"/>
    <w:rsid w:val="00DB52BF"/>
    <w:rsid w:val="00DB5997"/>
    <w:rsid w:val="00DB59C4"/>
    <w:rsid w:val="00DB6432"/>
    <w:rsid w:val="00DC003F"/>
    <w:rsid w:val="00DC02E9"/>
    <w:rsid w:val="00DC0437"/>
    <w:rsid w:val="00DC1486"/>
    <w:rsid w:val="00DC2CBA"/>
    <w:rsid w:val="00DC348C"/>
    <w:rsid w:val="00DC416B"/>
    <w:rsid w:val="00DC53C4"/>
    <w:rsid w:val="00DC60D4"/>
    <w:rsid w:val="00DC6A6A"/>
    <w:rsid w:val="00DC7857"/>
    <w:rsid w:val="00DC798B"/>
    <w:rsid w:val="00DD02B8"/>
    <w:rsid w:val="00DD0B94"/>
    <w:rsid w:val="00DD0C8C"/>
    <w:rsid w:val="00DD0F56"/>
    <w:rsid w:val="00DD3088"/>
    <w:rsid w:val="00DD52A7"/>
    <w:rsid w:val="00DD554B"/>
    <w:rsid w:val="00DD5641"/>
    <w:rsid w:val="00DD5826"/>
    <w:rsid w:val="00DD59BE"/>
    <w:rsid w:val="00DD5D11"/>
    <w:rsid w:val="00DD6833"/>
    <w:rsid w:val="00DD7F67"/>
    <w:rsid w:val="00DE01F1"/>
    <w:rsid w:val="00DE17CC"/>
    <w:rsid w:val="00DE323A"/>
    <w:rsid w:val="00DE4F35"/>
    <w:rsid w:val="00DE6027"/>
    <w:rsid w:val="00DE6D59"/>
    <w:rsid w:val="00DE722F"/>
    <w:rsid w:val="00DE7A2F"/>
    <w:rsid w:val="00DE7D93"/>
    <w:rsid w:val="00DF0134"/>
    <w:rsid w:val="00DF182B"/>
    <w:rsid w:val="00DF18E6"/>
    <w:rsid w:val="00DF2935"/>
    <w:rsid w:val="00DF391C"/>
    <w:rsid w:val="00DF3A34"/>
    <w:rsid w:val="00DF4F78"/>
    <w:rsid w:val="00DF529C"/>
    <w:rsid w:val="00DF5F81"/>
    <w:rsid w:val="00DF6728"/>
    <w:rsid w:val="00DF6A06"/>
    <w:rsid w:val="00DF7A6E"/>
    <w:rsid w:val="00DF7B22"/>
    <w:rsid w:val="00E00187"/>
    <w:rsid w:val="00E005E6"/>
    <w:rsid w:val="00E007C2"/>
    <w:rsid w:val="00E00DC1"/>
    <w:rsid w:val="00E02BDF"/>
    <w:rsid w:val="00E02E4C"/>
    <w:rsid w:val="00E03FF0"/>
    <w:rsid w:val="00E04626"/>
    <w:rsid w:val="00E04C90"/>
    <w:rsid w:val="00E04DA5"/>
    <w:rsid w:val="00E04E1C"/>
    <w:rsid w:val="00E05657"/>
    <w:rsid w:val="00E05992"/>
    <w:rsid w:val="00E059FF"/>
    <w:rsid w:val="00E0639B"/>
    <w:rsid w:val="00E10A11"/>
    <w:rsid w:val="00E118C5"/>
    <w:rsid w:val="00E11AD6"/>
    <w:rsid w:val="00E12531"/>
    <w:rsid w:val="00E129EF"/>
    <w:rsid w:val="00E13327"/>
    <w:rsid w:val="00E133F7"/>
    <w:rsid w:val="00E16F74"/>
    <w:rsid w:val="00E21374"/>
    <w:rsid w:val="00E214F6"/>
    <w:rsid w:val="00E22407"/>
    <w:rsid w:val="00E226A1"/>
    <w:rsid w:val="00E22C0F"/>
    <w:rsid w:val="00E24296"/>
    <w:rsid w:val="00E2463A"/>
    <w:rsid w:val="00E25D9E"/>
    <w:rsid w:val="00E2605D"/>
    <w:rsid w:val="00E26DFA"/>
    <w:rsid w:val="00E27F15"/>
    <w:rsid w:val="00E312DF"/>
    <w:rsid w:val="00E31895"/>
    <w:rsid w:val="00E3236E"/>
    <w:rsid w:val="00E33C3A"/>
    <w:rsid w:val="00E36C24"/>
    <w:rsid w:val="00E376A2"/>
    <w:rsid w:val="00E4195F"/>
    <w:rsid w:val="00E421B8"/>
    <w:rsid w:val="00E422F6"/>
    <w:rsid w:val="00E425D5"/>
    <w:rsid w:val="00E43401"/>
    <w:rsid w:val="00E4448D"/>
    <w:rsid w:val="00E44582"/>
    <w:rsid w:val="00E44EE3"/>
    <w:rsid w:val="00E45737"/>
    <w:rsid w:val="00E45B42"/>
    <w:rsid w:val="00E45F16"/>
    <w:rsid w:val="00E47571"/>
    <w:rsid w:val="00E51DF6"/>
    <w:rsid w:val="00E52B4C"/>
    <w:rsid w:val="00E52DCD"/>
    <w:rsid w:val="00E538E2"/>
    <w:rsid w:val="00E53AC7"/>
    <w:rsid w:val="00E53FCE"/>
    <w:rsid w:val="00E55039"/>
    <w:rsid w:val="00E55906"/>
    <w:rsid w:val="00E569DB"/>
    <w:rsid w:val="00E57CA4"/>
    <w:rsid w:val="00E601E2"/>
    <w:rsid w:val="00E60453"/>
    <w:rsid w:val="00E60626"/>
    <w:rsid w:val="00E611AA"/>
    <w:rsid w:val="00E61BC4"/>
    <w:rsid w:val="00E62A43"/>
    <w:rsid w:val="00E62F6D"/>
    <w:rsid w:val="00E630BE"/>
    <w:rsid w:val="00E659AA"/>
    <w:rsid w:val="00E66B9C"/>
    <w:rsid w:val="00E67C5A"/>
    <w:rsid w:val="00E67F24"/>
    <w:rsid w:val="00E708FF"/>
    <w:rsid w:val="00E71D90"/>
    <w:rsid w:val="00E72ACE"/>
    <w:rsid w:val="00E72B42"/>
    <w:rsid w:val="00E756C2"/>
    <w:rsid w:val="00E7651F"/>
    <w:rsid w:val="00E7706C"/>
    <w:rsid w:val="00E77771"/>
    <w:rsid w:val="00E77B98"/>
    <w:rsid w:val="00E81EA9"/>
    <w:rsid w:val="00E82D34"/>
    <w:rsid w:val="00E83E90"/>
    <w:rsid w:val="00E85262"/>
    <w:rsid w:val="00E8532E"/>
    <w:rsid w:val="00E85711"/>
    <w:rsid w:val="00E85B8E"/>
    <w:rsid w:val="00E8610D"/>
    <w:rsid w:val="00E864C6"/>
    <w:rsid w:val="00E86602"/>
    <w:rsid w:val="00E869F9"/>
    <w:rsid w:val="00E8702E"/>
    <w:rsid w:val="00E87B86"/>
    <w:rsid w:val="00E901AD"/>
    <w:rsid w:val="00E902BD"/>
    <w:rsid w:val="00E919CD"/>
    <w:rsid w:val="00E9299A"/>
    <w:rsid w:val="00E93FFD"/>
    <w:rsid w:val="00E945BF"/>
    <w:rsid w:val="00E946BD"/>
    <w:rsid w:val="00E95DB4"/>
    <w:rsid w:val="00E961F1"/>
    <w:rsid w:val="00EA069D"/>
    <w:rsid w:val="00EA0B41"/>
    <w:rsid w:val="00EA0D30"/>
    <w:rsid w:val="00EA27D4"/>
    <w:rsid w:val="00EA2ADF"/>
    <w:rsid w:val="00EA2EFA"/>
    <w:rsid w:val="00EA3541"/>
    <w:rsid w:val="00EA4843"/>
    <w:rsid w:val="00EA61CD"/>
    <w:rsid w:val="00EA6B59"/>
    <w:rsid w:val="00EA6E6B"/>
    <w:rsid w:val="00EA6FF3"/>
    <w:rsid w:val="00EB01AE"/>
    <w:rsid w:val="00EB0581"/>
    <w:rsid w:val="00EB14AA"/>
    <w:rsid w:val="00EB1E5F"/>
    <w:rsid w:val="00EB2CB9"/>
    <w:rsid w:val="00EB2D51"/>
    <w:rsid w:val="00EB36AF"/>
    <w:rsid w:val="00EB409A"/>
    <w:rsid w:val="00EB413E"/>
    <w:rsid w:val="00EB439A"/>
    <w:rsid w:val="00EB5047"/>
    <w:rsid w:val="00EB5217"/>
    <w:rsid w:val="00EB6CE7"/>
    <w:rsid w:val="00EB6D90"/>
    <w:rsid w:val="00EB7133"/>
    <w:rsid w:val="00EB79D4"/>
    <w:rsid w:val="00EC0937"/>
    <w:rsid w:val="00EC2124"/>
    <w:rsid w:val="00EC2EF8"/>
    <w:rsid w:val="00EC4B23"/>
    <w:rsid w:val="00EC631C"/>
    <w:rsid w:val="00EC695A"/>
    <w:rsid w:val="00EC7701"/>
    <w:rsid w:val="00EC7F7E"/>
    <w:rsid w:val="00ED05FB"/>
    <w:rsid w:val="00ED0A26"/>
    <w:rsid w:val="00ED0EEB"/>
    <w:rsid w:val="00ED19D6"/>
    <w:rsid w:val="00ED28EE"/>
    <w:rsid w:val="00ED2DC9"/>
    <w:rsid w:val="00ED570D"/>
    <w:rsid w:val="00ED57AA"/>
    <w:rsid w:val="00ED64E9"/>
    <w:rsid w:val="00ED74D3"/>
    <w:rsid w:val="00ED7B73"/>
    <w:rsid w:val="00ED7E05"/>
    <w:rsid w:val="00EE2454"/>
    <w:rsid w:val="00EE2B52"/>
    <w:rsid w:val="00EE2D31"/>
    <w:rsid w:val="00EE2D94"/>
    <w:rsid w:val="00EE3590"/>
    <w:rsid w:val="00EE3E57"/>
    <w:rsid w:val="00EE4755"/>
    <w:rsid w:val="00EE5AEE"/>
    <w:rsid w:val="00EE6949"/>
    <w:rsid w:val="00EE6951"/>
    <w:rsid w:val="00EE7378"/>
    <w:rsid w:val="00EF0709"/>
    <w:rsid w:val="00EF111B"/>
    <w:rsid w:val="00EF31ED"/>
    <w:rsid w:val="00EF36A8"/>
    <w:rsid w:val="00EF3C72"/>
    <w:rsid w:val="00EF3CC6"/>
    <w:rsid w:val="00EF54B7"/>
    <w:rsid w:val="00EF5C52"/>
    <w:rsid w:val="00EF6580"/>
    <w:rsid w:val="00EF6947"/>
    <w:rsid w:val="00EF703B"/>
    <w:rsid w:val="00F00A6E"/>
    <w:rsid w:val="00F013B5"/>
    <w:rsid w:val="00F01BCF"/>
    <w:rsid w:val="00F04191"/>
    <w:rsid w:val="00F0419A"/>
    <w:rsid w:val="00F04745"/>
    <w:rsid w:val="00F06A84"/>
    <w:rsid w:val="00F06B44"/>
    <w:rsid w:val="00F06B86"/>
    <w:rsid w:val="00F06D26"/>
    <w:rsid w:val="00F06DA7"/>
    <w:rsid w:val="00F075E1"/>
    <w:rsid w:val="00F117F5"/>
    <w:rsid w:val="00F12108"/>
    <w:rsid w:val="00F138BA"/>
    <w:rsid w:val="00F14649"/>
    <w:rsid w:val="00F14890"/>
    <w:rsid w:val="00F14A46"/>
    <w:rsid w:val="00F14B14"/>
    <w:rsid w:val="00F16211"/>
    <w:rsid w:val="00F165F8"/>
    <w:rsid w:val="00F16A60"/>
    <w:rsid w:val="00F16D30"/>
    <w:rsid w:val="00F1753D"/>
    <w:rsid w:val="00F17A81"/>
    <w:rsid w:val="00F20351"/>
    <w:rsid w:val="00F20BDE"/>
    <w:rsid w:val="00F2170D"/>
    <w:rsid w:val="00F22306"/>
    <w:rsid w:val="00F225A1"/>
    <w:rsid w:val="00F233E4"/>
    <w:rsid w:val="00F23D3A"/>
    <w:rsid w:val="00F24A6A"/>
    <w:rsid w:val="00F24E44"/>
    <w:rsid w:val="00F25F94"/>
    <w:rsid w:val="00F270BC"/>
    <w:rsid w:val="00F27112"/>
    <w:rsid w:val="00F27E08"/>
    <w:rsid w:val="00F32331"/>
    <w:rsid w:val="00F351FA"/>
    <w:rsid w:val="00F35821"/>
    <w:rsid w:val="00F35FD1"/>
    <w:rsid w:val="00F36D6B"/>
    <w:rsid w:val="00F37619"/>
    <w:rsid w:val="00F378BE"/>
    <w:rsid w:val="00F37BE1"/>
    <w:rsid w:val="00F4002D"/>
    <w:rsid w:val="00F40407"/>
    <w:rsid w:val="00F40F3A"/>
    <w:rsid w:val="00F41023"/>
    <w:rsid w:val="00F4133D"/>
    <w:rsid w:val="00F437AA"/>
    <w:rsid w:val="00F43871"/>
    <w:rsid w:val="00F43A23"/>
    <w:rsid w:val="00F44879"/>
    <w:rsid w:val="00F45A85"/>
    <w:rsid w:val="00F45DA3"/>
    <w:rsid w:val="00F46298"/>
    <w:rsid w:val="00F463BC"/>
    <w:rsid w:val="00F471A1"/>
    <w:rsid w:val="00F5239A"/>
    <w:rsid w:val="00F5370E"/>
    <w:rsid w:val="00F537E5"/>
    <w:rsid w:val="00F53CB4"/>
    <w:rsid w:val="00F544A6"/>
    <w:rsid w:val="00F548D0"/>
    <w:rsid w:val="00F55A7D"/>
    <w:rsid w:val="00F567FA"/>
    <w:rsid w:val="00F57809"/>
    <w:rsid w:val="00F57935"/>
    <w:rsid w:val="00F60E09"/>
    <w:rsid w:val="00F611FD"/>
    <w:rsid w:val="00F630B2"/>
    <w:rsid w:val="00F644EA"/>
    <w:rsid w:val="00F6481C"/>
    <w:rsid w:val="00F65C6A"/>
    <w:rsid w:val="00F66170"/>
    <w:rsid w:val="00F66A57"/>
    <w:rsid w:val="00F6739B"/>
    <w:rsid w:val="00F679F6"/>
    <w:rsid w:val="00F67F0F"/>
    <w:rsid w:val="00F7025B"/>
    <w:rsid w:val="00F714E7"/>
    <w:rsid w:val="00F71584"/>
    <w:rsid w:val="00F7170A"/>
    <w:rsid w:val="00F71766"/>
    <w:rsid w:val="00F718CF"/>
    <w:rsid w:val="00F71B9B"/>
    <w:rsid w:val="00F72AD0"/>
    <w:rsid w:val="00F72D57"/>
    <w:rsid w:val="00F7367E"/>
    <w:rsid w:val="00F7445E"/>
    <w:rsid w:val="00F74E7D"/>
    <w:rsid w:val="00F751D2"/>
    <w:rsid w:val="00F75878"/>
    <w:rsid w:val="00F75DD6"/>
    <w:rsid w:val="00F772AC"/>
    <w:rsid w:val="00F7778F"/>
    <w:rsid w:val="00F7796A"/>
    <w:rsid w:val="00F80F05"/>
    <w:rsid w:val="00F81818"/>
    <w:rsid w:val="00F81CA9"/>
    <w:rsid w:val="00F821EF"/>
    <w:rsid w:val="00F84525"/>
    <w:rsid w:val="00F84AD7"/>
    <w:rsid w:val="00F85982"/>
    <w:rsid w:val="00F864C9"/>
    <w:rsid w:val="00F900AD"/>
    <w:rsid w:val="00F902D8"/>
    <w:rsid w:val="00F905CC"/>
    <w:rsid w:val="00F92373"/>
    <w:rsid w:val="00F923E7"/>
    <w:rsid w:val="00F936CA"/>
    <w:rsid w:val="00F93869"/>
    <w:rsid w:val="00F94E8E"/>
    <w:rsid w:val="00F959F7"/>
    <w:rsid w:val="00F96976"/>
    <w:rsid w:val="00FA170C"/>
    <w:rsid w:val="00FA2B7F"/>
    <w:rsid w:val="00FA39A8"/>
    <w:rsid w:val="00FA3A60"/>
    <w:rsid w:val="00FA3B72"/>
    <w:rsid w:val="00FA42F1"/>
    <w:rsid w:val="00FA4ED2"/>
    <w:rsid w:val="00FA5C4A"/>
    <w:rsid w:val="00FB02F9"/>
    <w:rsid w:val="00FB180A"/>
    <w:rsid w:val="00FB2764"/>
    <w:rsid w:val="00FB289C"/>
    <w:rsid w:val="00FB2BFE"/>
    <w:rsid w:val="00FB2EE4"/>
    <w:rsid w:val="00FB4668"/>
    <w:rsid w:val="00FB4B12"/>
    <w:rsid w:val="00FB6193"/>
    <w:rsid w:val="00FB6491"/>
    <w:rsid w:val="00FB6856"/>
    <w:rsid w:val="00FB6B3E"/>
    <w:rsid w:val="00FB721B"/>
    <w:rsid w:val="00FB7C68"/>
    <w:rsid w:val="00FC09F2"/>
    <w:rsid w:val="00FC0F84"/>
    <w:rsid w:val="00FC47DA"/>
    <w:rsid w:val="00FC4A0C"/>
    <w:rsid w:val="00FC4C31"/>
    <w:rsid w:val="00FC657D"/>
    <w:rsid w:val="00FC69E7"/>
    <w:rsid w:val="00FC6A93"/>
    <w:rsid w:val="00FC719B"/>
    <w:rsid w:val="00FC7BA6"/>
    <w:rsid w:val="00FD0D88"/>
    <w:rsid w:val="00FD3267"/>
    <w:rsid w:val="00FD326A"/>
    <w:rsid w:val="00FD33D9"/>
    <w:rsid w:val="00FD3DB4"/>
    <w:rsid w:val="00FD437F"/>
    <w:rsid w:val="00FD58A3"/>
    <w:rsid w:val="00FD5D41"/>
    <w:rsid w:val="00FD5D44"/>
    <w:rsid w:val="00FD7D6C"/>
    <w:rsid w:val="00FE05FC"/>
    <w:rsid w:val="00FE0A1F"/>
    <w:rsid w:val="00FE0D40"/>
    <w:rsid w:val="00FE1D1F"/>
    <w:rsid w:val="00FE1DFF"/>
    <w:rsid w:val="00FE1E2D"/>
    <w:rsid w:val="00FE5648"/>
    <w:rsid w:val="00FE5B9E"/>
    <w:rsid w:val="00FE77BD"/>
    <w:rsid w:val="00FF00C9"/>
    <w:rsid w:val="00FF01BA"/>
    <w:rsid w:val="00FF0575"/>
    <w:rsid w:val="00FF0A13"/>
    <w:rsid w:val="00FF1292"/>
    <w:rsid w:val="00FF3277"/>
    <w:rsid w:val="00FF3AC6"/>
    <w:rsid w:val="00FF53D0"/>
    <w:rsid w:val="00FF74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4959D15F"/>
  <w15:chartTrackingRefBased/>
  <w15:docId w15:val="{8F8AEDB0-3D43-4FCA-81CC-9F4CD815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3"/>
        <w:szCs w:val="23"/>
        <w:lang w:val="es-ES" w:eastAsia="en-US" w:bidi="ar-SA"/>
      </w:rPr>
    </w:rPrDefault>
    <w:pPrDefault>
      <w:pPr>
        <w:spacing w:after="345" w:line="300"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1" w:unhideWhenUsed="1" w:qFormat="1"/>
    <w:lsdException w:name="heading 3" w:locked="0" w:semiHidden="1" w:uiPriority="1" w:unhideWhenUsed="1" w:qFormat="1"/>
    <w:lsdException w:name="heading 4" w:locked="0" w:semiHidden="1" w:uiPriority="1" w:unhideWhenUsed="1"/>
    <w:lsdException w:name="heading 5" w:locked="0" w:semiHidden="1" w:uiPriority="1" w:unhideWhenUsed="1"/>
    <w:lsdException w:name="heading 6" w:locked="0" w:semiHidden="1" w:uiPriority="1" w:unhideWhenUsed="1"/>
    <w:lsdException w:name="heading 7" w:locked="0" w:semiHidden="1" w:uiPriority="1" w:unhideWhenUsed="1"/>
    <w:lsdException w:name="heading 8" w:locked="0" w:semiHidden="1" w:uiPriority="1" w:unhideWhenUsed="1"/>
    <w:lsdException w:name="heading 9" w:locked="0"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iPriority="57"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4"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iPriority="0" w:unhideWhenUsed="1"/>
    <w:lsdException w:name="line number" w:semiHidden="1" w:unhideWhenUsed="1"/>
    <w:lsdException w:name="page number" w:semiHidden="1" w:unhideWhenUsed="1"/>
    <w:lsdException w:name="endnote reference" w:locked="0" w:semiHidden="1" w:uiPriority="0"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iPriority="10" w:unhideWhenUsed="1" w:qFormat="1"/>
    <w:lsdException w:name="List Number" w:locked="0"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iPriority="11" w:unhideWhenUsed="1" w:qFormat="1"/>
    <w:lsdException w:name="List Bullet 3" w:locked="0" w:semiHidden="1" w:uiPriority="11" w:unhideWhenUsed="1"/>
    <w:lsdException w:name="List Bullet 4" w:locked="0" w:semiHidden="1" w:uiPriority="11" w:unhideWhenUsed="1"/>
    <w:lsdException w:name="List Bullet 5" w:locked="0" w:semiHidden="1" w:uiPriority="11" w:unhideWhenUsed="1"/>
    <w:lsdException w:name="List Number 2" w:locked="0" w:semiHidden="1" w:uiPriority="13" w:unhideWhenUsed="1" w:qFormat="1"/>
    <w:lsdException w:name="List Number 3" w:locked="0" w:semiHidden="1" w:uiPriority="13" w:unhideWhenUsed="1"/>
    <w:lsdException w:name="List Number 4" w:locked="0" w:semiHidden="1" w:uiPriority="13" w:unhideWhenUsed="1"/>
    <w:lsdException w:name="List Number 5" w:locked="0" w:semiHidden="1" w:unhideWhenUsed="1"/>
    <w:lsdException w:name="Title" w:locked="0" w:uiPriority="29"/>
    <w:lsdException w:name="Closing" w:locked="0" w:semiHidden="1" w:uiPriority="46"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locked="0" w:semiHidden="1" w:uiPriority="14" w:unhideWhenUsed="1" w:qFormat="1"/>
    <w:lsdException w:name="List Continue 2" w:locked="0" w:semiHidden="1" w:uiPriority="15" w:unhideWhenUsed="1" w:qFormat="1"/>
    <w:lsdException w:name="List Continue 3" w:locked="0" w:semiHidden="1" w:uiPriority="15" w:unhideWhenUsed="1"/>
    <w:lsdException w:name="List Continue 4" w:semiHidden="1" w:uiPriority="15"/>
    <w:lsdException w:name="List Continue 5" w:semiHidden="1" w:uiPriority="15"/>
    <w:lsdException w:name="Message Header" w:semiHidden="1" w:unhideWhenUsed="1"/>
    <w:lsdException w:name="Subtitle" w:locked="0" w:uiPriority="29"/>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qFormat="1"/>
    <w:lsdException w:name="FollowedHyperlink" w:semiHidden="1" w:unhideWhenUsed="1"/>
    <w:lsdException w:name="Strong" w:locked="0" w:uiPriority="1" w:qFormat="1"/>
    <w:lsdException w:name="Emphasis" w:locked="0" w:uiPriority="59"/>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0" w:qFormat="1"/>
    <w:lsdException w:name="Light Shading" w:locked="0" w:uiPriority="60"/>
    <w:lsdException w:name="Light List" w:locked="0"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0"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locked="0"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locked="0"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locked="0"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59"/>
    <w:lsdException w:name="Intense Emphasis" w:locked="0" w:uiPriority="59"/>
    <w:lsdException w:name="Subtle Reference" w:locked="0" w:uiPriority="31"/>
    <w:lsdException w:name="Intense Reference" w:locked="0" w:uiPriority="32"/>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643B44"/>
    <w:pPr>
      <w:spacing w:after="0" w:line="240" w:lineRule="auto"/>
    </w:pPr>
    <w:rPr>
      <w:rFonts w:ascii="Corbel" w:eastAsiaTheme="minorEastAsia" w:hAnsi="Corbel" w:cs="Times New Roman"/>
      <w:snapToGrid w:val="0"/>
      <w:color w:val="000000"/>
      <w:szCs w:val="20"/>
      <w:lang w:eastAsia="de-DE"/>
    </w:rPr>
  </w:style>
  <w:style w:type="paragraph" w:styleId="Heading1">
    <w:name w:val="heading 1"/>
    <w:aliases w:val="Ü1"/>
    <w:basedOn w:val="Normal"/>
    <w:next w:val="Normal"/>
    <w:link w:val="Heading1Char"/>
    <w:uiPriority w:val="1"/>
    <w:locked/>
    <w:rsid w:val="007D54AB"/>
    <w:pPr>
      <w:keepNext/>
      <w:spacing w:after="690" w:line="690" w:lineRule="exact"/>
      <w:outlineLvl w:val="0"/>
    </w:pPr>
    <w:rPr>
      <w:rFonts w:asciiTheme="majorHAnsi" w:hAnsiTheme="majorHAnsi"/>
      <w:bCs/>
      <w:color w:val="E6320F" w:themeColor="text2"/>
      <w:sz w:val="56"/>
      <w:szCs w:val="22"/>
    </w:rPr>
  </w:style>
  <w:style w:type="paragraph" w:styleId="Heading2">
    <w:name w:val="heading 2"/>
    <w:aliases w:val="Ü2"/>
    <w:basedOn w:val="Heading1"/>
    <w:next w:val="Normal"/>
    <w:link w:val="Heading2Char"/>
    <w:uiPriority w:val="1"/>
    <w:qFormat/>
    <w:locked/>
    <w:rsid w:val="00873CCE"/>
    <w:pPr>
      <w:spacing w:before="690" w:after="345" w:line="300" w:lineRule="auto"/>
      <w:outlineLvl w:val="1"/>
    </w:pPr>
    <w:rPr>
      <w:b/>
      <w:color w:val="auto"/>
      <w:sz w:val="30"/>
    </w:rPr>
  </w:style>
  <w:style w:type="paragraph" w:styleId="Heading3">
    <w:name w:val="heading 3"/>
    <w:aliases w:val="Ü3"/>
    <w:basedOn w:val="Heading2"/>
    <w:next w:val="Normal"/>
    <w:link w:val="Heading3Char"/>
    <w:uiPriority w:val="1"/>
    <w:qFormat/>
    <w:locked/>
    <w:rsid w:val="00873CCE"/>
    <w:pPr>
      <w:spacing w:after="0"/>
      <w:outlineLvl w:val="2"/>
    </w:pPr>
    <w:rPr>
      <w:sz w:val="25"/>
    </w:rPr>
  </w:style>
  <w:style w:type="paragraph" w:styleId="Heading4">
    <w:name w:val="heading 4"/>
    <w:aliases w:val="Ü4"/>
    <w:basedOn w:val="Heading3"/>
    <w:next w:val="Normal"/>
    <w:link w:val="Heading4Char"/>
    <w:uiPriority w:val="1"/>
    <w:locked/>
    <w:rsid w:val="00873CCE"/>
    <w:pPr>
      <w:outlineLvl w:val="3"/>
    </w:pPr>
    <w:rPr>
      <w:sz w:val="23"/>
    </w:rPr>
  </w:style>
  <w:style w:type="paragraph" w:styleId="Heading5">
    <w:name w:val="heading 5"/>
    <w:aliases w:val="Ü5"/>
    <w:basedOn w:val="Heading4"/>
    <w:next w:val="Normal"/>
    <w:link w:val="Heading5Char"/>
    <w:uiPriority w:val="1"/>
    <w:locked/>
    <w:rsid w:val="00873CCE"/>
    <w:pPr>
      <w:outlineLvl w:val="4"/>
    </w:pPr>
    <w:rPr>
      <w:color w:val="4D4D4D"/>
    </w:rPr>
  </w:style>
  <w:style w:type="paragraph" w:styleId="Heading6">
    <w:name w:val="heading 6"/>
    <w:basedOn w:val="Normal"/>
    <w:next w:val="Normal"/>
    <w:link w:val="Heading6Char"/>
    <w:uiPriority w:val="1"/>
    <w:semiHidden/>
    <w:locked/>
    <w:rsid w:val="00873CCE"/>
    <w:pPr>
      <w:spacing w:before="300"/>
      <w:outlineLvl w:val="5"/>
    </w:pPr>
    <w:rPr>
      <w:rFonts w:asciiTheme="majorHAnsi" w:hAnsiTheme="majorHAnsi"/>
      <w:szCs w:val="22"/>
    </w:rPr>
  </w:style>
  <w:style w:type="paragraph" w:styleId="Heading7">
    <w:name w:val="heading 7"/>
    <w:basedOn w:val="Normal"/>
    <w:next w:val="Normal"/>
    <w:link w:val="Heading7Char"/>
    <w:uiPriority w:val="1"/>
    <w:semiHidden/>
    <w:locked/>
    <w:rsid w:val="00873CCE"/>
    <w:pPr>
      <w:spacing w:before="300"/>
      <w:outlineLvl w:val="6"/>
    </w:pPr>
    <w:rPr>
      <w:rFonts w:asciiTheme="majorHAnsi" w:hAnsiTheme="majorHAnsi"/>
      <w:sz w:val="20"/>
      <w:szCs w:val="22"/>
    </w:rPr>
  </w:style>
  <w:style w:type="paragraph" w:styleId="Heading8">
    <w:name w:val="heading 8"/>
    <w:basedOn w:val="Normal"/>
    <w:next w:val="Normal"/>
    <w:link w:val="Heading8Char"/>
    <w:uiPriority w:val="1"/>
    <w:semiHidden/>
    <w:locked/>
    <w:rsid w:val="00873CCE"/>
    <w:pPr>
      <w:spacing w:before="300"/>
      <w:outlineLvl w:val="7"/>
    </w:pPr>
    <w:rPr>
      <w:sz w:val="18"/>
      <w:szCs w:val="18"/>
    </w:rPr>
  </w:style>
  <w:style w:type="paragraph" w:styleId="Heading9">
    <w:name w:val="heading 9"/>
    <w:basedOn w:val="Normal"/>
    <w:next w:val="Normal"/>
    <w:link w:val="Heading9Char"/>
    <w:uiPriority w:val="1"/>
    <w:semiHidden/>
    <w:locked/>
    <w:rsid w:val="00873CCE"/>
    <w:pPr>
      <w:spacing w:before="300"/>
      <w:outlineLvl w:val="8"/>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endedaten">
    <w:name w:val="Absendedaten"/>
    <w:basedOn w:val="NoSpacing"/>
    <w:uiPriority w:val="49"/>
    <w:semiHidden/>
    <w:qFormat/>
    <w:locked/>
    <w:rsid w:val="00873CCE"/>
    <w:pPr>
      <w:spacing w:line="220" w:lineRule="exact"/>
    </w:pPr>
    <w:rPr>
      <w:sz w:val="17"/>
      <w:szCs w:val="16"/>
    </w:rPr>
  </w:style>
  <w:style w:type="paragraph" w:styleId="TOC1">
    <w:name w:val="toc 1"/>
    <w:basedOn w:val="Normal"/>
    <w:next w:val="Normal"/>
    <w:autoRedefine/>
    <w:uiPriority w:val="39"/>
    <w:semiHidden/>
    <w:locked/>
    <w:rsid w:val="00873CCE"/>
    <w:pPr>
      <w:tabs>
        <w:tab w:val="left" w:pos="227"/>
        <w:tab w:val="right" w:leader="dot" w:pos="8845"/>
      </w:tabs>
      <w:spacing w:before="156"/>
      <w:ind w:right="335"/>
    </w:pPr>
    <w:rPr>
      <w:b/>
      <w:noProof/>
      <w:color w:val="E6320F" w:themeColor="text2"/>
    </w:rPr>
  </w:style>
  <w:style w:type="paragraph" w:styleId="Footer">
    <w:name w:val="footer"/>
    <w:basedOn w:val="Normal"/>
    <w:link w:val="FooterChar"/>
    <w:uiPriority w:val="99"/>
    <w:unhideWhenUsed/>
    <w:locked/>
    <w:rsid w:val="00643B44"/>
    <w:pPr>
      <w:tabs>
        <w:tab w:val="center" w:pos="4536"/>
        <w:tab w:val="right" w:pos="9072"/>
      </w:tabs>
    </w:pPr>
  </w:style>
  <w:style w:type="character" w:customStyle="1" w:styleId="FooterChar">
    <w:name w:val="Footer Char"/>
    <w:basedOn w:val="DefaultParagraphFont"/>
    <w:link w:val="Footer"/>
    <w:uiPriority w:val="99"/>
    <w:rsid w:val="00643B44"/>
    <w:rPr>
      <w:rFonts w:ascii="Times New Roman" w:eastAsiaTheme="minorEastAsia" w:hAnsi="Times New Roman" w:cs="Times New Roman"/>
      <w:snapToGrid w:val="0"/>
      <w:color w:val="000000"/>
      <w:sz w:val="20"/>
      <w:szCs w:val="20"/>
      <w:lang w:val="es-ES" w:eastAsia="de-DE"/>
    </w:rPr>
  </w:style>
  <w:style w:type="paragraph" w:styleId="NoSpacing">
    <w:name w:val="No Spacing"/>
    <w:basedOn w:val="Normal"/>
    <w:link w:val="NoSpacingChar"/>
    <w:qFormat/>
    <w:locked/>
    <w:rsid w:val="00873CCE"/>
  </w:style>
  <w:style w:type="character" w:customStyle="1" w:styleId="Heading1Char">
    <w:name w:val="Heading 1 Char"/>
    <w:aliases w:val="Ü1 Char"/>
    <w:basedOn w:val="DefaultParagraphFont"/>
    <w:link w:val="Heading1"/>
    <w:uiPriority w:val="1"/>
    <w:rsid w:val="007D54AB"/>
    <w:rPr>
      <w:rFonts w:asciiTheme="majorHAnsi" w:hAnsiTheme="majorHAnsi"/>
      <w:bCs/>
      <w:color w:val="E6320F" w:themeColor="text2"/>
      <w:sz w:val="56"/>
      <w:szCs w:val="22"/>
      <w14:numForm w14:val="lining"/>
    </w:rPr>
  </w:style>
  <w:style w:type="character" w:customStyle="1" w:styleId="Heading2Char">
    <w:name w:val="Heading 2 Char"/>
    <w:aliases w:val="Ü2 Char"/>
    <w:basedOn w:val="DefaultParagraphFont"/>
    <w:link w:val="Heading2"/>
    <w:uiPriority w:val="1"/>
    <w:rsid w:val="007D54AB"/>
    <w:rPr>
      <w:rFonts w:asciiTheme="majorHAnsi" w:hAnsiTheme="majorHAnsi"/>
      <w:b/>
      <w:bCs/>
      <w:sz w:val="30"/>
      <w:szCs w:val="22"/>
      <w14:numForm w14:val="lining"/>
    </w:rPr>
  </w:style>
  <w:style w:type="character" w:customStyle="1" w:styleId="Heading3Char">
    <w:name w:val="Heading 3 Char"/>
    <w:aliases w:val="Ü3 Char"/>
    <w:basedOn w:val="DefaultParagraphFont"/>
    <w:link w:val="Heading3"/>
    <w:uiPriority w:val="1"/>
    <w:rsid w:val="007D54AB"/>
    <w:rPr>
      <w:rFonts w:asciiTheme="majorHAnsi" w:hAnsiTheme="majorHAnsi"/>
      <w:b/>
      <w:bCs/>
      <w:sz w:val="25"/>
      <w:szCs w:val="22"/>
      <w14:numForm w14:val="lining"/>
    </w:rPr>
  </w:style>
  <w:style w:type="character" w:customStyle="1" w:styleId="Heading4Char">
    <w:name w:val="Heading 4 Char"/>
    <w:aliases w:val="Ü4 Char"/>
    <w:basedOn w:val="DefaultParagraphFont"/>
    <w:link w:val="Heading4"/>
    <w:uiPriority w:val="1"/>
    <w:rsid w:val="007D54AB"/>
    <w:rPr>
      <w:rFonts w:asciiTheme="majorHAnsi" w:hAnsiTheme="majorHAnsi"/>
      <w:b/>
      <w:bCs/>
      <w:szCs w:val="22"/>
      <w14:numForm w14:val="lining"/>
    </w:rPr>
  </w:style>
  <w:style w:type="character" w:customStyle="1" w:styleId="Heading5Char">
    <w:name w:val="Heading 5 Char"/>
    <w:aliases w:val="Ü5 Char"/>
    <w:basedOn w:val="DefaultParagraphFont"/>
    <w:link w:val="Heading5"/>
    <w:uiPriority w:val="1"/>
    <w:rsid w:val="007D54AB"/>
    <w:rPr>
      <w:rFonts w:asciiTheme="majorHAnsi" w:hAnsiTheme="majorHAnsi"/>
      <w:b/>
      <w:bCs/>
      <w:color w:val="4D4D4D"/>
      <w:szCs w:val="22"/>
      <w14:numForm w14:val="lining"/>
    </w:rPr>
  </w:style>
  <w:style w:type="character" w:customStyle="1" w:styleId="Heading6Char">
    <w:name w:val="Heading 6 Char"/>
    <w:basedOn w:val="DefaultParagraphFont"/>
    <w:link w:val="Heading6"/>
    <w:uiPriority w:val="1"/>
    <w:semiHidden/>
    <w:rsid w:val="007D54AB"/>
    <w:rPr>
      <w:rFonts w:asciiTheme="majorHAnsi" w:hAnsiTheme="majorHAnsi"/>
      <w:szCs w:val="22"/>
      <w14:numForm w14:val="lining"/>
    </w:rPr>
  </w:style>
  <w:style w:type="character" w:customStyle="1" w:styleId="Heading7Char">
    <w:name w:val="Heading 7 Char"/>
    <w:basedOn w:val="DefaultParagraphFont"/>
    <w:link w:val="Heading7"/>
    <w:uiPriority w:val="1"/>
    <w:semiHidden/>
    <w:rsid w:val="007D54AB"/>
    <w:rPr>
      <w:rFonts w:asciiTheme="majorHAnsi" w:hAnsiTheme="majorHAnsi"/>
      <w:sz w:val="20"/>
      <w:szCs w:val="22"/>
      <w14:numForm w14:val="lining"/>
    </w:rPr>
  </w:style>
  <w:style w:type="character" w:customStyle="1" w:styleId="Heading8Char">
    <w:name w:val="Heading 8 Char"/>
    <w:basedOn w:val="DefaultParagraphFont"/>
    <w:link w:val="Heading8"/>
    <w:uiPriority w:val="1"/>
    <w:semiHidden/>
    <w:rsid w:val="007D54AB"/>
    <w:rPr>
      <w:sz w:val="18"/>
      <w:szCs w:val="18"/>
      <w14:numForm w14:val="lining"/>
    </w:rPr>
  </w:style>
  <w:style w:type="character" w:customStyle="1" w:styleId="Heading9Char">
    <w:name w:val="Heading 9 Char"/>
    <w:basedOn w:val="DefaultParagraphFont"/>
    <w:link w:val="Heading9"/>
    <w:uiPriority w:val="1"/>
    <w:semiHidden/>
    <w:rsid w:val="007D54AB"/>
    <w:rPr>
      <w:sz w:val="18"/>
      <w:szCs w:val="18"/>
      <w14:numForm w14:val="lining"/>
    </w:rPr>
  </w:style>
  <w:style w:type="paragraph" w:styleId="Caption">
    <w:name w:val="caption"/>
    <w:basedOn w:val="Normal"/>
    <w:next w:val="Normal"/>
    <w:uiPriority w:val="4"/>
    <w:qFormat/>
    <w:locked/>
    <w:rsid w:val="00873CCE"/>
    <w:pPr>
      <w:keepNext/>
      <w:spacing w:before="690"/>
    </w:pPr>
    <w:rPr>
      <w:bCs/>
      <w:color w:val="595959" w:themeColor="text1" w:themeTint="A6"/>
      <w:szCs w:val="16"/>
    </w:rPr>
  </w:style>
  <w:style w:type="paragraph" w:customStyle="1" w:styleId="ProgrammWannWas">
    <w:name w:val="Programm Wann Was"/>
    <w:aliases w:val="P-Wann-Was"/>
    <w:basedOn w:val="Normal"/>
    <w:uiPriority w:val="23"/>
    <w:qFormat/>
    <w:locked/>
    <w:rsid w:val="00873CCE"/>
    <w:pPr>
      <w:ind w:left="1888" w:hanging="1888"/>
    </w:pPr>
    <w:rPr>
      <w:rFonts w:eastAsia="Times New Roman"/>
      <w:szCs w:val="22"/>
      <w:lang w:eastAsia="de-AT"/>
    </w:rPr>
  </w:style>
  <w:style w:type="character" w:styleId="Strong">
    <w:name w:val="Strong"/>
    <w:uiPriority w:val="1"/>
    <w:qFormat/>
    <w:locked/>
    <w:rsid w:val="00873CCE"/>
    <w:rPr>
      <w:b/>
      <w:bCs/>
    </w:rPr>
  </w:style>
  <w:style w:type="paragraph" w:styleId="CommentText">
    <w:name w:val="annotation text"/>
    <w:basedOn w:val="Normal"/>
    <w:link w:val="CommentTextChar"/>
    <w:uiPriority w:val="99"/>
    <w:semiHidden/>
    <w:unhideWhenUsed/>
    <w:locked/>
    <w:rsid w:val="00873CCE"/>
    <w:rPr>
      <w:sz w:val="20"/>
    </w:rPr>
  </w:style>
  <w:style w:type="paragraph" w:styleId="ListParagraph">
    <w:name w:val="List Paragraph"/>
    <w:basedOn w:val="Normal"/>
    <w:uiPriority w:val="34"/>
    <w:unhideWhenUsed/>
    <w:qFormat/>
    <w:locked/>
    <w:rsid w:val="00873CCE"/>
    <w:pPr>
      <w:numPr>
        <w:numId w:val="10"/>
      </w:numPr>
      <w:contextualSpacing/>
    </w:pPr>
  </w:style>
  <w:style w:type="paragraph" w:styleId="Quote">
    <w:name w:val="Quote"/>
    <w:basedOn w:val="Normal"/>
    <w:next w:val="Normal"/>
    <w:link w:val="QuoteChar"/>
    <w:uiPriority w:val="20"/>
    <w:qFormat/>
    <w:locked/>
    <w:rsid w:val="00873CCE"/>
    <w:pPr>
      <w:ind w:left="397" w:right="794"/>
    </w:pPr>
    <w:rPr>
      <w:iCs/>
      <w:color w:val="E6320F" w:themeColor="text2"/>
      <w:sz w:val="25"/>
    </w:rPr>
  </w:style>
  <w:style w:type="character" w:customStyle="1" w:styleId="QuoteChar">
    <w:name w:val="Quote Char"/>
    <w:basedOn w:val="DefaultParagraphFont"/>
    <w:link w:val="Quote"/>
    <w:uiPriority w:val="20"/>
    <w:rsid w:val="00873CCE"/>
    <w:rPr>
      <w:iCs/>
      <w:color w:val="E6320F" w:themeColor="text2"/>
      <w:sz w:val="25"/>
      <w:szCs w:val="20"/>
      <w:lang w:val="es-ES"/>
    </w:rPr>
  </w:style>
  <w:style w:type="paragraph" w:styleId="IntenseQuote">
    <w:name w:val="Intense Quote"/>
    <w:basedOn w:val="Normal"/>
    <w:next w:val="Normal"/>
    <w:link w:val="IntenseQuoteChar"/>
    <w:uiPriority w:val="30"/>
    <w:semiHidden/>
    <w:locked/>
    <w:rsid w:val="00873CCE"/>
    <w:rPr>
      <w:i/>
      <w:iCs/>
    </w:rPr>
  </w:style>
  <w:style w:type="character" w:customStyle="1" w:styleId="IntenseQuoteChar">
    <w:name w:val="Intense Quote Char"/>
    <w:basedOn w:val="DefaultParagraphFont"/>
    <w:link w:val="IntenseQuote"/>
    <w:uiPriority w:val="30"/>
    <w:semiHidden/>
    <w:rsid w:val="00873CCE"/>
    <w:rPr>
      <w:i/>
      <w:iCs/>
      <w14:numForm w14:val="lining"/>
    </w:rPr>
  </w:style>
  <w:style w:type="character" w:styleId="IntenseEmphasis">
    <w:name w:val="Intense Emphasis"/>
    <w:uiPriority w:val="59"/>
    <w:semiHidden/>
    <w:locked/>
    <w:rsid w:val="00873CCE"/>
    <w:rPr>
      <w:b/>
      <w:bCs/>
      <w:caps w:val="0"/>
      <w:smallCaps w:val="0"/>
      <w:strike w:val="0"/>
      <w:dstrike w:val="0"/>
      <w:vanish w:val="0"/>
      <w:color w:val="E6320F" w:themeColor="text2"/>
      <w:spacing w:val="0"/>
      <w:vertAlign w:val="baseline"/>
    </w:rPr>
  </w:style>
  <w:style w:type="paragraph" w:customStyle="1" w:styleId="KennZ">
    <w:name w:val="KennZ"/>
    <w:basedOn w:val="GZ"/>
    <w:uiPriority w:val="49"/>
    <w:semiHidden/>
    <w:qFormat/>
    <w:locked/>
    <w:rsid w:val="00873CCE"/>
    <w:pPr>
      <w:spacing w:before="0" w:after="345"/>
    </w:pPr>
    <w:rPr>
      <w:b/>
      <w:caps/>
    </w:rPr>
  </w:style>
  <w:style w:type="character" w:styleId="IntenseReference">
    <w:name w:val="Intense Reference"/>
    <w:uiPriority w:val="32"/>
    <w:semiHidden/>
    <w:locked/>
    <w:rsid w:val="00873CCE"/>
    <w:rPr>
      <w:b/>
      <w:bCs/>
      <w:i/>
      <w:iCs/>
      <w:caps w:val="0"/>
      <w:color w:val="E6320F" w:themeColor="text2"/>
    </w:rPr>
  </w:style>
  <w:style w:type="paragraph" w:styleId="TOCHeading">
    <w:name w:val="TOC Heading"/>
    <w:basedOn w:val="Heading1"/>
    <w:next w:val="Normal"/>
    <w:uiPriority w:val="39"/>
    <w:semiHidden/>
    <w:locked/>
    <w:rsid w:val="00873CCE"/>
    <w:pPr>
      <w:spacing w:after="345" w:line="300" w:lineRule="auto"/>
      <w:outlineLvl w:val="9"/>
    </w:pPr>
    <w:rPr>
      <w:b/>
      <w:color w:val="auto"/>
      <w:sz w:val="25"/>
    </w:rPr>
  </w:style>
  <w:style w:type="paragraph" w:customStyle="1" w:styleId="PersonalName">
    <w:name w:val="Personal Name"/>
    <w:basedOn w:val="Normal"/>
    <w:uiPriority w:val="99"/>
    <w:semiHidden/>
    <w:locked/>
    <w:rsid w:val="00873CCE"/>
    <w:pPr>
      <w:spacing w:before="720"/>
    </w:pPr>
    <w:rPr>
      <w:b/>
      <w:spacing w:val="10"/>
      <w:kern w:val="28"/>
      <w:sz w:val="28"/>
      <w:szCs w:val="28"/>
    </w:rPr>
  </w:style>
  <w:style w:type="character" w:customStyle="1" w:styleId="NoSpacingChar">
    <w:name w:val="No Spacing Char"/>
    <w:basedOn w:val="DefaultParagraphFont"/>
    <w:link w:val="NoSpacing"/>
    <w:rsid w:val="00873CCE"/>
    <w:rPr>
      <w:szCs w:val="20"/>
      <w:lang w:val="es-ES"/>
      <w14:numForm w14:val="lining"/>
    </w:rPr>
  </w:style>
  <w:style w:type="paragraph" w:styleId="BalloonText">
    <w:name w:val="Balloon Text"/>
    <w:basedOn w:val="Normal"/>
    <w:link w:val="BalloonTextChar"/>
    <w:uiPriority w:val="99"/>
    <w:semiHidden/>
    <w:unhideWhenUsed/>
    <w:locked/>
    <w:rsid w:val="00873CCE"/>
    <w:rPr>
      <w:rFonts w:ascii="Tahoma" w:hAnsi="Tahoma" w:cs="Tahoma"/>
      <w:sz w:val="16"/>
      <w:szCs w:val="16"/>
    </w:rPr>
  </w:style>
  <w:style w:type="character" w:customStyle="1" w:styleId="BalloonTextChar">
    <w:name w:val="Balloon Text Char"/>
    <w:basedOn w:val="DefaultParagraphFont"/>
    <w:link w:val="BalloonText"/>
    <w:uiPriority w:val="99"/>
    <w:semiHidden/>
    <w:rsid w:val="00873CCE"/>
    <w:rPr>
      <w:rFonts w:ascii="Tahoma" w:hAnsi="Tahoma" w:cs="Tahoma"/>
      <w:sz w:val="16"/>
      <w:szCs w:val="16"/>
      <w14:numForm w14:val="lining"/>
    </w:rPr>
  </w:style>
  <w:style w:type="table" w:styleId="TableGrid">
    <w:name w:val="Table Grid"/>
    <w:basedOn w:val="TableNormal"/>
    <w:uiPriority w:val="39"/>
    <w:locked/>
    <w:rsid w:val="00873CCE"/>
    <w:pPr>
      <w:spacing w:after="0" w:line="264" w:lineRule="auto"/>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styleId="Hyperlink">
    <w:name w:val="Hyperlink"/>
    <w:basedOn w:val="DefaultParagraphFont"/>
    <w:uiPriority w:val="99"/>
    <w:qFormat/>
    <w:locked/>
    <w:rsid w:val="00873CCE"/>
    <w:rPr>
      <w:color w:val="auto"/>
      <w:u w:val="single"/>
    </w:rPr>
  </w:style>
  <w:style w:type="paragraph" w:styleId="Header">
    <w:name w:val="header"/>
    <w:basedOn w:val="Normal"/>
    <w:link w:val="HeaderChar"/>
    <w:uiPriority w:val="99"/>
    <w:locked/>
    <w:rsid w:val="00873CCE"/>
    <w:pPr>
      <w:tabs>
        <w:tab w:val="center" w:pos="4536"/>
        <w:tab w:val="right" w:pos="9072"/>
      </w:tabs>
    </w:pPr>
  </w:style>
  <w:style w:type="character" w:customStyle="1" w:styleId="HeaderChar">
    <w:name w:val="Header Char"/>
    <w:basedOn w:val="DefaultParagraphFont"/>
    <w:link w:val="Header"/>
    <w:uiPriority w:val="99"/>
    <w:rsid w:val="00873CCE"/>
    <w:rPr>
      <w14:numForm w14:val="lining"/>
    </w:rPr>
  </w:style>
  <w:style w:type="paragraph" w:customStyle="1" w:styleId="Grussformel">
    <w:name w:val="Grussformel"/>
    <w:basedOn w:val="NoSpacing"/>
    <w:uiPriority w:val="49"/>
    <w:semiHidden/>
    <w:qFormat/>
    <w:locked/>
    <w:rsid w:val="00873CCE"/>
    <w:pPr>
      <w:spacing w:before="285" w:after="285"/>
    </w:pPr>
    <w:rPr>
      <w:szCs w:val="23"/>
    </w:rPr>
  </w:style>
  <w:style w:type="paragraph" w:customStyle="1" w:styleId="Logoabsatz">
    <w:name w:val="Logoabsatz"/>
    <w:basedOn w:val="NoSpacing"/>
    <w:uiPriority w:val="49"/>
    <w:semiHidden/>
    <w:locked/>
    <w:rsid w:val="00873CCE"/>
    <w:pPr>
      <w:spacing w:after="1840"/>
    </w:pPr>
    <w:rPr>
      <w:noProof/>
      <w:lang w:eastAsia="de-AT"/>
    </w:rPr>
  </w:style>
  <w:style w:type="character" w:styleId="PlaceholderText">
    <w:name w:val="Placeholder Text"/>
    <w:basedOn w:val="DefaultParagraphFont"/>
    <w:uiPriority w:val="99"/>
    <w:semiHidden/>
    <w:locked/>
    <w:rsid w:val="00873CCE"/>
    <w:rPr>
      <w:color w:val="808080"/>
    </w:rPr>
  </w:style>
  <w:style w:type="paragraph" w:styleId="Title">
    <w:name w:val="Title"/>
    <w:basedOn w:val="Normal"/>
    <w:next w:val="Subtitle"/>
    <w:link w:val="TitleChar"/>
    <w:uiPriority w:val="29"/>
    <w:locked/>
    <w:rsid w:val="00873CCE"/>
    <w:pPr>
      <w:framePr w:w="9072" w:hSpace="284" w:wrap="around" w:vAnchor="text" w:hAnchor="page" w:x="1532" w:y="1" w:anchorLock="1"/>
      <w:spacing w:line="690" w:lineRule="exact"/>
      <w:outlineLvl w:val="0"/>
    </w:pPr>
    <w:rPr>
      <w:rFonts w:asciiTheme="majorHAnsi" w:eastAsia="Calibri" w:hAnsiTheme="majorHAnsi"/>
      <w:b/>
      <w:sz w:val="56"/>
      <w:szCs w:val="60"/>
    </w:rPr>
  </w:style>
  <w:style w:type="character" w:customStyle="1" w:styleId="TitleChar">
    <w:name w:val="Title Char"/>
    <w:basedOn w:val="DefaultParagraphFont"/>
    <w:link w:val="Title"/>
    <w:uiPriority w:val="29"/>
    <w:rsid w:val="00873CCE"/>
    <w:rPr>
      <w:rFonts w:asciiTheme="majorHAnsi" w:eastAsia="Calibri" w:hAnsiTheme="majorHAnsi" w:cs="Times New Roman"/>
      <w:b/>
      <w:sz w:val="56"/>
      <w:szCs w:val="60"/>
      <w14:numForm w14:val="lining"/>
    </w:rPr>
  </w:style>
  <w:style w:type="paragraph" w:styleId="Subtitle">
    <w:name w:val="Subtitle"/>
    <w:basedOn w:val="Normal"/>
    <w:next w:val="Normal"/>
    <w:link w:val="SubtitleChar"/>
    <w:uiPriority w:val="29"/>
    <w:locked/>
    <w:rsid w:val="00873CCE"/>
    <w:pPr>
      <w:framePr w:vSpace="1134" w:wrap="around" w:vAnchor="text" w:hAnchor="page" w:x="1532" w:y="1"/>
      <w:numPr>
        <w:ilvl w:val="1"/>
      </w:numPr>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29"/>
    <w:rsid w:val="00873CCE"/>
    <w:rPr>
      <w:rFonts w:asciiTheme="majorHAnsi" w:eastAsiaTheme="majorEastAsia" w:hAnsiTheme="majorHAnsi" w:cstheme="majorBidi"/>
      <w:iCs/>
      <w:sz w:val="28"/>
      <w:szCs w:val="24"/>
      <w14:numForm w14:val="lining"/>
    </w:rPr>
  </w:style>
  <w:style w:type="paragraph" w:customStyle="1" w:styleId="Anschriftdaten">
    <w:name w:val="Anschriftdaten"/>
    <w:basedOn w:val="NoSpacing"/>
    <w:uiPriority w:val="49"/>
    <w:semiHidden/>
    <w:locked/>
    <w:rsid w:val="00873CCE"/>
    <w:pPr>
      <w:spacing w:line="252" w:lineRule="auto"/>
      <w:ind w:right="1701"/>
    </w:pPr>
  </w:style>
  <w:style w:type="character" w:customStyle="1" w:styleId="Kursiv">
    <w:name w:val="Kursiv"/>
    <w:basedOn w:val="DefaultParagraphFont"/>
    <w:uiPriority w:val="59"/>
    <w:qFormat/>
    <w:locked/>
    <w:rsid w:val="00873CCE"/>
    <w:rPr>
      <w:i/>
      <w:iCs/>
    </w:rPr>
  </w:style>
  <w:style w:type="paragraph" w:customStyle="1" w:styleId="TH-Spalte">
    <w:name w:val="TH-Spalte"/>
    <w:basedOn w:val="TD"/>
    <w:uiPriority w:val="4"/>
    <w:qFormat/>
    <w:locked/>
    <w:rsid w:val="00873CCE"/>
    <w:rPr>
      <w:b/>
    </w:rPr>
  </w:style>
  <w:style w:type="character" w:customStyle="1" w:styleId="ROTFett">
    <w:name w:val="ROT+Fett"/>
    <w:basedOn w:val="ROT"/>
    <w:uiPriority w:val="59"/>
    <w:qFormat/>
    <w:locked/>
    <w:rsid w:val="00873CCE"/>
    <w:rPr>
      <w:b/>
      <w:bCs/>
      <w:color w:val="E6320F" w:themeColor="text2"/>
      <w:lang w:val="es-ES"/>
    </w:rPr>
  </w:style>
  <w:style w:type="paragraph" w:customStyle="1" w:styleId="TH-Spaltelinks">
    <w:name w:val="TH-Spalte links"/>
    <w:aliases w:val="TH Sp links"/>
    <w:basedOn w:val="TH-Spalte"/>
    <w:uiPriority w:val="4"/>
    <w:locked/>
    <w:rsid w:val="00873CCE"/>
    <w:pPr>
      <w:jc w:val="left"/>
    </w:pPr>
  </w:style>
  <w:style w:type="paragraph" w:styleId="ListBullet">
    <w:name w:val="List Bullet"/>
    <w:aliases w:val="UL 1"/>
    <w:basedOn w:val="Normal"/>
    <w:uiPriority w:val="10"/>
    <w:qFormat/>
    <w:locked/>
    <w:rsid w:val="00873CCE"/>
    <w:pPr>
      <w:contextualSpacing/>
    </w:pPr>
    <w:rPr>
      <w:szCs w:val="24"/>
      <w:lang w:eastAsia="de-AT"/>
    </w:rPr>
  </w:style>
  <w:style w:type="paragraph" w:styleId="ListBullet2">
    <w:name w:val="List Bullet 2"/>
    <w:aliases w:val="UL 2"/>
    <w:basedOn w:val="ListBullet"/>
    <w:uiPriority w:val="11"/>
    <w:qFormat/>
    <w:locked/>
    <w:rsid w:val="00873CCE"/>
  </w:style>
  <w:style w:type="paragraph" w:styleId="ListBullet3">
    <w:name w:val="List Bullet 3"/>
    <w:aliases w:val="UL 3"/>
    <w:basedOn w:val="Normal"/>
    <w:uiPriority w:val="11"/>
    <w:locked/>
    <w:rsid w:val="00873CCE"/>
    <w:rPr>
      <w:rFonts w:eastAsia="Times New Roman"/>
      <w:szCs w:val="22"/>
      <w:lang w:eastAsia="de-AT"/>
    </w:rPr>
  </w:style>
  <w:style w:type="paragraph" w:styleId="ListBullet4">
    <w:name w:val="List Bullet 4"/>
    <w:basedOn w:val="Normal"/>
    <w:uiPriority w:val="11"/>
    <w:semiHidden/>
    <w:locked/>
    <w:rsid w:val="00873CCE"/>
    <w:rPr>
      <w:rFonts w:eastAsia="Times New Roman"/>
      <w:szCs w:val="22"/>
      <w:lang w:eastAsia="de-AT"/>
    </w:rPr>
  </w:style>
  <w:style w:type="numbering" w:customStyle="1" w:styleId="ATUnsortierteListe">
    <w:name w:val="AT Unsortierte Liste"/>
    <w:uiPriority w:val="99"/>
    <w:locked/>
    <w:rsid w:val="00873CCE"/>
    <w:pPr>
      <w:numPr>
        <w:numId w:val="4"/>
      </w:numPr>
    </w:pPr>
  </w:style>
  <w:style w:type="paragraph" w:styleId="ListBullet5">
    <w:name w:val="List Bullet 5"/>
    <w:basedOn w:val="Normal"/>
    <w:uiPriority w:val="11"/>
    <w:semiHidden/>
    <w:locked/>
    <w:rsid w:val="00873CCE"/>
    <w:rPr>
      <w:rFonts w:eastAsia="Times New Roman"/>
      <w:szCs w:val="22"/>
      <w:lang w:eastAsia="de-AT"/>
    </w:rPr>
  </w:style>
  <w:style w:type="paragraph" w:customStyle="1" w:styleId="Aufzhlungszeichen6">
    <w:name w:val="Aufzählungszeichen 6"/>
    <w:basedOn w:val="Normal"/>
    <w:uiPriority w:val="11"/>
    <w:semiHidden/>
    <w:locked/>
    <w:rsid w:val="00873CCE"/>
    <w:rPr>
      <w:rFonts w:eastAsia="Times New Roman"/>
      <w:szCs w:val="22"/>
      <w:lang w:eastAsia="de-AT"/>
    </w:rPr>
  </w:style>
  <w:style w:type="paragraph" w:customStyle="1" w:styleId="Aufzhlungszeichen7">
    <w:name w:val="Aufzählungszeichen 7"/>
    <w:basedOn w:val="Normal"/>
    <w:uiPriority w:val="11"/>
    <w:semiHidden/>
    <w:locked/>
    <w:rsid w:val="00873CCE"/>
    <w:rPr>
      <w:rFonts w:eastAsia="Times New Roman"/>
      <w:szCs w:val="22"/>
      <w:lang w:eastAsia="de-AT"/>
    </w:rPr>
  </w:style>
  <w:style w:type="paragraph" w:customStyle="1" w:styleId="Aufzhlungszeichen8">
    <w:name w:val="Aufzählungszeichen 8"/>
    <w:basedOn w:val="Normal"/>
    <w:uiPriority w:val="11"/>
    <w:semiHidden/>
    <w:locked/>
    <w:rsid w:val="00873CCE"/>
    <w:rPr>
      <w:rFonts w:eastAsia="Times New Roman"/>
      <w:szCs w:val="22"/>
      <w:lang w:eastAsia="de-AT"/>
    </w:rPr>
  </w:style>
  <w:style w:type="paragraph" w:customStyle="1" w:styleId="Aufzhlungszeichen9">
    <w:name w:val="Aufzählungszeichen 9"/>
    <w:basedOn w:val="Normal"/>
    <w:uiPriority w:val="11"/>
    <w:semiHidden/>
    <w:locked/>
    <w:rsid w:val="00873CCE"/>
    <w:rPr>
      <w:rFonts w:eastAsia="Times New Roman"/>
      <w:szCs w:val="22"/>
      <w:lang w:eastAsia="de-AT"/>
    </w:rPr>
  </w:style>
  <w:style w:type="paragraph" w:customStyle="1" w:styleId="Brief2">
    <w:name w:val="Brief Ü2"/>
    <w:basedOn w:val="Heading2"/>
    <w:next w:val="Normal"/>
    <w:uiPriority w:val="2"/>
    <w:semiHidden/>
    <w:locked/>
    <w:rsid w:val="00873CCE"/>
    <w:pPr>
      <w:spacing w:before="345" w:line="264" w:lineRule="auto"/>
    </w:pPr>
    <w:rPr>
      <w:sz w:val="28"/>
    </w:rPr>
  </w:style>
  <w:style w:type="paragraph" w:customStyle="1" w:styleId="Brief3">
    <w:name w:val="Brief Ü3"/>
    <w:basedOn w:val="Heading3"/>
    <w:next w:val="Normal"/>
    <w:uiPriority w:val="2"/>
    <w:semiHidden/>
    <w:locked/>
    <w:rsid w:val="00873CCE"/>
    <w:pPr>
      <w:spacing w:before="345"/>
    </w:pPr>
  </w:style>
  <w:style w:type="paragraph" w:customStyle="1" w:styleId="ProgrammAbsatz">
    <w:name w:val="Programm Absatz"/>
    <w:aliases w:val="P-Absatz"/>
    <w:basedOn w:val="ProgrammWannWas"/>
    <w:uiPriority w:val="24"/>
    <w:qFormat/>
    <w:locked/>
    <w:rsid w:val="00873CCE"/>
    <w:pPr>
      <w:ind w:firstLine="0"/>
    </w:pPr>
  </w:style>
  <w:style w:type="paragraph" w:customStyle="1" w:styleId="Betreff">
    <w:name w:val="Betreff"/>
    <w:aliases w:val="Betreff-Titel,Betreff-H1"/>
    <w:basedOn w:val="Normal"/>
    <w:next w:val="StdVOR"/>
    <w:link w:val="BetreffZchn"/>
    <w:uiPriority w:val="2"/>
    <w:semiHidden/>
    <w:locked/>
    <w:rsid w:val="00873CCE"/>
    <w:pPr>
      <w:shd w:val="clear" w:color="auto" w:fill="FFFFFF"/>
      <w:spacing w:line="264" w:lineRule="auto"/>
      <w:outlineLvl w:val="0"/>
    </w:pPr>
    <w:rPr>
      <w:rFonts w:asciiTheme="majorHAnsi" w:hAnsiTheme="majorHAnsi"/>
      <w:b/>
      <w:sz w:val="28"/>
    </w:rPr>
  </w:style>
  <w:style w:type="paragraph" w:customStyle="1" w:styleId="TD">
    <w:name w:val="TD"/>
    <w:basedOn w:val="Normal"/>
    <w:uiPriority w:val="4"/>
    <w:qFormat/>
    <w:locked/>
    <w:rsid w:val="00873CCE"/>
    <w:pPr>
      <w:jc w:val="right"/>
    </w:pPr>
    <w:rPr>
      <w:sz w:val="19"/>
    </w:rPr>
  </w:style>
  <w:style w:type="paragraph" w:customStyle="1" w:styleId="TDlinks">
    <w:name w:val="TD links"/>
    <w:basedOn w:val="TD"/>
    <w:uiPriority w:val="4"/>
    <w:locked/>
    <w:rsid w:val="00873CCE"/>
    <w:pPr>
      <w:jc w:val="left"/>
    </w:pPr>
  </w:style>
  <w:style w:type="table" w:styleId="LightShading">
    <w:name w:val="Light Shading"/>
    <w:basedOn w:val="TableNormal"/>
    <w:uiPriority w:val="60"/>
    <w:locked/>
    <w:rsid w:val="00873C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locked/>
    <w:rsid w:val="00873C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E6EFF3"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Accent6">
    <w:name w:val="Light Grid Accent 6"/>
    <w:basedOn w:val="TableNormal"/>
    <w:uiPriority w:val="62"/>
    <w:locked/>
    <w:rsid w:val="00873CCE"/>
    <w:pPr>
      <w:spacing w:after="0" w:line="240" w:lineRule="auto"/>
    </w:pPr>
    <w:tblPr>
      <w:tblStyleRowBandSize w:val="1"/>
      <w:tblStyleColBandSize w:val="1"/>
      <w:tblBorders>
        <w:top w:val="single" w:sz="8" w:space="0" w:color="BCCF00" w:themeColor="accent6"/>
        <w:left w:val="single" w:sz="8" w:space="0" w:color="BCCF00" w:themeColor="accent6"/>
        <w:bottom w:val="single" w:sz="8" w:space="0" w:color="BCCF00" w:themeColor="accent6"/>
        <w:right w:val="single" w:sz="8" w:space="0" w:color="BCCF00" w:themeColor="accent6"/>
        <w:insideH w:val="single" w:sz="8" w:space="0" w:color="BCCF00" w:themeColor="accent6"/>
        <w:insideV w:val="single" w:sz="8" w:space="0" w:color="BCCF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18" w:space="0" w:color="BCCF00" w:themeColor="accent6"/>
          <w:right w:val="single" w:sz="8" w:space="0" w:color="BCCF00" w:themeColor="accent6"/>
          <w:insideH w:val="nil"/>
          <w:insideV w:val="single" w:sz="8" w:space="0" w:color="BCCF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6"/>
          <w:left w:val="single" w:sz="8" w:space="0" w:color="BCCF00" w:themeColor="accent6"/>
          <w:bottom w:val="single" w:sz="8" w:space="0" w:color="BCCF00" w:themeColor="accent6"/>
          <w:right w:val="single" w:sz="8" w:space="0" w:color="BCCF00" w:themeColor="accent6"/>
          <w:insideH w:val="nil"/>
          <w:insideV w:val="single" w:sz="8" w:space="0" w:color="BCCF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tcPr>
    </w:tblStylePr>
    <w:tblStylePr w:type="band1Vert">
      <w:tblPr/>
      <w:tcPr>
        <w:tcBorders>
          <w:top w:val="single" w:sz="8" w:space="0" w:color="BCCF00" w:themeColor="accent6"/>
          <w:left w:val="single" w:sz="8" w:space="0" w:color="BCCF00" w:themeColor="accent6"/>
          <w:bottom w:val="single" w:sz="8" w:space="0" w:color="BCCF00" w:themeColor="accent6"/>
          <w:right w:val="single" w:sz="8" w:space="0" w:color="BCCF00" w:themeColor="accent6"/>
        </w:tcBorders>
        <w:shd w:val="clear" w:color="auto" w:fill="F7FFB4" w:themeFill="accent6" w:themeFillTint="3F"/>
      </w:tcPr>
    </w:tblStylePr>
    <w:tblStylePr w:type="band1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shd w:val="clear" w:color="auto" w:fill="F7FFB4" w:themeFill="accent6" w:themeFillTint="3F"/>
      </w:tcPr>
    </w:tblStylePr>
    <w:tblStylePr w:type="band2Horz">
      <w:tblPr/>
      <w:tcPr>
        <w:tcBorders>
          <w:top w:val="single" w:sz="8" w:space="0" w:color="BCCF00" w:themeColor="accent6"/>
          <w:left w:val="single" w:sz="8" w:space="0" w:color="BCCF00" w:themeColor="accent6"/>
          <w:bottom w:val="single" w:sz="8" w:space="0" w:color="BCCF00" w:themeColor="accent6"/>
          <w:right w:val="single" w:sz="8" w:space="0" w:color="BCCF00" w:themeColor="accent6"/>
          <w:insideV w:val="single" w:sz="8" w:space="0" w:color="BCCF00" w:themeColor="accent6"/>
        </w:tcBorders>
      </w:tcPr>
    </w:tblStylePr>
  </w:style>
  <w:style w:type="table" w:styleId="MediumShading1-Accent4">
    <w:name w:val="Medium Shading 1 Accent 4"/>
    <w:basedOn w:val="TableNormal"/>
    <w:uiPriority w:val="63"/>
    <w:locked/>
    <w:rsid w:val="00873CCE"/>
    <w:pPr>
      <w:spacing w:after="0" w:line="240" w:lineRule="auto"/>
    </w:pPr>
    <w:tblPr>
      <w:tblStyleRowBandSize w:val="1"/>
      <w:tblStyleColBandSize w:val="1"/>
      <w:tbl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single" w:sz="8" w:space="0" w:color="FFB638" w:themeColor="accent4" w:themeTint="BF"/>
      </w:tblBorders>
    </w:tblPr>
    <w:tblStylePr w:type="firstRow">
      <w:pPr>
        <w:spacing w:before="0" w:after="0" w:line="240" w:lineRule="auto"/>
      </w:pPr>
      <w:rPr>
        <w:b/>
        <w:bCs/>
        <w:color w:val="E6EFF3" w:themeColor="background1"/>
      </w:rPr>
      <w:tblPr/>
      <w:tcPr>
        <w:tcBorders>
          <w:top w:val="single" w:sz="8"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shd w:val="clear" w:color="auto" w:fill="F59C00" w:themeFill="accent4"/>
      </w:tcPr>
    </w:tblStylePr>
    <w:tblStylePr w:type="lastRow">
      <w:pPr>
        <w:spacing w:before="0" w:after="0" w:line="240" w:lineRule="auto"/>
      </w:pPr>
      <w:rPr>
        <w:b/>
        <w:bCs/>
      </w:rPr>
      <w:tblPr/>
      <w:tcPr>
        <w:tcBorders>
          <w:top w:val="double" w:sz="6" w:space="0" w:color="FFB638" w:themeColor="accent4" w:themeTint="BF"/>
          <w:left w:val="single" w:sz="8" w:space="0" w:color="FFB638" w:themeColor="accent4" w:themeTint="BF"/>
          <w:bottom w:val="single" w:sz="8" w:space="0" w:color="FFB638" w:themeColor="accent4" w:themeTint="BF"/>
          <w:right w:val="single" w:sz="8" w:space="0" w:color="FFB6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7BD" w:themeFill="accent4" w:themeFillTint="3F"/>
      </w:tcPr>
    </w:tblStylePr>
    <w:tblStylePr w:type="band1Horz">
      <w:tblPr/>
      <w:tcPr>
        <w:tcBorders>
          <w:insideH w:val="nil"/>
          <w:insideV w:val="nil"/>
        </w:tcBorders>
        <w:shd w:val="clear" w:color="auto" w:fill="FFE7B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873CCE"/>
    <w:pPr>
      <w:spacing w:after="0" w:line="240" w:lineRule="auto"/>
    </w:pPr>
    <w:tblPr>
      <w:tblStyleRowBandSize w:val="1"/>
      <w:tblStyleColBandSize w:val="1"/>
      <w:tbl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single" w:sz="8" w:space="0" w:color="69C2D0" w:themeColor="accent5" w:themeTint="BF"/>
      </w:tblBorders>
    </w:tblPr>
    <w:tblStylePr w:type="firstRow">
      <w:pPr>
        <w:spacing w:before="0" w:after="0" w:line="240" w:lineRule="auto"/>
      </w:pPr>
      <w:rPr>
        <w:b/>
        <w:bCs/>
        <w:color w:val="E6EFF3" w:themeColor="background1"/>
      </w:rPr>
      <w:tblPr/>
      <w:tcPr>
        <w:tcBorders>
          <w:top w:val="single" w:sz="8"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shd w:val="clear" w:color="auto" w:fill="3BACBE" w:themeFill="accent5"/>
      </w:tcPr>
    </w:tblStylePr>
    <w:tblStylePr w:type="lastRow">
      <w:pPr>
        <w:spacing w:before="0" w:after="0" w:line="240" w:lineRule="auto"/>
      </w:pPr>
      <w:rPr>
        <w:b/>
        <w:bCs/>
      </w:rPr>
      <w:tblPr/>
      <w:tcPr>
        <w:tcBorders>
          <w:top w:val="double" w:sz="6" w:space="0" w:color="69C2D0" w:themeColor="accent5" w:themeTint="BF"/>
          <w:left w:val="single" w:sz="8" w:space="0" w:color="69C2D0" w:themeColor="accent5" w:themeTint="BF"/>
          <w:bottom w:val="single" w:sz="8" w:space="0" w:color="69C2D0" w:themeColor="accent5" w:themeTint="BF"/>
          <w:right w:val="single" w:sz="8" w:space="0" w:color="69C2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AEF" w:themeFill="accent5" w:themeFillTint="3F"/>
      </w:tcPr>
    </w:tblStylePr>
    <w:tblStylePr w:type="band1Horz">
      <w:tblPr/>
      <w:tcPr>
        <w:tcBorders>
          <w:insideH w:val="nil"/>
          <w:insideV w:val="nil"/>
        </w:tcBorders>
        <w:shd w:val="clear" w:color="auto" w:fill="CDEAEF" w:themeFill="accent5" w:themeFillTint="3F"/>
      </w:tcPr>
    </w:tblStylePr>
    <w:tblStylePr w:type="band2Horz">
      <w:tblPr/>
      <w:tcPr>
        <w:tcBorders>
          <w:insideH w:val="nil"/>
          <w:insideV w:val="nil"/>
        </w:tcBorders>
      </w:tcPr>
    </w:tblStylePr>
  </w:style>
  <w:style w:type="paragraph" w:customStyle="1" w:styleId="TH-Zeile">
    <w:name w:val="TH-Zeile"/>
    <w:basedOn w:val="TDlinks"/>
    <w:uiPriority w:val="4"/>
    <w:qFormat/>
    <w:locked/>
    <w:rsid w:val="00873CCE"/>
    <w:rPr>
      <w:b/>
    </w:rPr>
  </w:style>
  <w:style w:type="paragraph" w:customStyle="1" w:styleId="GliederungListenfortsetzung11">
    <w:name w:val="Gliederung Listenfortsetzung 1.1."/>
    <w:aliases w:val="GL F 1.1."/>
    <w:basedOn w:val="ListContinue2"/>
    <w:uiPriority w:val="18"/>
    <w:qFormat/>
    <w:locked/>
    <w:rsid w:val="00873CCE"/>
    <w:pPr>
      <w:spacing w:after="345"/>
      <w:ind w:left="936"/>
      <w:contextualSpacing w:val="0"/>
    </w:pPr>
    <w:rPr>
      <w:rFonts w:eastAsia="Times New Roman"/>
      <w:szCs w:val="22"/>
      <w:lang w:eastAsia="de-AT"/>
    </w:rPr>
  </w:style>
  <w:style w:type="numbering" w:customStyle="1" w:styleId="eu2018atGliederungsliste2">
    <w:name w:val="eu2018at Gliederungsliste 2"/>
    <w:uiPriority w:val="99"/>
    <w:locked/>
    <w:rsid w:val="00873CCE"/>
    <w:pPr>
      <w:numPr>
        <w:numId w:val="8"/>
      </w:numPr>
    </w:pPr>
  </w:style>
  <w:style w:type="paragraph" w:customStyle="1" w:styleId="Gliederung1">
    <w:name w:val="Gliederung 1)"/>
    <w:aliases w:val="GL 1)"/>
    <w:basedOn w:val="ListParagraph"/>
    <w:uiPriority w:val="16"/>
    <w:semiHidden/>
    <w:locked/>
    <w:rsid w:val="00873CCE"/>
    <w:pPr>
      <w:numPr>
        <w:numId w:val="0"/>
      </w:numPr>
      <w:contextualSpacing w:val="0"/>
    </w:pPr>
    <w:rPr>
      <w:rFonts w:eastAsia="Times New Roman"/>
      <w:szCs w:val="22"/>
      <w:lang w:eastAsia="de-AT"/>
    </w:rPr>
  </w:style>
  <w:style w:type="paragraph" w:customStyle="1" w:styleId="Gliederunga">
    <w:name w:val="Gliederung a)"/>
    <w:aliases w:val="GL 1)a)"/>
    <w:basedOn w:val="ListParagraph"/>
    <w:uiPriority w:val="16"/>
    <w:semiHidden/>
    <w:locked/>
    <w:rsid w:val="00873CCE"/>
    <w:pPr>
      <w:numPr>
        <w:numId w:val="0"/>
      </w:numPr>
      <w:contextualSpacing w:val="0"/>
    </w:pPr>
    <w:rPr>
      <w:rFonts w:eastAsia="Times New Roman"/>
      <w:szCs w:val="22"/>
      <w:lang w:eastAsia="de-AT"/>
    </w:rPr>
  </w:style>
  <w:style w:type="numbering" w:customStyle="1" w:styleId="ATGliederungsliste">
    <w:name w:val="AT Gliederungsliste"/>
    <w:uiPriority w:val="99"/>
    <w:locked/>
    <w:rsid w:val="00873CCE"/>
    <w:pPr>
      <w:numPr>
        <w:numId w:val="1"/>
      </w:numPr>
    </w:pPr>
  </w:style>
  <w:style w:type="paragraph" w:customStyle="1" w:styleId="Gliederungi">
    <w:name w:val="Gliederung i)"/>
    <w:aliases w:val="GL1)a) i)"/>
    <w:basedOn w:val="ListParagraph"/>
    <w:uiPriority w:val="16"/>
    <w:semiHidden/>
    <w:locked/>
    <w:rsid w:val="00873CCE"/>
    <w:pPr>
      <w:numPr>
        <w:numId w:val="0"/>
      </w:numPr>
      <w:contextualSpacing w:val="0"/>
    </w:pPr>
    <w:rPr>
      <w:rFonts w:eastAsia="Times New Roman"/>
      <w:szCs w:val="22"/>
      <w:lang w:eastAsia="de-AT"/>
    </w:rPr>
  </w:style>
  <w:style w:type="paragraph" w:customStyle="1" w:styleId="Gliederung10">
    <w:name w:val="Gliederung 1."/>
    <w:aliases w:val="GL 1."/>
    <w:basedOn w:val="Normal"/>
    <w:uiPriority w:val="18"/>
    <w:qFormat/>
    <w:locked/>
    <w:rsid w:val="00873CCE"/>
    <w:rPr>
      <w:rFonts w:eastAsia="Times New Roman"/>
      <w:szCs w:val="22"/>
      <w:lang w:eastAsia="de-AT"/>
    </w:rPr>
  </w:style>
  <w:style w:type="paragraph" w:customStyle="1" w:styleId="Gliederung11">
    <w:name w:val="Gliederung 1.1"/>
    <w:aliases w:val="GL 1.1."/>
    <w:basedOn w:val="Normal"/>
    <w:uiPriority w:val="18"/>
    <w:qFormat/>
    <w:locked/>
    <w:rsid w:val="00873CCE"/>
    <w:rPr>
      <w:rFonts w:eastAsia="Times New Roman"/>
      <w:szCs w:val="22"/>
      <w:lang w:eastAsia="de-AT"/>
    </w:rPr>
  </w:style>
  <w:style w:type="paragraph" w:customStyle="1" w:styleId="Gliederung111">
    <w:name w:val="Gliederung 1.1.1."/>
    <w:aliases w:val="GL 1.1.1."/>
    <w:basedOn w:val="Normal"/>
    <w:uiPriority w:val="18"/>
    <w:locked/>
    <w:rsid w:val="00873CCE"/>
    <w:rPr>
      <w:rFonts w:eastAsia="Times New Roman"/>
      <w:szCs w:val="22"/>
      <w:lang w:eastAsia="de-AT"/>
    </w:rPr>
  </w:style>
  <w:style w:type="paragraph" w:customStyle="1" w:styleId="GliederungListenfortsetzung111">
    <w:name w:val="Gliederung Listenfortsetzung 1.1.1"/>
    <w:aliases w:val="GL F 1.1.1."/>
    <w:basedOn w:val="Gliederung111"/>
    <w:uiPriority w:val="18"/>
    <w:locked/>
    <w:rsid w:val="00873CCE"/>
    <w:pPr>
      <w:ind w:left="1644"/>
    </w:pPr>
  </w:style>
  <w:style w:type="paragraph" w:customStyle="1" w:styleId="GliederungListenfortsetzung1">
    <w:name w:val="Gliederung Listenfortsetzung 1"/>
    <w:aliases w:val="GL F 1."/>
    <w:basedOn w:val="ListContinue"/>
    <w:uiPriority w:val="18"/>
    <w:qFormat/>
    <w:locked/>
    <w:rsid w:val="00873CCE"/>
    <w:pPr>
      <w:spacing w:after="345"/>
      <w:contextualSpacing w:val="0"/>
    </w:pPr>
    <w:rPr>
      <w:rFonts w:eastAsia="Times New Roman"/>
      <w:szCs w:val="22"/>
      <w:lang w:eastAsia="de-AT"/>
    </w:rPr>
  </w:style>
  <w:style w:type="paragraph" w:customStyle="1" w:styleId="GliederungListenfortsetzung10">
    <w:name w:val="Gliederung Listenfortsetzung 1)"/>
    <w:aliases w:val="GL F 1)"/>
    <w:basedOn w:val="ListContinue"/>
    <w:uiPriority w:val="17"/>
    <w:semiHidden/>
    <w:locked/>
    <w:rsid w:val="00873CCE"/>
    <w:pPr>
      <w:spacing w:after="220"/>
      <w:contextualSpacing w:val="0"/>
    </w:pPr>
    <w:rPr>
      <w:rFonts w:eastAsia="Times New Roman"/>
      <w:szCs w:val="22"/>
      <w:lang w:eastAsia="de-AT"/>
    </w:rPr>
  </w:style>
  <w:style w:type="paragraph" w:customStyle="1" w:styleId="GliederungListenfortsetzung1a">
    <w:name w:val="Gliederung Listenfortsetzung 1)a)"/>
    <w:aliases w:val="GL F 1)a)"/>
    <w:basedOn w:val="ListContinue2"/>
    <w:uiPriority w:val="17"/>
    <w:semiHidden/>
    <w:locked/>
    <w:rsid w:val="00873CCE"/>
    <w:pPr>
      <w:spacing w:after="220"/>
      <w:contextualSpacing w:val="0"/>
    </w:pPr>
    <w:rPr>
      <w:rFonts w:eastAsia="Times New Roman"/>
      <w:szCs w:val="22"/>
      <w:lang w:eastAsia="de-AT"/>
    </w:rPr>
  </w:style>
  <w:style w:type="paragraph" w:customStyle="1" w:styleId="GliederungListenfortsetzung1ai">
    <w:name w:val="Gliederung Listenfortsetzung 1)a)i)"/>
    <w:aliases w:val="GL F 1)a)i)"/>
    <w:basedOn w:val="ListContinue3"/>
    <w:uiPriority w:val="17"/>
    <w:semiHidden/>
    <w:locked/>
    <w:rsid w:val="00873CCE"/>
    <w:pPr>
      <w:spacing w:after="220"/>
      <w:contextualSpacing w:val="0"/>
    </w:pPr>
    <w:rPr>
      <w:rFonts w:eastAsia="Times New Roman"/>
      <w:szCs w:val="22"/>
      <w:lang w:eastAsia="de-AT"/>
    </w:rPr>
  </w:style>
  <w:style w:type="paragraph" w:styleId="ListContinue2">
    <w:name w:val="List Continue 2"/>
    <w:aliases w:val="L Ftsz 2"/>
    <w:basedOn w:val="Normal"/>
    <w:uiPriority w:val="15"/>
    <w:qFormat/>
    <w:locked/>
    <w:rsid w:val="00873CCE"/>
    <w:pPr>
      <w:ind w:left="794"/>
      <w:contextualSpacing/>
    </w:pPr>
  </w:style>
  <w:style w:type="paragraph" w:styleId="ListContinue">
    <w:name w:val="List Continue"/>
    <w:aliases w:val="L Ftsz 1"/>
    <w:basedOn w:val="Normal"/>
    <w:uiPriority w:val="14"/>
    <w:qFormat/>
    <w:locked/>
    <w:rsid w:val="00873CCE"/>
    <w:pPr>
      <w:ind w:left="397"/>
      <w:contextualSpacing/>
    </w:pPr>
  </w:style>
  <w:style w:type="paragraph" w:styleId="ListContinue3">
    <w:name w:val="List Continue 3"/>
    <w:aliases w:val="L Ftsz 3"/>
    <w:basedOn w:val="Normal"/>
    <w:uiPriority w:val="15"/>
    <w:locked/>
    <w:rsid w:val="00873CCE"/>
    <w:pPr>
      <w:ind w:left="1191"/>
      <w:contextualSpacing/>
    </w:pPr>
  </w:style>
  <w:style w:type="paragraph" w:customStyle="1" w:styleId="Absende-URL">
    <w:name w:val="Absende-URL"/>
    <w:basedOn w:val="NoSpacing"/>
    <w:next w:val="Absendedaten"/>
    <w:uiPriority w:val="54"/>
    <w:semiHidden/>
    <w:locked/>
    <w:rsid w:val="00873CCE"/>
    <w:pPr>
      <w:spacing w:before="85" w:after="794" w:line="220" w:lineRule="exact"/>
    </w:pPr>
    <w:rPr>
      <w:noProof/>
      <w:color w:val="E6320F"/>
      <w:sz w:val="24"/>
      <w:szCs w:val="24"/>
      <w:lang w:eastAsia="de-AT"/>
    </w:rPr>
  </w:style>
  <w:style w:type="paragraph" w:customStyle="1" w:styleId="GZ">
    <w:name w:val="GZ"/>
    <w:basedOn w:val="Normal"/>
    <w:next w:val="Normal"/>
    <w:uiPriority w:val="47"/>
    <w:semiHidden/>
    <w:qFormat/>
    <w:locked/>
    <w:rsid w:val="00873CCE"/>
    <w:pPr>
      <w:spacing w:before="220"/>
    </w:pPr>
    <w:rPr>
      <w:sz w:val="17"/>
    </w:rPr>
  </w:style>
  <w:style w:type="paragraph" w:customStyle="1" w:styleId="StdVOR">
    <w:name w:val="Std+VOR"/>
    <w:basedOn w:val="Normal"/>
    <w:qFormat/>
    <w:locked/>
    <w:rsid w:val="00873CCE"/>
    <w:pPr>
      <w:spacing w:before="345"/>
    </w:pPr>
  </w:style>
  <w:style w:type="paragraph" w:styleId="ListNumber">
    <w:name w:val="List Number"/>
    <w:aliases w:val="OL 1"/>
    <w:basedOn w:val="Normal"/>
    <w:uiPriority w:val="12"/>
    <w:qFormat/>
    <w:locked/>
    <w:rsid w:val="00873CCE"/>
    <w:pPr>
      <w:contextualSpacing/>
    </w:pPr>
  </w:style>
  <w:style w:type="paragraph" w:styleId="EndnoteText">
    <w:name w:val="endnote text"/>
    <w:basedOn w:val="FootnoteText"/>
    <w:link w:val="EndnoteTextChar"/>
    <w:uiPriority w:val="99"/>
    <w:semiHidden/>
    <w:unhideWhenUsed/>
    <w:locked/>
    <w:rsid w:val="00873CCE"/>
    <w:pPr>
      <w:spacing w:line="240" w:lineRule="auto"/>
    </w:pPr>
  </w:style>
  <w:style w:type="character" w:customStyle="1" w:styleId="EndnoteTextChar">
    <w:name w:val="Endnote Text Char"/>
    <w:basedOn w:val="DefaultParagraphFont"/>
    <w:link w:val="EndnoteText"/>
    <w:uiPriority w:val="99"/>
    <w:semiHidden/>
    <w:rsid w:val="00873CCE"/>
    <w:rPr>
      <w:sz w:val="19"/>
      <w14:numForm w14:val="lining"/>
    </w:rPr>
  </w:style>
  <w:style w:type="character" w:styleId="EndnoteReference">
    <w:name w:val="endnote reference"/>
    <w:basedOn w:val="DefaultParagraphFont"/>
    <w:rsid w:val="00643B44"/>
    <w:rPr>
      <w:sz w:val="20"/>
      <w:vertAlign w:val="baseline"/>
    </w:rPr>
  </w:style>
  <w:style w:type="paragraph" w:styleId="FootnoteText">
    <w:name w:val="footnote text"/>
    <w:basedOn w:val="Normal"/>
    <w:link w:val="FootnoteTextChar"/>
    <w:uiPriority w:val="57"/>
    <w:unhideWhenUsed/>
    <w:locked/>
    <w:rsid w:val="00873CCE"/>
    <w:pPr>
      <w:spacing w:line="270" w:lineRule="exact"/>
    </w:pPr>
    <w:rPr>
      <w:sz w:val="19"/>
    </w:rPr>
  </w:style>
  <w:style w:type="character" w:customStyle="1" w:styleId="FootnoteTextChar">
    <w:name w:val="Footnote Text Char"/>
    <w:basedOn w:val="DefaultParagraphFont"/>
    <w:link w:val="FootnoteText"/>
    <w:uiPriority w:val="57"/>
    <w:rsid w:val="00873CCE"/>
    <w:rPr>
      <w:sz w:val="19"/>
      <w14:numForm w14:val="lining"/>
    </w:rPr>
  </w:style>
  <w:style w:type="character" w:styleId="FootnoteReference">
    <w:name w:val="footnote reference"/>
    <w:basedOn w:val="DefaultParagraphFont"/>
    <w:rsid w:val="00643B44"/>
    <w:rPr>
      <w:sz w:val="20"/>
      <w:vertAlign w:val="baseline"/>
    </w:rPr>
  </w:style>
  <w:style w:type="character" w:customStyle="1" w:styleId="CommentTextChar">
    <w:name w:val="Comment Text Char"/>
    <w:basedOn w:val="DefaultParagraphFont"/>
    <w:link w:val="CommentText"/>
    <w:uiPriority w:val="99"/>
    <w:semiHidden/>
    <w:rsid w:val="00873CCE"/>
    <w:rPr>
      <w:sz w:val="20"/>
      <w14:numForm w14:val="lining"/>
    </w:rPr>
  </w:style>
  <w:style w:type="paragraph" w:styleId="ListNumber2">
    <w:name w:val="List Number 2"/>
    <w:aliases w:val="OL 2"/>
    <w:basedOn w:val="Normal"/>
    <w:uiPriority w:val="13"/>
    <w:qFormat/>
    <w:locked/>
    <w:rsid w:val="00873CCE"/>
  </w:style>
  <w:style w:type="paragraph" w:styleId="ListNumber3">
    <w:name w:val="List Number 3"/>
    <w:aliases w:val="OL 3"/>
    <w:basedOn w:val="Normal"/>
    <w:uiPriority w:val="13"/>
    <w:locked/>
    <w:rsid w:val="00873CCE"/>
  </w:style>
  <w:style w:type="paragraph" w:styleId="ListNumber4">
    <w:name w:val="List Number 4"/>
    <w:basedOn w:val="Normal"/>
    <w:uiPriority w:val="13"/>
    <w:semiHidden/>
    <w:locked/>
    <w:rsid w:val="00873CCE"/>
    <w:pPr>
      <w:spacing w:line="276" w:lineRule="auto"/>
    </w:pPr>
  </w:style>
  <w:style w:type="paragraph" w:styleId="ListNumber5">
    <w:name w:val="List Number 5"/>
    <w:basedOn w:val="Normal"/>
    <w:uiPriority w:val="99"/>
    <w:locked/>
    <w:rsid w:val="00873CCE"/>
  </w:style>
  <w:style w:type="paragraph" w:customStyle="1" w:styleId="Listennummer6">
    <w:name w:val="Listennummer 6"/>
    <w:basedOn w:val="Normal"/>
    <w:uiPriority w:val="13"/>
    <w:semiHidden/>
    <w:locked/>
    <w:rsid w:val="00873CCE"/>
    <w:rPr>
      <w:rFonts w:eastAsia="Times New Roman"/>
      <w:szCs w:val="22"/>
      <w:lang w:eastAsia="de-AT"/>
    </w:rPr>
  </w:style>
  <w:style w:type="paragraph" w:customStyle="1" w:styleId="Listennummer7">
    <w:name w:val="Listennummer 7"/>
    <w:basedOn w:val="Normal"/>
    <w:uiPriority w:val="13"/>
    <w:semiHidden/>
    <w:locked/>
    <w:rsid w:val="00873CCE"/>
    <w:rPr>
      <w:rFonts w:eastAsia="Times New Roman"/>
      <w:szCs w:val="22"/>
      <w:lang w:eastAsia="de-AT"/>
    </w:rPr>
  </w:style>
  <w:style w:type="paragraph" w:customStyle="1" w:styleId="Listennummer8">
    <w:name w:val="Listennummer 8"/>
    <w:basedOn w:val="Normal"/>
    <w:uiPriority w:val="13"/>
    <w:semiHidden/>
    <w:locked/>
    <w:rsid w:val="00873CCE"/>
    <w:rPr>
      <w:rFonts w:eastAsia="Times New Roman"/>
      <w:szCs w:val="22"/>
      <w:lang w:eastAsia="de-AT"/>
    </w:rPr>
  </w:style>
  <w:style w:type="paragraph" w:customStyle="1" w:styleId="Listennummer9">
    <w:name w:val="Listennummer 9"/>
    <w:basedOn w:val="Normal"/>
    <w:uiPriority w:val="13"/>
    <w:semiHidden/>
    <w:locked/>
    <w:rsid w:val="00873CCE"/>
    <w:rPr>
      <w:rFonts w:eastAsia="Times New Roman"/>
      <w:szCs w:val="22"/>
      <w:lang w:eastAsia="de-AT"/>
    </w:rPr>
  </w:style>
  <w:style w:type="table" w:customStyle="1" w:styleId="Republik-AT">
    <w:name w:val="Republik-AT"/>
    <w:basedOn w:val="TableGrid"/>
    <w:uiPriority w:val="99"/>
    <w:locked/>
    <w:rsid w:val="00873CCE"/>
    <w:pPr>
      <w:spacing w:line="240" w:lineRule="auto"/>
    </w:pPr>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Pr>
    <w:tblStylePr w:type="firstRow">
      <w:tblPr/>
      <w:tcPr>
        <w:tcBorders>
          <w:top w:val="nil"/>
          <w:left w:val="nil"/>
          <w:bottom w:val="single" w:sz="12" w:space="0" w:color="auto"/>
          <w:right w:val="nil"/>
          <w:insideH w:val="nil"/>
          <w:insideV w:val="nil"/>
          <w:tl2br w:val="nil"/>
          <w:tr2bl w:val="nil"/>
        </w:tcBorders>
        <w:shd w:val="clear" w:color="auto" w:fill="E6EFF3" w:themeFill="background1"/>
      </w:tcPr>
    </w:tblStylePr>
    <w:tblStylePr w:type="firstCol">
      <w:tblPr/>
      <w:tcPr>
        <w:shd w:val="clear" w:color="auto" w:fill="E6EFF3" w:themeFill="background1"/>
      </w:tcPr>
    </w:tblStylePr>
    <w:tblStylePr w:type="band1Horz">
      <w:tblPr/>
      <w:tcPr>
        <w:tcBorders>
          <w:top w:val="nil"/>
          <w:left w:val="nil"/>
          <w:bottom w:val="single" w:sz="2" w:space="0" w:color="auto"/>
          <w:right w:val="nil"/>
          <w:insideH w:val="nil"/>
          <w:insideV w:val="nil"/>
          <w:tl2br w:val="nil"/>
          <w:tr2bl w:val="nil"/>
        </w:tcBorders>
      </w:tcPr>
    </w:tblStylePr>
    <w:tblStylePr w:type="band2Horz">
      <w:tblPr/>
      <w:tcPr>
        <w:tcBorders>
          <w:top w:val="nil"/>
          <w:left w:val="nil"/>
          <w:bottom w:val="single" w:sz="2" w:space="0" w:color="auto"/>
          <w:right w:val="nil"/>
          <w:insideH w:val="nil"/>
          <w:insideV w:val="nil"/>
          <w:tl2br w:val="nil"/>
          <w:tr2bl w:val="nil"/>
        </w:tcBorders>
      </w:tcPr>
    </w:tblStylePr>
  </w:style>
  <w:style w:type="numbering" w:customStyle="1" w:styleId="ATNummerierteListe">
    <w:name w:val="AT NummerierteListe"/>
    <w:basedOn w:val="NoList"/>
    <w:uiPriority w:val="99"/>
    <w:locked/>
    <w:rsid w:val="00873CCE"/>
    <w:pPr>
      <w:numPr>
        <w:numId w:val="2"/>
      </w:numPr>
    </w:pPr>
  </w:style>
  <w:style w:type="paragraph" w:styleId="TOC2">
    <w:name w:val="toc 2"/>
    <w:basedOn w:val="Normal"/>
    <w:next w:val="Normal"/>
    <w:autoRedefine/>
    <w:uiPriority w:val="39"/>
    <w:unhideWhenUsed/>
    <w:locked/>
    <w:rsid w:val="00873CCE"/>
    <w:pPr>
      <w:tabs>
        <w:tab w:val="left" w:pos="397"/>
        <w:tab w:val="right" w:leader="dot" w:pos="8845"/>
      </w:tabs>
      <w:spacing w:before="156"/>
      <w:ind w:right="335"/>
    </w:pPr>
    <w:rPr>
      <w:noProof/>
    </w:rPr>
  </w:style>
  <w:style w:type="paragraph" w:styleId="TOC3">
    <w:name w:val="toc 3"/>
    <w:basedOn w:val="Normal"/>
    <w:next w:val="Normal"/>
    <w:autoRedefine/>
    <w:uiPriority w:val="39"/>
    <w:unhideWhenUsed/>
    <w:locked/>
    <w:rsid w:val="00873CCE"/>
    <w:pPr>
      <w:tabs>
        <w:tab w:val="left" w:pos="851"/>
        <w:tab w:val="right" w:leader="dot" w:pos="8845"/>
      </w:tabs>
      <w:spacing w:before="100"/>
      <w:ind w:left="312" w:right="335"/>
    </w:pPr>
    <w:rPr>
      <w:noProof/>
    </w:rPr>
  </w:style>
  <w:style w:type="character" w:customStyle="1" w:styleId="small">
    <w:name w:val="small"/>
    <w:basedOn w:val="DefaultParagraphFont"/>
    <w:uiPriority w:val="99"/>
    <w:qFormat/>
    <w:locked/>
    <w:rsid w:val="00873CCE"/>
    <w:rPr>
      <w:sz w:val="17"/>
      <w:szCs w:val="16"/>
    </w:rPr>
  </w:style>
  <w:style w:type="paragraph" w:customStyle="1" w:styleId="1nummeriert">
    <w:name w:val="Ü1 nummeriert"/>
    <w:basedOn w:val="Heading1"/>
    <w:next w:val="Normal"/>
    <w:uiPriority w:val="2"/>
    <w:locked/>
    <w:rsid w:val="00873CCE"/>
    <w:pPr>
      <w:keepLines/>
    </w:pPr>
    <w:rPr>
      <w:rFonts w:eastAsiaTheme="majorEastAsia" w:cstheme="majorBidi"/>
      <w:bCs w:val="0"/>
      <w:szCs w:val="32"/>
    </w:rPr>
  </w:style>
  <w:style w:type="paragraph" w:customStyle="1" w:styleId="2nummeriert">
    <w:name w:val="Ü2 nummeriert"/>
    <w:basedOn w:val="Heading2"/>
    <w:next w:val="Normal"/>
    <w:uiPriority w:val="2"/>
    <w:qFormat/>
    <w:locked/>
    <w:rsid w:val="00873CCE"/>
    <w:pPr>
      <w:keepLines/>
    </w:pPr>
    <w:rPr>
      <w:rFonts w:eastAsiaTheme="majorEastAsia" w:cstheme="majorBidi"/>
      <w:bCs w:val="0"/>
      <w:szCs w:val="26"/>
    </w:rPr>
  </w:style>
  <w:style w:type="paragraph" w:customStyle="1" w:styleId="3nummeriert">
    <w:name w:val="Ü3 nummeriert"/>
    <w:basedOn w:val="Heading3"/>
    <w:next w:val="Normal"/>
    <w:uiPriority w:val="2"/>
    <w:qFormat/>
    <w:locked/>
    <w:rsid w:val="00873CCE"/>
    <w:pPr>
      <w:keepLines/>
    </w:pPr>
    <w:rPr>
      <w:rFonts w:eastAsiaTheme="majorEastAsia" w:cstheme="majorBidi"/>
      <w:bCs w:val="0"/>
      <w:szCs w:val="24"/>
    </w:rPr>
  </w:style>
  <w:style w:type="paragraph" w:customStyle="1" w:styleId="4nummeriert">
    <w:name w:val="Ü4 nummeriert"/>
    <w:basedOn w:val="Heading4"/>
    <w:next w:val="Normal"/>
    <w:uiPriority w:val="2"/>
    <w:locked/>
    <w:rsid w:val="00873CCE"/>
    <w:pPr>
      <w:keepLines/>
    </w:pPr>
    <w:rPr>
      <w:rFonts w:eastAsiaTheme="majorEastAsia" w:cstheme="majorBidi"/>
      <w:iCs/>
      <w:szCs w:val="24"/>
    </w:rPr>
  </w:style>
  <w:style w:type="paragraph" w:customStyle="1" w:styleId="5nummeriert">
    <w:name w:val="Ü5 nummeriert"/>
    <w:basedOn w:val="Heading5"/>
    <w:next w:val="Normal"/>
    <w:uiPriority w:val="2"/>
    <w:locked/>
    <w:rsid w:val="00873CCE"/>
    <w:pPr>
      <w:keepLines/>
      <w:spacing w:line="276" w:lineRule="auto"/>
    </w:pPr>
    <w:rPr>
      <w:rFonts w:eastAsiaTheme="majorEastAsia" w:cstheme="majorBidi"/>
      <w:color w:val="404040" w:themeColor="text1" w:themeTint="BF"/>
      <w:sz w:val="24"/>
      <w:szCs w:val="24"/>
    </w:rPr>
  </w:style>
  <w:style w:type="paragraph" w:customStyle="1" w:styleId="1-small">
    <w:name w:val="Ü1-small"/>
    <w:basedOn w:val="Heading1"/>
    <w:next w:val="Normal"/>
    <w:uiPriority w:val="2"/>
    <w:locked/>
    <w:rsid w:val="00873CCE"/>
    <w:pPr>
      <w:spacing w:after="345" w:line="300" w:lineRule="auto"/>
    </w:pPr>
    <w:rPr>
      <w:b/>
      <w:color w:val="auto"/>
      <w:sz w:val="25"/>
      <w:szCs w:val="25"/>
    </w:rPr>
  </w:style>
  <w:style w:type="character" w:customStyle="1" w:styleId="Abs-MAIL">
    <w:name w:val="Abs-MAIL"/>
    <w:basedOn w:val="DefaultParagraphFont"/>
    <w:uiPriority w:val="49"/>
    <w:semiHidden/>
    <w:qFormat/>
    <w:locked/>
    <w:rsid w:val="00873CCE"/>
    <w:rPr>
      <w:lang w:val="es-ES"/>
    </w:rPr>
  </w:style>
  <w:style w:type="numbering" w:customStyle="1" w:styleId="eu2018atUnsortierteListe">
    <w:name w:val="eu2018at Unsortierte Liste"/>
    <w:uiPriority w:val="99"/>
    <w:locked/>
    <w:rsid w:val="00873CCE"/>
    <w:pPr>
      <w:numPr>
        <w:numId w:val="9"/>
      </w:numPr>
    </w:pPr>
  </w:style>
  <w:style w:type="paragraph" w:customStyle="1" w:styleId="ProgrammAufzhlung1">
    <w:name w:val="Programm Aufzählung 1"/>
    <w:aliases w:val="P-UL"/>
    <w:basedOn w:val="Normal"/>
    <w:uiPriority w:val="24"/>
    <w:qFormat/>
    <w:locked/>
    <w:rsid w:val="00873CCE"/>
    <w:rPr>
      <w:rFonts w:eastAsia="Times New Roman"/>
      <w:szCs w:val="22"/>
      <w:lang w:eastAsia="de-AT"/>
    </w:rPr>
  </w:style>
  <w:style w:type="paragraph" w:customStyle="1" w:styleId="P-Intro">
    <w:name w:val="P-Intro"/>
    <w:basedOn w:val="Normal"/>
    <w:next w:val="Normal"/>
    <w:uiPriority w:val="19"/>
    <w:qFormat/>
    <w:locked/>
    <w:rsid w:val="00873CCE"/>
    <w:pPr>
      <w:spacing w:after="690"/>
    </w:pPr>
    <w:rPr>
      <w:color w:val="E6320F" w:themeColor="text2"/>
      <w:sz w:val="25"/>
    </w:rPr>
  </w:style>
  <w:style w:type="paragraph" w:customStyle="1" w:styleId="ProgrammAufzhlung1ABSTNACH">
    <w:name w:val="Programm Aufzählung 1 ABST NACH"/>
    <w:aliases w:val="P-UL Ende"/>
    <w:basedOn w:val="ProgrammAufzhlung1"/>
    <w:uiPriority w:val="24"/>
    <w:qFormat/>
    <w:locked/>
    <w:rsid w:val="00873CCE"/>
    <w:pPr>
      <w:spacing w:after="345"/>
      <w:contextualSpacing/>
    </w:pPr>
  </w:style>
  <w:style w:type="paragraph" w:customStyle="1" w:styleId="Quelle">
    <w:name w:val="Quelle"/>
    <w:basedOn w:val="StdVOR"/>
    <w:next w:val="Normal"/>
    <w:uiPriority w:val="4"/>
    <w:qFormat/>
    <w:locked/>
    <w:rsid w:val="00873CCE"/>
    <w:rPr>
      <w:sz w:val="19"/>
      <w:szCs w:val="19"/>
    </w:rPr>
  </w:style>
  <w:style w:type="paragraph" w:styleId="TableofFigures">
    <w:name w:val="table of figures"/>
    <w:basedOn w:val="Normal"/>
    <w:next w:val="Normal"/>
    <w:uiPriority w:val="99"/>
    <w:unhideWhenUsed/>
    <w:locked/>
    <w:rsid w:val="00873CCE"/>
    <w:pPr>
      <w:tabs>
        <w:tab w:val="right" w:pos="8817"/>
      </w:tabs>
      <w:ind w:right="335"/>
    </w:pPr>
  </w:style>
  <w:style w:type="paragraph" w:styleId="TOC4">
    <w:name w:val="toc 4"/>
    <w:basedOn w:val="Normal"/>
    <w:next w:val="Normal"/>
    <w:autoRedefine/>
    <w:uiPriority w:val="39"/>
    <w:unhideWhenUsed/>
    <w:locked/>
    <w:rsid w:val="00873CCE"/>
    <w:pPr>
      <w:tabs>
        <w:tab w:val="left" w:pos="1077"/>
        <w:tab w:val="right" w:leader="dot" w:pos="7297"/>
      </w:tabs>
      <w:spacing w:after="100"/>
      <w:ind w:left="312"/>
    </w:pPr>
  </w:style>
  <w:style w:type="paragraph" w:customStyle="1" w:styleId="BoxTitel">
    <w:name w:val="Box Titel"/>
    <w:basedOn w:val="Normal"/>
    <w:uiPriority w:val="21"/>
    <w:qFormat/>
    <w:locked/>
    <w:rsid w:val="00873CCE"/>
    <w:pPr>
      <w:pBdr>
        <w:top w:val="single" w:sz="4" w:space="15" w:color="E6EFF3" w:themeColor="background1"/>
        <w:left w:val="single" w:sz="4" w:space="20" w:color="E6EFF3" w:themeColor="background1"/>
        <w:right w:val="single" w:sz="4" w:space="20" w:color="E6EFF3" w:themeColor="background1"/>
      </w:pBdr>
      <w:shd w:val="clear" w:color="auto" w:fill="E6EFF3" w:themeFill="background1"/>
      <w:ind w:left="397" w:right="397"/>
    </w:pPr>
    <w:rPr>
      <w:b/>
      <w:bCs/>
      <w:color w:val="E6320F" w:themeColor="text2"/>
    </w:rPr>
  </w:style>
  <w:style w:type="paragraph" w:customStyle="1" w:styleId="BoxStd">
    <w:name w:val="Box Std"/>
    <w:basedOn w:val="Normal"/>
    <w:uiPriority w:val="22"/>
    <w:qFormat/>
    <w:locked/>
    <w:rsid w:val="00873CCE"/>
    <w:p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left="397" w:right="397"/>
    </w:pPr>
  </w:style>
  <w:style w:type="paragraph" w:customStyle="1" w:styleId="BoxUL1">
    <w:name w:val="Box UL 1"/>
    <w:basedOn w:val="ProgrammAufzhlung1"/>
    <w:uiPriority w:val="22"/>
    <w:qFormat/>
    <w:locked/>
    <w:rsid w:val="00873CCE"/>
    <w:pPr>
      <w:numPr>
        <w:numId w:val="6"/>
      </w:numPr>
      <w:pBdr>
        <w:top w:val="single" w:sz="4" w:space="14" w:color="E6EFF3" w:themeColor="background1"/>
        <w:left w:val="single" w:sz="4" w:space="20" w:color="E6EFF3" w:themeColor="background1"/>
        <w:bottom w:val="single" w:sz="4" w:space="14" w:color="E6EFF3" w:themeColor="background1"/>
        <w:right w:val="single" w:sz="4" w:space="20" w:color="E6EFF3" w:themeColor="background1"/>
      </w:pBdr>
      <w:shd w:val="clear" w:color="auto" w:fill="E6EFF3" w:themeFill="background1"/>
      <w:ind w:right="397"/>
      <w:contextualSpacing/>
    </w:pPr>
  </w:style>
  <w:style w:type="character" w:customStyle="1" w:styleId="hochgestellt">
    <w:name w:val="hochgestellt"/>
    <w:uiPriority w:val="99"/>
    <w:semiHidden/>
    <w:locked/>
    <w:rsid w:val="00873CCE"/>
    <w:rPr>
      <w:vertAlign w:val="superscript"/>
    </w:rPr>
  </w:style>
  <w:style w:type="numbering" w:customStyle="1" w:styleId="Programm-Liste">
    <w:name w:val="Programm-Liste"/>
    <w:basedOn w:val="NoList"/>
    <w:locked/>
    <w:rsid w:val="00873CCE"/>
    <w:pPr>
      <w:numPr>
        <w:numId w:val="15"/>
      </w:numPr>
    </w:pPr>
  </w:style>
  <w:style w:type="paragraph" w:customStyle="1" w:styleId="Ort-Datum">
    <w:name w:val="Ort-Datum"/>
    <w:basedOn w:val="Normal"/>
    <w:uiPriority w:val="29"/>
    <w:locked/>
    <w:rsid w:val="00873CCE"/>
    <w:pPr>
      <w:framePr w:h="390" w:hRule="exact" w:hSpace="142" w:wrap="around" w:vAnchor="page" w:hAnchor="text" w:y="14914" w:anchorLock="1"/>
    </w:pPr>
    <w:rPr>
      <w:sz w:val="29"/>
      <w:szCs w:val="29"/>
    </w:rPr>
  </w:style>
  <w:style w:type="character" w:customStyle="1" w:styleId="ROT">
    <w:name w:val="ROT"/>
    <w:basedOn w:val="DefaultParagraphFont"/>
    <w:uiPriority w:val="59"/>
    <w:qFormat/>
    <w:locked/>
    <w:rsid w:val="00873CCE"/>
    <w:rPr>
      <w:color w:val="E6320F" w:themeColor="text2"/>
      <w:lang w:val="es-ES"/>
    </w:rPr>
  </w:style>
  <w:style w:type="character" w:customStyle="1" w:styleId="BetreffZchn">
    <w:name w:val="Betreff Zchn"/>
    <w:aliases w:val="Betreff-Titel Zchn,Betreff-H1 Zchn"/>
    <w:basedOn w:val="DefaultParagraphFont"/>
    <w:link w:val="Betreff"/>
    <w:uiPriority w:val="2"/>
    <w:semiHidden/>
    <w:rsid w:val="00873CCE"/>
    <w:rPr>
      <w:rFonts w:asciiTheme="majorHAnsi" w:hAnsiTheme="majorHAnsi"/>
      <w:b/>
      <w:sz w:val="28"/>
      <w:shd w:val="clear" w:color="auto" w:fill="FFFFFF"/>
      <w14:numForm w14:val="lining"/>
    </w:rPr>
  </w:style>
  <w:style w:type="paragraph" w:customStyle="1" w:styleId="Brief2nummeriert">
    <w:name w:val="Brief Ü2 nummeriert"/>
    <w:basedOn w:val="2nummeriert"/>
    <w:next w:val="Normal"/>
    <w:uiPriority w:val="2"/>
    <w:semiHidden/>
    <w:locked/>
    <w:rsid w:val="00873CCE"/>
    <w:pPr>
      <w:numPr>
        <w:numId w:val="7"/>
      </w:numPr>
      <w:spacing w:before="345" w:line="264" w:lineRule="auto"/>
    </w:pPr>
    <w:rPr>
      <w:sz w:val="28"/>
    </w:rPr>
  </w:style>
  <w:style w:type="paragraph" w:customStyle="1" w:styleId="Brief3nummeriert">
    <w:name w:val="Brief Ü3 nummeriert"/>
    <w:basedOn w:val="3nummeriert"/>
    <w:next w:val="Normal"/>
    <w:uiPriority w:val="2"/>
    <w:semiHidden/>
    <w:locked/>
    <w:rsid w:val="00873CCE"/>
    <w:pPr>
      <w:tabs>
        <w:tab w:val="num" w:pos="567"/>
      </w:tabs>
      <w:spacing w:before="345"/>
      <w:ind w:left="567" w:hanging="567"/>
    </w:pPr>
  </w:style>
  <w:style w:type="paragraph" w:customStyle="1" w:styleId="Elektronischgefertigt">
    <w:name w:val="Elektronisch gefertigt"/>
    <w:basedOn w:val="StdVOR"/>
    <w:next w:val="Normal"/>
    <w:uiPriority w:val="46"/>
    <w:semiHidden/>
    <w:locked/>
    <w:rsid w:val="00873CCE"/>
    <w:rPr>
      <w:sz w:val="17"/>
    </w:rPr>
  </w:style>
  <w:style w:type="paragraph" w:styleId="Closing">
    <w:name w:val="Closing"/>
    <w:aliases w:val="Gruß"/>
    <w:basedOn w:val="Normal"/>
    <w:next w:val="Normal"/>
    <w:link w:val="ClosingChar"/>
    <w:uiPriority w:val="46"/>
    <w:semiHidden/>
    <w:locked/>
    <w:rsid w:val="00873CCE"/>
    <w:pPr>
      <w:spacing w:before="345"/>
    </w:pPr>
  </w:style>
  <w:style w:type="character" w:customStyle="1" w:styleId="ClosingChar">
    <w:name w:val="Closing Char"/>
    <w:aliases w:val="Gruß Char"/>
    <w:basedOn w:val="DefaultParagraphFont"/>
    <w:link w:val="Closing"/>
    <w:uiPriority w:val="46"/>
    <w:semiHidden/>
    <w:rsid w:val="00873CCE"/>
    <w:rPr>
      <w14:numForm w14:val="lining"/>
    </w:rPr>
  </w:style>
  <w:style w:type="character" w:customStyle="1" w:styleId="Hochstellen">
    <w:name w:val="Hochstellen"/>
    <w:basedOn w:val="DefaultParagraphFont"/>
    <w:uiPriority w:val="59"/>
    <w:qFormat/>
    <w:locked/>
    <w:rsid w:val="00873CCE"/>
    <w:rPr>
      <w:caps w:val="0"/>
      <w:smallCaps w:val="0"/>
      <w:strike w:val="0"/>
      <w:dstrike w:val="0"/>
      <w:vanish w:val="0"/>
      <w:vertAlign w:val="superscript"/>
    </w:rPr>
  </w:style>
  <w:style w:type="paragraph" w:customStyle="1" w:styleId="Listennummera">
    <w:name w:val="Listennummer a)"/>
    <w:aliases w:val="OL 1 a)"/>
    <w:basedOn w:val="ListNumber"/>
    <w:uiPriority w:val="18"/>
    <w:qFormat/>
    <w:locked/>
    <w:rsid w:val="00873CCE"/>
    <w:pPr>
      <w:numPr>
        <w:numId w:val="14"/>
      </w:numPr>
    </w:pPr>
  </w:style>
  <w:style w:type="character" w:customStyle="1" w:styleId="Tiefstellen">
    <w:name w:val="Tiefstellen"/>
    <w:basedOn w:val="DefaultParagraphFont"/>
    <w:uiPriority w:val="59"/>
    <w:qFormat/>
    <w:locked/>
    <w:rsid w:val="00873CCE"/>
    <w:rPr>
      <w:caps w:val="0"/>
      <w:smallCaps w:val="0"/>
      <w:strike w:val="0"/>
      <w:dstrike w:val="0"/>
      <w:vanish w:val="0"/>
      <w:vertAlign w:val="subscript"/>
    </w:rPr>
  </w:style>
  <w:style w:type="paragraph" w:customStyle="1" w:styleId="UnterzeichnetiV">
    <w:name w:val="Unterzeichnet i.V."/>
    <w:basedOn w:val="NoSpacing"/>
    <w:next w:val="Normal"/>
    <w:uiPriority w:val="46"/>
    <w:semiHidden/>
    <w:locked/>
    <w:rsid w:val="00873CCE"/>
  </w:style>
  <w:style w:type="paragraph" w:customStyle="1" w:styleId="UZ-Datum">
    <w:name w:val="UZ-Datum"/>
    <w:basedOn w:val="UnterzeichnetiV"/>
    <w:next w:val="UnterzeichnetiV"/>
    <w:uiPriority w:val="46"/>
    <w:semiHidden/>
    <w:locked/>
    <w:rsid w:val="00873CCE"/>
    <w:pPr>
      <w:spacing w:before="345"/>
    </w:pPr>
    <w:rPr>
      <w:rFonts w:eastAsia="Times New Roman"/>
    </w:rPr>
  </w:style>
  <w:style w:type="paragraph" w:customStyle="1" w:styleId="Vermerk">
    <w:name w:val="Vermerk"/>
    <w:basedOn w:val="Normal"/>
    <w:uiPriority w:val="47"/>
    <w:semiHidden/>
    <w:locked/>
    <w:rsid w:val="00873CCE"/>
    <w:rPr>
      <w:sz w:val="17"/>
    </w:rPr>
  </w:style>
  <w:style w:type="character" w:styleId="SubtleReference">
    <w:name w:val="Subtle Reference"/>
    <w:basedOn w:val="DefaultParagraphFont"/>
    <w:uiPriority w:val="31"/>
    <w:semiHidden/>
    <w:locked/>
    <w:rsid w:val="00873CCE"/>
    <w:rPr>
      <w:caps w:val="0"/>
      <w:smallCaps/>
      <w:strike w:val="0"/>
      <w:dstrike w:val="0"/>
      <w:vanish w:val="0"/>
      <w:color w:val="auto"/>
      <w:u w:val="none"/>
      <w:vertAlign w:val="baseline"/>
    </w:rPr>
  </w:style>
  <w:style w:type="paragraph" w:styleId="BlockText">
    <w:name w:val="Block Text"/>
    <w:basedOn w:val="Normal"/>
    <w:uiPriority w:val="99"/>
    <w:semiHidden/>
    <w:unhideWhenUsed/>
    <w:locked/>
    <w:rsid w:val="00873CCE"/>
    <w:pPr>
      <w:pBdr>
        <w:top w:val="single" w:sz="2" w:space="10" w:color="CA0237" w:themeColor="accent1"/>
        <w:left w:val="single" w:sz="2" w:space="10" w:color="CA0237" w:themeColor="accent1"/>
        <w:bottom w:val="single" w:sz="2" w:space="10" w:color="CA0237" w:themeColor="accent1"/>
        <w:right w:val="single" w:sz="2" w:space="10" w:color="CA0237" w:themeColor="accent1"/>
      </w:pBdr>
    </w:pPr>
    <w:rPr>
      <w:i/>
      <w:iCs/>
      <w:color w:val="E6320F" w:themeColor="text2"/>
    </w:rPr>
  </w:style>
  <w:style w:type="paragraph" w:customStyle="1" w:styleId="P-1">
    <w:name w:val="P-1."/>
    <w:basedOn w:val="Normal"/>
    <w:uiPriority w:val="19"/>
    <w:qFormat/>
    <w:locked/>
    <w:rsid w:val="00873CCE"/>
    <w:pPr>
      <w:ind w:left="397" w:hanging="397"/>
    </w:pPr>
    <w:rPr>
      <w:rFonts w:eastAsia="Times New Roman"/>
    </w:rPr>
  </w:style>
  <w:style w:type="paragraph" w:customStyle="1" w:styleId="P-1Ftsz">
    <w:name w:val="P-1. Ftsz"/>
    <w:basedOn w:val="Normal"/>
    <w:uiPriority w:val="19"/>
    <w:qFormat/>
    <w:locked/>
    <w:rsid w:val="00873CCE"/>
    <w:pPr>
      <w:ind w:left="397"/>
    </w:pPr>
    <w:rPr>
      <w:rFonts w:eastAsia="Times New Roman"/>
    </w:rPr>
  </w:style>
  <w:style w:type="paragraph" w:customStyle="1" w:styleId="P-1a">
    <w:name w:val="P-1.a)"/>
    <w:basedOn w:val="Normal"/>
    <w:uiPriority w:val="19"/>
    <w:qFormat/>
    <w:locked/>
    <w:rsid w:val="00873CCE"/>
    <w:pPr>
      <w:ind w:left="794" w:hanging="397"/>
    </w:pPr>
    <w:rPr>
      <w:rFonts w:eastAsia="Times New Roman"/>
    </w:rPr>
  </w:style>
  <w:style w:type="paragraph" w:customStyle="1" w:styleId="P-1aFtsz">
    <w:name w:val="P-1.a) Ftsz"/>
    <w:basedOn w:val="Normal"/>
    <w:uiPriority w:val="19"/>
    <w:qFormat/>
    <w:locked/>
    <w:rsid w:val="00873CCE"/>
    <w:pPr>
      <w:ind w:left="794"/>
    </w:pPr>
    <w:rPr>
      <w:rFonts w:eastAsia="Times New Roman"/>
    </w:rPr>
  </w:style>
  <w:style w:type="paragraph" w:customStyle="1" w:styleId="P-1ai">
    <w:name w:val="P-1.a)i)"/>
    <w:basedOn w:val="P-1aFtsz"/>
    <w:uiPriority w:val="19"/>
    <w:locked/>
    <w:rsid w:val="00873CCE"/>
    <w:pPr>
      <w:ind w:left="1191" w:hanging="397"/>
    </w:pPr>
  </w:style>
  <w:style w:type="paragraph" w:customStyle="1" w:styleId="P-1aiFtsz">
    <w:name w:val="P-1.a)i) Ftsz"/>
    <w:basedOn w:val="P-1aFtsz"/>
    <w:uiPriority w:val="19"/>
    <w:locked/>
    <w:rsid w:val="00873CCE"/>
    <w:pPr>
      <w:ind w:left="1191"/>
    </w:pPr>
  </w:style>
  <w:style w:type="paragraph" w:customStyle="1" w:styleId="Bilduntertitel">
    <w:name w:val="Bilduntertitel"/>
    <w:aliases w:val="Bild-UT"/>
    <w:basedOn w:val="Quelle"/>
    <w:uiPriority w:val="4"/>
    <w:qFormat/>
    <w:locked/>
    <w:rsid w:val="00873CCE"/>
    <w:pPr>
      <w:spacing w:before="0"/>
    </w:pPr>
    <w:rPr>
      <w:rFonts w:eastAsia="Times New Roman"/>
      <w:szCs w:val="20"/>
    </w:rPr>
  </w:style>
  <w:style w:type="numbering" w:customStyle="1" w:styleId="ATberschriftennummeriert">
    <w:name w:val="AT Überschriften nummeriert"/>
    <w:uiPriority w:val="99"/>
    <w:locked/>
    <w:rsid w:val="00873CCE"/>
    <w:pPr>
      <w:numPr>
        <w:numId w:val="3"/>
      </w:numPr>
    </w:pPr>
  </w:style>
  <w:style w:type="paragraph" w:customStyle="1" w:styleId="LOGO">
    <w:name w:val="LOGO"/>
    <w:basedOn w:val="P-Intro"/>
    <w:next w:val="Normal"/>
    <w:uiPriority w:val="54"/>
    <w:semiHidden/>
    <w:locked/>
    <w:rsid w:val="00873CCE"/>
    <w:rPr>
      <w:color w:val="auto"/>
    </w:rPr>
  </w:style>
  <w:style w:type="paragraph" w:customStyle="1" w:styleId="ImpressumKeinLeerraum">
    <w:name w:val="Impressum Kein Leerraum"/>
    <w:basedOn w:val="NoSpacing"/>
    <w:uiPriority w:val="44"/>
    <w:locked/>
    <w:rsid w:val="00873CCE"/>
    <w:rPr>
      <w:sz w:val="19"/>
    </w:rPr>
  </w:style>
  <w:style w:type="paragraph" w:customStyle="1" w:styleId="2Impressum">
    <w:name w:val="Ü2 Impressum"/>
    <w:basedOn w:val="1-small"/>
    <w:uiPriority w:val="2"/>
    <w:qFormat/>
    <w:locked/>
    <w:rsid w:val="00873CCE"/>
    <w:pPr>
      <w:spacing w:before="690" w:after="0"/>
      <w:outlineLvl w:val="1"/>
    </w:pPr>
    <w:rPr>
      <w:sz w:val="19"/>
    </w:rPr>
  </w:style>
  <w:style w:type="paragraph" w:customStyle="1" w:styleId="An">
    <w:name w:val="An"/>
    <w:basedOn w:val="Anschriftdaten"/>
    <w:uiPriority w:val="99"/>
    <w:semiHidden/>
    <w:locked/>
    <w:rsid w:val="00873CCE"/>
    <w:pPr>
      <w:spacing w:line="220" w:lineRule="exact"/>
    </w:pPr>
    <w:rPr>
      <w:sz w:val="16"/>
    </w:rPr>
  </w:style>
  <w:style w:type="paragraph" w:customStyle="1" w:styleId="Impressumtext">
    <w:name w:val="Impressumtext"/>
    <w:basedOn w:val="StdVOR"/>
    <w:uiPriority w:val="44"/>
    <w:qFormat/>
    <w:locked/>
    <w:rsid w:val="00873CCE"/>
    <w:rPr>
      <w:sz w:val="19"/>
      <w:szCs w:val="19"/>
    </w:rPr>
  </w:style>
  <w:style w:type="character" w:styleId="Emphasis">
    <w:name w:val="Emphasis"/>
    <w:basedOn w:val="DefaultParagraphFont"/>
    <w:uiPriority w:val="59"/>
    <w:semiHidden/>
    <w:locked/>
    <w:rsid w:val="00873CCE"/>
    <w:rPr>
      <w:b/>
      <w:i w:val="0"/>
      <w:iCs/>
    </w:rPr>
  </w:style>
  <w:style w:type="character" w:styleId="SubtleEmphasis">
    <w:name w:val="Subtle Emphasis"/>
    <w:basedOn w:val="DefaultParagraphFont"/>
    <w:uiPriority w:val="59"/>
    <w:semiHidden/>
    <w:locked/>
    <w:rsid w:val="00873CCE"/>
    <w:rPr>
      <w:i/>
      <w:iCs/>
      <w:color w:val="auto"/>
    </w:rPr>
  </w:style>
  <w:style w:type="paragraph" w:customStyle="1" w:styleId="00LegStandard">
    <w:name w:val="00_LegStandard"/>
    <w:semiHidden/>
    <w:locked/>
    <w:rsid w:val="00643B44"/>
    <w:pPr>
      <w:spacing w:after="0" w:line="220" w:lineRule="exact"/>
      <w:jc w:val="both"/>
    </w:pPr>
    <w:rPr>
      <w:rFonts w:ascii="Times New Roman" w:eastAsia="Times New Roman" w:hAnsi="Times New Roman" w:cs="Times New Roman"/>
      <w:snapToGrid w:val="0"/>
      <w:color w:val="000000"/>
      <w:sz w:val="20"/>
      <w:szCs w:val="20"/>
      <w:lang w:eastAsia="de-DE"/>
    </w:rPr>
  </w:style>
  <w:style w:type="paragraph" w:customStyle="1" w:styleId="01Undefiniert">
    <w:name w:val="01_Undefiniert"/>
    <w:basedOn w:val="00LegStandard"/>
    <w:semiHidden/>
    <w:locked/>
    <w:rsid w:val="00643B44"/>
  </w:style>
  <w:style w:type="paragraph" w:customStyle="1" w:styleId="02BDGesBlatt">
    <w:name w:val="02_BDGesBlatt"/>
    <w:basedOn w:val="00LegStandard"/>
    <w:next w:val="03RepOesterr"/>
    <w:rsid w:val="00643B44"/>
    <w:pPr>
      <w:spacing w:before="280" w:line="700" w:lineRule="exact"/>
      <w:jc w:val="center"/>
      <w:outlineLvl w:val="0"/>
    </w:pPr>
    <w:rPr>
      <w:b/>
      <w:caps/>
      <w:spacing w:val="26"/>
      <w:sz w:val="70"/>
    </w:rPr>
  </w:style>
  <w:style w:type="paragraph" w:customStyle="1" w:styleId="03RepOesterr">
    <w:name w:val="03_RepOesterr"/>
    <w:basedOn w:val="00LegStandard"/>
    <w:next w:val="04AusgabeDaten"/>
    <w:rsid w:val="00643B44"/>
    <w:pPr>
      <w:spacing w:before="100" w:line="440" w:lineRule="exact"/>
      <w:jc w:val="center"/>
    </w:pPr>
    <w:rPr>
      <w:b/>
      <w:caps/>
      <w:spacing w:val="20"/>
      <w:sz w:val="40"/>
      <w:lang w:eastAsia="de-AT"/>
    </w:rPr>
  </w:style>
  <w:style w:type="paragraph" w:customStyle="1" w:styleId="04AusgabeDaten">
    <w:name w:val="04_AusgabeDaten"/>
    <w:basedOn w:val="00LegStandard"/>
    <w:next w:val="05Kurztitel"/>
    <w:rsid w:val="00643B44"/>
    <w:pPr>
      <w:pBdr>
        <w:top w:val="single" w:sz="12" w:space="0" w:color="auto"/>
        <w:bottom w:val="single" w:sz="12" w:space="2" w:color="auto"/>
      </w:pBdr>
      <w:tabs>
        <w:tab w:val="left" w:pos="0"/>
        <w:tab w:val="center" w:pos="4253"/>
        <w:tab w:val="right" w:pos="8460"/>
      </w:tabs>
      <w:spacing w:before="300" w:after="160" w:line="280" w:lineRule="exact"/>
    </w:pPr>
    <w:rPr>
      <w:b/>
      <w:bCs/>
      <w:sz w:val="24"/>
      <w:lang w:eastAsia="de-AT"/>
    </w:rPr>
  </w:style>
  <w:style w:type="paragraph" w:customStyle="1" w:styleId="11Titel">
    <w:name w:val="11_Titel"/>
    <w:basedOn w:val="00LegStandard"/>
    <w:next w:val="12PromKlEinlSatz"/>
    <w:rsid w:val="00643B44"/>
    <w:pPr>
      <w:suppressAutoHyphens/>
      <w:spacing w:before="480"/>
    </w:pPr>
    <w:rPr>
      <w:b/>
      <w:sz w:val="22"/>
    </w:rPr>
  </w:style>
  <w:style w:type="paragraph" w:customStyle="1" w:styleId="05Kurztitel">
    <w:name w:val="05_Kurztitel"/>
    <w:basedOn w:val="11Titel"/>
    <w:rsid w:val="00643B44"/>
    <w:pPr>
      <w:pBdr>
        <w:bottom w:val="single" w:sz="12" w:space="3" w:color="auto"/>
      </w:pBdr>
      <w:spacing w:before="40" w:line="240" w:lineRule="auto"/>
      <w:ind w:left="1985" w:hanging="1985"/>
    </w:pPr>
    <w:rPr>
      <w:sz w:val="20"/>
    </w:rPr>
  </w:style>
  <w:style w:type="paragraph" w:customStyle="1" w:styleId="09Abstand">
    <w:name w:val="09_Abstand"/>
    <w:basedOn w:val="00LegStandard"/>
    <w:rsid w:val="00643B44"/>
    <w:pPr>
      <w:spacing w:line="200" w:lineRule="exact"/>
      <w:jc w:val="left"/>
    </w:pPr>
  </w:style>
  <w:style w:type="paragraph" w:customStyle="1" w:styleId="10Entwurf">
    <w:name w:val="10_Entwurf"/>
    <w:basedOn w:val="00LegStandard"/>
    <w:next w:val="11Titel"/>
    <w:rsid w:val="00643B44"/>
    <w:pPr>
      <w:spacing w:before="1600" w:after="1570"/>
      <w:jc w:val="center"/>
    </w:pPr>
    <w:rPr>
      <w:spacing w:val="26"/>
    </w:rPr>
  </w:style>
  <w:style w:type="paragraph" w:customStyle="1" w:styleId="12PromKlEinlSatz">
    <w:name w:val="12_PromKl_EinlSatz"/>
    <w:basedOn w:val="00LegStandard"/>
    <w:next w:val="41UeberschrG1"/>
    <w:rsid w:val="00643B44"/>
    <w:pPr>
      <w:keepNext/>
      <w:spacing w:before="160"/>
      <w:ind w:firstLine="397"/>
    </w:pPr>
  </w:style>
  <w:style w:type="paragraph" w:customStyle="1" w:styleId="18AbbildungoderObjekt">
    <w:name w:val="18_Abbildung_oder_Objekt"/>
    <w:basedOn w:val="00LegStandard"/>
    <w:next w:val="51Abs"/>
    <w:rsid w:val="00643B44"/>
    <w:pPr>
      <w:spacing w:before="120" w:after="120" w:line="240" w:lineRule="auto"/>
      <w:jc w:val="left"/>
    </w:pPr>
  </w:style>
  <w:style w:type="paragraph" w:customStyle="1" w:styleId="19Beschriftung">
    <w:name w:val="19_Beschriftung"/>
    <w:basedOn w:val="00LegStandard"/>
    <w:next w:val="51Abs"/>
    <w:rsid w:val="00643B44"/>
    <w:pPr>
      <w:spacing w:after="120"/>
      <w:jc w:val="left"/>
    </w:pPr>
  </w:style>
  <w:style w:type="paragraph" w:customStyle="1" w:styleId="21NovAo1">
    <w:name w:val="21_NovAo1"/>
    <w:basedOn w:val="00LegStandard"/>
    <w:next w:val="23SatznachNovao"/>
    <w:qFormat/>
    <w:rsid w:val="00643B44"/>
    <w:pPr>
      <w:keepNext/>
      <w:spacing w:before="160"/>
      <w:outlineLvl w:val="2"/>
    </w:pPr>
    <w:rPr>
      <w:i/>
    </w:rPr>
  </w:style>
  <w:style w:type="paragraph" w:customStyle="1" w:styleId="22NovAo2">
    <w:name w:val="22_NovAo2"/>
    <w:basedOn w:val="21NovAo1"/>
    <w:qFormat/>
    <w:rsid w:val="00643B44"/>
    <w:pPr>
      <w:keepNext w:val="0"/>
    </w:pPr>
  </w:style>
  <w:style w:type="paragraph" w:customStyle="1" w:styleId="23SatznachNovao">
    <w:name w:val="23_Satz_(nach_Novao)"/>
    <w:basedOn w:val="00LegStandard"/>
    <w:next w:val="21NovAo1"/>
    <w:qFormat/>
    <w:rsid w:val="00643B44"/>
    <w:pPr>
      <w:spacing w:before="80"/>
    </w:pPr>
  </w:style>
  <w:style w:type="paragraph" w:customStyle="1" w:styleId="30InhaltUeberschrift">
    <w:name w:val="30_InhaltUeberschrift"/>
    <w:basedOn w:val="00LegStandard"/>
    <w:next w:val="31InhaltSpalte"/>
    <w:rsid w:val="00643B44"/>
    <w:pPr>
      <w:keepNext/>
      <w:spacing w:before="320" w:after="160"/>
      <w:jc w:val="center"/>
      <w:outlineLvl w:val="0"/>
    </w:pPr>
    <w:rPr>
      <w:b/>
    </w:rPr>
  </w:style>
  <w:style w:type="paragraph" w:customStyle="1" w:styleId="31InhaltSpalte">
    <w:name w:val="31_InhaltSpalte"/>
    <w:basedOn w:val="00LegStandard"/>
    <w:next w:val="32InhaltEintrag"/>
    <w:rsid w:val="00643B44"/>
    <w:pPr>
      <w:keepNext/>
      <w:tabs>
        <w:tab w:val="center" w:pos="510"/>
        <w:tab w:val="center" w:pos="4082"/>
      </w:tabs>
      <w:suppressAutoHyphens/>
      <w:spacing w:before="80" w:after="80"/>
      <w:jc w:val="center"/>
    </w:pPr>
    <w:rPr>
      <w:b/>
    </w:rPr>
  </w:style>
  <w:style w:type="paragraph" w:customStyle="1" w:styleId="32InhaltEintrag">
    <w:name w:val="32_InhaltEintrag"/>
    <w:basedOn w:val="00LegStandard"/>
    <w:rsid w:val="00643B44"/>
    <w:pPr>
      <w:jc w:val="left"/>
    </w:pPr>
  </w:style>
  <w:style w:type="paragraph" w:customStyle="1" w:styleId="41UeberschrG1">
    <w:name w:val="41_UeberschrG1"/>
    <w:basedOn w:val="00LegStandard"/>
    <w:next w:val="43UeberschrG2"/>
    <w:rsid w:val="00643B44"/>
    <w:pPr>
      <w:keepNext/>
      <w:spacing w:before="320"/>
      <w:jc w:val="center"/>
      <w:outlineLvl w:val="0"/>
    </w:pPr>
    <w:rPr>
      <w:b/>
      <w:sz w:val="22"/>
    </w:rPr>
  </w:style>
  <w:style w:type="paragraph" w:customStyle="1" w:styleId="42UeberschrG1-">
    <w:name w:val="42_UeberschrG1-"/>
    <w:basedOn w:val="00LegStandard"/>
    <w:next w:val="43UeberschrG2"/>
    <w:rsid w:val="00643B44"/>
    <w:pPr>
      <w:keepNext/>
      <w:spacing w:before="160"/>
      <w:jc w:val="center"/>
      <w:outlineLvl w:val="0"/>
    </w:pPr>
    <w:rPr>
      <w:b/>
      <w:sz w:val="22"/>
    </w:rPr>
  </w:style>
  <w:style w:type="paragraph" w:customStyle="1" w:styleId="43UeberschrG2">
    <w:name w:val="43_UeberschrG2"/>
    <w:basedOn w:val="00LegStandard"/>
    <w:next w:val="45UeberschrPara"/>
    <w:rsid w:val="00643B44"/>
    <w:pPr>
      <w:keepNext/>
      <w:spacing w:before="80" w:after="160"/>
      <w:jc w:val="center"/>
      <w:outlineLvl w:val="1"/>
    </w:pPr>
    <w:rPr>
      <w:b/>
      <w:sz w:val="22"/>
    </w:rPr>
  </w:style>
  <w:style w:type="paragraph" w:customStyle="1" w:styleId="44UeberschrArt">
    <w:name w:val="44_UeberschrArt+"/>
    <w:basedOn w:val="00LegStandard"/>
    <w:next w:val="45UeberschrPara"/>
    <w:rsid w:val="00643B44"/>
    <w:pPr>
      <w:keepNext/>
      <w:spacing w:before="160"/>
      <w:jc w:val="center"/>
      <w:outlineLvl w:val="2"/>
    </w:pPr>
    <w:rPr>
      <w:b/>
    </w:rPr>
  </w:style>
  <w:style w:type="paragraph" w:customStyle="1" w:styleId="45UeberschrPara">
    <w:name w:val="45_UeberschrPara"/>
    <w:basedOn w:val="00LegStandard"/>
    <w:next w:val="51Abs"/>
    <w:qFormat/>
    <w:rsid w:val="00643B44"/>
    <w:pPr>
      <w:keepNext/>
      <w:spacing w:before="80"/>
      <w:jc w:val="center"/>
    </w:pPr>
    <w:rPr>
      <w:b/>
    </w:rPr>
  </w:style>
  <w:style w:type="paragraph" w:customStyle="1" w:styleId="51Abs">
    <w:name w:val="51_Abs"/>
    <w:basedOn w:val="00LegStandard"/>
    <w:link w:val="51AbsZchn"/>
    <w:qFormat/>
    <w:rsid w:val="00643B44"/>
    <w:pPr>
      <w:spacing w:before="80"/>
      <w:ind w:firstLine="397"/>
    </w:pPr>
  </w:style>
  <w:style w:type="paragraph" w:customStyle="1" w:styleId="52Ziffere1">
    <w:name w:val="52_Ziffer_e1"/>
    <w:basedOn w:val="00LegStandard"/>
    <w:qFormat/>
    <w:rsid w:val="00643B44"/>
    <w:pPr>
      <w:tabs>
        <w:tab w:val="right" w:pos="624"/>
        <w:tab w:val="left" w:pos="680"/>
      </w:tabs>
      <w:spacing w:before="40"/>
      <w:ind w:left="680" w:hanging="680"/>
    </w:pPr>
  </w:style>
  <w:style w:type="paragraph" w:customStyle="1" w:styleId="52Ziffere2">
    <w:name w:val="52_Ziffer_e2"/>
    <w:basedOn w:val="00LegStandard"/>
    <w:semiHidden/>
    <w:rsid w:val="00643B44"/>
    <w:pPr>
      <w:tabs>
        <w:tab w:val="right" w:pos="851"/>
        <w:tab w:val="left" w:pos="907"/>
      </w:tabs>
      <w:spacing w:before="40"/>
      <w:ind w:left="907" w:hanging="907"/>
    </w:pPr>
  </w:style>
  <w:style w:type="paragraph" w:customStyle="1" w:styleId="52Ziffere3">
    <w:name w:val="52_Ziffer_e3"/>
    <w:basedOn w:val="00LegStandard"/>
    <w:semiHidden/>
    <w:rsid w:val="00643B44"/>
    <w:pPr>
      <w:tabs>
        <w:tab w:val="right" w:pos="1191"/>
        <w:tab w:val="left" w:pos="1247"/>
      </w:tabs>
      <w:spacing w:before="40"/>
      <w:ind w:left="1247" w:hanging="1247"/>
    </w:pPr>
  </w:style>
  <w:style w:type="paragraph" w:customStyle="1" w:styleId="52Ziffere4">
    <w:name w:val="52_Ziffer_e4"/>
    <w:basedOn w:val="00LegStandard"/>
    <w:semiHidden/>
    <w:rsid w:val="00643B44"/>
    <w:pPr>
      <w:tabs>
        <w:tab w:val="right" w:pos="1588"/>
        <w:tab w:val="left" w:pos="1644"/>
      </w:tabs>
      <w:spacing w:before="40"/>
      <w:ind w:left="1644" w:hanging="1644"/>
    </w:pPr>
  </w:style>
  <w:style w:type="paragraph" w:customStyle="1" w:styleId="52Ziffere5">
    <w:name w:val="52_Ziffer_e5"/>
    <w:basedOn w:val="00LegStandard"/>
    <w:semiHidden/>
    <w:rsid w:val="00643B44"/>
    <w:pPr>
      <w:tabs>
        <w:tab w:val="right" w:pos="1928"/>
        <w:tab w:val="left" w:pos="1985"/>
      </w:tabs>
      <w:spacing w:before="40"/>
      <w:ind w:left="1985" w:hanging="1985"/>
    </w:pPr>
  </w:style>
  <w:style w:type="paragraph" w:customStyle="1" w:styleId="52ZiffermitBetrag">
    <w:name w:val="52_Ziffer_mit_Betrag"/>
    <w:basedOn w:val="00LegStandard"/>
    <w:semiHidden/>
    <w:rsid w:val="00643B44"/>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style>
  <w:style w:type="paragraph" w:customStyle="1" w:styleId="52aTZiffermitBetragTGUE">
    <w:name w:val="52aT_Ziffer_mit_Betrag_TGUE"/>
    <w:basedOn w:val="52ZiffermitBetrag"/>
    <w:semiHidden/>
    <w:rsid w:val="00643B44"/>
    <w:pPr>
      <w:tabs>
        <w:tab w:val="clear" w:pos="6663"/>
        <w:tab w:val="clear" w:pos="8505"/>
        <w:tab w:val="right" w:leader="dot" w:pos="4678"/>
        <w:tab w:val="right" w:leader="dot" w:pos="6521"/>
      </w:tabs>
    </w:pPr>
  </w:style>
  <w:style w:type="paragraph" w:customStyle="1" w:styleId="53Literae1">
    <w:name w:val="53_Litera_e1"/>
    <w:basedOn w:val="00LegStandard"/>
    <w:semiHidden/>
    <w:rsid w:val="00643B44"/>
    <w:pPr>
      <w:tabs>
        <w:tab w:val="right" w:pos="624"/>
        <w:tab w:val="left" w:pos="680"/>
      </w:tabs>
      <w:spacing w:before="40"/>
      <w:ind w:left="680" w:hanging="680"/>
    </w:pPr>
  </w:style>
  <w:style w:type="paragraph" w:customStyle="1" w:styleId="53Literae2">
    <w:name w:val="53_Litera_e2"/>
    <w:basedOn w:val="00LegStandard"/>
    <w:semiHidden/>
    <w:qFormat/>
    <w:rsid w:val="00643B44"/>
    <w:pPr>
      <w:tabs>
        <w:tab w:val="right" w:pos="851"/>
        <w:tab w:val="left" w:pos="907"/>
      </w:tabs>
      <w:spacing w:before="40"/>
      <w:ind w:left="907" w:hanging="907"/>
    </w:pPr>
  </w:style>
  <w:style w:type="paragraph" w:customStyle="1" w:styleId="53Literae3">
    <w:name w:val="53_Litera_e3"/>
    <w:basedOn w:val="00LegStandard"/>
    <w:semiHidden/>
    <w:rsid w:val="00643B44"/>
    <w:pPr>
      <w:tabs>
        <w:tab w:val="right" w:pos="1191"/>
        <w:tab w:val="left" w:pos="1247"/>
      </w:tabs>
      <w:spacing w:before="40"/>
      <w:ind w:left="1247" w:hanging="1247"/>
    </w:pPr>
  </w:style>
  <w:style w:type="paragraph" w:customStyle="1" w:styleId="53Literae4">
    <w:name w:val="53_Litera_e4"/>
    <w:basedOn w:val="00LegStandard"/>
    <w:semiHidden/>
    <w:rsid w:val="00643B44"/>
    <w:pPr>
      <w:tabs>
        <w:tab w:val="right" w:pos="1588"/>
        <w:tab w:val="left" w:pos="1644"/>
      </w:tabs>
      <w:spacing w:before="40"/>
      <w:ind w:left="1644" w:hanging="1644"/>
    </w:pPr>
  </w:style>
  <w:style w:type="paragraph" w:customStyle="1" w:styleId="53Literae5">
    <w:name w:val="53_Litera_e5"/>
    <w:basedOn w:val="00LegStandard"/>
    <w:semiHidden/>
    <w:rsid w:val="00643B44"/>
    <w:pPr>
      <w:tabs>
        <w:tab w:val="right" w:pos="1928"/>
        <w:tab w:val="left" w:pos="1985"/>
      </w:tabs>
      <w:spacing w:before="40"/>
      <w:ind w:left="1985" w:hanging="1985"/>
    </w:pPr>
  </w:style>
  <w:style w:type="paragraph" w:customStyle="1" w:styleId="53LiteramitBetrag">
    <w:name w:val="53_Litera_mit_Betrag"/>
    <w:basedOn w:val="52ZiffermitBetrag"/>
    <w:semiHidden/>
    <w:rsid w:val="00643B44"/>
    <w:pPr>
      <w:tabs>
        <w:tab w:val="clear" w:pos="624"/>
        <w:tab w:val="clear" w:pos="680"/>
        <w:tab w:val="right" w:pos="851"/>
        <w:tab w:val="left" w:pos="907"/>
      </w:tabs>
      <w:ind w:left="907" w:right="1066" w:hanging="907"/>
    </w:pPr>
  </w:style>
  <w:style w:type="paragraph" w:customStyle="1" w:styleId="53aTLiteramitBetragTGUE">
    <w:name w:val="53aT_Litera_mit_Betrag_TGUE"/>
    <w:basedOn w:val="53LiteramitBetrag"/>
    <w:semiHidden/>
    <w:rsid w:val="00643B44"/>
    <w:pPr>
      <w:tabs>
        <w:tab w:val="clear" w:pos="6663"/>
        <w:tab w:val="clear" w:pos="8505"/>
        <w:tab w:val="right" w:leader="dot" w:pos="4678"/>
        <w:tab w:val="right" w:leader="dot" w:pos="6521"/>
      </w:tabs>
    </w:pPr>
  </w:style>
  <w:style w:type="paragraph" w:customStyle="1" w:styleId="54Subliterae1">
    <w:name w:val="54_Sublitera_e1"/>
    <w:basedOn w:val="00LegStandard"/>
    <w:semiHidden/>
    <w:rsid w:val="00643B44"/>
    <w:pPr>
      <w:tabs>
        <w:tab w:val="right" w:pos="624"/>
        <w:tab w:val="left" w:pos="680"/>
      </w:tabs>
      <w:spacing w:before="40"/>
      <w:ind w:left="680" w:hanging="680"/>
    </w:pPr>
  </w:style>
  <w:style w:type="paragraph" w:customStyle="1" w:styleId="54Subliterae2">
    <w:name w:val="54_Sublitera_e2"/>
    <w:basedOn w:val="00LegStandard"/>
    <w:semiHidden/>
    <w:rsid w:val="00643B44"/>
    <w:pPr>
      <w:tabs>
        <w:tab w:val="right" w:pos="851"/>
        <w:tab w:val="left" w:pos="907"/>
      </w:tabs>
      <w:spacing w:before="40"/>
      <w:ind w:left="907" w:hanging="907"/>
    </w:pPr>
  </w:style>
  <w:style w:type="paragraph" w:customStyle="1" w:styleId="54Subliterae3">
    <w:name w:val="54_Sublitera_e3"/>
    <w:basedOn w:val="00LegStandard"/>
    <w:semiHidden/>
    <w:rsid w:val="00643B44"/>
    <w:pPr>
      <w:tabs>
        <w:tab w:val="right" w:pos="1191"/>
        <w:tab w:val="left" w:pos="1247"/>
      </w:tabs>
      <w:spacing w:before="40"/>
      <w:ind w:left="1247" w:hanging="1247"/>
    </w:pPr>
  </w:style>
  <w:style w:type="paragraph" w:customStyle="1" w:styleId="54Subliterae4">
    <w:name w:val="54_Sublitera_e4"/>
    <w:basedOn w:val="00LegStandard"/>
    <w:semiHidden/>
    <w:rsid w:val="00643B44"/>
    <w:pPr>
      <w:tabs>
        <w:tab w:val="right" w:pos="1588"/>
        <w:tab w:val="left" w:pos="1644"/>
      </w:tabs>
      <w:spacing w:before="40"/>
      <w:ind w:left="1644" w:hanging="1644"/>
    </w:pPr>
  </w:style>
  <w:style w:type="paragraph" w:customStyle="1" w:styleId="54Subliterae5">
    <w:name w:val="54_Sublitera_e5"/>
    <w:basedOn w:val="00LegStandard"/>
    <w:semiHidden/>
    <w:rsid w:val="00643B44"/>
    <w:pPr>
      <w:tabs>
        <w:tab w:val="right" w:pos="1928"/>
        <w:tab w:val="left" w:pos="1985"/>
      </w:tabs>
      <w:spacing w:before="40"/>
      <w:ind w:left="1985" w:hanging="1985"/>
    </w:pPr>
  </w:style>
  <w:style w:type="paragraph" w:customStyle="1" w:styleId="54SubliteramitBetrag">
    <w:name w:val="54_Sublitera_mit_Betrag"/>
    <w:basedOn w:val="52ZiffermitBetrag"/>
    <w:semiHidden/>
    <w:rsid w:val="00643B44"/>
    <w:pPr>
      <w:tabs>
        <w:tab w:val="clear" w:pos="624"/>
        <w:tab w:val="clear" w:pos="680"/>
        <w:tab w:val="right" w:pos="1191"/>
        <w:tab w:val="left" w:pos="1247"/>
      </w:tabs>
      <w:ind w:left="1247" w:right="1066" w:hanging="1247"/>
    </w:pPr>
  </w:style>
  <w:style w:type="paragraph" w:customStyle="1" w:styleId="54aStriche1">
    <w:name w:val="54a_Strich_e1"/>
    <w:basedOn w:val="00LegStandard"/>
    <w:semiHidden/>
    <w:rsid w:val="00643B44"/>
    <w:pPr>
      <w:tabs>
        <w:tab w:val="right" w:pos="624"/>
        <w:tab w:val="left" w:pos="680"/>
      </w:tabs>
      <w:spacing w:before="40"/>
      <w:ind w:left="680" w:hanging="680"/>
    </w:pPr>
  </w:style>
  <w:style w:type="paragraph" w:customStyle="1" w:styleId="54aStriche2">
    <w:name w:val="54a_Strich_e2"/>
    <w:basedOn w:val="00LegStandard"/>
    <w:semiHidden/>
    <w:rsid w:val="00643B44"/>
    <w:pPr>
      <w:tabs>
        <w:tab w:val="right" w:pos="851"/>
        <w:tab w:val="left" w:pos="907"/>
      </w:tabs>
      <w:spacing w:before="40"/>
      <w:ind w:left="907" w:hanging="907"/>
    </w:pPr>
  </w:style>
  <w:style w:type="paragraph" w:customStyle="1" w:styleId="54aStriche3">
    <w:name w:val="54a_Strich_e3"/>
    <w:basedOn w:val="00LegStandard"/>
    <w:semiHidden/>
    <w:qFormat/>
    <w:rsid w:val="00643B44"/>
    <w:pPr>
      <w:tabs>
        <w:tab w:val="right" w:pos="1191"/>
        <w:tab w:val="left" w:pos="1247"/>
      </w:tabs>
      <w:spacing w:before="40"/>
      <w:ind w:left="1247" w:hanging="1247"/>
    </w:pPr>
  </w:style>
  <w:style w:type="paragraph" w:customStyle="1" w:styleId="54aStriche4">
    <w:name w:val="54a_Strich_e4"/>
    <w:basedOn w:val="00LegStandard"/>
    <w:semiHidden/>
    <w:rsid w:val="00643B44"/>
    <w:pPr>
      <w:tabs>
        <w:tab w:val="right" w:pos="1588"/>
        <w:tab w:val="left" w:pos="1644"/>
      </w:tabs>
      <w:spacing w:before="40"/>
      <w:ind w:left="1644" w:hanging="1644"/>
    </w:pPr>
  </w:style>
  <w:style w:type="paragraph" w:customStyle="1" w:styleId="54aStriche5">
    <w:name w:val="54a_Strich_e5"/>
    <w:basedOn w:val="00LegStandard"/>
    <w:semiHidden/>
    <w:rsid w:val="00643B44"/>
    <w:pPr>
      <w:tabs>
        <w:tab w:val="right" w:pos="1928"/>
        <w:tab w:val="left" w:pos="1985"/>
      </w:tabs>
      <w:spacing w:before="40"/>
      <w:ind w:left="1985" w:hanging="1985"/>
    </w:pPr>
  </w:style>
  <w:style w:type="paragraph" w:customStyle="1" w:styleId="54aStriche6">
    <w:name w:val="54a_Strich_e6"/>
    <w:basedOn w:val="00LegStandard"/>
    <w:semiHidden/>
    <w:rsid w:val="00643B44"/>
    <w:pPr>
      <w:tabs>
        <w:tab w:val="right" w:pos="2268"/>
        <w:tab w:val="left" w:pos="2325"/>
      </w:tabs>
      <w:spacing w:before="40"/>
      <w:ind w:left="2325" w:hanging="2325"/>
    </w:pPr>
  </w:style>
  <w:style w:type="paragraph" w:customStyle="1" w:styleId="54aStriche7">
    <w:name w:val="54a_Strich_e7"/>
    <w:basedOn w:val="00LegStandard"/>
    <w:semiHidden/>
    <w:rsid w:val="00643B44"/>
    <w:pPr>
      <w:tabs>
        <w:tab w:val="right" w:pos="2608"/>
        <w:tab w:val="left" w:pos="2665"/>
      </w:tabs>
      <w:spacing w:before="40"/>
      <w:ind w:left="2665" w:hanging="2665"/>
    </w:pPr>
  </w:style>
  <w:style w:type="paragraph" w:customStyle="1" w:styleId="54aTSubliteramitBetragTGUE">
    <w:name w:val="54aT_Sublitera_mit_Betrag_TGUE"/>
    <w:basedOn w:val="54SubliteramitBetrag"/>
    <w:semiHidden/>
    <w:rsid w:val="00643B44"/>
    <w:pPr>
      <w:tabs>
        <w:tab w:val="clear" w:pos="6663"/>
        <w:tab w:val="clear" w:pos="8505"/>
        <w:tab w:val="right" w:leader="dot" w:pos="4678"/>
        <w:tab w:val="right" w:leader="dot" w:pos="6521"/>
      </w:tabs>
    </w:pPr>
  </w:style>
  <w:style w:type="paragraph" w:customStyle="1" w:styleId="55SchlussteilAbs">
    <w:name w:val="55_SchlussteilAbs"/>
    <w:basedOn w:val="00LegStandard"/>
    <w:next w:val="51Abs"/>
    <w:semiHidden/>
    <w:rsid w:val="00643B44"/>
    <w:pPr>
      <w:spacing w:before="40"/>
    </w:pPr>
  </w:style>
  <w:style w:type="paragraph" w:customStyle="1" w:styleId="56SchlussteilZiff">
    <w:name w:val="56_SchlussteilZiff"/>
    <w:basedOn w:val="00LegStandard"/>
    <w:next w:val="51Abs"/>
    <w:semiHidden/>
    <w:rsid w:val="00643B44"/>
    <w:pPr>
      <w:spacing w:before="40"/>
      <w:ind w:left="680"/>
    </w:pPr>
  </w:style>
  <w:style w:type="paragraph" w:customStyle="1" w:styleId="57SchlussteilLit">
    <w:name w:val="57_SchlussteilLit"/>
    <w:basedOn w:val="00LegStandard"/>
    <w:next w:val="51Abs"/>
    <w:semiHidden/>
    <w:rsid w:val="00643B44"/>
    <w:pPr>
      <w:spacing w:before="40"/>
      <w:ind w:left="907"/>
    </w:pPr>
  </w:style>
  <w:style w:type="paragraph" w:customStyle="1" w:styleId="61TabText">
    <w:name w:val="61_TabText"/>
    <w:basedOn w:val="00LegStandard"/>
    <w:rsid w:val="00643B44"/>
    <w:pPr>
      <w:jc w:val="left"/>
    </w:pPr>
  </w:style>
  <w:style w:type="paragraph" w:customStyle="1" w:styleId="61aTabTextRechtsb">
    <w:name w:val="61a_TabTextRechtsb"/>
    <w:basedOn w:val="61TabText"/>
    <w:rsid w:val="00643B44"/>
    <w:pPr>
      <w:jc w:val="right"/>
    </w:pPr>
  </w:style>
  <w:style w:type="paragraph" w:customStyle="1" w:styleId="61bTabTextZentriert">
    <w:name w:val="61b_TabTextZentriert"/>
    <w:basedOn w:val="61TabText"/>
    <w:rsid w:val="00643B44"/>
    <w:pPr>
      <w:jc w:val="center"/>
    </w:pPr>
  </w:style>
  <w:style w:type="paragraph" w:customStyle="1" w:styleId="61cTabTextBlock">
    <w:name w:val="61c_TabTextBlock"/>
    <w:basedOn w:val="61TabText"/>
    <w:rsid w:val="00643B44"/>
    <w:pPr>
      <w:jc w:val="both"/>
    </w:pPr>
  </w:style>
  <w:style w:type="paragraph" w:customStyle="1" w:styleId="62Kopfzeile">
    <w:name w:val="62_Kopfzeile"/>
    <w:basedOn w:val="51Abs"/>
    <w:rsid w:val="00643B44"/>
    <w:pPr>
      <w:tabs>
        <w:tab w:val="center" w:pos="4253"/>
        <w:tab w:val="right" w:pos="8505"/>
      </w:tabs>
      <w:ind w:firstLine="0"/>
    </w:pPr>
  </w:style>
  <w:style w:type="paragraph" w:customStyle="1" w:styleId="65FNText">
    <w:name w:val="65_FN_Text"/>
    <w:basedOn w:val="00LegStandard"/>
    <w:rsid w:val="00643B44"/>
    <w:rPr>
      <w:sz w:val="18"/>
    </w:rPr>
  </w:style>
  <w:style w:type="paragraph" w:customStyle="1" w:styleId="63Fuzeile">
    <w:name w:val="63_Fußzeile"/>
    <w:basedOn w:val="65FNText"/>
    <w:rsid w:val="00643B44"/>
    <w:pPr>
      <w:tabs>
        <w:tab w:val="center" w:pos="4253"/>
        <w:tab w:val="right" w:pos="8505"/>
      </w:tabs>
    </w:pPr>
  </w:style>
  <w:style w:type="character" w:customStyle="1" w:styleId="66FNZeichen">
    <w:name w:val="66_FN_Zeichen"/>
    <w:rsid w:val="00643B44"/>
    <w:rPr>
      <w:sz w:val="20"/>
      <w:szCs w:val="20"/>
      <w:vertAlign w:val="superscript"/>
    </w:rPr>
  </w:style>
  <w:style w:type="paragraph" w:customStyle="1" w:styleId="68UnterschrL">
    <w:name w:val="68_UnterschrL"/>
    <w:basedOn w:val="00LegStandard"/>
    <w:rsid w:val="00643B44"/>
    <w:pPr>
      <w:spacing w:before="160"/>
      <w:jc w:val="left"/>
    </w:pPr>
    <w:rPr>
      <w:b/>
    </w:rPr>
  </w:style>
  <w:style w:type="paragraph" w:customStyle="1" w:styleId="69UnterschrM">
    <w:name w:val="69_UnterschrM"/>
    <w:basedOn w:val="68UnterschrL"/>
    <w:rsid w:val="00643B44"/>
    <w:pPr>
      <w:jc w:val="center"/>
    </w:pPr>
  </w:style>
  <w:style w:type="paragraph" w:customStyle="1" w:styleId="71Anlagenbez">
    <w:name w:val="71_Anlagenbez"/>
    <w:basedOn w:val="00LegStandard"/>
    <w:rsid w:val="00643B44"/>
    <w:pPr>
      <w:spacing w:before="160"/>
      <w:jc w:val="right"/>
      <w:outlineLvl w:val="0"/>
    </w:pPr>
    <w:rPr>
      <w:b/>
      <w:sz w:val="22"/>
    </w:rPr>
  </w:style>
  <w:style w:type="paragraph" w:customStyle="1" w:styleId="81ErlUeberschrZ">
    <w:name w:val="81_ErlUeberschrZ"/>
    <w:basedOn w:val="00LegStandard"/>
    <w:next w:val="83ErlText"/>
    <w:rsid w:val="00643B44"/>
    <w:pPr>
      <w:keepNext/>
      <w:spacing w:before="320"/>
      <w:jc w:val="center"/>
      <w:outlineLvl w:val="0"/>
    </w:pPr>
    <w:rPr>
      <w:b/>
      <w:sz w:val="22"/>
    </w:rPr>
  </w:style>
  <w:style w:type="paragraph" w:customStyle="1" w:styleId="82ErlUeberschrL">
    <w:name w:val="82_ErlUeberschrL"/>
    <w:basedOn w:val="00LegStandard"/>
    <w:next w:val="83ErlText"/>
    <w:rsid w:val="00643B44"/>
    <w:pPr>
      <w:keepNext/>
      <w:spacing w:before="80"/>
      <w:outlineLvl w:val="1"/>
    </w:pPr>
    <w:rPr>
      <w:b/>
    </w:rPr>
  </w:style>
  <w:style w:type="paragraph" w:customStyle="1" w:styleId="83ErlText">
    <w:name w:val="83_ErlText"/>
    <w:basedOn w:val="00LegStandard"/>
    <w:rsid w:val="00643B44"/>
    <w:pPr>
      <w:spacing w:before="80"/>
    </w:pPr>
  </w:style>
  <w:style w:type="paragraph" w:customStyle="1" w:styleId="85ErlAufzaehlg">
    <w:name w:val="85_ErlAufzaehlg"/>
    <w:basedOn w:val="83ErlText"/>
    <w:rsid w:val="00643B44"/>
    <w:pPr>
      <w:tabs>
        <w:tab w:val="left" w:pos="397"/>
      </w:tabs>
      <w:ind w:left="397" w:hanging="397"/>
    </w:pPr>
  </w:style>
  <w:style w:type="paragraph" w:customStyle="1" w:styleId="89TGUEUeberschrSpalte">
    <w:name w:val="89_TGUE_UeberschrSpalte"/>
    <w:basedOn w:val="00LegStandard"/>
    <w:rsid w:val="00643B44"/>
    <w:pPr>
      <w:keepNext/>
      <w:spacing w:before="80"/>
      <w:jc w:val="center"/>
    </w:pPr>
    <w:rPr>
      <w:b/>
    </w:rPr>
  </w:style>
  <w:style w:type="character" w:customStyle="1" w:styleId="990Fehler">
    <w:name w:val="990_Fehler"/>
    <w:basedOn w:val="DefaultParagraphFont"/>
    <w:semiHidden/>
    <w:locked/>
    <w:rsid w:val="00643B44"/>
    <w:rPr>
      <w:color w:val="FF0000"/>
    </w:rPr>
  </w:style>
  <w:style w:type="character" w:customStyle="1" w:styleId="991GldSymbol">
    <w:name w:val="991_GldSymbol"/>
    <w:rsid w:val="00643B44"/>
    <w:rPr>
      <w:b/>
      <w:color w:val="000000"/>
    </w:rPr>
  </w:style>
  <w:style w:type="character" w:customStyle="1" w:styleId="992Normal">
    <w:name w:val="992_Normal"/>
    <w:rsid w:val="00643B44"/>
    <w:rPr>
      <w:dstrike w:val="0"/>
      <w:vertAlign w:val="baseline"/>
    </w:rPr>
  </w:style>
  <w:style w:type="character" w:customStyle="1" w:styleId="992bNormalundFett">
    <w:name w:val="992b_Normal_und_Fett"/>
    <w:basedOn w:val="992Normal"/>
    <w:rsid w:val="00643B44"/>
    <w:rPr>
      <w:b/>
      <w:dstrike w:val="0"/>
      <w:vertAlign w:val="baseline"/>
    </w:rPr>
  </w:style>
  <w:style w:type="character" w:customStyle="1" w:styleId="993Fett">
    <w:name w:val="993_Fett"/>
    <w:rsid w:val="00643B44"/>
    <w:rPr>
      <w:b/>
    </w:rPr>
  </w:style>
  <w:style w:type="character" w:customStyle="1" w:styleId="994Kursiv">
    <w:name w:val="994_Kursiv"/>
    <w:rsid w:val="00643B44"/>
    <w:rPr>
      <w:i/>
    </w:rPr>
  </w:style>
  <w:style w:type="character" w:customStyle="1" w:styleId="995Unterstrichen">
    <w:name w:val="995_Unterstrichen"/>
    <w:rsid w:val="00643B44"/>
    <w:rPr>
      <w:u w:val="single"/>
    </w:rPr>
  </w:style>
  <w:style w:type="character" w:customStyle="1" w:styleId="996Gesperrt">
    <w:name w:val="996_Gesperrt"/>
    <w:rsid w:val="00643B44"/>
    <w:rPr>
      <w:spacing w:val="26"/>
    </w:rPr>
  </w:style>
  <w:style w:type="character" w:customStyle="1" w:styleId="997Hoch">
    <w:name w:val="997_Hoch"/>
    <w:rsid w:val="00643B44"/>
    <w:rPr>
      <w:vertAlign w:val="superscript"/>
    </w:rPr>
  </w:style>
  <w:style w:type="character" w:customStyle="1" w:styleId="998Tief">
    <w:name w:val="998_Tief"/>
    <w:rsid w:val="00643B44"/>
    <w:rPr>
      <w:vertAlign w:val="subscript"/>
    </w:rPr>
  </w:style>
  <w:style w:type="character" w:customStyle="1" w:styleId="999FettundKursiv">
    <w:name w:val="999_Fett_und_Kursiv"/>
    <w:basedOn w:val="DefaultParagraphFont"/>
    <w:rsid w:val="00643B44"/>
    <w:rPr>
      <w:b/>
      <w:i/>
    </w:rPr>
  </w:style>
  <w:style w:type="character" w:styleId="CommentReference">
    <w:name w:val="annotation reference"/>
    <w:basedOn w:val="DefaultParagraphFont"/>
    <w:semiHidden/>
    <w:locked/>
    <w:rsid w:val="00643B44"/>
    <w:rPr>
      <w:color w:val="FF0000"/>
      <w:sz w:val="16"/>
      <w:szCs w:val="16"/>
    </w:rPr>
  </w:style>
  <w:style w:type="paragraph" w:customStyle="1" w:styleId="PDAntragsformel">
    <w:name w:val="PD_Antragsformel"/>
    <w:basedOn w:val="Normal"/>
    <w:rsid w:val="00643B44"/>
    <w:pPr>
      <w:spacing w:before="280" w:line="220" w:lineRule="exact"/>
      <w:jc w:val="both"/>
    </w:pPr>
    <w:rPr>
      <w:rFonts w:eastAsia="Times New Roman"/>
      <w:lang w:eastAsia="en-US"/>
    </w:rPr>
  </w:style>
  <w:style w:type="paragraph" w:customStyle="1" w:styleId="PDAllonge">
    <w:name w:val="PD_Allonge"/>
    <w:basedOn w:val="PDAntragsformel"/>
    <w:rsid w:val="00643B44"/>
    <w:pPr>
      <w:spacing w:after="200" w:line="240" w:lineRule="auto"/>
      <w:jc w:val="center"/>
    </w:pPr>
    <w:rPr>
      <w:sz w:val="28"/>
    </w:rPr>
  </w:style>
  <w:style w:type="paragraph" w:customStyle="1" w:styleId="PDAllongeB">
    <w:name w:val="PD_Allonge_B"/>
    <w:basedOn w:val="PDAllonge"/>
    <w:rsid w:val="00643B44"/>
    <w:pPr>
      <w:jc w:val="both"/>
    </w:pPr>
  </w:style>
  <w:style w:type="paragraph" w:customStyle="1" w:styleId="PDAllongeL">
    <w:name w:val="PD_Allonge_L"/>
    <w:basedOn w:val="PDAllonge"/>
    <w:rsid w:val="00643B44"/>
    <w:pPr>
      <w:jc w:val="left"/>
    </w:pPr>
  </w:style>
  <w:style w:type="paragraph" w:customStyle="1" w:styleId="PDBrief">
    <w:name w:val="PD_Brief"/>
    <w:basedOn w:val="00LegStandard"/>
    <w:rsid w:val="00643B44"/>
    <w:pPr>
      <w:spacing w:before="80" w:line="240" w:lineRule="auto"/>
    </w:pPr>
    <w:rPr>
      <w:sz w:val="22"/>
    </w:rPr>
  </w:style>
  <w:style w:type="paragraph" w:customStyle="1" w:styleId="PDDatum">
    <w:name w:val="PD_Datum"/>
    <w:basedOn w:val="PDAntragsformel"/>
    <w:next w:val="Normal"/>
    <w:rsid w:val="00643B44"/>
  </w:style>
  <w:style w:type="paragraph" w:customStyle="1" w:styleId="PDEntschliessung">
    <w:name w:val="PD_Entschliessung"/>
    <w:basedOn w:val="00LegStandard"/>
    <w:rsid w:val="00643B44"/>
    <w:pPr>
      <w:spacing w:before="160"/>
    </w:pPr>
    <w:rPr>
      <w:b/>
      <w:snapToGrid/>
      <w:sz w:val="22"/>
      <w:lang w:eastAsia="en-US"/>
    </w:rPr>
  </w:style>
  <w:style w:type="paragraph" w:customStyle="1" w:styleId="PDK1">
    <w:name w:val="PD_K1"/>
    <w:next w:val="PDK1Ausg"/>
    <w:rsid w:val="00643B44"/>
    <w:pPr>
      <w:pBdr>
        <w:bottom w:val="single" w:sz="12" w:space="1" w:color="auto"/>
      </w:pBdr>
      <w:spacing w:after="0" w:line="240" w:lineRule="auto"/>
      <w:jc w:val="center"/>
    </w:pPr>
    <w:rPr>
      <w:rFonts w:ascii="Times New Roman" w:eastAsia="Times New Roman" w:hAnsi="Times New Roman" w:cs="Times New Roman"/>
      <w:b/>
      <w:noProof/>
      <w:color w:val="000000" w:themeColor="text1"/>
      <w:spacing w:val="-8"/>
      <w:sz w:val="24"/>
      <w:szCs w:val="20"/>
    </w:rPr>
  </w:style>
  <w:style w:type="paragraph" w:customStyle="1" w:styleId="PDK1Anlage">
    <w:name w:val="PD_K1Anlage"/>
    <w:basedOn w:val="PDK1"/>
    <w:next w:val="PDK1Ausg"/>
    <w:rsid w:val="00643B44"/>
    <w:pPr>
      <w:pBdr>
        <w:bottom w:val="none" w:sz="0" w:space="0" w:color="auto"/>
      </w:pBdr>
      <w:jc w:val="right"/>
    </w:pPr>
  </w:style>
  <w:style w:type="paragraph" w:customStyle="1" w:styleId="PDK1Ausg">
    <w:name w:val="PD_K1Ausg"/>
    <w:next w:val="Normal"/>
    <w:rsid w:val="00643B44"/>
    <w:pPr>
      <w:spacing w:before="1285" w:after="540" w:line="240" w:lineRule="auto"/>
    </w:pPr>
    <w:rPr>
      <w:rFonts w:ascii="Times New Roman" w:eastAsia="Times New Roman" w:hAnsi="Times New Roman" w:cs="Times New Roman"/>
      <w:b/>
      <w:noProof/>
      <w:color w:val="000000" w:themeColor="text1"/>
      <w:sz w:val="22"/>
      <w:szCs w:val="20"/>
    </w:rPr>
  </w:style>
  <w:style w:type="paragraph" w:customStyle="1" w:styleId="PDK2">
    <w:name w:val="PD_K2"/>
    <w:basedOn w:val="PDK1"/>
    <w:next w:val="Normal"/>
    <w:rsid w:val="00643B44"/>
    <w:pPr>
      <w:pBdr>
        <w:bottom w:val="none" w:sz="0" w:space="0" w:color="auto"/>
      </w:pBdr>
      <w:spacing w:after="227"/>
      <w:jc w:val="left"/>
    </w:pPr>
    <w:rPr>
      <w:spacing w:val="0"/>
      <w:sz w:val="44"/>
    </w:rPr>
  </w:style>
  <w:style w:type="paragraph" w:customStyle="1" w:styleId="PDK3">
    <w:name w:val="PD_K3"/>
    <w:basedOn w:val="PDK2"/>
    <w:next w:val="PDVorlage"/>
    <w:rsid w:val="00643B44"/>
    <w:pPr>
      <w:spacing w:after="400"/>
    </w:pPr>
    <w:rPr>
      <w:sz w:val="36"/>
    </w:rPr>
  </w:style>
  <w:style w:type="paragraph" w:customStyle="1" w:styleId="PDK4">
    <w:name w:val="PD_K4"/>
    <w:basedOn w:val="PDK3"/>
    <w:rsid w:val="00643B44"/>
    <w:pPr>
      <w:spacing w:after="120"/>
    </w:pPr>
    <w:rPr>
      <w:sz w:val="26"/>
    </w:rPr>
  </w:style>
  <w:style w:type="paragraph" w:customStyle="1" w:styleId="PDKopfzeile">
    <w:name w:val="PD_Kopfzeile"/>
    <w:basedOn w:val="51Abs"/>
    <w:rsid w:val="00643B44"/>
    <w:pPr>
      <w:tabs>
        <w:tab w:val="center" w:pos="4253"/>
        <w:tab w:val="right" w:pos="8505"/>
      </w:tabs>
    </w:pPr>
    <w:rPr>
      <w:snapToGrid/>
    </w:rPr>
  </w:style>
  <w:style w:type="paragraph" w:customStyle="1" w:styleId="PDU1">
    <w:name w:val="PD_U1"/>
    <w:basedOn w:val="00LegStandard"/>
    <w:next w:val="Normal"/>
    <w:rsid w:val="00643B44"/>
    <w:pPr>
      <w:tabs>
        <w:tab w:val="center" w:pos="2126"/>
        <w:tab w:val="center" w:pos="6379"/>
      </w:tabs>
      <w:spacing w:before="440"/>
    </w:pPr>
    <w:rPr>
      <w:b/>
    </w:rPr>
  </w:style>
  <w:style w:type="paragraph" w:customStyle="1" w:styleId="PDU2">
    <w:name w:val="PD_U2"/>
    <w:basedOn w:val="PDU1"/>
    <w:rsid w:val="00643B44"/>
    <w:pPr>
      <w:spacing w:before="100"/>
    </w:pPr>
    <w:rPr>
      <w:b w:val="0"/>
      <w:sz w:val="18"/>
    </w:rPr>
  </w:style>
  <w:style w:type="paragraph" w:customStyle="1" w:styleId="PDU3">
    <w:name w:val="PD_U3"/>
    <w:basedOn w:val="PDU2"/>
    <w:rsid w:val="00643B44"/>
    <w:pPr>
      <w:tabs>
        <w:tab w:val="clear" w:pos="2126"/>
        <w:tab w:val="clear" w:pos="6379"/>
        <w:tab w:val="center" w:pos="4536"/>
      </w:tabs>
      <w:jc w:val="center"/>
    </w:pPr>
  </w:style>
  <w:style w:type="paragraph" w:customStyle="1" w:styleId="PDVorlage">
    <w:name w:val="PD_Vorlage"/>
    <w:basedOn w:val="11Titel"/>
    <w:next w:val="Normal"/>
    <w:rsid w:val="00643B44"/>
    <w:pPr>
      <w:spacing w:before="0" w:after="360"/>
    </w:pPr>
    <w:rPr>
      <w:lang w:eastAsia="en-US"/>
    </w:rPr>
  </w:style>
  <w:style w:type="paragraph" w:customStyle="1" w:styleId="62KopfzeileQuer">
    <w:name w:val="62_KopfzeileQuer"/>
    <w:basedOn w:val="51Abs"/>
    <w:rsid w:val="00643B44"/>
    <w:pPr>
      <w:tabs>
        <w:tab w:val="center" w:pos="6719"/>
        <w:tab w:val="right" w:pos="13438"/>
      </w:tabs>
      <w:ind w:firstLine="0"/>
    </w:pPr>
  </w:style>
  <w:style w:type="paragraph" w:customStyle="1" w:styleId="63FuzeileQuer">
    <w:name w:val="63_FußzeileQuer"/>
    <w:basedOn w:val="65FNText"/>
    <w:rsid w:val="00643B44"/>
    <w:pPr>
      <w:tabs>
        <w:tab w:val="center" w:pos="6719"/>
        <w:tab w:val="right" w:pos="13438"/>
      </w:tabs>
    </w:pPr>
  </w:style>
  <w:style w:type="paragraph" w:customStyle="1" w:styleId="57Schlussteile1">
    <w:name w:val="57_Schlussteil_e1"/>
    <w:basedOn w:val="00LegStandard"/>
    <w:next w:val="51Abs"/>
    <w:rsid w:val="00643B44"/>
    <w:pPr>
      <w:spacing w:before="40"/>
      <w:ind w:left="454"/>
    </w:pPr>
  </w:style>
  <w:style w:type="paragraph" w:customStyle="1" w:styleId="57Schlussteile4">
    <w:name w:val="57_Schlussteil_e4"/>
    <w:basedOn w:val="00LegStandard"/>
    <w:next w:val="51Abs"/>
    <w:semiHidden/>
    <w:rsid w:val="00643B44"/>
    <w:pPr>
      <w:spacing w:before="40"/>
      <w:ind w:left="1247"/>
    </w:pPr>
    <w:rPr>
      <w:snapToGrid/>
    </w:rPr>
  </w:style>
  <w:style w:type="paragraph" w:customStyle="1" w:styleId="57Schlussteile5">
    <w:name w:val="57_Schlussteil_e5"/>
    <w:basedOn w:val="00LegStandard"/>
    <w:next w:val="51Abs"/>
    <w:semiHidden/>
    <w:rsid w:val="00643B44"/>
    <w:pPr>
      <w:spacing w:before="40"/>
      <w:ind w:left="1644"/>
    </w:pPr>
    <w:rPr>
      <w:snapToGrid/>
    </w:rPr>
  </w:style>
  <w:style w:type="paragraph" w:customStyle="1" w:styleId="32InhaltEintragEinzug">
    <w:name w:val="32_InhaltEintragEinzug"/>
    <w:basedOn w:val="32InhaltEintrag"/>
    <w:rsid w:val="00643B44"/>
    <w:pPr>
      <w:tabs>
        <w:tab w:val="right" w:pos="1021"/>
        <w:tab w:val="left" w:pos="1191"/>
      </w:tabs>
      <w:ind w:left="1191" w:hanging="1191"/>
    </w:pPr>
  </w:style>
  <w:style w:type="paragraph" w:customStyle="1" w:styleId="52Aufzaehle1Ziffer">
    <w:name w:val="52_Aufzaehl_e1_Ziffer"/>
    <w:basedOn w:val="00LegStandard"/>
    <w:qFormat/>
    <w:rsid w:val="00643B44"/>
    <w:pPr>
      <w:tabs>
        <w:tab w:val="right" w:pos="624"/>
        <w:tab w:val="left" w:pos="680"/>
      </w:tabs>
      <w:spacing w:before="40"/>
      <w:ind w:left="680" w:hanging="680"/>
    </w:pPr>
    <w:rPr>
      <w:lang w:eastAsia="de-AT"/>
    </w:rPr>
  </w:style>
  <w:style w:type="paragraph" w:customStyle="1" w:styleId="52Aufzaehle1ZiffermitBetrag">
    <w:name w:val="52_Aufzaehl_e1_Ziffer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680" w:right="1066" w:hanging="680"/>
      <w:textAlignment w:val="baseline"/>
    </w:pPr>
    <w:rPr>
      <w:lang w:eastAsia="de-AT"/>
    </w:rPr>
  </w:style>
  <w:style w:type="paragraph" w:customStyle="1" w:styleId="52Aufzaehle1ZiffermitBetragTGUE">
    <w:name w:val="52_Aufzaehl_e1_Ziffer_mit_Betrag_TGUE"/>
    <w:basedOn w:val="52Aufzaehle1ZiffermitBetrag"/>
    <w:rsid w:val="00643B44"/>
    <w:pPr>
      <w:tabs>
        <w:tab w:val="clear" w:pos="6663"/>
        <w:tab w:val="clear" w:pos="8505"/>
        <w:tab w:val="right" w:leader="dot" w:pos="4678"/>
        <w:tab w:val="right" w:leader="dot" w:pos="6521"/>
      </w:tabs>
    </w:pPr>
  </w:style>
  <w:style w:type="paragraph" w:customStyle="1" w:styleId="52Aufzaehle2Lit">
    <w:name w:val="52_Aufzaehl_e2_Lit"/>
    <w:basedOn w:val="00LegStandard"/>
    <w:rsid w:val="00643B44"/>
    <w:pPr>
      <w:tabs>
        <w:tab w:val="right" w:pos="851"/>
        <w:tab w:val="left" w:pos="907"/>
      </w:tabs>
      <w:spacing w:before="40"/>
      <w:ind w:left="907" w:hanging="907"/>
    </w:pPr>
    <w:rPr>
      <w:lang w:eastAsia="de-AT"/>
    </w:rPr>
  </w:style>
  <w:style w:type="paragraph" w:customStyle="1" w:styleId="52Aufzaehle2LitmitBetrag">
    <w:name w:val="52_Aufzaehl_e2_Lit_mit_Betrag"/>
    <w:basedOn w:val="52Aufzaehle1ZiffermitBetrag"/>
    <w:rsid w:val="00643B44"/>
    <w:pPr>
      <w:tabs>
        <w:tab w:val="clear" w:pos="624"/>
        <w:tab w:val="clear" w:pos="680"/>
        <w:tab w:val="right" w:pos="851"/>
        <w:tab w:val="left" w:pos="907"/>
      </w:tabs>
      <w:ind w:left="907" w:hanging="907"/>
    </w:pPr>
  </w:style>
  <w:style w:type="paragraph" w:customStyle="1" w:styleId="52Aufzaehle2LitmitBetragTGUE">
    <w:name w:val="52_Aufzaehl_e2_Lit_mit_Betrag_TGUE"/>
    <w:basedOn w:val="52Aufzaehle2LitmitBetrag"/>
    <w:rsid w:val="00643B44"/>
    <w:pPr>
      <w:tabs>
        <w:tab w:val="clear" w:pos="6663"/>
        <w:tab w:val="clear" w:pos="8505"/>
        <w:tab w:val="right" w:leader="dot" w:pos="4678"/>
        <w:tab w:val="right" w:leader="dot" w:pos="6521"/>
      </w:tabs>
    </w:pPr>
  </w:style>
  <w:style w:type="paragraph" w:customStyle="1" w:styleId="52Aufzaehle3Sublit">
    <w:name w:val="52_Aufzaehl_e3_Sublit"/>
    <w:basedOn w:val="00LegStandard"/>
    <w:rsid w:val="00643B44"/>
    <w:pPr>
      <w:tabs>
        <w:tab w:val="right" w:pos="1191"/>
        <w:tab w:val="left" w:pos="1247"/>
      </w:tabs>
      <w:spacing w:before="40"/>
      <w:ind w:left="1247" w:hanging="1247"/>
    </w:pPr>
    <w:rPr>
      <w:lang w:eastAsia="de-AT"/>
    </w:rPr>
  </w:style>
  <w:style w:type="paragraph" w:customStyle="1" w:styleId="52Aufzaehle3SublitmitBetrag">
    <w:name w:val="52_Aufzaehl_e3_Sublit_mit_Betrag"/>
    <w:basedOn w:val="52Aufzaehle1ZiffermitBetrag"/>
    <w:rsid w:val="00643B44"/>
    <w:pPr>
      <w:tabs>
        <w:tab w:val="clear" w:pos="624"/>
        <w:tab w:val="clear" w:pos="680"/>
        <w:tab w:val="right" w:pos="1191"/>
        <w:tab w:val="left" w:pos="1247"/>
      </w:tabs>
      <w:ind w:left="1247" w:hanging="1247"/>
    </w:pPr>
  </w:style>
  <w:style w:type="paragraph" w:customStyle="1" w:styleId="52Aufzaehle3SublitmitBetragTGUE">
    <w:name w:val="52_Aufzaehl_e3_Sublit_mit_Betrag_TGUE"/>
    <w:basedOn w:val="52Aufzaehle3SublitmitBetrag"/>
    <w:rsid w:val="00643B44"/>
    <w:pPr>
      <w:tabs>
        <w:tab w:val="clear" w:pos="6663"/>
        <w:tab w:val="clear" w:pos="8505"/>
        <w:tab w:val="right" w:leader="dot" w:pos="4678"/>
        <w:tab w:val="right" w:leader="dot" w:pos="6521"/>
      </w:tabs>
    </w:pPr>
  </w:style>
  <w:style w:type="paragraph" w:customStyle="1" w:styleId="52Aufzaehle4Strich">
    <w:name w:val="52_Aufzaehl_e4_Strich"/>
    <w:basedOn w:val="00LegStandard"/>
    <w:rsid w:val="00643B44"/>
    <w:pPr>
      <w:tabs>
        <w:tab w:val="right" w:pos="1588"/>
        <w:tab w:val="left" w:pos="1644"/>
      </w:tabs>
      <w:spacing w:before="40"/>
      <w:ind w:left="1644" w:hanging="1644"/>
    </w:pPr>
    <w:rPr>
      <w:lang w:eastAsia="de-AT"/>
    </w:rPr>
  </w:style>
  <w:style w:type="paragraph" w:customStyle="1" w:styleId="52Aufzaehle4StrichmitBetrag">
    <w:name w:val="52_Aufzaehl_e4_Strich_mit_Betrag"/>
    <w:basedOn w:val="52Aufzaehle1ZiffermitBetrag"/>
    <w:rsid w:val="00643B44"/>
    <w:pPr>
      <w:tabs>
        <w:tab w:val="clear" w:pos="624"/>
        <w:tab w:val="clear" w:pos="680"/>
        <w:tab w:val="right" w:pos="1588"/>
        <w:tab w:val="left" w:pos="1644"/>
      </w:tabs>
      <w:ind w:left="1644" w:hanging="1644"/>
    </w:pPr>
  </w:style>
  <w:style w:type="paragraph" w:customStyle="1" w:styleId="52Aufzaehle4StrichmitBetragTGUE">
    <w:name w:val="52_Aufzaehl_e4_Strich_mit_Betrag_TGUE"/>
    <w:basedOn w:val="52Aufzaehle4StrichmitBetrag"/>
    <w:rsid w:val="00643B44"/>
    <w:pPr>
      <w:tabs>
        <w:tab w:val="clear" w:pos="6663"/>
        <w:tab w:val="clear" w:pos="8505"/>
        <w:tab w:val="right" w:leader="dot" w:pos="4678"/>
        <w:tab w:val="right" w:leader="dot" w:pos="6521"/>
      </w:tabs>
    </w:pPr>
  </w:style>
  <w:style w:type="paragraph" w:customStyle="1" w:styleId="52Aufzaehle5Strich">
    <w:name w:val="52_Aufzaehl_e5_Strich"/>
    <w:basedOn w:val="00LegStandard"/>
    <w:rsid w:val="00643B44"/>
    <w:pPr>
      <w:tabs>
        <w:tab w:val="right" w:pos="1928"/>
        <w:tab w:val="left" w:pos="1985"/>
      </w:tabs>
      <w:spacing w:before="40"/>
      <w:ind w:left="1985" w:hanging="1985"/>
    </w:pPr>
    <w:rPr>
      <w:lang w:eastAsia="de-AT"/>
    </w:rPr>
  </w:style>
  <w:style w:type="paragraph" w:customStyle="1" w:styleId="52Aufzaehle6Strich">
    <w:name w:val="52_Aufzaehl_e6_Strich"/>
    <w:basedOn w:val="00LegStandard"/>
    <w:rsid w:val="00643B44"/>
    <w:pPr>
      <w:tabs>
        <w:tab w:val="right" w:pos="2268"/>
        <w:tab w:val="left" w:pos="2325"/>
      </w:tabs>
      <w:spacing w:before="40"/>
      <w:ind w:left="2325" w:hanging="2325"/>
    </w:pPr>
    <w:rPr>
      <w:lang w:eastAsia="de-AT"/>
    </w:rPr>
  </w:style>
  <w:style w:type="paragraph" w:customStyle="1" w:styleId="52Aufzaehle7Strich">
    <w:name w:val="52_Aufzaehl_e7_Strich"/>
    <w:basedOn w:val="00LegStandard"/>
    <w:rsid w:val="00643B44"/>
    <w:pPr>
      <w:tabs>
        <w:tab w:val="right" w:pos="2608"/>
        <w:tab w:val="left" w:pos="2665"/>
      </w:tabs>
      <w:spacing w:before="40"/>
      <w:ind w:left="2665" w:hanging="2665"/>
    </w:pPr>
    <w:rPr>
      <w:lang w:eastAsia="de-AT"/>
    </w:rPr>
  </w:style>
  <w:style w:type="paragraph" w:customStyle="1" w:styleId="58Schlussteile0Abs">
    <w:name w:val="58_Schlussteil_e0_Abs"/>
    <w:basedOn w:val="00LegStandard"/>
    <w:next w:val="51Abs"/>
    <w:rsid w:val="00643B44"/>
    <w:pPr>
      <w:spacing w:before="40"/>
    </w:pPr>
    <w:rPr>
      <w:lang w:eastAsia="de-AT"/>
    </w:rPr>
  </w:style>
  <w:style w:type="paragraph" w:customStyle="1" w:styleId="58Schlussteile05">
    <w:name w:val="58_Schlussteil_e0.5"/>
    <w:basedOn w:val="00LegStandard"/>
    <w:next w:val="51Abs"/>
    <w:rsid w:val="00643B44"/>
    <w:pPr>
      <w:spacing w:before="40"/>
      <w:ind w:left="454"/>
    </w:pPr>
  </w:style>
  <w:style w:type="paragraph" w:customStyle="1" w:styleId="58Schlussteile05mitBetrag">
    <w:name w:val="58_Schlussteil_e0.5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454" w:right="1066"/>
      <w:textAlignment w:val="baseline"/>
    </w:pPr>
    <w:rPr>
      <w:lang w:eastAsia="de-AT"/>
    </w:rPr>
  </w:style>
  <w:style w:type="paragraph" w:customStyle="1" w:styleId="58Schlussteile05mitBetragTGUE">
    <w:name w:val="58_Schlussteil_e0.5_mit_Betrag_TGUE"/>
    <w:basedOn w:val="58Schlussteile05mitBetrag"/>
    <w:rsid w:val="00643B44"/>
    <w:pPr>
      <w:tabs>
        <w:tab w:val="clear" w:pos="6663"/>
        <w:tab w:val="clear" w:pos="8505"/>
        <w:tab w:val="right" w:leader="dot" w:pos="4678"/>
        <w:tab w:val="right" w:leader="dot" w:pos="6521"/>
      </w:tabs>
    </w:pPr>
  </w:style>
  <w:style w:type="paragraph" w:customStyle="1" w:styleId="58Schlussteile0AbsmitBetrag">
    <w:name w:val="58_Schlussteil_e0_Abs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right="1066"/>
      <w:textAlignment w:val="baseline"/>
    </w:pPr>
    <w:rPr>
      <w:lang w:eastAsia="de-AT"/>
    </w:rPr>
  </w:style>
  <w:style w:type="paragraph" w:customStyle="1" w:styleId="58Schlussteile0AbsmitBetragTGUE">
    <w:name w:val="58_Schlussteil_e0_Abs_mit_Betrag_TGUE"/>
    <w:basedOn w:val="58Schlussteile0AbsmitBetrag"/>
    <w:rsid w:val="00643B44"/>
    <w:pPr>
      <w:tabs>
        <w:tab w:val="clear" w:pos="6663"/>
        <w:tab w:val="clear" w:pos="8505"/>
        <w:tab w:val="right" w:leader="dot" w:pos="4678"/>
        <w:tab w:val="right" w:leader="dot" w:pos="6521"/>
      </w:tabs>
    </w:pPr>
  </w:style>
  <w:style w:type="paragraph" w:customStyle="1" w:styleId="58Schlussteile1Ziffer">
    <w:name w:val="58_Schlussteil_e1_Ziffer"/>
    <w:basedOn w:val="00LegStandard"/>
    <w:next w:val="51Abs"/>
    <w:rsid w:val="00643B44"/>
    <w:pPr>
      <w:spacing w:before="40"/>
      <w:ind w:left="680"/>
    </w:pPr>
    <w:rPr>
      <w:lang w:eastAsia="de-AT"/>
    </w:rPr>
  </w:style>
  <w:style w:type="paragraph" w:customStyle="1" w:styleId="58Schlussteile1ZiffermitBetrag">
    <w:name w:val="58_Schlussteil_e1_Ziffer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680" w:right="1066"/>
      <w:textAlignment w:val="baseline"/>
    </w:pPr>
    <w:rPr>
      <w:lang w:eastAsia="de-AT"/>
    </w:rPr>
  </w:style>
  <w:style w:type="paragraph" w:customStyle="1" w:styleId="58Schlussteile1ZiffermitBetragTGUE">
    <w:name w:val="58_Schlussteil_e1_Ziffer_mit_Betrag_TGUE"/>
    <w:basedOn w:val="58Schlussteile1ZiffermitBetrag"/>
    <w:rsid w:val="00643B44"/>
    <w:pPr>
      <w:tabs>
        <w:tab w:val="clear" w:pos="6663"/>
        <w:tab w:val="clear" w:pos="8505"/>
        <w:tab w:val="right" w:leader="dot" w:pos="4678"/>
        <w:tab w:val="right" w:leader="dot" w:pos="6521"/>
      </w:tabs>
    </w:pPr>
  </w:style>
  <w:style w:type="paragraph" w:customStyle="1" w:styleId="58Schlussteile2Lit">
    <w:name w:val="58_Schlussteil_e2_Lit"/>
    <w:basedOn w:val="00LegStandard"/>
    <w:next w:val="51Abs"/>
    <w:rsid w:val="00643B44"/>
    <w:pPr>
      <w:spacing w:before="40"/>
      <w:ind w:left="907"/>
    </w:pPr>
    <w:rPr>
      <w:lang w:eastAsia="de-AT"/>
    </w:rPr>
  </w:style>
  <w:style w:type="paragraph" w:customStyle="1" w:styleId="58Schlussteile2LitmitBetrag">
    <w:name w:val="58_Schlussteil_e2_Lit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907" w:right="1066"/>
      <w:textAlignment w:val="baseline"/>
    </w:pPr>
    <w:rPr>
      <w:lang w:eastAsia="de-AT"/>
    </w:rPr>
  </w:style>
  <w:style w:type="paragraph" w:customStyle="1" w:styleId="58Schlussteile2LitmitBetragTGUE">
    <w:name w:val="58_Schlussteil_e2_Lit_mit_Betrag_TGUE"/>
    <w:basedOn w:val="58Schlussteile2LitmitBetrag"/>
    <w:rsid w:val="00643B44"/>
    <w:pPr>
      <w:tabs>
        <w:tab w:val="clear" w:pos="6663"/>
        <w:tab w:val="clear" w:pos="8505"/>
        <w:tab w:val="right" w:leader="dot" w:pos="4678"/>
        <w:tab w:val="right" w:leader="dot" w:pos="6521"/>
      </w:tabs>
    </w:pPr>
  </w:style>
  <w:style w:type="paragraph" w:customStyle="1" w:styleId="58Schlussteile3Sublit">
    <w:name w:val="58_Schlussteil_e3_Sublit"/>
    <w:basedOn w:val="00LegStandard"/>
    <w:next w:val="51Abs"/>
    <w:rsid w:val="00643B44"/>
    <w:pPr>
      <w:spacing w:before="40"/>
      <w:ind w:left="1247"/>
    </w:pPr>
  </w:style>
  <w:style w:type="paragraph" w:customStyle="1" w:styleId="58Schlussteile3SublitmitBetrag">
    <w:name w:val="58_Schlussteil_e3_Sublit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247" w:right="1066"/>
      <w:textAlignment w:val="baseline"/>
    </w:pPr>
    <w:rPr>
      <w:lang w:eastAsia="de-AT"/>
    </w:rPr>
  </w:style>
  <w:style w:type="paragraph" w:customStyle="1" w:styleId="58Schlussteile3SublitmitBetragTGUE">
    <w:name w:val="58_Schlussteil_e3_Sublit_mit_Betrag_TGUE"/>
    <w:basedOn w:val="58Schlussteile3SublitmitBetrag"/>
    <w:rsid w:val="00643B44"/>
    <w:pPr>
      <w:tabs>
        <w:tab w:val="clear" w:pos="6663"/>
        <w:tab w:val="clear" w:pos="8505"/>
        <w:tab w:val="right" w:leader="dot" w:pos="4678"/>
        <w:tab w:val="right" w:leader="dot" w:pos="6521"/>
      </w:tabs>
    </w:pPr>
  </w:style>
  <w:style w:type="paragraph" w:customStyle="1" w:styleId="58Schlussteile4Strich">
    <w:name w:val="58_Schlussteil_e4_Strich"/>
    <w:basedOn w:val="00LegStandard"/>
    <w:next w:val="51Abs"/>
    <w:rsid w:val="00643B44"/>
    <w:pPr>
      <w:spacing w:before="40"/>
      <w:ind w:left="1644"/>
    </w:pPr>
  </w:style>
  <w:style w:type="paragraph" w:customStyle="1" w:styleId="58Schlussteile4StrichmitBetrag">
    <w:name w:val="58_Schlussteil_e4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644" w:right="1066"/>
      <w:textAlignment w:val="baseline"/>
    </w:pPr>
    <w:rPr>
      <w:lang w:eastAsia="de-AT"/>
    </w:rPr>
  </w:style>
  <w:style w:type="paragraph" w:customStyle="1" w:styleId="58Schlussteile4StrichmitBetragTGUE">
    <w:name w:val="58_Schlussteil_e4_Strich_mit_Betrag_TGUE"/>
    <w:basedOn w:val="58Schlussteile4StrichmitBetrag"/>
    <w:rsid w:val="00643B44"/>
    <w:pPr>
      <w:tabs>
        <w:tab w:val="clear" w:pos="6663"/>
        <w:tab w:val="clear" w:pos="8505"/>
        <w:tab w:val="right" w:leader="dot" w:pos="4678"/>
        <w:tab w:val="right" w:leader="dot" w:pos="6521"/>
      </w:tabs>
    </w:pPr>
  </w:style>
  <w:style w:type="paragraph" w:customStyle="1" w:styleId="52Aufzaehle5StrichmitBetrag">
    <w:name w:val="52_Aufzaehl_e5_Strich_mit_Betrag"/>
    <w:basedOn w:val="52Aufzaehle1ZiffermitBetrag"/>
    <w:rsid w:val="00643B44"/>
    <w:pPr>
      <w:tabs>
        <w:tab w:val="clear" w:pos="624"/>
        <w:tab w:val="clear" w:pos="680"/>
        <w:tab w:val="right" w:pos="1928"/>
        <w:tab w:val="left" w:pos="1985"/>
      </w:tabs>
      <w:ind w:left="1985" w:hanging="1985"/>
    </w:pPr>
  </w:style>
  <w:style w:type="paragraph" w:customStyle="1" w:styleId="52Aufzaehle5StrichmitBetragTGUE">
    <w:name w:val="52_Aufzaehl_e5_Strich_mit_Betrag_TGUE"/>
    <w:basedOn w:val="52Aufzaehle5StrichmitBetrag"/>
    <w:rsid w:val="00643B44"/>
    <w:pPr>
      <w:tabs>
        <w:tab w:val="clear" w:pos="6663"/>
        <w:tab w:val="clear" w:pos="8505"/>
        <w:tab w:val="right" w:leader="dot" w:pos="4678"/>
        <w:tab w:val="right" w:leader="dot" w:pos="6521"/>
      </w:tabs>
    </w:pPr>
  </w:style>
  <w:style w:type="paragraph" w:customStyle="1" w:styleId="52Aufzaehle6StrichmitBetrag">
    <w:name w:val="52_Aufzaehl_e6_Strich_mit_Betrag"/>
    <w:basedOn w:val="52Aufzaehle1ZiffermitBetrag"/>
    <w:rsid w:val="00643B44"/>
    <w:pPr>
      <w:tabs>
        <w:tab w:val="clear" w:pos="624"/>
        <w:tab w:val="clear" w:pos="680"/>
        <w:tab w:val="right" w:pos="2268"/>
        <w:tab w:val="left" w:pos="2325"/>
      </w:tabs>
      <w:ind w:left="2325" w:hanging="2325"/>
    </w:pPr>
  </w:style>
  <w:style w:type="paragraph" w:customStyle="1" w:styleId="52Aufzaehle6StrichmitBetragTGUE">
    <w:name w:val="52_Aufzaehl_e6_Strich_mit_Betrag_TGUE"/>
    <w:basedOn w:val="52Aufzaehle6StrichmitBetrag"/>
    <w:rsid w:val="00643B44"/>
    <w:pPr>
      <w:tabs>
        <w:tab w:val="clear" w:pos="6663"/>
        <w:tab w:val="clear" w:pos="8505"/>
        <w:tab w:val="right" w:leader="dot" w:pos="4678"/>
        <w:tab w:val="right" w:leader="dot" w:pos="6521"/>
      </w:tabs>
    </w:pPr>
  </w:style>
  <w:style w:type="paragraph" w:customStyle="1" w:styleId="52Aufzaehle7StrichmitBetrag">
    <w:name w:val="52_Aufzaehl_e7_Strich_mit_Betrag"/>
    <w:basedOn w:val="52Aufzaehle1ZiffermitBetrag"/>
    <w:rsid w:val="00643B44"/>
    <w:pPr>
      <w:tabs>
        <w:tab w:val="clear" w:pos="624"/>
        <w:tab w:val="clear" w:pos="680"/>
        <w:tab w:val="right" w:pos="2608"/>
        <w:tab w:val="left" w:pos="2665"/>
      </w:tabs>
      <w:ind w:left="2665" w:hanging="2665"/>
    </w:pPr>
  </w:style>
  <w:style w:type="paragraph" w:customStyle="1" w:styleId="52Aufzaehle7StrichmitBetragTGUE">
    <w:name w:val="52_Aufzaehl_e7_Strich_mit_Betrag_TGUE"/>
    <w:basedOn w:val="52Aufzaehle7StrichmitBetrag"/>
    <w:rsid w:val="00643B44"/>
    <w:pPr>
      <w:tabs>
        <w:tab w:val="clear" w:pos="6663"/>
        <w:tab w:val="clear" w:pos="8505"/>
        <w:tab w:val="right" w:leader="dot" w:pos="4678"/>
        <w:tab w:val="right" w:leader="dot" w:pos="6521"/>
      </w:tabs>
    </w:pPr>
  </w:style>
  <w:style w:type="paragraph" w:customStyle="1" w:styleId="58Schlussteile5Strich">
    <w:name w:val="58_Schlussteil_e5_Strich"/>
    <w:basedOn w:val="00LegStandard"/>
    <w:next w:val="51Abs"/>
    <w:rsid w:val="00643B44"/>
    <w:pPr>
      <w:spacing w:before="40"/>
      <w:ind w:left="1985"/>
    </w:pPr>
  </w:style>
  <w:style w:type="paragraph" w:customStyle="1" w:styleId="58Schlussteile5StrichmitBetrag">
    <w:name w:val="58_Schlussteil_e5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1985" w:right="1066"/>
      <w:textAlignment w:val="baseline"/>
    </w:pPr>
    <w:rPr>
      <w:lang w:eastAsia="de-AT"/>
    </w:rPr>
  </w:style>
  <w:style w:type="paragraph" w:customStyle="1" w:styleId="58Schlussteile5StrichmitBetragTGUE">
    <w:name w:val="58_Schlussteil_e5_Strich_mit_Betrag_TGUE"/>
    <w:basedOn w:val="58Schlussteile5StrichmitBetrag"/>
    <w:rsid w:val="00643B44"/>
    <w:pPr>
      <w:tabs>
        <w:tab w:val="clear" w:pos="6663"/>
        <w:tab w:val="clear" w:pos="8505"/>
        <w:tab w:val="right" w:leader="dot" w:pos="4678"/>
        <w:tab w:val="right" w:leader="dot" w:pos="6521"/>
      </w:tabs>
    </w:pPr>
  </w:style>
  <w:style w:type="paragraph" w:customStyle="1" w:styleId="58Schlussteile6Strich">
    <w:name w:val="58_Schlussteil_e6_Strich"/>
    <w:basedOn w:val="00LegStandard"/>
    <w:next w:val="51Abs"/>
    <w:rsid w:val="00643B44"/>
    <w:pPr>
      <w:spacing w:before="40"/>
      <w:ind w:left="2325"/>
    </w:pPr>
  </w:style>
  <w:style w:type="paragraph" w:customStyle="1" w:styleId="58Schlussteile6StrichmitBetrag">
    <w:name w:val="58_Schlussteil_e6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2325" w:right="1066"/>
      <w:textAlignment w:val="baseline"/>
    </w:pPr>
    <w:rPr>
      <w:lang w:eastAsia="de-AT"/>
    </w:rPr>
  </w:style>
  <w:style w:type="paragraph" w:customStyle="1" w:styleId="58Schlussteile6StrichmitBetragTGUE">
    <w:name w:val="58_Schlussteil_e6_Strich_mit_Betrag_TGUE"/>
    <w:basedOn w:val="58Schlussteile6StrichmitBetrag"/>
    <w:rsid w:val="00643B44"/>
    <w:pPr>
      <w:tabs>
        <w:tab w:val="clear" w:pos="6663"/>
        <w:tab w:val="clear" w:pos="8505"/>
        <w:tab w:val="right" w:leader="dot" w:pos="4678"/>
        <w:tab w:val="right" w:leader="dot" w:pos="6521"/>
      </w:tabs>
    </w:pPr>
  </w:style>
  <w:style w:type="paragraph" w:customStyle="1" w:styleId="58Schlussteile7Strich">
    <w:name w:val="58_Schlussteil_e7_Strich"/>
    <w:basedOn w:val="00LegStandard"/>
    <w:next w:val="51Abs"/>
    <w:rsid w:val="00643B44"/>
    <w:pPr>
      <w:spacing w:before="40"/>
      <w:ind w:left="2665"/>
    </w:pPr>
  </w:style>
  <w:style w:type="paragraph" w:customStyle="1" w:styleId="58Schlussteile7StrichmitBetrag">
    <w:name w:val="58_Schlussteil_e7_Strich_mit_Betrag"/>
    <w:basedOn w:val="00LegStandard"/>
    <w:rsid w:val="00643B44"/>
    <w:pPr>
      <w:widowControl w:val="0"/>
      <w:tabs>
        <w:tab w:val="right" w:pos="624"/>
        <w:tab w:val="left" w:pos="680"/>
        <w:tab w:val="right" w:leader="dot" w:pos="6663"/>
        <w:tab w:val="right" w:leader="dot" w:pos="8505"/>
      </w:tabs>
      <w:overflowPunct w:val="0"/>
      <w:autoSpaceDE w:val="0"/>
      <w:autoSpaceDN w:val="0"/>
      <w:adjustRightInd w:val="0"/>
      <w:spacing w:before="40"/>
      <w:ind w:left="2665" w:right="1066"/>
      <w:textAlignment w:val="baseline"/>
    </w:pPr>
    <w:rPr>
      <w:lang w:eastAsia="de-AT"/>
    </w:rPr>
  </w:style>
  <w:style w:type="paragraph" w:customStyle="1" w:styleId="58Schlussteile7StrichmitBetragTGUE">
    <w:name w:val="58_Schlussteil_e7_Strich_mit_Betrag_TGUE"/>
    <w:basedOn w:val="58Schlussteile7StrichmitBetrag"/>
    <w:rsid w:val="00643B44"/>
    <w:pPr>
      <w:tabs>
        <w:tab w:val="clear" w:pos="6663"/>
        <w:tab w:val="clear" w:pos="8505"/>
        <w:tab w:val="right" w:leader="dot" w:pos="4678"/>
        <w:tab w:val="right" w:leader="dot" w:pos="6521"/>
      </w:tabs>
    </w:pPr>
  </w:style>
  <w:style w:type="paragraph" w:customStyle="1" w:styleId="PDFuzeile">
    <w:name w:val="PD_Fußzeile"/>
    <w:basedOn w:val="Footer"/>
    <w:rsid w:val="00643B44"/>
    <w:pPr>
      <w:shd w:val="clear" w:color="auto" w:fill="CCCCCC"/>
      <w:spacing w:before="120"/>
      <w:jc w:val="center"/>
    </w:pPr>
    <w:rPr>
      <w:rFonts w:ascii="Times" w:eastAsia="Times New Roman" w:hAnsi="Times"/>
      <w:b/>
      <w:snapToGrid/>
      <w:sz w:val="18"/>
    </w:rPr>
  </w:style>
  <w:style w:type="character" w:customStyle="1" w:styleId="51AbsZchn">
    <w:name w:val="51_Abs Zchn"/>
    <w:link w:val="51Abs"/>
    <w:locked/>
    <w:rsid w:val="00104D5F"/>
    <w:rPr>
      <w:rFonts w:ascii="Times New Roman" w:eastAsia="Times New Roman" w:hAnsi="Times New Roman" w:cs="Times New Roman"/>
      <w:snapToGrid w:val="0"/>
      <w:color w:val="000000"/>
      <w:sz w:val="20"/>
      <w:szCs w:val="20"/>
      <w:lang w:eastAsia="de-DE"/>
    </w:rPr>
  </w:style>
  <w:style w:type="paragraph" w:styleId="PlainText">
    <w:name w:val="Plain Text"/>
    <w:basedOn w:val="Normal"/>
    <w:link w:val="PlainTextChar"/>
    <w:uiPriority w:val="99"/>
    <w:locked/>
    <w:rsid w:val="008D4C4B"/>
    <w:pPr>
      <w:spacing w:after="200" w:line="276" w:lineRule="auto"/>
    </w:pPr>
    <w:rPr>
      <w:rFonts w:ascii="Courier New" w:hAnsi="Courier New" w:cs="Courier New"/>
      <w:snapToGrid/>
      <w:sz w:val="20"/>
    </w:rPr>
  </w:style>
  <w:style w:type="character" w:customStyle="1" w:styleId="PlainTextChar">
    <w:name w:val="Plain Text Char"/>
    <w:basedOn w:val="DefaultParagraphFont"/>
    <w:link w:val="PlainText"/>
    <w:uiPriority w:val="99"/>
    <w:rsid w:val="008D4C4B"/>
    <w:rPr>
      <w:rFonts w:ascii="Courier New" w:eastAsiaTheme="minorEastAsia" w:hAnsi="Courier New" w:cs="Courier New"/>
      <w:color w:val="000000"/>
      <w:sz w:val="20"/>
      <w:szCs w:val="20"/>
      <w:lang w:val="es-ES" w:eastAsia="de-DE"/>
    </w:rPr>
  </w:style>
  <w:style w:type="paragraph" w:styleId="Revision">
    <w:name w:val="Revision"/>
    <w:hidden/>
    <w:uiPriority w:val="99"/>
    <w:semiHidden/>
    <w:rsid w:val="003A6397"/>
    <w:pPr>
      <w:spacing w:after="0" w:line="240" w:lineRule="auto"/>
    </w:pPr>
    <w:rPr>
      <w:rFonts w:ascii="Corbel" w:eastAsiaTheme="minorEastAsia" w:hAnsi="Corbel" w:cs="Times New Roman"/>
      <w:snapToGrid w:val="0"/>
      <w:color w:val="000000"/>
      <w:szCs w:val="20"/>
      <w:lang w:eastAsia="de-DE"/>
    </w:rPr>
  </w:style>
  <w:style w:type="character" w:styleId="FollowedHyperlink">
    <w:name w:val="FollowedHyperlink"/>
    <w:basedOn w:val="DefaultParagraphFont"/>
    <w:uiPriority w:val="99"/>
    <w:semiHidden/>
    <w:unhideWhenUsed/>
    <w:locked/>
    <w:rsid w:val="000D0CAE"/>
    <w:rPr>
      <w:color w:val="636362" w:themeColor="followedHyperlink"/>
      <w:u w:val="single"/>
    </w:rPr>
  </w:style>
  <w:style w:type="character" w:styleId="BookTitle">
    <w:name w:val="Book Title"/>
    <w:basedOn w:val="DefaultParagraphFont"/>
    <w:uiPriority w:val="99"/>
    <w:locked/>
    <w:rsid w:val="000D0CAE"/>
    <w:rPr>
      <w:b/>
      <w:bCs/>
      <w:i/>
      <w:iCs/>
      <w:spacing w:val="5"/>
    </w:rPr>
  </w:style>
  <w:style w:type="character" w:styleId="HTMLAcronym">
    <w:name w:val="HTML Acronym"/>
    <w:basedOn w:val="DefaultParagraphFont"/>
    <w:uiPriority w:val="99"/>
    <w:semiHidden/>
    <w:unhideWhenUsed/>
    <w:locked/>
    <w:rsid w:val="000D0CAE"/>
  </w:style>
  <w:style w:type="character" w:styleId="HTMLSample">
    <w:name w:val="HTML Sample"/>
    <w:basedOn w:val="DefaultParagraphFont"/>
    <w:uiPriority w:val="99"/>
    <w:semiHidden/>
    <w:unhideWhenUsed/>
    <w:locked/>
    <w:rsid w:val="000D0CAE"/>
    <w:rPr>
      <w:rFonts w:ascii="Consolas" w:hAnsi="Consolas"/>
      <w:sz w:val="24"/>
      <w:szCs w:val="24"/>
    </w:rPr>
  </w:style>
  <w:style w:type="character" w:styleId="HTMLCode">
    <w:name w:val="HTML Code"/>
    <w:basedOn w:val="DefaultParagraphFont"/>
    <w:uiPriority w:val="99"/>
    <w:semiHidden/>
    <w:unhideWhenUsed/>
    <w:locked/>
    <w:rsid w:val="000D0CAE"/>
    <w:rPr>
      <w:rFonts w:ascii="Consolas" w:hAnsi="Consolas"/>
      <w:sz w:val="20"/>
      <w:szCs w:val="20"/>
    </w:rPr>
  </w:style>
  <w:style w:type="character" w:styleId="HTMLDefinition">
    <w:name w:val="HTML Definition"/>
    <w:basedOn w:val="DefaultParagraphFont"/>
    <w:uiPriority w:val="99"/>
    <w:semiHidden/>
    <w:unhideWhenUsed/>
    <w:locked/>
    <w:rsid w:val="000D0CAE"/>
    <w:rPr>
      <w:i/>
      <w:iCs/>
    </w:rPr>
  </w:style>
  <w:style w:type="character" w:styleId="HTMLTypewriter">
    <w:name w:val="HTML Typewriter"/>
    <w:basedOn w:val="DefaultParagraphFont"/>
    <w:uiPriority w:val="99"/>
    <w:semiHidden/>
    <w:unhideWhenUsed/>
    <w:locked/>
    <w:rsid w:val="000D0CAE"/>
    <w:rPr>
      <w:rFonts w:ascii="Consolas" w:hAnsi="Consolas"/>
      <w:sz w:val="20"/>
      <w:szCs w:val="20"/>
    </w:rPr>
  </w:style>
  <w:style w:type="character" w:styleId="HTMLKeyboard">
    <w:name w:val="HTML Keyboard"/>
    <w:basedOn w:val="DefaultParagraphFont"/>
    <w:uiPriority w:val="99"/>
    <w:semiHidden/>
    <w:unhideWhenUsed/>
    <w:locked/>
    <w:rsid w:val="000D0CAE"/>
    <w:rPr>
      <w:rFonts w:ascii="Consolas" w:hAnsi="Consolas"/>
      <w:sz w:val="20"/>
      <w:szCs w:val="20"/>
    </w:rPr>
  </w:style>
  <w:style w:type="character" w:styleId="HTMLVariable">
    <w:name w:val="HTML Variable"/>
    <w:basedOn w:val="DefaultParagraphFont"/>
    <w:uiPriority w:val="99"/>
    <w:semiHidden/>
    <w:unhideWhenUsed/>
    <w:locked/>
    <w:rsid w:val="000D0CAE"/>
    <w:rPr>
      <w:i/>
      <w:iCs/>
    </w:rPr>
  </w:style>
  <w:style w:type="character" w:styleId="HTMLCite">
    <w:name w:val="HTML Cite"/>
    <w:basedOn w:val="DefaultParagraphFont"/>
    <w:uiPriority w:val="99"/>
    <w:semiHidden/>
    <w:unhideWhenUsed/>
    <w:locked/>
    <w:rsid w:val="000D0CAE"/>
    <w:rPr>
      <w:i/>
      <w:iCs/>
    </w:rPr>
  </w:style>
  <w:style w:type="character" w:styleId="PageNumber">
    <w:name w:val="page number"/>
    <w:basedOn w:val="DefaultParagraphFont"/>
    <w:uiPriority w:val="99"/>
    <w:semiHidden/>
    <w:unhideWhenUsed/>
    <w:locked/>
    <w:rsid w:val="000D0CAE"/>
  </w:style>
  <w:style w:type="character" w:styleId="LineNumber">
    <w:name w:val="line number"/>
    <w:basedOn w:val="DefaultParagraphFont"/>
    <w:uiPriority w:val="99"/>
    <w:semiHidden/>
    <w:unhideWhenUsed/>
    <w:locked/>
    <w:rsid w:val="000D0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30438">
      <w:bodyDiv w:val="1"/>
      <w:marLeft w:val="0"/>
      <w:marRight w:val="0"/>
      <w:marTop w:val="0"/>
      <w:marBottom w:val="0"/>
      <w:divBdr>
        <w:top w:val="none" w:sz="0" w:space="0" w:color="auto"/>
        <w:left w:val="none" w:sz="0" w:space="0" w:color="auto"/>
        <w:bottom w:val="none" w:sz="0" w:space="0" w:color="auto"/>
        <w:right w:val="none" w:sz="0" w:space="0" w:color="auto"/>
      </w:divBdr>
    </w:div>
    <w:div w:id="167602850">
      <w:bodyDiv w:val="1"/>
      <w:marLeft w:val="0"/>
      <w:marRight w:val="0"/>
      <w:marTop w:val="0"/>
      <w:marBottom w:val="0"/>
      <w:divBdr>
        <w:top w:val="none" w:sz="0" w:space="0" w:color="auto"/>
        <w:left w:val="none" w:sz="0" w:space="0" w:color="auto"/>
        <w:bottom w:val="none" w:sz="0" w:space="0" w:color="auto"/>
        <w:right w:val="none" w:sz="0" w:space="0" w:color="auto"/>
      </w:divBdr>
    </w:div>
    <w:div w:id="213856519">
      <w:bodyDiv w:val="1"/>
      <w:marLeft w:val="0"/>
      <w:marRight w:val="0"/>
      <w:marTop w:val="0"/>
      <w:marBottom w:val="0"/>
      <w:divBdr>
        <w:top w:val="none" w:sz="0" w:space="0" w:color="auto"/>
        <w:left w:val="none" w:sz="0" w:space="0" w:color="auto"/>
        <w:bottom w:val="none" w:sz="0" w:space="0" w:color="auto"/>
        <w:right w:val="none" w:sz="0" w:space="0" w:color="auto"/>
      </w:divBdr>
    </w:div>
    <w:div w:id="376050884">
      <w:bodyDiv w:val="1"/>
      <w:marLeft w:val="0"/>
      <w:marRight w:val="0"/>
      <w:marTop w:val="0"/>
      <w:marBottom w:val="0"/>
      <w:divBdr>
        <w:top w:val="none" w:sz="0" w:space="0" w:color="auto"/>
        <w:left w:val="none" w:sz="0" w:space="0" w:color="auto"/>
        <w:bottom w:val="none" w:sz="0" w:space="0" w:color="auto"/>
        <w:right w:val="none" w:sz="0" w:space="0" w:color="auto"/>
      </w:divBdr>
    </w:div>
    <w:div w:id="156907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ck\AppData\Roaming\Microsoft\Templates\legistik.dotx" TargetMode="External"/></Relationships>
</file>

<file path=word/theme/theme1.xml><?xml version="1.0" encoding="utf-8"?>
<a:theme xmlns:a="http://schemas.openxmlformats.org/drawingml/2006/main" name="Republik-AT-Theme-Artikel">
  <a:themeElements>
    <a:clrScheme name="Republik-AT-Farben">
      <a:dk1>
        <a:srgbClr val="000000"/>
      </a:dk1>
      <a:lt1>
        <a:srgbClr val="E6EFF3"/>
      </a:lt1>
      <a:dk2>
        <a:srgbClr val="E6320F"/>
      </a:dk2>
      <a:lt2>
        <a:srgbClr val="FFFFFF"/>
      </a:lt2>
      <a:accent1>
        <a:srgbClr val="CA0237"/>
      </a:accent1>
      <a:accent2>
        <a:srgbClr val="5FB564"/>
      </a:accent2>
      <a:accent3>
        <a:srgbClr val="950F53"/>
      </a:accent3>
      <a:accent4>
        <a:srgbClr val="F59C00"/>
      </a:accent4>
      <a:accent5>
        <a:srgbClr val="3BACBE"/>
      </a:accent5>
      <a:accent6>
        <a:srgbClr val="BCCF00"/>
      </a:accent6>
      <a:hlink>
        <a:srgbClr val="1C1C1C"/>
      </a:hlink>
      <a:folHlink>
        <a:srgbClr val="636362"/>
      </a:folHlink>
    </a:clrScheme>
    <a:fontScheme name="BKA2018-Schriften">
      <a:majorFont>
        <a:latin typeface="Corbel"/>
        <a:ea typeface=""/>
        <a:cs typeface=""/>
      </a:majorFont>
      <a:minorFont>
        <a:latin typeface="Corbel"/>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f:fields xmlns:f="http://schemas.fabasoft.com/folio/2007/fields" catsources="">
  <f:record>
    <f:field ref="BMFCONFIG_3000_109_BMFDocProperty" text=""/>
    <f:field ref="doc_FSCFOLIO_1_1001_FieldDocumentNumber" text=""/>
    <f:field ref="doc_FSCFOLIO_1_1001_FieldSubject" text="" edit="true"/>
    <f:field ref="FSCFOLIO_1_1001_SignaturesFldCtx_FSCFOLIO_1_1001_FieldLastSignature" text="Genehmigt"/>
    <f:field ref="FSCFOLIO_1_1001_SignaturesFldCtx_FSCFOLIO_1_1001_FieldLastSignatureBy" text="Salzer, Irmi, DI"/>
    <f:field ref="FSCFOLIO_1_1001_SignaturesFldCtx_FSCFOLIO_1_1001_FieldLastSignatureAt" date="2023-03-27T15:30:30" text="27.03.2023 15:30:30"/>
    <f:field ref="FSCFOLIO_1_1001_SignaturesFldCtx_FSCFOLIO_1_1001_FieldLastSignatureRemark" text=""/>
    <f:field ref="FSCFOLIO_1_1001_FieldCurrentUser" text="Doris Peck"/>
    <f:field ref="FSCFOLIO_1_1001_FieldCurrentDate" text="28.03.2023 09:56"/>
    <f:field ref="objvalidfrom" date="" text="" edit="true"/>
    <f:field ref="objvalidto" date="" text="" edit="true"/>
    <f:field ref="FSCFOLIO_1_1001_FieldReleasedVersionDate" text=""/>
    <f:field ref="FSCFOLIO_1_1001_FieldReleasedVersionNr" text=""/>
    <f:field ref="CCAPRECONFIG_15_1001_Objektname" text="EinwegpfandVO Getränkeverpackungen Entwurf" edit="true"/>
    <f:field ref="CCAPRECONFIG_15_1001_Objektname" text="EinwegpfandVO Getränkeverpackungen Entwurf" edit="true"/>
    <f:field ref="EIBPRECONFIG_1_1001_FieldEIBAttachments" text="" multiline="true"/>
    <f:field ref="EIBPRECONFIG_1_1001_FieldEIBNextFiles" text="" multiline="true"/>
    <f:field ref="EIBPRECONFIG_1_1001_FieldEIBPreviousFiles" text="" multiline="true"/>
    <f:field ref="EIBPRECONFIG_1_1001_FieldEIBRelatedFiles" text="" multiline="true"/>
    <f:field ref="EIBPRECONFIG_1_1001_FieldEIBCompletedOrdinals" text="" multiline="true"/>
    <f:field ref="EIBPRECONFIG_1_1001_FieldEIBOUAddr" text="Stubenbastei 5, 1010 Wien" multiline="true"/>
    <f:field ref="EIBPRECONFIG_1_1001_FieldEIBRecipients" text="" multiline="true"/>
    <f:field ref="EIBPRECONFIG_1_1001_FieldEIBSignatures" text="Abzeichnen&#10;Abzeichnen&#10;Abzeichnen&#10;Abzeichnen&#10;Genehmigt" multiline="true"/>
    <f:field ref="EIBPRECONFIG_1_1001_FieldCCAAddrAbschriftsbemerkung" text="" multiline="true"/>
    <f:field ref="EIBPRECONFIG_1_1001_FieldCCAAddrAdresse" text="" multiline="true"/>
    <f:field ref="EIBPRECONFIG_1_1001_FieldCCAAddrPostalischeAdresse" text="" multiline="true"/>
    <f:field ref="EIBPRECONFIG_1_1001_FieldCCAIncomingSubject" text="" multiline="true"/>
    <f:field ref="EIBPRECONFIG_1_1001_FieldCCAPersonalSubjAddress" text="" multiline="true"/>
    <f:field ref="EIBPRECONFIG_1_1001_FieldCCASubfileSubject" text="" multiline="true"/>
    <f:field ref="EIBPRECONFIG_1_1001_FieldCCASubject" text="Pfandverordnung für Einweggetränkeverpackungen; Aussendung in das Begutachtungsverfahren" multiline="true"/>
    <f:field ref="EIBVFGH_15_1700_FieldPartPlaintiffList" text="" multiline="true"/>
    <f:field ref="EIBVFGH_15_1700_FieldGoesOutToList" text="" multiline="true"/>
    <f:field ref="CUSTOMIZATIONRESSORTBMF_103_2800_FieldRecipientsEmailBMF" text="" multiline="true"/>
    <f:field ref="objname" text="EinwegpfandVO Getränkeverpackungen Entwurf" edit="true"/>
    <f:field ref="objsubject" text="" edit="true"/>
    <f:field ref="objcreatedby" text="Fürnsinn, Georg, Mag."/>
    <f:field ref="objcreatedat" date="2023-03-24T15:10:53" text="24.03.2023 15:10:53"/>
    <f:field ref="objchangedby" text="Peck, Doris"/>
    <f:field ref="objmodifiedat" date="2023-03-28T08:26:30" text="28.03.2023 08:26:30"/>
  </f:record>
  <f:display text="Allgemein">
    <f:field ref="BMFCONFIG_3000_109_BMFDocProperty" text="BMFMailEmpfänger"/>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field ref="CUSTOMIZATIONRESSORTBMF_103_2800_FieldRecipientsEmailBMF" text="Empfänger Mail BMF"/>
    <f:field ref="objname" text="Name"/>
    <f:field ref="objsubject" text="Anmerkungen"/>
    <f:field ref="objcreatedby" text="Erzeugt von"/>
    <f:field ref="objcreatedat" text="Erzeugt am/um"/>
    <f:field ref="objchangedby" text="Letzte Änderung von"/>
    <f:field ref="objmodifiedat" text="Letzte Änderung am/um"/>
  </f:display>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fields>
</file>

<file path=customXml/item3.xml><?xml version="1.0" encoding="utf-8"?>
<protocoldata xmlns:xsi="http://www.w3.org/2001/XMLSchema-instance" xmlns:xsd="http://www.w3.org/2001/XMLSchema" xmlns="http://www.ris.bka.gv.at/protocol/data/">
  <konformitaetspruefung>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</konformitaetspruefung>
</protocoldata>
</file>

<file path=customXml/item4.xml><?xml version="1.0" encoding="utf-8"?>
<c:configuration xmlns:c="http://ns.axespdf.com/word/configuration">
  <c:group id="Styles">
    <c:group id="TH-Spalte">
      <c:property id="RoleID" type="string">ParagraphHeaderCell</c:property>
      <c:property id="Scope" type="integer">1</c:property>
    </c:group>
    <c:group id="TH Spalte 1">
      <c:property id="RoleID" type="string">ParagraphHeaderCell</c:property>
      <c:property id="Scope" type="integer">1</c:property>
    </c:group>
    <c:group id="Brief Ü2">
      <c:property id="RoleID" type="string">ParagraphHeading</c:property>
      <c:property id="Level" type="integer">2</c:property>
    </c:group>
    <c:group id="__Caption">
      <c:property id="RoleID" type="string">ParagraphCaption</c:property>
    </c:group>
    <c:group id="__ListContinue">
      <c:property id="RoleID" type="string">ParagraphListContinue</c:property>
    </c:group>
    <c:group id="TH Spalte links;TH Sp links">
      <c:property id="RoleID" type="string">ParagraphHeaderCell</c:property>
      <c:property id="Scope" type="integer">1</c:property>
    </c:group>
    <c:group id="TH Zeile">
      <c:property id="RoleID" type="string">ParagraphHeaderCell</c:property>
      <c:property id="Scope" type="integer">2</c:property>
    </c:group>
    <c:group id="__Quote">
      <c:property id="RoleID" type="string">ParagraphBlockQuote</c:property>
    </c:group>
    <c:group id="Gliederung Listenfortsetzung 1);GL F 1)">
      <c:property id="RoleID" type="string">ParagraphListContinue</c:property>
    </c:group>
    <c:group id="Gliederung Listenfortsetzung 1)a);GL F 1)a)">
      <c:property id="RoleID" type="string">ParagraphListContinue</c:property>
      <c:property id="Level" type="integer">2</c:property>
    </c:group>
    <c:group id="Gliederung Listenfortsetzung 1)a)i);GL F 1)a)i)">
      <c:property id="RoleID" type="string">ParagraphListContinue</c:property>
      <c:property id="Level" type="integer">3</c:property>
    </c:group>
    <c:group id="Gliederung Listenfortsetzung 1;GL F 1.">
      <c:property id="RoleID" type="string">ParagraphListContinue</c:property>
    </c:group>
    <c:group id="Gliederung Listenfortsetzung 1.1.;GL F 1.1.">
      <c:property id="RoleID" type="string">ParagraphListContinue</c:property>
      <c:property id="Level" type="integer">2</c:property>
    </c:group>
    <c:group id="Gliederung Listenfortsetzung 1.1.1;GL F 1.1.1.">
      <c:property id="RoleID" type="string">ParagraphListContinue</c:property>
      <c:property id="Level" type="integer">3</c:property>
    </c:group>
    <c:group id="__ListContinue2">
      <c:property id="RoleID" type="string">ParagraphListContinue</c:property>
      <c:property id="Level" type="integer">2</c:property>
    </c:group>
    <c:group id="__ListContinue3">
      <c:property id="RoleID" type="string">ParagraphListContinue</c:property>
      <c:property id="Level" type="integer">3</c:property>
    </c:group>
    <c:group id="Brief Titel">
      <c:property id="RoleID" type="string">ParagraphDefault</c:property>
    </c:group>
    <c:group id="Brief Ü1">
      <c:property id="RoleID" type="string">ParagraphHeading</c:property>
    </c:group>
    <c:group id="__ListContinue4">
      <c:property id="RoleID" type="string">ParagraphListContinue</c:property>
      <c:property id="Level" type="integer">4</c:property>
    </c:group>
    <c:group id="__ListContinue5">
      <c:property id="RoleID" type="string">ParagraphListContinue</c:property>
      <c:property id="Level" type="integer">5</c:property>
    </c:group>
    <c:group id="Ü1 nummeriert">
      <c:property id="RoleID" type="string">ParagraphHeading</c:property>
    </c:group>
    <c:group id="Ü2 nummeriert">
      <c:property id="RoleID" type="string">ParagraphHeading</c:property>
      <c:property id="Level" type="integer">2</c:property>
    </c:group>
    <c:group id="Ü3 nummeriert">
      <c:property id="RoleID" type="string">ParagraphHeading</c:property>
      <c:property id="Level" type="integer">3</c:property>
    </c:group>
    <c:group id="Ü4 nummeriert">
      <c:property id="RoleID" type="string">ParagraphHeading</c:property>
      <c:property id="Level" type="integer">4</c:property>
    </c:group>
    <c:group id="Ü5 nummeriert">
      <c:property id="RoleID" type="string">ParagraphHeading</c:property>
      <c:property id="Level" type="integer">5</c:property>
    </c:group>
    <c:group id="TH-Spalte links;TH Sp links">
      <c:property id="RoleID" type="string">ParagraphHeaderCell</c:property>
      <c:property id="Scope" type="integer">1</c:property>
    </c:group>
    <c:group id="TH-Zeile">
      <c:property id="RoleID" type="string">ParagraphHeaderCell</c:property>
      <c:property id="Scope" type="integer">2</c:property>
    </c:group>
    <c:group id="Bild-UT in Positionsrahmen;Bild-UT">
      <c:property id="RoleID" type="string">ParagraphCaption</c:property>
    </c:group>
    <c:group id="Bilduntertitel;Bild-UT">
      <c:property id="RoleID" type="string">ParagraphCaption</c:property>
    </c:group>
  </c:group>
  <c:group id="Content">
    <c:group id="686494040">
      <c:property id="RoleID" type="string">TableLayoutTable</c:property>
    </c:group>
    <c:group id="3921579054">
      <c:property id="RoleID" type="string">TableLayoutTable</c:property>
    </c:group>
    <c:group id="4">
      <c:property id="RoleID" type="string">FigureArtifact</c:property>
    </c:group>
  </c:group>
  <c:group id="InitialView">
    <c:property id="MagnificationFactor" type="float">100</c:property>
  </c:group>
</c:configuration>
</file>

<file path=customXml/item5.xml><?xml version="1.0" encoding="utf-8"?>
<docoptionsdata xmlns:xsi="http://www.w3.org/2001/XMLSchema-instance" xmlns:xsd="http://www.w3.org/2001/XMLSchema" xmlns="http://www.ris.bka.gv.at/docoptions/data/">
  <DocumentMap>false</DocumentMap>
  <OMathJc>1</OMathJc>
  <SnapToGrid>false</SnapToGrid>
  <SnapToShapes>false</SnapToShapes>
  <GridDistanceHorizontal>5.4</GridDistanceHorizontal>
  <GridDistanceVertical>5.4</GridDistanceVertical>
  <GridOriginFromMargin>false</GridOriginFromMargin>
  <GridOriginHorizontal>0</GridOriginHorizontal>
  <GridOriginVertical>0</GridOriginVertical>
  <TrackFormatting>false</TrackFormatting>
  <FormattingShowFilter>5</FormattingShowFilter>
  <FormattingShowFont>false</FormattingShowFont>
  <FormattingShowNextLevel>true</FormattingShowNextLevel>
  <FormattingShowNumbering>false</FormattingShowNumbering>
  <FormattingShowParagraph>false</FormattingShowParagraph>
  <ClickAndTypeParagraphStyle>51_Abs</ClickAndTypeParagraphStyle>
  <NoTabHangIndent>false</NoTabHangIndent>
  <NoSpaceRaiseLower>false</NoSpaceRaiseLower>
  <PrintColBlack>false</PrintColBlack>
  <WrapTrailSpaces>false</WrapTrailSpaces>
  <NoColumnBalance>false</NoColumnBalance>
  <ConvMailMergeEsc>false</ConvMailMergeEsc>
  <SuppressSpBfAfterPgBrk>false</SuppressSpBfAfterPgBrk>
  <SuppressTopSpacing>false</SuppressTopSpacing>
  <OrigWordTableRules>false</OrigWordTableRules>
  <TransparentMetafiles>false</TransparentMetafiles>
  <ShowBreaksInFrames>false</ShowBreaksInFrames>
  <SwapBordersFacingPages>false</SwapBordersFacingPages>
  <LeaveBackslashAlone>true</LeaveBackslashAlone>
  <ExpandShiftReturn>true</ExpandShiftReturn>
  <DontULTrailSpace>true</DontULTrailSpace>
  <DontBalanceSingleByteDoubleByteWidth>true</DontBalanceSingleByteDoubleByteWidth>
  <SuppressTopSpacingMac5>false</SuppressTopSpacingMac5>
  <SpacingInWholePoints>false</SpacingInWholePoints>
  <PrintBodyTextBeforeHeader>false</PrintBodyTextBeforeHeader>
  <NoLeading>false</NoLeading>
  <NoSpaceForUL>true</NoSpaceForUL>
  <MWSmallCaps>false</MWSmallCaps>
  <NoExtraLineSpacing>false</NoExtraLineSpacing>
  <TruncateFontHeight>false</TruncateFontHeight>
  <UsePrinterMetrics>false</UsePrinterMetrics>
  <SubFontBySize>false</SubFontBySize>
  <WW6BorderRules>false</WW6BorderRules>
  <ExactOnTop>false</ExactOnTop>
  <SuppressBottomSpacing>false</SuppressBottomSpacing>
  <WPSpaceWidth>false</WPSpaceWidth>
  <WPJustification>false</WPJustification>
  <LineWrapLikeWord6>false</LineWrapLikeWord6>
  <ShapeLayoutLikeWW8>false</ShapeLayoutLikeWW8>
  <FootnoteLayoutLikeWW8>false</FootnoteLayoutLikeWW8>
  <DontUseHTMLParagraphAutoSpacing>false</DontUseHTMLParagraphAutoSpacing>
  <DontAdjustLineHeightInTable>true</DontAdjustLineHeightInTable>
  <ForgetLastTabAlignment>false</ForgetLastTabAlignment>
  <AutospaceLikeWW7>false</AutospaceLikeWW7>
  <AlignTablesRowByRow>false</AlignTablesRowByRow>
  <LayoutRawTableWidth>false</LayoutRawTableWidth>
  <LayoutTableRowsApart>false</LayoutTableRowsApart>
  <UseWord97LineBreakingRules>false</UseWord97LineBreakingRules>
  <DontBreakWrappedTables>false</DontBreakWrappedTables>
  <DontSnapTextToGridInTableWithObjects>false</DontSnapTextToGridInTableWithObjects>
  <SelectFieldWithFirstOrLastCharacter>false</SelectFieldWithFirstOrLastCharacter>
  <ApplyBreakingRules>false</ApplyBreakingRules>
  <DontWrapTextWithPunctuation>false</DontWrapTextWithPunctuation>
  <DontUseAsianBreakRulesInGrid>false</DontUseAsianBreakRulesInGrid>
  <UseWord2002TableStyleRules>false</UseWord2002TableStyleRules>
  <GrowAutofit>false</GrowAutofit>
  <UseNormalStyleForList>false</UseNormalStyleForList>
  <DontUseIndentAsNumberingTabStop>false</DontUseIndentAsNumberingTabStop>
  <FELineBreak11>false</FELineBreak11>
  <AllowSpaceOfSameStyleInTable>false</AllowSpaceOfSameStyleInTable>
  <WW11IndentRules>false</WW11IndentRules>
  <DontAutofitConstrainedTables>false</DontAutofitConstrainedTables>
  <AutofitLikeWW11>false</AutofitLikeWW11>
  <UnderlineTabInNumList>false</UnderlineTabInNumList>
  <HangulWidthLikeWW11>false</HangulWidthLikeWW11>
  <SplitPgBreakAndParaMark>false</SplitPgBreakAndParaMark>
  <DontVertAlignCellWithShape>false</DontVertAlignCellWithShape>
  <DontBreakConstrainedForcedTables>false</DontBreakConstrainedForcedTables>
  <DontVertAlignInTextbox>false</DontVertAlignInTextbox>
  <Word11KerningPairs>false</Word11KerningPairs>
  <CachedColBalance>false</CachedColBalance>
  <DisableOTKerning>false</DisableOTKerning>
  <FlipMirrorIndents>false</FlipMirrorIndents>
  <DontOverrideTableStyleFontSzAndJustification>false</DontOverrideTableStyleFontSzAndJustification>
</docoptionsdata>
</file>

<file path=customXml/itemProps1.xml><?xml version="1.0" encoding="utf-8"?>
<ds:datastoreItem xmlns:ds="http://schemas.openxmlformats.org/officeDocument/2006/customXml" ds:itemID="{41B16253-0B17-4198-A643-0AFE8BB9DA96}">
  <ds:schemaRefs>
    <ds:schemaRef ds:uri="http://schemas.openxmlformats.org/officeDocument/2006/bibliography"/>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E2274D9A-E261-49E0-A7F1-1D1BDC81D14C}">
  <ds:schemaRefs>
    <ds:schemaRef ds:uri="http://www.w3.org/2001/XMLSchema"/>
    <ds:schemaRef ds:uri="http://www.ris.bka.gv.at/protocol/data/"/>
  </ds:schemaRefs>
</ds:datastoreItem>
</file>

<file path=customXml/itemProps4.xml><?xml version="1.0" encoding="utf-8"?>
<ds:datastoreItem xmlns:ds="http://schemas.openxmlformats.org/officeDocument/2006/customXml" ds:itemID="{E4523BE0-0112-4BA1-B206-1D2C815FA86B}">
  <ds:schemaRefs>
    <ds:schemaRef ds:uri="http://ns.axespdf.com/word/configuration"/>
  </ds:schemaRefs>
</ds:datastoreItem>
</file>

<file path=customXml/itemProps5.xml><?xml version="1.0" encoding="utf-8"?>
<ds:datastoreItem xmlns:ds="http://schemas.openxmlformats.org/officeDocument/2006/customXml" ds:itemID="{EC7A4A9A-A9BB-44B5-B43D-0FCD54BEE725}">
  <ds:schemaRefs>
    <ds:schemaRef ds:uri="http://www.w3.org/2001/XMLSchema"/>
    <ds:schemaRef ds:uri="http://www.ris.bka.gv.at/docoptions/data/"/>
  </ds:schemaRefs>
</ds:datastoreItem>
</file>

<file path=docProps/app.xml><?xml version="1.0" encoding="utf-8"?>
<Properties xmlns="http://schemas.openxmlformats.org/officeDocument/2006/extended-properties" xmlns:vt="http://schemas.openxmlformats.org/officeDocument/2006/docPropsVTypes">
  <Template>legistik.dotx</Template>
  <TotalTime>2</TotalTime>
  <Pages>8</Pages>
  <Words>4537</Words>
  <Characters>24292</Characters>
  <Application>Microsoft Office Word</Application>
  <DocSecurity>0</DocSecurity>
  <Lines>202</Lines>
  <Paragraphs>57</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Fuernsinn Georg</dc:creator>
  <cp:keywords/>
  <dc:description/>
  <cp:lastModifiedBy>Dimitris Dimitriadis</cp:lastModifiedBy>
  <cp:revision>3</cp:revision>
  <cp:lastPrinted>2023-02-20T08:00:00Z</cp:lastPrinted>
  <dcterms:created xsi:type="dcterms:W3CDTF">2023-03-28T07:57:00Z</dcterms:created>
  <dcterms:modified xsi:type="dcterms:W3CDTF">2023-04-11T09:41:00Z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KALegistikAktiv">
    <vt:bool>true</vt:bool>
  </property>
  <property fmtid="{D5CDD505-2E9C-101B-9397-08002B2CF9AE}" pid="3" name="ParaFormatMigrationDone">
    <vt:bool>true</vt:bool>
  </property>
  <property fmtid="{D5CDD505-2E9C-101B-9397-08002B2CF9AE}" pid="4" name="FSC#SAPConfigSettingsSC@101.9800:FMM_ABP_NUMMER">
    <vt:lpwstr/>
  </property>
  <property fmtid="{D5CDD505-2E9C-101B-9397-08002B2CF9AE}" pid="5" name="FSC#SAPConfigSettingsSC@101.9800:FMM_ABLEHNGRUND">
    <vt:lpwstr/>
  </property>
  <property fmtid="{D5CDD505-2E9C-101B-9397-08002B2CF9AE}" pid="6" name="FSC#SAPConfigSettingsSC@101.9800:FMM_ADRESSE_ALLGEMEINES_SCHREIBEN">
    <vt:lpwstr/>
  </property>
  <property fmtid="{D5CDD505-2E9C-101B-9397-08002B2CF9AE}" pid="7" name="FSC#SAPConfigSettingsSC@101.9800:FMM_GRANTOR_ADDRESS">
    <vt:lpwstr/>
  </property>
  <property fmtid="{D5CDD505-2E9C-101B-9397-08002B2CF9AE}" pid="8" name="FSC#SAPConfigSettingsSC@101.9800:FMM_CONTACT_PERSON">
    <vt:lpwstr/>
  </property>
  <property fmtid="{D5CDD505-2E9C-101B-9397-08002B2CF9AE}" pid="9" name="FSC#SAPConfigSettingsSC@101.9800:FMM_ANTRAGSBESCHREIBUNG">
    <vt:lpwstr/>
  </property>
  <property fmtid="{D5CDD505-2E9C-101B-9397-08002B2CF9AE}" pid="10" name="FSC#SAPConfigSettingsSC@101.9800:FMM_ZANTRAGDATUM">
    <vt:lpwstr/>
  </property>
  <property fmtid="{D5CDD505-2E9C-101B-9397-08002B2CF9AE}" pid="11" name="FSC#SAPConfigSettingsSC@101.9800:FMM_ANZAHL_DER_POS_ANTRAG">
    <vt:lpwstr/>
  </property>
  <property fmtid="{D5CDD505-2E9C-101B-9397-08002B2CF9AE}" pid="12" name="FSC#SAPConfigSettingsSC@101.9800:FMM_ANZAHL_DER_POS_BEWILLIGUNG">
    <vt:lpwstr/>
  </property>
  <property fmtid="{D5CDD505-2E9C-101B-9397-08002B2CF9AE}" pid="13" name="FSC#SAPConfigSettingsSC@101.9800:FMM_AUFWANDSART_ID">
    <vt:lpwstr/>
  </property>
  <property fmtid="{D5CDD505-2E9C-101B-9397-08002B2CF9AE}" pid="14" name="FSC#SAPConfigSettingsSC@101.9800:FMM_AUFWANDSART_TEXT">
    <vt:lpwstr/>
  </property>
  <property fmtid="{D5CDD505-2E9C-101B-9397-08002B2CF9AE}" pid="15" name="FSC#SAPConfigSettingsSC@101.9800:FMM_SWIFT_BIC">
    <vt:lpwstr/>
  </property>
  <property fmtid="{D5CDD505-2E9C-101B-9397-08002B2CF9AE}" pid="16" name="FSC#SAPConfigSettingsSC@101.9800:FMM_IBAN">
    <vt:lpwstr/>
  </property>
  <property fmtid="{D5CDD505-2E9C-101B-9397-08002B2CF9AE}" pid="17" name="FSC#SAPConfigSettingsSC@101.9800:FMM_BEANTRAGTER_BETRAG">
    <vt:lpwstr/>
  </property>
  <property fmtid="{D5CDD505-2E9C-101B-9397-08002B2CF9AE}" pid="18" name="FSC#SAPConfigSettingsSC@101.9800:FMM_BEANTRAGTER_BETRAG_WORT">
    <vt:lpwstr/>
  </property>
  <property fmtid="{D5CDD505-2E9C-101B-9397-08002B2CF9AE}" pid="19" name="FSC#SAPConfigSettingsSC@101.9800:FMM_BILL_DATE">
    <vt:lpwstr/>
  </property>
  <property fmtid="{D5CDD505-2E9C-101B-9397-08002B2CF9AE}" pid="20" name="FSC#SAPConfigSettingsSC@101.9800:FMM_DATUM_DES_ANSUCHENS">
    <vt:lpwstr/>
  </property>
  <property fmtid="{D5CDD505-2E9C-101B-9397-08002B2CF9AE}" pid="21" name="FSC#SAPConfigSettingsSC@101.9800:FMM_ERGEBNIS_DER_ANTRAGSPRUEFUNG">
    <vt:lpwstr/>
  </property>
  <property fmtid="{D5CDD505-2E9C-101B-9397-08002B2CF9AE}" pid="22" name="FSC#SAPConfigSettingsSC@101.9800:FMM_ERSTELLUNGSDATUM_PLUS_35T">
    <vt:lpwstr/>
  </property>
  <property fmtid="{D5CDD505-2E9C-101B-9397-08002B2CF9AE}" pid="23" name="FSC#SAPConfigSettingsSC@101.9800:FMM_EXT_KEY">
    <vt:lpwstr/>
  </property>
  <property fmtid="{D5CDD505-2E9C-101B-9397-08002B2CF9AE}" pid="24" name="FSC#SAPConfigSettingsSC@101.9800:FMM_VORGESCHLAGENER_BETRAG">
    <vt:lpwstr/>
  </property>
  <property fmtid="{D5CDD505-2E9C-101B-9397-08002B2CF9AE}" pid="25" name="FSC#SAPConfigSettingsSC@101.9800:FMM_GRANTOR">
    <vt:lpwstr/>
  </property>
  <property fmtid="{D5CDD505-2E9C-101B-9397-08002B2CF9AE}" pid="26" name="FSC#SAPConfigSettingsSC@101.9800:FMM_GRM_VAL_TO">
    <vt:lpwstr/>
  </property>
  <property fmtid="{D5CDD505-2E9C-101B-9397-08002B2CF9AE}" pid="27" name="FSC#SAPConfigSettingsSC@101.9800:FMM_GRM_VAL_FROM">
    <vt:lpwstr/>
  </property>
  <property fmtid="{D5CDD505-2E9C-101B-9397-08002B2CF9AE}" pid="28" name="FSC#SAPConfigSettingsSC@101.9800:FMM_FREITEXT_ALLGEMEINES_SCHREIBEN">
    <vt:lpwstr/>
  </property>
  <property fmtid="{D5CDD505-2E9C-101B-9397-08002B2CF9AE}" pid="29" name="FSC#SAPConfigSettingsSC@101.9800:FMM_GESAMTBETRAG">
    <vt:lpwstr/>
  </property>
  <property fmtid="{D5CDD505-2E9C-101B-9397-08002B2CF9AE}" pid="30" name="FSC#SAPConfigSettingsSC@101.9800:FMM_GESAMTBETRAG_WORT">
    <vt:lpwstr/>
  </property>
  <property fmtid="{D5CDD505-2E9C-101B-9397-08002B2CF9AE}" pid="31" name="FSC#SAPConfigSettingsSC@101.9800:FMM_GESAMTPROJEKTSUMME">
    <vt:lpwstr/>
  </property>
  <property fmtid="{D5CDD505-2E9C-101B-9397-08002B2CF9AE}" pid="32" name="FSC#SAPConfigSettingsSC@101.9800:FMM_GESAMTPROJEKTSUMME_WORT">
    <vt:lpwstr/>
  </property>
  <property fmtid="{D5CDD505-2E9C-101B-9397-08002B2CF9AE}" pid="33" name="FSC#SAPConfigSettingsSC@101.9800:FMM_GESCHAEFTSZAHL">
    <vt:lpwstr/>
  </property>
  <property fmtid="{D5CDD505-2E9C-101B-9397-08002B2CF9AE}" pid="34" name="FSC#SAPConfigSettingsSC@101.9800:FMM_GRANTOR_ID">
    <vt:lpwstr/>
  </property>
  <property fmtid="{D5CDD505-2E9C-101B-9397-08002B2CF9AE}" pid="35" name="FSC#SAPConfigSettingsSC@101.9800:FMM_1_NACHTRAG">
    <vt:lpwstr/>
  </property>
  <property fmtid="{D5CDD505-2E9C-101B-9397-08002B2CF9AE}" pid="36" name="FSC#SAPConfigSettingsSC@101.9800:FMM_2_NACHTRAG">
    <vt:lpwstr/>
  </property>
  <property fmtid="{D5CDD505-2E9C-101B-9397-08002B2CF9AE}" pid="37" name="FSC#SAPConfigSettingsSC@101.9800:FMM_VERTRAG_FOERDERBARE_KOSTEN">
    <vt:lpwstr/>
  </property>
  <property fmtid="{D5CDD505-2E9C-101B-9397-08002B2CF9AE}" pid="38" name="FSC#SAPConfigSettingsSC@101.9800:FMM_VERTRAG_NICHT_FOERDERBARE_KOSTEN">
    <vt:lpwstr/>
  </property>
  <property fmtid="{D5CDD505-2E9C-101B-9397-08002B2CF9AE}" pid="39" name="FSC#SAPConfigSettingsSC@101.9800:FMM_SERVICE_ORG_TEXT">
    <vt:lpwstr/>
  </property>
  <property fmtid="{D5CDD505-2E9C-101B-9397-08002B2CF9AE}" pid="40" name="FSC#SAPConfigSettingsSC@101.9800:FMM_SERVICE_ORG_ID">
    <vt:lpwstr/>
  </property>
  <property fmtid="{D5CDD505-2E9C-101B-9397-08002B2CF9AE}" pid="41" name="FSC#SAPConfigSettingsSC@101.9800:FMM_SERVICE_ORG_SHORT">
    <vt:lpwstr/>
  </property>
  <property fmtid="{D5CDD505-2E9C-101B-9397-08002B2CF9AE}" pid="42" name="FSC#SAPConfigSettingsSC@101.9800:FMM_POSITIONS">
    <vt:lpwstr/>
  </property>
  <property fmtid="{D5CDD505-2E9C-101B-9397-08002B2CF9AE}" pid="43" name="FSC#SAPConfigSettingsSC@101.9800:FMM_POSITIONS_AGREEMENT">
    <vt:lpwstr/>
  </property>
  <property fmtid="{D5CDD505-2E9C-101B-9397-08002B2CF9AE}" pid="44" name="FSC#SAPConfigSettingsSC@101.9800:FMM_POSITIONS_APPLICATION">
    <vt:lpwstr/>
  </property>
  <property fmtid="{D5CDD505-2E9C-101B-9397-08002B2CF9AE}" pid="45" name="FSC#SAPConfigSettingsSC@101.9800:FMM_PROGRAM_ID">
    <vt:lpwstr/>
  </property>
  <property fmtid="{D5CDD505-2E9C-101B-9397-08002B2CF9AE}" pid="46" name="FSC#SAPConfigSettingsSC@101.9800:FMM_PROGRAM_NAME">
    <vt:lpwstr/>
  </property>
  <property fmtid="{D5CDD505-2E9C-101B-9397-08002B2CF9AE}" pid="47" name="FSC#SAPConfigSettingsSC@101.9800:FMM_VERTRAG_PROJEKTBESCHREIBUNG">
    <vt:lpwstr/>
  </property>
  <property fmtid="{D5CDD505-2E9C-101B-9397-08002B2CF9AE}" pid="48" name="FSC#SAPConfigSettingsSC@101.9800:FMM_PROJEKTZEITRAUM_BIS_PLUS_1M">
    <vt:lpwstr/>
  </property>
  <property fmtid="{D5CDD505-2E9C-101B-9397-08002B2CF9AE}" pid="49" name="FSC#SAPConfigSettingsSC@101.9800:FMM_PROJEKTZEITRAUM_BIS_PLUS_3M">
    <vt:lpwstr/>
  </property>
  <property fmtid="{D5CDD505-2E9C-101B-9397-08002B2CF9AE}" pid="50" name="FSC#SAPConfigSettingsSC@101.9800:FMM_PROJEKTZEITRAUM_VON">
    <vt:lpwstr/>
  </property>
  <property fmtid="{D5CDD505-2E9C-101B-9397-08002B2CF9AE}" pid="51" name="FSC#SAPConfigSettingsSC@101.9800:FMM_PROJEKTZEITRAUM_BIS">
    <vt:lpwstr/>
  </property>
  <property fmtid="{D5CDD505-2E9C-101B-9397-08002B2CF9AE}" pid="52" name="FSC#SAPConfigSettingsSC@101.9800:FMM_RECHTSGRUNDLAGE">
    <vt:lpwstr/>
  </property>
  <property fmtid="{D5CDD505-2E9C-101B-9397-08002B2CF9AE}" pid="53" name="FSC#SAPConfigSettingsSC@101.9800:FMM_RUECKFORDERUNGSGRUND">
    <vt:lpwstr/>
  </property>
  <property fmtid="{D5CDD505-2E9C-101B-9397-08002B2CF9AE}" pid="54" name="FSC#SAPConfigSettingsSC@101.9800:FMM_RUECK_FV">
    <vt:lpwstr/>
  </property>
  <property fmtid="{D5CDD505-2E9C-101B-9397-08002B2CF9AE}" pid="55" name="FSC#SAPConfigSettingsSC@101.9800:FMM_ABLEHNGRUND_SONSTIGES_TXT">
    <vt:lpwstr/>
  </property>
  <property fmtid="{D5CDD505-2E9C-101B-9397-08002B2CF9AE}" pid="56" name="FSC#SAPConfigSettingsSC@101.9800:FMM_VETRAG_SPEZIELLE_FOEDERBEDG">
    <vt:lpwstr/>
  </property>
  <property fmtid="{D5CDD505-2E9C-101B-9397-08002B2CF9AE}" pid="57" name="FSC#SAPConfigSettingsSC@101.9800:FMM_TURNUSARZT">
    <vt:lpwstr/>
  </property>
  <property fmtid="{D5CDD505-2E9C-101B-9397-08002B2CF9AE}" pid="58" name="FSC#SAPConfigSettingsSC@101.9800:FMM_VORGESCHLAGENER_BETRAG_WORT">
    <vt:lpwstr/>
  </property>
  <property fmtid="{D5CDD505-2E9C-101B-9397-08002B2CF9AE}" pid="59" name="FSC#SAPConfigSettingsSC@101.9800:FMM_WIRKUNGSZIELE_EVALUIERUNG">
    <vt:lpwstr/>
  </property>
  <property fmtid="{D5CDD505-2E9C-101B-9397-08002B2CF9AE}" pid="60" name="FSC#SAPConfigSettingsSC@101.9800:FMM_GRANTOR_TYPE">
    <vt:lpwstr/>
  </property>
  <property fmtid="{D5CDD505-2E9C-101B-9397-08002B2CF9AE}" pid="61" name="FSC#SAPConfigSettingsSC@101.9800:FMM_GRANTOR_TYPE_TEXT">
    <vt:lpwstr/>
  </property>
  <property fmtid="{D5CDD505-2E9C-101B-9397-08002B2CF9AE}" pid="62" name="FSC#SAPConfigSettingsSC@101.9800:FMM_XX_BUNDESLAND_MULTISELECT">
    <vt:lpwstr/>
  </property>
  <property fmtid="{D5CDD505-2E9C-101B-9397-08002B2CF9AE}" pid="63" name="FSC#SAPConfigSettingsSC@101.9800:FMM_XX_LGS_MULTISELECT">
    <vt:lpwstr/>
  </property>
  <property fmtid="{D5CDD505-2E9C-101B-9397-08002B2CF9AE}" pid="64" name="FSC#SAPConfigSettingsSC@101.9800:FMM_10_GP_DETAILBEZ">
    <vt:lpwstr/>
  </property>
  <property fmtid="{D5CDD505-2E9C-101B-9397-08002B2CF9AE}" pid="65" name="FSC#SAPConfigSettingsSC@101.9800:FMM_10_MONATLICHE_RATE_WAER">
    <vt:lpwstr/>
  </property>
  <property fmtid="{D5CDD505-2E9C-101B-9397-08002B2CF9AE}" pid="66" name="FSC#SAPConfigSettingsSC@101.9800:FMM_10_MONATLICHE_RATE">
    <vt:lpwstr/>
  </property>
  <property fmtid="{D5CDD505-2E9C-101B-9397-08002B2CF9AE}" pid="67" name="FSC#SAPConfigSettingsSC@101.9800:FMM_VEREINSREGISTERNUMMER">
    <vt:lpwstr/>
  </property>
  <property fmtid="{D5CDD505-2E9C-101B-9397-08002B2CF9AE}" pid="68" name="FSC#SAPConfigSettingsSC@101.9800:FMM_TRADEID">
    <vt:lpwstr/>
  </property>
  <property fmtid="{D5CDD505-2E9C-101B-9397-08002B2CF9AE}" pid="69" name="FSC#SAPConfigSettingsSC@101.9800:FMM_ERGAENZUNGSREGISTERNUMMER">
    <vt:lpwstr/>
  </property>
  <property fmtid="{D5CDD505-2E9C-101B-9397-08002B2CF9AE}" pid="70" name="FSC#SAPConfigSettingsSC@101.9800:FMM_SCHWERPUNKT">
    <vt:lpwstr/>
  </property>
  <property fmtid="{D5CDD505-2E9C-101B-9397-08002B2CF9AE}" pid="71" name="FSC#SAPConfigSettingsSC@101.9800:FMM_PROJEKT_ID">
    <vt:lpwstr/>
  </property>
  <property fmtid="{D5CDD505-2E9C-101B-9397-08002B2CF9AE}" pid="72" name="FSC#SAPConfigSettingsSC@101.9800:FMM_ANMERKUNG_PROJEKT">
    <vt:lpwstr/>
  </property>
  <property fmtid="{D5CDD505-2E9C-101B-9397-08002B2CF9AE}" pid="73" name="FSC#SAPConfigSettingsSC@101.9800:FMM_ANSPRECHPERSON">
    <vt:lpwstr/>
  </property>
  <property fmtid="{D5CDD505-2E9C-101B-9397-08002B2CF9AE}" pid="74" name="FSC#SAPConfigSettingsSC@101.9800:FMM_TELEFON_EMAIL">
    <vt:lpwstr/>
  </property>
  <property fmtid="{D5CDD505-2E9C-101B-9397-08002B2CF9AE}" pid="75" name="FSC#SAPConfigSettingsSC@101.9800:FMM_ANMERKUNG_ABRECHNUNGSFRIST">
    <vt:lpwstr/>
  </property>
  <property fmtid="{D5CDD505-2E9C-101B-9397-08002B2CF9AE}" pid="76" name="FSC#SAPConfigSettingsSC@101.9800:FMM_TEILNEHMERANZAHL">
    <vt:lpwstr/>
  </property>
  <property fmtid="{D5CDD505-2E9C-101B-9397-08002B2CF9AE}" pid="77" name="FSC#SAPConfigSettingsSC@101.9800:FMM_AUSLAND">
    <vt:lpwstr/>
  </property>
  <property fmtid="{D5CDD505-2E9C-101B-9397-08002B2CF9AE}" pid="78" name="FSC#SAPConfigSettingsSC@101.9800:FMM_00_BEANTR_BETRAG">
    <vt:lpwstr/>
  </property>
  <property fmtid="{D5CDD505-2E9C-101B-9397-08002B2CF9AE}" pid="79" name="FSC#SAPConfigSettingsSC@101.9800:FMM_SACHBEARBEITER">
    <vt:lpwstr/>
  </property>
  <property fmtid="{D5CDD505-2E9C-101B-9397-08002B2CF9AE}" pid="80" name="FSC#SAPConfigSettingsSC@101.9800:FMM_ABRECHNUNGSFRIST">
    <vt:lpwstr/>
  </property>
  <property fmtid="{D5CDD505-2E9C-101B-9397-08002B2CF9AE}" pid="81" name="FSC#EIBPRECONFIG@1.1001:EIBInternalApprovedAt">
    <vt:lpwstr/>
  </property>
  <property fmtid="{D5CDD505-2E9C-101B-9397-08002B2CF9AE}" pid="82" name="FSC#EIBPRECONFIG@1.1001:EIBInternalApprovedBy">
    <vt:lpwstr/>
  </property>
  <property fmtid="{D5CDD505-2E9C-101B-9397-08002B2CF9AE}" pid="83" name="FSC#EIBPRECONFIG@1.1001:EIBInternalApprovedByPostTitle">
    <vt:lpwstr/>
  </property>
  <property fmtid="{D5CDD505-2E9C-101B-9397-08002B2CF9AE}" pid="84" name="FSC#EIBPRECONFIG@1.1001:EIBSettlementApprovedBy">
    <vt:lpwstr/>
  </property>
  <property fmtid="{D5CDD505-2E9C-101B-9397-08002B2CF9AE}" pid="85" name="FSC#EIBPRECONFIG@1.1001:EIBSettlementApprovedByFirstnameSurname">
    <vt:lpwstr/>
  </property>
  <property fmtid="{D5CDD505-2E9C-101B-9397-08002B2CF9AE}" pid="86" name="FSC#EIBPRECONFIG@1.1001:EIBSettlementApprovedByPostTitle">
    <vt:lpwstr/>
  </property>
  <property fmtid="{D5CDD505-2E9C-101B-9397-08002B2CF9AE}" pid="87" name="FSC#EIBPRECONFIG@1.1001:EIBApprovedAt">
    <vt:lpwstr/>
  </property>
  <property fmtid="{D5CDD505-2E9C-101B-9397-08002B2CF9AE}" pid="88" name="FSC#EIBPRECONFIG@1.1001:EIBApprovedBy">
    <vt:lpwstr/>
  </property>
  <property fmtid="{D5CDD505-2E9C-101B-9397-08002B2CF9AE}" pid="89" name="FSC#EIBPRECONFIG@1.1001:EIBApprovedBySubst">
    <vt:lpwstr/>
  </property>
  <property fmtid="{D5CDD505-2E9C-101B-9397-08002B2CF9AE}" pid="90" name="FSC#EIBPRECONFIG@1.1001:EIBApprovedByTitle">
    <vt:lpwstr/>
  </property>
  <property fmtid="{D5CDD505-2E9C-101B-9397-08002B2CF9AE}" pid="91" name="FSC#EIBPRECONFIG@1.1001:EIBApprovedByPostTitle">
    <vt:lpwstr/>
  </property>
  <property fmtid="{D5CDD505-2E9C-101B-9397-08002B2CF9AE}" pid="92" name="FSC#EIBPRECONFIG@1.1001:EIBDepartment">
    <vt:lpwstr>BMK - V/2 (Abfall- und Altlastenrecht)</vt:lpwstr>
  </property>
  <property fmtid="{D5CDD505-2E9C-101B-9397-08002B2CF9AE}" pid="93" name="FSC#EIBPRECONFIG@1.1001:EIBDispatchedBy">
    <vt:lpwstr/>
  </property>
  <property fmtid="{D5CDD505-2E9C-101B-9397-08002B2CF9AE}" pid="94" name="FSC#EIBPRECONFIG@1.1001:EIBDispatchedByPostTitle">
    <vt:lpwstr/>
  </property>
  <property fmtid="{D5CDD505-2E9C-101B-9397-08002B2CF9AE}" pid="95" name="FSC#EIBPRECONFIG@1.1001:ExtRefInc">
    <vt:lpwstr/>
  </property>
  <property fmtid="{D5CDD505-2E9C-101B-9397-08002B2CF9AE}" pid="96" name="FSC#EIBPRECONFIG@1.1001:IncomingAddrdate">
    <vt:lpwstr/>
  </property>
  <property fmtid="{D5CDD505-2E9C-101B-9397-08002B2CF9AE}" pid="97" name="FSC#EIBPRECONFIG@1.1001:IncomingDelivery">
    <vt:lpwstr/>
  </property>
  <property fmtid="{D5CDD505-2E9C-101B-9397-08002B2CF9AE}" pid="98" name="FSC#EIBPRECONFIG@1.1001:OwnerEmail">
    <vt:lpwstr>GEORG.FUERNSINN@BMK.GV.AT</vt:lpwstr>
  </property>
  <property fmtid="{D5CDD505-2E9C-101B-9397-08002B2CF9AE}" pid="99" name="FSC#EIBPRECONFIG@1.1001:FileOUEmail">
    <vt:lpwstr>v2@bmk.gv.at</vt:lpwstr>
  </property>
  <property fmtid="{D5CDD505-2E9C-101B-9397-08002B2CF9AE}" pid="100" name="FSC#EIBPRECONFIG@1.1001:OUEmail">
    <vt:lpwstr>v2@bmk.gv.at</vt:lpwstr>
  </property>
  <property fmtid="{D5CDD505-2E9C-101B-9397-08002B2CF9AE}" pid="101" name="FSC#EIBPRECONFIG@1.1001:OwnerGender">
    <vt:lpwstr>Männlich</vt:lpwstr>
  </property>
  <property fmtid="{D5CDD505-2E9C-101B-9397-08002B2CF9AE}" pid="102" name="FSC#EIBPRECONFIG@1.1001:Priority">
    <vt:lpwstr>Nein</vt:lpwstr>
  </property>
  <property fmtid="{D5CDD505-2E9C-101B-9397-08002B2CF9AE}" pid="103" name="FSC#EIBPRECONFIG@1.1001:PreviousFiles">
    <vt:lpwstr/>
  </property>
  <property fmtid="{D5CDD505-2E9C-101B-9397-08002B2CF9AE}" pid="104" name="FSC#EIBPRECONFIG@1.1001:NextFiles">
    <vt:lpwstr/>
  </property>
  <property fmtid="{D5CDD505-2E9C-101B-9397-08002B2CF9AE}" pid="105" name="FSC#EIBPRECONFIG@1.1001:RelatedFiles">
    <vt:lpwstr/>
  </property>
  <property fmtid="{D5CDD505-2E9C-101B-9397-08002B2CF9AE}" pid="106" name="FSC#EIBPRECONFIG@1.1001:CompletedOrdinals">
    <vt:lpwstr/>
  </property>
  <property fmtid="{D5CDD505-2E9C-101B-9397-08002B2CF9AE}" pid="107" name="FSC#EIBPRECONFIG@1.1001:NrAttachments">
    <vt:lpwstr/>
  </property>
  <property fmtid="{D5CDD505-2E9C-101B-9397-08002B2CF9AE}" pid="108" name="FSC#EIBPRECONFIG@1.1001:Attachments">
    <vt:lpwstr/>
  </property>
  <property fmtid="{D5CDD505-2E9C-101B-9397-08002B2CF9AE}" pid="109" name="FSC#EIBPRECONFIG@1.1001:SubjectArea">
    <vt:lpwstr>Legistik im Abfallbereich</vt:lpwstr>
  </property>
  <property fmtid="{D5CDD505-2E9C-101B-9397-08002B2CF9AE}" pid="110" name="FSC#EIBPRECONFIG@1.1001:Recipients">
    <vt:lpwstr/>
  </property>
  <property fmtid="{D5CDD505-2E9C-101B-9397-08002B2CF9AE}" pid="111" name="FSC#EIBPRECONFIG@1.1001:Classified">
    <vt:lpwstr/>
  </property>
  <property fmtid="{D5CDD505-2E9C-101B-9397-08002B2CF9AE}" pid="112" name="FSC#EIBPRECONFIG@1.1001:Deadline">
    <vt:lpwstr/>
  </property>
  <property fmtid="{D5CDD505-2E9C-101B-9397-08002B2CF9AE}" pid="113" name="FSC#EIBPRECONFIG@1.1001:SettlementSubj">
    <vt:lpwstr/>
  </property>
  <property fmtid="{D5CDD505-2E9C-101B-9397-08002B2CF9AE}" pid="114" name="FSC#EIBPRECONFIG@1.1001:OUAddr">
    <vt:lpwstr>Stubenbastei 5, 1010 Wien</vt:lpwstr>
  </property>
  <property fmtid="{D5CDD505-2E9C-101B-9397-08002B2CF9AE}" pid="115" name="FSC#EIBPRECONFIG@1.1001:FileOUName">
    <vt:lpwstr>BMK - V/2 (Abfall- und Altlastenrecht)</vt:lpwstr>
  </property>
  <property fmtid="{D5CDD505-2E9C-101B-9397-08002B2CF9AE}" pid="116" name="FSC#EIBPRECONFIG@1.1001:FileOUDescr">
    <vt:lpwstr>202</vt:lpwstr>
  </property>
  <property fmtid="{D5CDD505-2E9C-101B-9397-08002B2CF9AE}" pid="117" name="FSC#EIBPRECONFIG@1.1001:OUDescr">
    <vt:lpwstr>202</vt:lpwstr>
  </property>
  <property fmtid="{D5CDD505-2E9C-101B-9397-08002B2CF9AE}" pid="118" name="FSC#EIBPRECONFIG@1.1001:Signatures">
    <vt:lpwstr>Abzeichnen_x000d_
Abzeichnen</vt:lpwstr>
  </property>
  <property fmtid="{D5CDD505-2E9C-101B-9397-08002B2CF9AE}" pid="119" name="FSC#EIBPRECONFIG@1.1001:currentuser">
    <vt:lpwstr>COO.3000.100.1.16807</vt:lpwstr>
  </property>
  <property fmtid="{D5CDD505-2E9C-101B-9397-08002B2CF9AE}" pid="120" name="FSC#EIBPRECONFIG@1.1001:currentuserrolegroup">
    <vt:lpwstr>COO.3000.100.1.16219</vt:lpwstr>
  </property>
  <property fmtid="{D5CDD505-2E9C-101B-9397-08002B2CF9AE}" pid="121" name="FSC#EIBPRECONFIG@1.1001:currentuserroleposition">
    <vt:lpwstr>COO.1.1001.1.4595</vt:lpwstr>
  </property>
  <property fmtid="{D5CDD505-2E9C-101B-9397-08002B2CF9AE}" pid="122" name="FSC#EIBPRECONFIG@1.1001:currentuserroot">
    <vt:lpwstr>COO.3000.106.2.2589551</vt:lpwstr>
  </property>
  <property fmtid="{D5CDD505-2E9C-101B-9397-08002B2CF9AE}" pid="123" name="FSC#EIBPRECONFIG@1.1001:toplevelobject">
    <vt:lpwstr>COO.3000.106.14.2620571</vt:lpwstr>
  </property>
  <property fmtid="{D5CDD505-2E9C-101B-9397-08002B2CF9AE}" pid="124" name="FSC#EIBPRECONFIG@1.1001:objchangedby">
    <vt:lpwstr>Mag. Evelyn Wolfslehner</vt:lpwstr>
  </property>
  <property fmtid="{D5CDD505-2E9C-101B-9397-08002B2CF9AE}" pid="125" name="FSC#EIBPRECONFIG@1.1001:objchangedbyPostTitle">
    <vt:lpwstr/>
  </property>
  <property fmtid="{D5CDD505-2E9C-101B-9397-08002B2CF9AE}" pid="126" name="FSC#EIBPRECONFIG@1.1001:objchangedat">
    <vt:lpwstr>27.03.2023</vt:lpwstr>
  </property>
  <property fmtid="{D5CDD505-2E9C-101B-9397-08002B2CF9AE}" pid="127" name="FSC#EIBPRECONFIG@1.1001:objname">
    <vt:lpwstr>EinwegpfandVO Getränkeverpackungen Entwurf</vt:lpwstr>
  </property>
  <property fmtid="{D5CDD505-2E9C-101B-9397-08002B2CF9AE}" pid="128" name="FSC#EIBPRECONFIG@1.1001:EIBProcessResponsiblePhone">
    <vt:lpwstr/>
  </property>
  <property fmtid="{D5CDD505-2E9C-101B-9397-08002B2CF9AE}" pid="129" name="FSC#EIBPRECONFIG@1.1001:EIBProcessResponsibleMail">
    <vt:lpwstr/>
  </property>
  <property fmtid="{D5CDD505-2E9C-101B-9397-08002B2CF9AE}" pid="130" name="FSC#EIBPRECONFIG@1.1001:EIBProcessResponsibleFax">
    <vt:lpwstr/>
  </property>
  <property fmtid="{D5CDD505-2E9C-101B-9397-08002B2CF9AE}" pid="131" name="FSC#EIBPRECONFIG@1.1001:EIBProcessResponsiblePostTitle">
    <vt:lpwstr/>
  </property>
  <property fmtid="{D5CDD505-2E9C-101B-9397-08002B2CF9AE}" pid="132" name="FSC#EIBPRECONFIG@1.1001:EIBProcessResponsible">
    <vt:lpwstr/>
  </property>
  <property fmtid="{D5CDD505-2E9C-101B-9397-08002B2CF9AE}" pid="133" name="FSC#EIBPRECONFIG@1.1001:FileResponsibleFullName">
    <vt:lpwstr/>
  </property>
  <property fmtid="{D5CDD505-2E9C-101B-9397-08002B2CF9AE}" pid="134" name="FSC#EIBPRECONFIG@1.1001:FileResponsibleFirstnameSurname">
    <vt:lpwstr/>
  </property>
  <property fmtid="{D5CDD505-2E9C-101B-9397-08002B2CF9AE}" pid="135" name="FSC#EIBPRECONFIG@1.1001:FileResponsibleEmail">
    <vt:lpwstr/>
  </property>
  <property fmtid="{D5CDD505-2E9C-101B-9397-08002B2CF9AE}" pid="136" name="FSC#EIBPRECONFIG@1.1001:FileResponsibleExtension">
    <vt:lpwstr/>
  </property>
  <property fmtid="{D5CDD505-2E9C-101B-9397-08002B2CF9AE}" pid="137" name="FSC#EIBPRECONFIG@1.1001:FileResponsibleFaxExtension">
    <vt:lpwstr/>
  </property>
  <property fmtid="{D5CDD505-2E9C-101B-9397-08002B2CF9AE}" pid="138" name="FSC#EIBPRECONFIG@1.1001:FileResponsibleGender">
    <vt:lpwstr/>
  </property>
  <property fmtid="{D5CDD505-2E9C-101B-9397-08002B2CF9AE}" pid="139" name="FSC#EIBPRECONFIG@1.1001:FileResponsibleAddr">
    <vt:lpwstr/>
  </property>
  <property fmtid="{D5CDD505-2E9C-101B-9397-08002B2CF9AE}" pid="140" name="FSC#EIBPRECONFIG@1.1001:OwnerPostTitle">
    <vt:lpwstr/>
  </property>
  <property fmtid="{D5CDD505-2E9C-101B-9397-08002B2CF9AE}" pid="141" name="FSC#EIBPRECONFIG@1.1001:OwnerAddr">
    <vt:lpwstr>Stubenbastei 5, 1010 Wien</vt:lpwstr>
  </property>
  <property fmtid="{D5CDD505-2E9C-101B-9397-08002B2CF9AE}" pid="142" name="FSC#EIBPRECONFIG@1.1001:IsFileAttachment">
    <vt:lpwstr>Ja</vt:lpwstr>
  </property>
  <property fmtid="{D5CDD505-2E9C-101B-9397-08002B2CF9AE}" pid="143" name="FSC#EIBPRECONFIG@1.1001:AddrTelefon">
    <vt:lpwstr/>
  </property>
  <property fmtid="{D5CDD505-2E9C-101B-9397-08002B2CF9AE}" pid="144" name="FSC#EIBPRECONFIG@1.1001:AddrGeburtsdatum">
    <vt:lpwstr/>
  </property>
  <property fmtid="{D5CDD505-2E9C-101B-9397-08002B2CF9AE}" pid="145" name="FSC#EIBPRECONFIG@1.1001:AddrGeboren_am_2">
    <vt:lpwstr/>
  </property>
  <property fmtid="{D5CDD505-2E9C-101B-9397-08002B2CF9AE}" pid="146" name="FSC#EIBPRECONFIG@1.1001:AddrBundesland">
    <vt:lpwstr/>
  </property>
  <property fmtid="{D5CDD505-2E9C-101B-9397-08002B2CF9AE}" pid="147" name="FSC#EIBPRECONFIG@1.1001:AddrBezeichnung">
    <vt:lpwstr/>
  </property>
  <property fmtid="{D5CDD505-2E9C-101B-9397-08002B2CF9AE}" pid="148" name="FSC#EIBPRECONFIG@1.1001:AddrGruppeName_vollstaendig">
    <vt:lpwstr/>
  </property>
  <property fmtid="{D5CDD505-2E9C-101B-9397-08002B2CF9AE}" pid="149" name="FSC#EIBPRECONFIG@1.1001:AddrAdresseBeschreibung">
    <vt:lpwstr/>
  </property>
  <property fmtid="{D5CDD505-2E9C-101B-9397-08002B2CF9AE}" pid="150" name="FSC#EIBPRECONFIG@1.1001:AddrName_Ergaenzung">
    <vt:lpwstr/>
  </property>
  <property fmtid="{D5CDD505-2E9C-101B-9397-08002B2CF9AE}" pid="151" name="FSC#COOELAK@1.1001:Subject">
    <vt:lpwstr>Pfandverordnung für Einweggetränkeverpackungen; Aussendung in das Begutachtungsverfahren</vt:lpwstr>
  </property>
  <property fmtid="{D5CDD505-2E9C-101B-9397-08002B2CF9AE}" pid="152" name="FSC#COOELAK@1.1001:FileReference">
    <vt:lpwstr>2023-0.195.934</vt:lpwstr>
  </property>
  <property fmtid="{D5CDD505-2E9C-101B-9397-08002B2CF9AE}" pid="153" name="FSC#COOELAK@1.1001:FileRefYear">
    <vt:lpwstr>2023</vt:lpwstr>
  </property>
  <property fmtid="{D5CDD505-2E9C-101B-9397-08002B2CF9AE}" pid="154" name="FSC#COOELAK@1.1001:FileRefOrdinal">
    <vt:lpwstr>195934</vt:lpwstr>
  </property>
  <property fmtid="{D5CDD505-2E9C-101B-9397-08002B2CF9AE}" pid="155" name="FSC#COOELAK@1.1001:FileRefOU">
    <vt:lpwstr>V/2</vt:lpwstr>
  </property>
  <property fmtid="{D5CDD505-2E9C-101B-9397-08002B2CF9AE}" pid="156" name="FSC#COOELAK@1.1001:Organization">
    <vt:lpwstr/>
  </property>
  <property fmtid="{D5CDD505-2E9C-101B-9397-08002B2CF9AE}" pid="157" name="FSC#COOELAK@1.1001:Owner">
    <vt:lpwstr>Mag. Georg Fürnsinn</vt:lpwstr>
  </property>
  <property fmtid="{D5CDD505-2E9C-101B-9397-08002B2CF9AE}" pid="158" name="FSC#COOELAK@1.1001:OwnerExtension">
    <vt:lpwstr>+43 1 71162 613437</vt:lpwstr>
  </property>
  <property fmtid="{D5CDD505-2E9C-101B-9397-08002B2CF9AE}" pid="159" name="FSC#COOELAK@1.1001:OwnerFaxExtension">
    <vt:lpwstr>+43 1 5131679 1077</vt:lpwstr>
  </property>
  <property fmtid="{D5CDD505-2E9C-101B-9397-08002B2CF9AE}" pid="160" name="FSC#COOELAK@1.1001:DispatchedBy">
    <vt:lpwstr/>
  </property>
  <property fmtid="{D5CDD505-2E9C-101B-9397-08002B2CF9AE}" pid="161" name="FSC#COOELAK@1.1001:DispatchedAt">
    <vt:lpwstr/>
  </property>
  <property fmtid="{D5CDD505-2E9C-101B-9397-08002B2CF9AE}" pid="162" name="FSC#COOELAK@1.1001:ApprovedBy">
    <vt:lpwstr/>
  </property>
  <property fmtid="{D5CDD505-2E9C-101B-9397-08002B2CF9AE}" pid="163" name="FSC#COOELAK@1.1001:ApprovedAt">
    <vt:lpwstr/>
  </property>
  <property fmtid="{D5CDD505-2E9C-101B-9397-08002B2CF9AE}" pid="164" name="FSC#COOELAK@1.1001:Department">
    <vt:lpwstr>BMK - V/2 (Abfall- und Altlastenrecht)</vt:lpwstr>
  </property>
  <property fmtid="{D5CDD505-2E9C-101B-9397-08002B2CF9AE}" pid="165" name="FSC#COOELAK@1.1001:CreatedAt">
    <vt:lpwstr>24.03.2023</vt:lpwstr>
  </property>
  <property fmtid="{D5CDD505-2E9C-101B-9397-08002B2CF9AE}" pid="166" name="FSC#COOELAK@1.1001:OU">
    <vt:lpwstr>BMK - V/2 (Abfall- und Altlastenrecht)</vt:lpwstr>
  </property>
  <property fmtid="{D5CDD505-2E9C-101B-9397-08002B2CF9AE}" pid="167" name="FSC#COOELAK@1.1001:Priority">
    <vt:lpwstr> ()</vt:lpwstr>
  </property>
  <property fmtid="{D5CDD505-2E9C-101B-9397-08002B2CF9AE}" pid="168" name="FSC#COOELAK@1.1001:ObjBarCode">
    <vt:lpwstr>*COO.3000.106.6.2520590*</vt:lpwstr>
  </property>
  <property fmtid="{D5CDD505-2E9C-101B-9397-08002B2CF9AE}" pid="169" name="FSC#COOELAK@1.1001:RefBarCode">
    <vt:lpwstr/>
  </property>
  <property fmtid="{D5CDD505-2E9C-101B-9397-08002B2CF9AE}" pid="170" name="FSC#COOELAK@1.1001:FileRefBarCode">
    <vt:lpwstr>*2023-0.195.934*</vt:lpwstr>
  </property>
  <property fmtid="{D5CDD505-2E9C-101B-9397-08002B2CF9AE}" pid="171" name="FSC#COOELAK@1.1001:ExternalRef">
    <vt:lpwstr/>
  </property>
  <property fmtid="{D5CDD505-2E9C-101B-9397-08002B2CF9AE}" pid="172" name="FSC#COOELAK@1.1001:IncomingNumber">
    <vt:lpwstr/>
  </property>
  <property fmtid="{D5CDD505-2E9C-101B-9397-08002B2CF9AE}" pid="173" name="FSC#COOELAK@1.1001:IncomingSubject">
    <vt:lpwstr/>
  </property>
  <property fmtid="{D5CDD505-2E9C-101B-9397-08002B2CF9AE}" pid="174" name="FSC#COOELAK@1.1001:ProcessResponsible">
    <vt:lpwstr/>
  </property>
  <property fmtid="{D5CDD505-2E9C-101B-9397-08002B2CF9AE}" pid="175" name="FSC#COOELAK@1.1001:ProcessResponsiblePhone">
    <vt:lpwstr/>
  </property>
  <property fmtid="{D5CDD505-2E9C-101B-9397-08002B2CF9AE}" pid="176" name="FSC#COOELAK@1.1001:ProcessResponsibleMail">
    <vt:lpwstr/>
  </property>
  <property fmtid="{D5CDD505-2E9C-101B-9397-08002B2CF9AE}" pid="177" name="FSC#COOELAK@1.1001:ProcessResponsibleFax">
    <vt:lpwstr/>
  </property>
  <property fmtid="{D5CDD505-2E9C-101B-9397-08002B2CF9AE}" pid="178" name="FSC#COOELAK@1.1001:ApproverFirstName">
    <vt:lpwstr/>
  </property>
  <property fmtid="{D5CDD505-2E9C-101B-9397-08002B2CF9AE}" pid="179" name="FSC#COOELAK@1.1001:ApproverSurName">
    <vt:lpwstr/>
  </property>
  <property fmtid="{D5CDD505-2E9C-101B-9397-08002B2CF9AE}" pid="180" name="FSC#COOELAK@1.1001:ApproverTitle">
    <vt:lpwstr/>
  </property>
  <property fmtid="{D5CDD505-2E9C-101B-9397-08002B2CF9AE}" pid="181" name="FSC#COOELAK@1.1001:ExternalDate">
    <vt:lpwstr/>
  </property>
  <property fmtid="{D5CDD505-2E9C-101B-9397-08002B2CF9AE}" pid="182" name="FSC#COOELAK@1.1001:SettlementApprovedAt">
    <vt:lpwstr/>
  </property>
  <property fmtid="{D5CDD505-2E9C-101B-9397-08002B2CF9AE}" pid="183" name="FSC#COOELAK@1.1001:BaseNumber">
    <vt:lpwstr>UW.2.1.6</vt:lpwstr>
  </property>
  <property fmtid="{D5CDD505-2E9C-101B-9397-08002B2CF9AE}" pid="184" name="FSC#COOELAK@1.1001:CurrentUserRolePos">
    <vt:lpwstr>Leiter/in</vt:lpwstr>
  </property>
  <property fmtid="{D5CDD505-2E9C-101B-9397-08002B2CF9AE}" pid="185" name="FSC#COOELAK@1.1001:CurrentUserEmail">
    <vt:lpwstr>CHRISTIAN.HOLZER@BMK.GV.AT</vt:lpwstr>
  </property>
  <property fmtid="{D5CDD505-2E9C-101B-9397-08002B2CF9AE}" pid="186" name="FSC#ELAKGOV@1.1001:PersonalSubjGender">
    <vt:lpwstr/>
  </property>
  <property fmtid="{D5CDD505-2E9C-101B-9397-08002B2CF9AE}" pid="187" name="FSC#ELAKGOV@1.1001:PersonalSubjFirstName">
    <vt:lpwstr/>
  </property>
  <property fmtid="{D5CDD505-2E9C-101B-9397-08002B2CF9AE}" pid="188" name="FSC#ELAKGOV@1.1001:PersonalSubjSurName">
    <vt:lpwstr/>
  </property>
  <property fmtid="{D5CDD505-2E9C-101B-9397-08002B2CF9AE}" pid="189" name="FSC#ELAKGOV@1.1001:PersonalSubjSalutation">
    <vt:lpwstr/>
  </property>
  <property fmtid="{D5CDD505-2E9C-101B-9397-08002B2CF9AE}" pid="190" name="FSC#ELAKGOV@1.1001:PersonalSubjAddress">
    <vt:lpwstr/>
  </property>
  <property fmtid="{D5CDD505-2E9C-101B-9397-08002B2CF9AE}" pid="191" name="FSC#ATSTATECFG@1.1001:Office">
    <vt:lpwstr/>
  </property>
  <property fmtid="{D5CDD505-2E9C-101B-9397-08002B2CF9AE}" pid="192" name="FSC#ATSTATECFG@1.1001:Agent">
    <vt:lpwstr/>
  </property>
  <property fmtid="{D5CDD505-2E9C-101B-9397-08002B2CF9AE}" pid="193" name="FSC#ATSTATECFG@1.1001:AgentPhone">
    <vt:lpwstr/>
  </property>
  <property fmtid="{D5CDD505-2E9C-101B-9397-08002B2CF9AE}" pid="194" name="FSC#ATSTATECFG@1.1001:DepartmentFax">
    <vt:lpwstr/>
  </property>
  <property fmtid="{D5CDD505-2E9C-101B-9397-08002B2CF9AE}" pid="195" name="FSC#ATSTATECFG@1.1001:DepartmentEmail">
    <vt:lpwstr/>
  </property>
  <property fmtid="{D5CDD505-2E9C-101B-9397-08002B2CF9AE}" pid="196" name="FSC#ATSTATECFG@1.1001:SubfileDate">
    <vt:lpwstr/>
  </property>
  <property fmtid="{D5CDD505-2E9C-101B-9397-08002B2CF9AE}" pid="197" name="FSC#ATSTATECFG@1.1001:SubfileSubject">
    <vt:lpwstr/>
  </property>
  <property fmtid="{D5CDD505-2E9C-101B-9397-08002B2CF9AE}" pid="198" name="FSC#ATSTATECFG@1.1001:DepartmentZipCode">
    <vt:lpwstr/>
  </property>
  <property fmtid="{D5CDD505-2E9C-101B-9397-08002B2CF9AE}" pid="199" name="FSC#ATSTATECFG@1.1001:DepartmentCountry">
    <vt:lpwstr/>
  </property>
  <property fmtid="{D5CDD505-2E9C-101B-9397-08002B2CF9AE}" pid="200" name="FSC#ATSTATECFG@1.1001:DepartmentCity">
    <vt:lpwstr/>
  </property>
  <property fmtid="{D5CDD505-2E9C-101B-9397-08002B2CF9AE}" pid="201" name="FSC#ATSTATECFG@1.1001:DepartmentStreet">
    <vt:lpwstr/>
  </property>
  <property fmtid="{D5CDD505-2E9C-101B-9397-08002B2CF9AE}" pid="202" name="FSC#CCAPRECONFIGG@15.1001:DepartmentON">
    <vt:lpwstr/>
  </property>
  <property fmtid="{D5CDD505-2E9C-101B-9397-08002B2CF9AE}" pid="203" name="FSC#CCAPRECONFIGG@15.1001:DepartmentWebsite">
    <vt:lpwstr/>
  </property>
  <property fmtid="{D5CDD505-2E9C-101B-9397-08002B2CF9AE}" pid="204" name="FSC#ATSTATECFG@1.1001:DepartmentDVR">
    <vt:lpwstr/>
  </property>
  <property fmtid="{D5CDD505-2E9C-101B-9397-08002B2CF9AE}" pid="205" name="FSC#ATSTATECFG@1.1001:DepartmentUID">
    <vt:lpwstr/>
  </property>
  <property fmtid="{D5CDD505-2E9C-101B-9397-08002B2CF9AE}" pid="206" name="FSC#ATSTATECFG@1.1001:SubfileReference">
    <vt:lpwstr/>
  </property>
  <property fmtid="{D5CDD505-2E9C-101B-9397-08002B2CF9AE}" pid="207" name="FSC#ATSTATECFG@1.1001:Clause">
    <vt:lpwstr/>
  </property>
  <property fmtid="{D5CDD505-2E9C-101B-9397-08002B2CF9AE}" pid="208" name="FSC#ATSTATECFG@1.1001:ApprovedSignature">
    <vt:lpwstr/>
  </property>
  <property fmtid="{D5CDD505-2E9C-101B-9397-08002B2CF9AE}" pid="209" name="FSC#ATSTATECFG@1.1001:BankAccount">
    <vt:lpwstr/>
  </property>
  <property fmtid="{D5CDD505-2E9C-101B-9397-08002B2CF9AE}" pid="210" name="FSC#ATSTATECFG@1.1001:BankAccountOwner">
    <vt:lpwstr/>
  </property>
  <property fmtid="{D5CDD505-2E9C-101B-9397-08002B2CF9AE}" pid="211" name="FSC#ATSTATECFG@1.1001:BankInstitute">
    <vt:lpwstr/>
  </property>
  <property fmtid="{D5CDD505-2E9C-101B-9397-08002B2CF9AE}" pid="212" name="FSC#ATSTATECFG@1.1001:BankAccountID">
    <vt:lpwstr/>
  </property>
  <property fmtid="{D5CDD505-2E9C-101B-9397-08002B2CF9AE}" pid="213" name="FSC#ATSTATECFG@1.1001:BankAccountIBAN">
    <vt:lpwstr/>
  </property>
  <property fmtid="{D5CDD505-2E9C-101B-9397-08002B2CF9AE}" pid="214" name="FSC#ATSTATECFG@1.1001:BankAccountBIC">
    <vt:lpwstr/>
  </property>
  <property fmtid="{D5CDD505-2E9C-101B-9397-08002B2CF9AE}" pid="215" name="FSC#ATSTATECFG@1.1001:BankName">
    <vt:lpwstr/>
  </property>
  <property fmtid="{D5CDD505-2E9C-101B-9397-08002B2CF9AE}" pid="216" name="FSC#COOELAK@1.1001:ObjectAddressees">
    <vt:lpwstr/>
  </property>
  <property fmtid="{D5CDD505-2E9C-101B-9397-08002B2CF9AE}" pid="217" name="FSC#COOELAK@1.1001:replyreference">
    <vt:lpwstr/>
  </property>
  <property fmtid="{D5CDD505-2E9C-101B-9397-08002B2CF9AE}" pid="218" name="FSC#COOELAK@1.1001:OfficeHours">
    <vt:lpwstr/>
  </property>
  <property fmtid="{D5CDD505-2E9C-101B-9397-08002B2CF9AE}" pid="219" name="FSC#COOELAK@1.1001:FileRefOULong">
    <vt:lpwstr>Abfall- und Altlastenrecht</vt:lpwstr>
  </property>
  <property fmtid="{D5CDD505-2E9C-101B-9397-08002B2CF9AE}" pid="220" name="FSC#ATPRECONFIG@1.1001:ChargePreview">
    <vt:lpwstr/>
  </property>
  <property fmtid="{D5CDD505-2E9C-101B-9397-08002B2CF9AE}" pid="221" name="FSC#ATSTATECFG@1.1001:ExternalFile">
    <vt:lpwstr/>
  </property>
  <property fmtid="{D5CDD505-2E9C-101B-9397-08002B2CF9AE}" pid="222" name="FSC#COOSYSTEM@1.1:Container">
    <vt:lpwstr>COO.3000.106.6.2520590</vt:lpwstr>
  </property>
  <property fmtid="{D5CDD505-2E9C-101B-9397-08002B2CF9AE}" pid="223" name="FSC#FSCFOLIO@1.1001:docpropproject">
    <vt:lpwstr/>
  </property>
  <property fmtid="{D5CDD505-2E9C-101B-9397-08002B2CF9AE}" pid="224" name="LegistikVersion">
    <vt:lpwstr>2.0.0.0 (20.02.2023)</vt:lpwstr>
  </property>
</Properties>
</file>