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9D4655" w:rsidRDefault="003574F8" w:rsidP="003574F8">
      <w:pPr>
        <w:jc w:val="center"/>
        <w:rPr>
          <w:rFonts w:ascii="Courier New" w:hAnsi="Courier New"/>
          <w:sz w:val="20"/>
          <w:lang w:val="da-DK"/>
        </w:rPr>
      </w:pPr>
      <w:r w:rsidRPr="009D4655">
        <w:rPr>
          <w:rFonts w:ascii="Courier New" w:hAnsi="Courier New"/>
          <w:sz w:val="20"/>
          <w:lang w:val="da-DK"/>
        </w:rPr>
        <w:t>1. ------IND- 2020 0813 D-- EL- ------ 20201231 --- --- PROJET</w:t>
      </w:r>
    </w:p>
    <w:p w:rsidR="00A211F5" w:rsidRPr="009D4655" w:rsidRDefault="00A211F5" w:rsidP="00A211F5">
      <w:pPr>
        <w:spacing w:before="120" w:line="320" w:lineRule="exact"/>
        <w:rPr>
          <w:rFonts w:ascii="Verdana" w:hAnsi="Verdana"/>
          <w:sz w:val="16"/>
          <w:szCs w:val="16"/>
          <w:lang w:val="da-DK"/>
        </w:rPr>
      </w:pPr>
      <w:r>
        <w:rPr>
          <w:rFonts w:ascii="Verdana" w:hAnsi="Verdana"/>
          <w:sz w:val="16"/>
          <w:szCs w:val="16"/>
        </w:rPr>
        <w:t>Έκδοση</w:t>
      </w:r>
      <w:r w:rsidRPr="009D4655">
        <w:rPr>
          <w:rFonts w:ascii="Verdana" w:hAnsi="Verdana"/>
          <w:sz w:val="16"/>
          <w:szCs w:val="16"/>
          <w:lang w:val="da-DK"/>
        </w:rPr>
        <w:t>: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Καταστατικό</w:t>
      </w:r>
      <w:r>
        <w:rPr>
          <w:rFonts w:asciiTheme="minorHAnsi" w:hAnsiTheme="minorHAnsi"/>
          <w:b/>
          <w:bCs/>
          <w:sz w:val="22"/>
          <w:szCs w:val="22"/>
        </w:rPr>
        <w:t xml:space="preserve"> για τον καθορισμό των διατάξεων της κρατικής σύμβασης για τα μέσα ενημέρωσης σε πλατφόρμες μέσων και διεπαφές χρήστη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(MB-καταστατικό)</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της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 xml:space="preserve">Με βάση το άρθρο 84 παρ. 8 και το άρθρο </w:t>
      </w:r>
      <w:r>
        <w:rPr>
          <w:rFonts w:ascii="Calibri" w:hAnsi="Calibri"/>
          <w:sz w:val="22"/>
          <w:szCs w:val="22"/>
        </w:rPr>
        <w:t>88</w:t>
      </w:r>
      <w:r>
        <w:rPr>
          <w:rFonts w:asciiTheme="minorHAnsi" w:hAnsiTheme="minorHAnsi"/>
          <w:bCs/>
          <w:sz w:val="22"/>
          <w:szCs w:val="22"/>
        </w:rPr>
        <w:t xml:space="preserve"> </w:t>
      </w:r>
      <w:r>
        <w:rPr>
          <w:rFonts w:ascii="Calibri" w:hAnsi="Calibri"/>
          <w:sz w:val="22"/>
          <w:szCs w:val="22"/>
        </w:rPr>
        <w:t xml:space="preserve">της κρατικής σύμβασης για τα μέσα ενημέρωσης (MStV) από 14 έως 28 Απριλίου 2020 (… στοιχεία αναφοράς) η [ονομασία της κρατικής αρχή μέσων] εκδίδει </w:t>
      </w:r>
      <w:r>
        <w:rPr>
          <w:rFonts w:ascii="Calibri" w:hAnsi="Calibri"/>
          <w:bCs/>
          <w:sz w:val="22"/>
          <w:szCs w:val="22"/>
        </w:rPr>
        <w:t xml:space="preserve">σύμφωνα </w:t>
      </w:r>
      <w:r>
        <w:rPr>
          <w:rFonts w:ascii="Calibri" w:hAnsi="Calibri"/>
          <w:sz w:val="22"/>
          <w:szCs w:val="22"/>
        </w:rPr>
        <w:t xml:space="preserve">με τις άλλες κρατικές αρχές μέσων, το </w:t>
      </w:r>
      <w:r>
        <w:rPr>
          <w:rFonts w:ascii="Calibri" w:hAnsi="Calibri"/>
          <w:bCs/>
          <w:sz w:val="22"/>
          <w:szCs w:val="22"/>
        </w:rPr>
        <w:t>ακόλουθο καταστατικό:</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Τμήμα 1: Γενικές διατάξεις</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Άρθρο 1</w:t>
      </w:r>
      <w:r>
        <w:rPr>
          <w:rFonts w:ascii="Calibri" w:hAnsi="Calibri"/>
          <w:b/>
          <w:sz w:val="22"/>
          <w:szCs w:val="22"/>
        </w:rPr>
        <w:br/>
        <w:t>Σκοπός, Πεδίο εφαρμογής</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rFonts w:asciiTheme="minorHAnsi" w:hAnsiTheme="minorHAnsi"/>
          <w:bCs/>
          <w:sz w:val="22"/>
          <w:szCs w:val="22"/>
        </w:rPr>
        <w:t>Το παρόν καταστατικό ρυθμίζει, σύμφωνα με το άρθρο 84 παρ. 8 και το άρθρο 88 MStV, τις λεπτομέρειες για τον καθορισμό σχετικά με το περιεχόμενο και</w:t>
      </w:r>
      <w:r>
        <w:rPr>
          <w:rFonts w:ascii="Calibri" w:hAnsi="Calibri"/>
          <w:sz w:val="22"/>
          <w:szCs w:val="22"/>
        </w:rPr>
        <w:t>τις διαδικασίες</w:t>
      </w:r>
      <w:r>
        <w:rPr>
          <w:rFonts w:asciiTheme="minorHAnsi" w:hAnsiTheme="minorHAnsi"/>
          <w:bCs/>
          <w:sz w:val="22"/>
          <w:szCs w:val="22"/>
        </w:rPr>
        <w:t xml:space="preserve"> των νομικών διατάξεων του τμήματος V υποτμήμα 2. του MStV σε πλατφόρμες μέσων και διεπαφές χρήστη (άρθρα 78 έως 88 MStV). </w:t>
      </w:r>
      <w:r>
        <w:rPr>
          <w:rFonts w:asciiTheme="minorHAnsi" w:hAnsiTheme="minorHAnsi"/>
          <w:bCs/>
          <w:sz w:val="22"/>
          <w:szCs w:val="22"/>
          <w:vertAlign w:val="superscript"/>
        </w:rPr>
        <w:t>2</w:t>
      </w:r>
      <w:r>
        <w:rPr>
          <w:rFonts w:asciiTheme="minorHAnsi" w:hAnsiTheme="minorHAnsi"/>
          <w:bCs/>
          <w:sz w:val="22"/>
          <w:szCs w:val="22"/>
        </w:rPr>
        <w:t xml:space="preserve">Εξυπηρετεί τη θετική διασφάλιση της διαφορετικότητας απόψεων (ποικιλία προσφορών και παρόχων).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Οι διατάξεις αυτού του καταστατικού ισχύουν για πλατφόρμες πολυμέσων και διεπαφές χρήστη. </w:t>
      </w:r>
      <w:r>
        <w:rPr>
          <w:rFonts w:asciiTheme="minorHAnsi" w:hAnsiTheme="minorHAnsi"/>
          <w:sz w:val="22"/>
          <w:szCs w:val="22"/>
          <w:vertAlign w:val="superscript"/>
        </w:rPr>
        <w:t>2</w:t>
      </w:r>
      <w:r>
        <w:rPr>
          <w:rFonts w:asciiTheme="minorHAnsi" w:hAnsiTheme="minorHAnsi"/>
          <w:sz w:val="22"/>
          <w:szCs w:val="22"/>
        </w:rPr>
        <w:t xml:space="preserve">Με εξαίρεση τα άρθρα 1, 2, 3, 12 επ., αυτό το καταστατικό δεν ισχύει για πλατφόρμες πολυμέσων και διεπαφές χρήστη, η σημασία των οποίων είναι μικρή για την ποικιλία προσφορών και απόψεων. </w:t>
      </w:r>
      <w:r>
        <w:rPr>
          <w:rFonts w:asciiTheme="minorHAnsi" w:hAnsiTheme="minorHAnsi"/>
          <w:sz w:val="22"/>
          <w:szCs w:val="22"/>
          <w:vertAlign w:val="superscript"/>
        </w:rPr>
        <w:t>3</w:t>
      </w:r>
      <w:r>
        <w:rPr>
          <w:rFonts w:asciiTheme="minorHAnsi" w:hAnsiTheme="minorHAnsi"/>
          <w:sz w:val="22"/>
          <w:szCs w:val="22"/>
        </w:rPr>
        <w:t>Αυτό συμβαίνει συνήθως εάν η πλατφόρμα μέσων ή η διεπαφή χρήστη πέσει κάτω από τα όρια που προβλέπονται στο άρθρο 78 εδάφιο 2 σημεία 1 και 2 MStV.</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Συνδεδεμένες με την υποδομή πλατφόρμες είναι αυτές στις οποίες ο πάροχος της πλατφόρμας μέσων ελέγχει ταυτόχρονα την υποδομή μετάδοσης από το σημείο εισόδου έως το σημείο τερματισμού του δικτύου. </w:t>
      </w:r>
      <w:r>
        <w:rPr>
          <w:rFonts w:asciiTheme="minorHAnsi" w:hAnsiTheme="minorHAnsi"/>
          <w:sz w:val="22"/>
          <w:szCs w:val="22"/>
          <w:vertAlign w:val="superscript"/>
        </w:rPr>
        <w:t>2</w:t>
      </w:r>
      <w:r>
        <w:rPr>
          <w:rFonts w:asciiTheme="minorHAnsi" w:hAnsiTheme="minorHAnsi"/>
          <w:sz w:val="22"/>
          <w:szCs w:val="22"/>
        </w:rPr>
        <w:t>Ο έλεγχος μπορεί επίσης να πραγματοποιηθεί βάσει συμβατικής συμφωνίας μεταξύ του παρόχου και του κατόχου της υποδομής μεταφοράς.</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0" w:name="_Hlk46137526"/>
      <w:r>
        <w:rPr>
          <w:rFonts w:asciiTheme="minorHAnsi" w:hAnsiTheme="minorHAnsi"/>
          <w:sz w:val="22"/>
          <w:szCs w:val="22"/>
        </w:rPr>
        <w:t>4) Ο προσδιορισμός των συνδεδεμένων οικιακών μονάδων για πλατφόρμες μέσων καλωδιακού δικτύου και των διεπαφών χρήστη τους σύμφωνα με το άρθρο 78 εδάφιο 2 σημείο 1 MStV πραγματοποιείται σύμφωνα με τις ακόλουθες διατάξεις:</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Όλα τα αποδοτέα δίκτυα ενός παρόχου μιας </w:t>
      </w:r>
      <w:r>
        <w:rPr>
          <w:rFonts w:ascii="Calibri" w:hAnsi="Calibri"/>
          <w:sz w:val="22"/>
          <w:szCs w:val="22"/>
        </w:rPr>
        <w:t>πλατφόρμας μέσων</w:t>
      </w:r>
      <w:r>
        <w:rPr>
          <w:rFonts w:asciiTheme="minorHAnsi" w:hAnsiTheme="minorHAnsi"/>
          <w:sz w:val="22"/>
          <w:szCs w:val="22"/>
        </w:rPr>
        <w:t xml:space="preserve"> που συνδέεται με καλωδιακό δίκτυο εξετάζονται εν περιλήψει.</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Συνδεδεμένες οικιακές μονάδες κατά την έννοια του άρθρου 78 εδάφιο 2 σημείο 1 MStV βρίσκονται σε οικιακές μονάδες πλατφορμών μέσων που συνδέονται με καλωδιακό δίκτυο, όπου υπάρχει φυσικό σημείο τερματισμού δικτύου στο οποίο παρέχεται πρόσβαση μέσω καλωδιακού δικτύου σε έναν τελικό χρήστη, υπό την προϋπόθεση ότι υπάρχει συμφωνία </w:t>
      </w:r>
      <w:r>
        <w:rPr>
          <w:rFonts w:asciiTheme="minorHAnsi" w:hAnsiTheme="minorHAnsi"/>
          <w:sz w:val="22"/>
          <w:szCs w:val="22"/>
        </w:rPr>
        <w:lastRenderedPageBreak/>
        <w:t>για το σημείο τερματισμού του δικτύου σύμφωνα με το οποίο ο τελικός χρήστης έχει δικαίωμα αξιοποίησης εκπομπής προγραμμάτων.</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5) Για τον προσδιορισμό των πραγματικών καθημερινών χρηστών κατά τη έννοια του άρθρου 78 εδάφιο 2 σημείο 2 MStV ισχύουν οι ακόλουθες διατάξεις:</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Οι πραγματικοί καθημερινοί χρήστες μιας πλατφόρμας μέσων ή διεπαφής χρήστη που δεν συνδέονται με την υποδομή είναι οι χρήστες που επισκέπτονται την πλατφόρμα πολυμέσων ή τη διεπαφή χρήστη εντός μιας ημέρας. Πολλές κλήσεις από έναν χρήστη είναι εύκολο να μετρηθούν (Unique User).</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Είναι καθοριστικής σημασίας η κλήση του πρώτου επιπέδου επιλογής μιας πλατφόρμας μέσων ή διεπαφής χρήστη. Εάν, από την άλλη πλευρά, η πλατφόρμα μέσων είναι ένα καθορισμένο μέρος μιας μικτής προσφοράς, οι μοναδικοί αριθμοί χρηστών της καθορισμένης λειτουργίας είναι καθοριστικής σημασίας.</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Εάν η κλήση ραδιοφωνικών προγραμμάτων, ραδιοτηλεοπτικών τηλεμέσων ή τηλεμέσων κατά την έννοια του άρθρου 19 παρ. 1 MStV εξαρτάται αποκλειστικά από μια εγγραφή ή σύνδεση, είναι καθοριστικής σημασίας για τον υπολογισμό του Unique User η κλήση του πρώτου επιπέδου επιλογής που είναι προσβάσιμο μετά την εγγραφή ή τη σύνδεση.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Εάν δεν μπορούν να δοθούν πληροφορίες σχετικά με τους πραγματικούς καθημερινούς χρήστες, ο αριθμός των συσκευών που πωλούνται χρησιμοποιείται ως βάση για τις διεπαφές χρήστη.</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Μια περίοδος έξι μηνών χρησιμοποιείται ως βάση για τους παραπάνω υπολογισμούς του μηνιαίου μέσου όρου.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Ο πάροχος πρέπει να πληροί τις απαιτήσεις σύμφωνα με το άρθρο 78 εδάφιο 2 σημεία 1 και 2 MStV.</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Άρθρο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Ένδειξη</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Οι πάροχοι που επιθυμούν να προσφέρουν μια πλατφόρμα μέσων ή διεπαφή χρήστη πρέπει να ενημερώσουν σχετικά την αρμόδια κρατική αρχή μέσων τουλάχιστον ένα μήνα πριν από την έναρξη λειτουργίας. </w:t>
      </w:r>
      <w:r>
        <w:rPr>
          <w:rFonts w:asciiTheme="minorHAnsi" w:hAnsiTheme="minorHAnsi"/>
          <w:sz w:val="22"/>
          <w:szCs w:val="22"/>
          <w:vertAlign w:val="superscript"/>
        </w:rPr>
        <w:t>2</w:t>
      </w:r>
      <w:r>
        <w:rPr>
          <w:rFonts w:asciiTheme="minorHAnsi" w:hAnsiTheme="minorHAnsi"/>
          <w:sz w:val="22"/>
          <w:szCs w:val="22"/>
        </w:rPr>
        <w:t xml:space="preserve">Στον βαθμό που η ανάθεση της προσφοράς δεν αποτελεί ευθύνη του παρόχου, η υποχρέωση κοινοποίησης σύμφωνα με το εδάφιο 1 πρέπει να βασίζεται στον χρόνο διάθεσης στην αγορά.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Στο πλαίσιο της δήλωσης, πρέπει ιδίως να παρέχονται οι ακόλουθες πληροφορίες και να υποβάλλονται έγγραφα:</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παρουσίαση της προσφοράς. Αυτό περιλαμβάνει επίσης πληροφορίες σχετικά με τη φύση της υποδομής της πλατφόρμας μέσων ή πληροφορίες σχετικά με το εάν πρόκειται για διεπαφή χρήστη μιας πλατφόρμας μέσων που σχετίζεται με την υποδομή.</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Κατονομασία του φυσικού ή νομικού προσώπου του παρόχου της πλατφόρμας μέσων ή της διεπαφής χρήστη καθώς και του τόπου κατοικίας ή έδρας,</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 xml:space="preserve">Υποβολή πιστοποιητικού νομικής εκκαθάρισης για υποβολή σε αρχή ή συγκρίσιμου ξένου εγγράφου για το πρόσωπο του παρόχου της πλατφόρμας μέσων ή της διεπαφής χρήστη ή για το πρόσωπο που τον εκπροσωπεί νόμιμα ή σύμφωνα με το καταστατικό, το οποίο δεν είναι παλαιότερο των έξι μηνών κατά την παρουσίασή του. Εάν υπάρχουν περισσότεροι </w:t>
      </w:r>
      <w:r>
        <w:rPr>
          <w:rFonts w:ascii="Calibri" w:hAnsi="Calibri"/>
          <w:sz w:val="22"/>
          <w:szCs w:val="22"/>
        </w:rPr>
        <w:lastRenderedPageBreak/>
        <w:t>εκπρόσωποι βάσει νόμου ή σύμφωνα με το καταστατικό, η υποβολή εγγράφου κατά την έννοια του εδαφίου 1 αρκεί για τους εκπροσώπους που είναι υπεύθυνοι για την επιλογή των προσφορών ή τον σχεδιασμό της επισκόπησης,</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Πληροφορίες για το τεχνικό και αναμενόμενο εύρος χρήσης. Περιλαμβάνονται, ιδίως, τις πληροφορίες που απαιτούνται για την αναθεώρηση του άρθρου 78 εδάφιο 2 MStV και του άρθρου 1 παράγραφοι 4 έως 6 του παρόντος καταστατικού.</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Εάν ο πάροχος της πλατφόρμας μέσων ή της διεπαφής χρήστη δεν έχει την κατοικία ή την έδρα του στη Γερμανία, σε άλλο κράτος μέλος της Ευρωπαϊκής Ένωσης ή σε άλλο κράτος που έχει υπογράψει τη συμφωνία για τον Ευρωπαϊκό Οικονομικό Χώρο, πρέπει να ορίσει εξουσιοδοτημένο αντιπρόσωπο σύμφωνα με το άρθρο 79 παράγραφος 1 εδάφιο 2 MStV βάσει κοινοποίησης εγγράφου σύμφωνα με την παράγραφο 2 σημείο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Η αρμόδια αρχή μέσων ενημέρωσης μπορεί επίσης να ζητήσει την υποβολή περαιτέρω εγγράφων και πληροφοριών που είναι απαραίτητες για την αξιολόγηση της δήλωσης.</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Άρθρο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Ακεραιότητα σήματος, επικαλύψεις και κλιμακώσεις</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1) Μια τεχνική αλλαγή κατά την έννοια του άρθρου 80 παρ. 1 σημείο 1 MStV υπάρχει επίσης εάν τα τεχνικά παρεχόμενα σήματα HbbTV δεν προωθούνται από παρόχους πλατφόρμας μέσων.</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1" w:name="_Hlk49412973"/>
      <w:r>
        <w:rPr>
          <w:rFonts w:asciiTheme="minorHAnsi" w:hAnsiTheme="minorHAnsi"/>
          <w:sz w:val="22"/>
          <w:szCs w:val="22"/>
        </w:rPr>
        <w:t xml:space="preserve">2) Με μια επικάλυψη κατά την έννοια του άρθρου 80 παρ. 1 σημείο 2 MStV, οι ακουστικές ή οπτικές προσθήκες που εκδηλώνονται αμέσως μετά την επιλογή από τον χρήστη και πριν από την έναρξη του ραδιοφωνικού προγράμματος είναι ισοδύναμες (Pre-Roll).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Μια πρωτοβουλία σε μεμονωμένες περιπτώσεις κατά την έννοια του άρθρου 80 παρ. 2 εδάφια 2 και 3 MStV πραγματοποιείται μέσω μιας σαφούς δράσης από τον χρήστη, με την οποία εξέφρασε οικειοθελώς, για τη συγκεκριμένη κατάσταση χρήσης, ότι ο χρήστης θέλει να ενεργοποιήσει την επικάλυψη ή την κλιμάκωση. </w:t>
      </w:r>
      <w:r>
        <w:rPr>
          <w:rFonts w:asciiTheme="minorHAnsi" w:hAnsiTheme="minorHAnsi"/>
          <w:sz w:val="22"/>
          <w:szCs w:val="22"/>
          <w:vertAlign w:val="superscript"/>
        </w:rPr>
        <w:t>2</w:t>
      </w:r>
      <w:r>
        <w:rPr>
          <w:rFonts w:asciiTheme="minorHAnsi" w:hAnsiTheme="minorHAnsi"/>
          <w:sz w:val="22"/>
          <w:szCs w:val="22"/>
        </w:rPr>
        <w:t>Αυτό ισχύει ιδιαίτερα εάν ο χρήστης χρησιμοποιεί κατάλληλα επισημασμένα οπτικά ή ακουστικά στοιχεία ελέγχου για να ενεργοποιήσει την επικάλυψη ή την κλιμάκωση.</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Τμήμα 2: Διατάξεις ανάθεσης</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Άρθρο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Διατάξεις περί ανάθεσης για πλατφόρμες μέσων που συνδέονται με την υποδομή</w:t>
      </w:r>
    </w:p>
    <w:p w:rsidR="002C35D6" w:rsidRPr="00077B73" w:rsidRDefault="002C35D6" w:rsidP="00077B73">
      <w:pPr>
        <w:keepNext/>
        <w:spacing w:line="276" w:lineRule="auto"/>
        <w:jc w:val="center"/>
        <w:rPr>
          <w:rFonts w:ascii="Calibri" w:eastAsia="Calibri" w:hAnsi="Calibri"/>
          <w:b/>
          <w:sz w:val="22"/>
          <w:szCs w:val="22"/>
          <w:lang w:eastAsia="en-US"/>
        </w:rPr>
      </w:pPr>
    </w:p>
    <w:bookmarkEnd w:id="1"/>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Μια δέουσα εκτίμηση των προσφορών σύμφωνα με το άρθρο 81 παράγραφος 2 εδάφιο 1 σημείο 1 στοιχεία β και γ MStV και άρθρο 81 παράγραφος 3 εδάφιο 1 σημείο 1 στοιχείο β MStV προϋποθέτει τα εξής</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αποδεικνύεται ότι η χωρητικότητα σύμφωνα με τo εδάφιο 1 σημείο 1 δεν επαρκεί για την πλήρη εκπλήρωση των υποχρεώσεων διανομής σύμφωνα με το άρθρο 81 παράγραφος 2 εδάφιο 1 στοιχείο 1 MStV και σύμφωνα με το άρθρο 81 παράγραφος 3 εδάφιο 1 σημείο 1 MStV,</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προγράμματα που διανέμονται σε διαφορετικά πρότυπα υπολογίζονται μόνο μία φορά,</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lastRenderedPageBreak/>
        <w:t xml:space="preserve">διανέμονται προγράμματα σύμφωνα με το άρθρο 81, παράγραφος 2, εδάφιο 1, σημείο 1 MStV και το άρθρο 81, παράγραφος 3, εδάφιο 1, σημείο 1 MStV, τα οποία δεν καθορίζονται νομικά για την αντίστοιχη περιοχή διανομής και ιεραρχούνται χαμηλότερα από προσφορές σύμφωνα με το άρθρο 81, παράγραφος 2, εδάφιο 1, σημείο 1 στοιχεία β και γ MStV και άρθρο 81 παράγραφος 3 εδάφιο 1 σημείο 1 στοιχείο β MStV,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προσφορές σύμφωνα με το άρθρο 81 Παράγραφος 2 εδάφιο 1 σημείο 1 στοιχεία β και γ MStV και άρθρο 81 παράγραφος 3 εδάφιο 1 σημείο 1 στοιχείο β MStV δεν μπορούν να αποκλειστούν πλήρως.</w:t>
      </w:r>
      <w:bookmarkEnd w:id="0"/>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Τμήμα 3:</w:t>
      </w:r>
      <w:r>
        <w:rPr>
          <w:rFonts w:asciiTheme="minorHAnsi" w:hAnsiTheme="minorHAnsi"/>
          <w:b/>
          <w:sz w:val="22"/>
          <w:szCs w:val="22"/>
        </w:rPr>
        <w:t xml:space="preserve"> Συνθήκες πρόσβασης για πλατφόρμες μέσων</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Άρθρο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Ισότητα ευκαιριών</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Οι πάροχοι πλατφορμών μέσων πρέπει να προσφέρουν πρόσβαση στις πλατφόρμες μέσων τους με τέτοιο τρόπο ώστε οι προσφορές στο πλαίσιο του άρθρου 82 παρ. 2 MStV να μην εμποδίζονται άμεσα ή έμμεσα στη διάδοσή τους ή στην εμπορία.</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Η ανισότητα ενός μειονεκτήματος πρέπει να προσδιοριστεί προσεκτικά σταθμίζοντας τα συμφέροντα των εμπλεκομένων μερών και λαμβάνοντας υπόψη τους στόχους της MStV και τα καταστατικά που αποσκοπούν στη διαφύλαξη της ποικιλίας απόψεων και προσφορών.</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3) Άνισο μειονέκτημα υπάρχει ιδίως εάν οι πλατφόρμες μέσων δεν προσφέρουν ρεαλιστική πιθανότητα πρόσβασης στο πλαίσιο αυτού που είναι τεχνικά δυνατό και οικονομικά λογικό ή οι συνθήκες πρόσβασης οδηγούν σε διαρθρωτικό μειονέκτημα των προσφορών σύμφωνα με το άρθρο 82 παρ. 2 MStV.</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Άρθρο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Μη διακριτική μεταχείριση</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Οι πάροχοι πλατφορμών μέσων δεν επιτρέπεται να χειρίζονται προσφορές εντός του πεδίου εφαρμογής του άρθρου 82 παρ. 2 MStV διαφορετικά από παρόμοιες προσφορές χωρίς αντικειμενικά αιτιολογημένο λόγο. </w:t>
      </w:r>
      <w:r>
        <w:rPr>
          <w:rFonts w:asciiTheme="minorHAnsi" w:hAnsiTheme="minorHAnsi"/>
          <w:sz w:val="22"/>
          <w:szCs w:val="22"/>
          <w:vertAlign w:val="superscript"/>
        </w:rPr>
        <w:t>2</w:t>
      </w:r>
      <w:r>
        <w:rPr>
          <w:rFonts w:asciiTheme="minorHAnsi" w:hAnsiTheme="minorHAnsi"/>
          <w:sz w:val="22"/>
          <w:szCs w:val="22"/>
        </w:rPr>
        <w:t xml:space="preserve">Αυτό ισχύει ιδιαίτερα εάν ένας πάροχος πλατφόρμας μέσων προσφέρει πρόσβαση σε πλατφόρμες μέσων σε μια προσφορά σύμφωνα με το άρθρο 82 παράγραφος 2 MStV υπό διαφορετικές συνθήκες πρόσβασης από μια επιχείριση που αποδίδεται στον πάροχο της πλατφόρμας μέσων, εκτός εάν αυτό αποτελεί πραγματικό δικαιολογημένο λόγο. </w:t>
      </w:r>
      <w:r>
        <w:rPr>
          <w:rFonts w:asciiTheme="minorHAnsi" w:hAnsiTheme="minorHAnsi"/>
          <w:sz w:val="22"/>
          <w:szCs w:val="22"/>
          <w:vertAlign w:val="superscript"/>
        </w:rPr>
        <w:t>3</w:t>
      </w:r>
      <w:r>
        <w:rPr>
          <w:rFonts w:asciiTheme="minorHAnsi" w:hAnsiTheme="minorHAnsi"/>
          <w:sz w:val="22"/>
          <w:szCs w:val="22"/>
        </w:rPr>
        <w:t>Οι επιχειρήσεις με τις οποίες οι πάροχοι πλατφορμών μέσων συνδέονται άμεσα ή έμμεσα μέσω συμμετοχής ή με οποιονδήποτε άλλο τρόπο. Το άρθρο 62 MStV εφαρμόζεται ανάλογα.</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Ο αντικειμενικά δικαιολογημένος λόγος για άνιση μεταχείριση πρέπει να υπερισχύει του πρωταρχικού στόχου της διασφάλισης της διαφορετικότητας απόψεων.</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 xml:space="preserve">Άρθρο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Συστήματα εξουσιοδότησης πρόσβασης</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Σύστημα εξουσιοδότησης πρόσβασης είναι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κάθε τεχνικό μέτρο,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κάθε σύστημα ταυτοποίησης ή/και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κάθε διάταξη,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που εξαρτά την πρόσβαση σε προστατευμένη υπηρεσία ραδιοφώνου ή τηλεόρασης σε μη κρυπτογραφημένη μορφή από συνδρομή ή κάποια άλλη μορφή προηγούμενης ατομικής άδειας.</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Για συστήματα εξουσιοδότησης πρόσβασης σύμφωνα με το άρθρο 82 παρ. 2 σημείο. 1 MStV, όλα τα εξουσιοδοτημένα άτομα πρέπει να είναι σε θέση να χρησιμοποιούν τις τεχνικές υπηρεσίες που απαιτούνται για τη χρήση αυτών των συστημάτων και οι πληροφορίες που απαιτούνται για αυτό πρέπει να παρέχονται υπό δίκαιους, εύλογους και αμερόληπτους όρους.</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Άρθρο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Συνθήκες πρόσβασης</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Ο σχεδιασμός των συνθηκών πρόσβασης κατά την έννοια των άρθρων 82 παρ. 2 σημείο 4 και 83 παρ. 2 MStV περιλαμβάνει ιδίως τον τρόπο με τον οποίο ορίζεται ένας πάροχος πλατφορμών μέσων μέσω οικονομικών και τεχνικών προδιαγραφών σχετικά με την πρόσβαση μιας προσφοράς σε πλατφόρμα μέσων βάσει του άρθρου 82 παρ. 2 MStV.</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Εάν ένας ραδιοτηλεοπτικός φορέας ζητήσει πρόσβαση σε μια πλατφόρμα μέσων, όλα τα χρηματικά οφέλη που ανταλλάσσονται ή πρόκειται να ανταλλαχθούν σε άμεση ή έμμεση υλική σύνδεση με την πρόσβαση πρέπει να περιληφθούν στον έλεγχο της μη διακριτικής μεταχείρισης και των ίσων ευκαιριών. Για τον σκοπό αυτό, περιλαμβάνονται ιδίως,</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χρεώσεις και τιμολόγια που συλλέγει ή επιθυμεί να συλλέξει ο πάροχος μιας πλατφόρμας μέσων από ραδιοτηλεοπτικούς φορείς που ζητούν πρόσβαση,</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αποζημιώσεις που πληρώνει ο πάροχος μιας πλατφόρμας μέσων ή υποτίθεται συμβατικά να πληρώσει στον τηλεοπτικό οργανισμό βάσει της μεταφοράς σήματος, συμπεριλαμβανομένων των επιστροφών σε μοντέλα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2" w:name="_Hlk46133246"/>
      <w:r>
        <w:rPr>
          <w:rFonts w:asciiTheme="minorHAnsi" w:hAnsiTheme="minorHAnsi"/>
          <w:sz w:val="22"/>
          <w:szCs w:val="22"/>
        </w:rPr>
        <w:t>3) Στον βαθμό που είναι απαραίτητο για την εκτίμηση της κατάστασης πρόσβασης, συμφωνίες σχετικά με τη χορήγηση και την αμοιβή των δικαιωμάτων που ο πάροχος μιας πλατφόρμας μέσων συνάπτει ή σκοπεύει να συνάψει με τον τηλεοπτικό οργανισμό βάσει πνευματικών δικαιωμάτων ή εμπορικών σημάτων μπορούν επίσης να συμπεριληφθούν στην απαιτούμενη συνολική αξιολόγηση. Οι διατάξεις των UrhG, UrhWahrG και GWB καθώς και οι σχετικές αρμοδιότητες παραμένουν ανεπηρέαστες.</w:t>
      </w:r>
      <w:bookmarkEnd w:id="2"/>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t>Άρθρο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Δημοσιοποίηση</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Οι πάροχοι πλατφορμών μέσων υποχρεούνται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εάν υπερβούν τα ρυθμιστικά όρια που αναφέρονται στο άρθρο 78 MStV, για τις προϋποθέσεις πρόσβασης βάσει του άρθρου 82 παρ. 2 MStV και του άρθρου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lastRenderedPageBreak/>
        <w:t>στην περίπτωση του άρθρου 81 παρ. 2 εδάφιο 2 MStV, να κοινοποιούν πληροφορίες για τη συνολική διαθέσιμη χωρητικότητα για την ψηφιακή διανομή τηλεοπτικών προγραμμάτων ή ραδιοφώνου</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στην αρμόδια κρατική αρχή μέσων ενημέρωσης κατόπιν αιτήματος.</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Η δημοσιοποίηση πρέπει να γίνει με την υποβολή κατάλληλων εγγράφων.</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Συγκεκριμένα, η δημοσιοποίηση πρέπει να περιέχει πληροφορίες σχετικά με τα ακόλουθα σημεία:</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Στην περίπτωση της παραγράφου 1 σημείο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όλες οι τεχνικές παράμετροι και οι όροι του τεχνικού πλαισίου, των οποίων η γνώση είναι απαραίτητη για την αξιολόγηση της πρόσβασης σύμφωνα με τo άρθρο 82 παρ. 2 σημεία 1 και 2 MStV,</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τις χρεώσεις και τα τιμολόγια που απαιτούνται από τους παρόχους πλατφορμών μέσων, συμπεριλαμβανομένου του υπολογισμού τους, των υποκείμενων δεδομένων και των επιχειρηματικών παραδοχών,</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περιγραφή του εφαρμοζόμενου συστήματος αποζημίωσης.</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Στην περίπτωση της παραγράφου 1 σημείο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πληροφορίες σχετικά με τις επιλογές που χρησιμοποιήθηκαν για την αποτελεσματική χρήση των δυνατοτήτων·</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εάν και σε ποια διαφορετικά πρότυπα διάδοσης διαδίδεται ένα πρόγραμμα.</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Τμήμα 4:</w:t>
      </w:r>
      <w:r>
        <w:rPr>
          <w:rFonts w:asciiTheme="minorHAnsi" w:hAnsiTheme="minorHAnsi"/>
          <w:b/>
          <w:sz w:val="22"/>
          <w:szCs w:val="22"/>
        </w:rPr>
        <w:t xml:space="preserve"> Κανόνες για διεπαφές χρήστη</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3" w:name="_Hlk46133330"/>
      <w:r>
        <w:rPr>
          <w:rFonts w:ascii="Calibri" w:hAnsi="Calibri"/>
          <w:b/>
          <w:sz w:val="22"/>
          <w:szCs w:val="22"/>
        </w:rPr>
        <w:t xml:space="preserve">Άρθρο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Δυνατότητα εντοπισμού σε διεπαφές χρήστη</w:t>
      </w:r>
      <w:bookmarkEnd w:id="3"/>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4"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Η ταξινόμηση, η ρύθμιση και η παρουσίαση προσφορών και περιεχομένου καθώς και άλλων κειμένων, οπτικών και ακουστικών μορφών αναπαράστασης που διευκολύνουν τον εντοπισμό είναι καθοριστικής σημασίας για την ευχέρεια προσφοράς και περιεχομένου στις διεπαφές χρήστη. </w:t>
      </w:r>
      <w:r>
        <w:rPr>
          <w:rFonts w:asciiTheme="minorHAnsi" w:hAnsiTheme="minorHAnsi"/>
          <w:sz w:val="22"/>
          <w:szCs w:val="22"/>
          <w:vertAlign w:val="superscript"/>
        </w:rPr>
        <w:t>2</w:t>
      </w:r>
      <w:r>
        <w:rPr>
          <w:rFonts w:asciiTheme="minorHAnsi" w:hAnsiTheme="minorHAnsi"/>
          <w:sz w:val="22"/>
          <w:szCs w:val="22"/>
        </w:rPr>
        <w:t xml:space="preserve">Οι προσφορές είναι μεμονωμένα ραδιοφωνικά προγράμματα, ραδιοεπικοινωνίες, τηλεμέσα σύμφωνα με το άρθρο 19 παρ. 1 MStV, καθώς και εφαρμογές βασισμένες σε λογισμικό που χρησιμοποιούνται ουσιαστικά για τον άμεσο έλεγχο των προαναφερθεισών προσφορών στην πληρότητά τους. </w:t>
      </w:r>
      <w:r>
        <w:rPr>
          <w:rFonts w:asciiTheme="minorHAnsi" w:hAnsiTheme="minorHAnsi"/>
          <w:sz w:val="22"/>
          <w:szCs w:val="22"/>
          <w:vertAlign w:val="superscript"/>
        </w:rPr>
        <w:t>3</w:t>
      </w:r>
      <w:r>
        <w:rPr>
          <w:rFonts w:asciiTheme="minorHAnsi" w:hAnsiTheme="minorHAnsi"/>
          <w:sz w:val="22"/>
          <w:szCs w:val="22"/>
        </w:rPr>
        <w:t>Τα περιεχόμενα είναι οριοθετούμενα, ιδίως με ξεχωριστά ονόματα ή αντιληπτά τμήματα προσφορών, όπως εκπομπές.</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Όσον αφορά τις απαιτήσεις εντοπισμού και λειτουργίας διεπαφών χρήστη, η κατανόηση ενός μέσου χρήστη που δεν έχει συγκεκριμένες τεχνικές γνώσεις είναι αποφασιστικής σημασίας στους ακόλουθους κανονισμούς.</w:t>
      </w:r>
      <w:bookmarkEnd w:id="4"/>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Παρόμοιες προσφορές ή περιεχόμενο πρέπει να μπορούν να βρεθούν με ίσες ευκαιρίες και χωρίς διακρίσεις. </w:t>
      </w:r>
      <w:r>
        <w:rPr>
          <w:rFonts w:asciiTheme="minorHAnsi" w:hAnsiTheme="minorHAnsi"/>
          <w:sz w:val="22"/>
          <w:szCs w:val="22"/>
          <w:vertAlign w:val="superscript"/>
        </w:rPr>
        <w:t>2</w:t>
      </w:r>
      <w:r>
        <w:rPr>
          <w:rFonts w:asciiTheme="minorHAnsi" w:hAnsiTheme="minorHAnsi"/>
          <w:sz w:val="22"/>
          <w:szCs w:val="22"/>
        </w:rPr>
        <w:t xml:space="preserve">Η άνιση μεταχείριση επιτρέπεται μόνο εάν υπάρχει επαληθεύσιμος αντικειμενικός λόγος που δεν έρχεται σε αντίθεση με το στόχο της διασφάλισης της διαφορετικότητας. </w:t>
      </w:r>
      <w:r>
        <w:rPr>
          <w:rFonts w:asciiTheme="minorHAnsi" w:hAnsiTheme="minorHAnsi"/>
          <w:sz w:val="22"/>
          <w:szCs w:val="22"/>
          <w:vertAlign w:val="superscript"/>
        </w:rPr>
        <w:t>3</w:t>
      </w:r>
      <w:r>
        <w:rPr>
          <w:rFonts w:asciiTheme="minorHAnsi" w:hAnsiTheme="minorHAnsi"/>
          <w:sz w:val="22"/>
          <w:szCs w:val="22"/>
        </w:rPr>
        <w:t>Τα επιτρεπόμενα κριτήρια για ταξινόμηση ή ρύθμιση προσφορών και περιεχομένου είναι συγκεκριμένα:</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αλφάβητο,</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lastRenderedPageBreak/>
        <w:t>είδη όπως πληροφορίες, εκπαίδευση, πολιτισμός, περιφερειακή διάσταση ή ψυχαγωγία ή</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εύρος χρήσης.</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Η δυνατότητα περαιτέρω ανάπτυξης των κριτηρίων παραμένει ανεπηρέαστη. </w:t>
      </w:r>
      <w:r>
        <w:rPr>
          <w:rFonts w:asciiTheme="minorHAnsi" w:hAnsiTheme="minorHAnsi"/>
          <w:sz w:val="22"/>
          <w:szCs w:val="22"/>
          <w:vertAlign w:val="superscript"/>
        </w:rPr>
        <w:t>5</w:t>
      </w:r>
      <w:r>
        <w:rPr>
          <w:rFonts w:asciiTheme="minorHAnsi" w:hAnsiTheme="minorHAnsi"/>
          <w:sz w:val="22"/>
          <w:szCs w:val="22"/>
        </w:rPr>
        <w:t xml:space="preserve">Υπάρχει διάκριση ιδίως εάν ο πάροχος της διεπαφής χρήστη αποκλίνει από τα δικά του επιτρεπόμενα κριτήρια. </w:t>
      </w:r>
      <w:r>
        <w:rPr>
          <w:rFonts w:asciiTheme="minorHAnsi" w:hAnsiTheme="minorHAnsi"/>
          <w:sz w:val="22"/>
          <w:szCs w:val="22"/>
          <w:vertAlign w:val="superscript"/>
        </w:rPr>
        <w:t>6</w:t>
      </w:r>
      <w:r>
        <w:rPr>
          <w:rFonts w:asciiTheme="minorHAnsi" w:hAnsiTheme="minorHAnsi"/>
          <w:sz w:val="22"/>
          <w:szCs w:val="22"/>
        </w:rPr>
        <w:t xml:space="preserve">Ο πάροχος πρέπει να εγγυηθεί στις κρατικές αρχές μέσων ενημέρωσης ότι τα κριτήρια είναι επαληθεύσιμα και ότι τηρούνται, ιδίως αναφέροντας λεπτομερώς ποια κριτήρια χρησιμοποιούνται και ποιες πληροφορίες χρησιμοποιούνται ως βάση. </w:t>
      </w:r>
      <w:r>
        <w:rPr>
          <w:rFonts w:asciiTheme="minorHAnsi" w:hAnsiTheme="minorHAnsi"/>
          <w:sz w:val="22"/>
          <w:szCs w:val="22"/>
          <w:vertAlign w:val="superscript"/>
        </w:rPr>
        <w:t>7</w:t>
      </w:r>
      <w:r>
        <w:rPr>
          <w:rFonts w:asciiTheme="minorHAnsi" w:hAnsiTheme="minorHAnsi"/>
          <w:sz w:val="22"/>
          <w:szCs w:val="22"/>
        </w:rPr>
        <w:t xml:space="preserve">Κατά κανόνα δεν επιτρέπεται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μια ταξινόμηση ή ρύθμιση που επηρεάζεται από την πληρωμή ή παρόμοιο αντάλλαγμα ή</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η προτίμηση για τις προσφορές του ίδιου του παρόχου και το περιεχόμενο της διεπαφής χρήστη, εκτός εάν καταβάλλεται τέλος για τη χρήση τους. </w:t>
      </w:r>
      <w:bookmarkStart w:id="5"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Οι διεπαφές χρήστη πρέπει να παρέχουν τη δυνατότητα αναζήτησης όλων των προσφορών για συγκεκριμένες προσφορές (λειτουργία αναζήτησης). </w:t>
      </w:r>
      <w:r>
        <w:rPr>
          <w:rFonts w:asciiTheme="minorHAnsi" w:hAnsiTheme="minorHAnsi"/>
          <w:sz w:val="22"/>
          <w:szCs w:val="22"/>
          <w:vertAlign w:val="superscript"/>
        </w:rPr>
        <w:t>2</w:t>
      </w:r>
      <w:r>
        <w:rPr>
          <w:rFonts w:asciiTheme="minorHAnsi" w:hAnsiTheme="minorHAnsi"/>
          <w:sz w:val="22"/>
          <w:szCs w:val="22"/>
        </w:rPr>
        <w:t xml:space="preserve">Το αποτέλεσμα της αναζήτησης, συμπεριλαμβανομένων των προτάσεων αναζήτησης που έγιναν κατά τη διαδικασία αναζήτησης (π.χ. μέσω μιας λειτουργίας αυτόματης συμπλήρωσης), δεν πρέπει να δημιουργεί διακρίσεις. </w:t>
      </w:r>
      <w:r>
        <w:rPr>
          <w:rFonts w:asciiTheme="minorHAnsi" w:hAnsiTheme="minorHAnsi"/>
          <w:sz w:val="22"/>
          <w:szCs w:val="22"/>
          <w:vertAlign w:val="superscript"/>
        </w:rPr>
        <w:t>3</w:t>
      </w:r>
      <w:r>
        <w:rPr>
          <w:rFonts w:asciiTheme="minorHAnsi" w:hAnsiTheme="minorHAnsi"/>
          <w:sz w:val="22"/>
          <w:szCs w:val="22"/>
        </w:rPr>
        <w:t>Επιπλέον, μια διεπαφή χρήστη μπορεί επίσης να παρέχει την επιλογή αναζήτησης περιεχομένου. Η παράγραφος 3 εδάφιο 1 εφαρμόζεται αναλόγως.</w:t>
      </w:r>
      <w:bookmarkStart w:id="6" w:name="_Hlk46133701"/>
      <w:bookmarkEnd w:id="5"/>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Οι προσφορές είναι εύκολο να βρεθούν στις διεπαφές χρήστη εάν μπορούν να βρεθούν γρήγορα και εύκολα, για παράδειγμα, επειδή παρουσιάζονται μπροστά ή επισημαίνονται, για παράδειγμα με το δικό τους κουμπί. </w:t>
      </w:r>
      <w:r>
        <w:rPr>
          <w:rFonts w:asciiTheme="minorHAnsi" w:hAnsiTheme="minorHAnsi"/>
          <w:sz w:val="22"/>
          <w:szCs w:val="22"/>
          <w:vertAlign w:val="superscript"/>
        </w:rPr>
        <w:t>2</w:t>
      </w:r>
      <w:r>
        <w:rPr>
          <w:rFonts w:asciiTheme="minorHAnsi" w:hAnsiTheme="minorHAnsi"/>
          <w:sz w:val="22"/>
          <w:szCs w:val="22"/>
        </w:rPr>
        <w:t xml:space="preserve">Ο τρόπος εξασφάλισης εύκολης δυνατότητας εντοπισμού σε μεμονωμένες περιπτώσεις εξαρτάται από τον τύπο, το εύρος και τον σχεδιασμό της διεπαφής χρήστη, καθώς και από τη συγκεκριμένη απεικόνιση ή άλλη παρουσίαση προσφορών και περιεχομένου. </w:t>
      </w:r>
      <w:r>
        <w:rPr>
          <w:rFonts w:asciiTheme="minorHAnsi" w:hAnsiTheme="minorHAnsi"/>
          <w:sz w:val="22"/>
          <w:szCs w:val="22"/>
          <w:vertAlign w:val="superscript"/>
        </w:rPr>
        <w:t>3</w:t>
      </w:r>
      <w:r>
        <w:rPr>
          <w:rFonts w:asciiTheme="minorHAnsi" w:hAnsiTheme="minorHAnsi"/>
          <w:sz w:val="22"/>
          <w:szCs w:val="22"/>
        </w:rPr>
        <w:t>Κατά κανόνα, για να είναι εύκολο να βρεθούν οι αντίστοιχες προσφορές, είναι απαραίτητο αλλά όχι αρκετό να μπορούν να βρεθούν εξίσου εύκολα και γρήγορα με τις άλλες προσφορές.</w:t>
      </w:r>
      <w:bookmarkEnd w:id="6"/>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7"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Τα ακόλουθα πρέπει να είναι εύκολο να βρεθούν στις διεπαφές χρήστη:</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η μετάδοση στο σύνολό της στο πρώτο επίπεδο επιλογής, υπό την προϋπόθεση ότι δεν μπορούν να επιλεγούν μόνο προγράμματα εκπομπής σε αυτό το επίπεδο,</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εντός της μετάδοσης, τα νόμιμα καθορισμένα προγράμματα που χρηματοδοτούνται από συνεισφορές, τα προγράμματα μετάδοσης, τα προγράμματα παραθύρων (άρθρο 59 παρ. 4 MStV), καθώς και τα ιδιωτικά προγράμματα που συμβάλλουν ιδιαίτερα στην ποικιλία απόψεων και προσφορών στην ομοσπονδιακή επικράτεια και</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σε επίπεδα επιλογής που παρουσιάζουν μόνο ή κυρίως ραδιοεπικοινωνίες ή εφαρμογές βασισμένες σε λογισμικό που χρησιμεύουν για τον άμεσο έλεγχό τους, οι προσφορές τηλεμέσων και εφαρμογές βασισμένες σε λογισμικό σύμφωνα με το άρθρο 84 παρ. 4 του MStV.</w:t>
      </w:r>
      <w:bookmarkEnd w:id="7"/>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Η μετάδοση στο σύνολό της πρέπει να μπορεί να επιτευχθεί στο πρώτο επίπεδο επιλογής χωρίς απαραίτητα ενδιάμεσα βήματα, συνήθως με μία μόνο ενέργεια. </w:t>
      </w:r>
      <w:r>
        <w:rPr>
          <w:rFonts w:asciiTheme="minorHAnsi" w:hAnsiTheme="minorHAnsi"/>
          <w:sz w:val="22"/>
          <w:szCs w:val="22"/>
          <w:vertAlign w:val="superscript"/>
        </w:rPr>
        <w:t>3</w:t>
      </w:r>
      <w:r>
        <w:rPr>
          <w:rFonts w:asciiTheme="minorHAnsi" w:hAnsiTheme="minorHAnsi"/>
          <w:sz w:val="22"/>
          <w:szCs w:val="22"/>
        </w:rPr>
        <w:t>Εάν μεταδίδονται ακουστικά ή εμφανίζονται ραδιοφωνικά προγράμματα που πρέπει να λαμβάνουν προγράμματα παραθύρων (άρθρο 59 παρ. 4), στην περιοχή για την οποία επιτρέπονται ή καθορίζονται νομικά τα προγράμματα παραθύρων, τα κύρια προγράμματα με προγράμματα παραθύρων συγκρίνονται με το κύριο πρόγραμμα μετάδοσης χωρίς προγράμματα παραθύρων και σε σύγκριση με τα προγράμματα παραθύρων που έχουν εγκριθεί για άλλους τομείς ή καθορίζονται νομικά.</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8" w:name="_Hlk46133783"/>
      <w:r>
        <w:rPr>
          <w:rFonts w:asciiTheme="minorHAnsi" w:hAnsiTheme="minorHAnsi"/>
          <w:sz w:val="22"/>
          <w:szCs w:val="22"/>
        </w:rPr>
        <w:lastRenderedPageBreak/>
        <w:t xml:space="preserve">7) </w:t>
      </w:r>
      <w:r>
        <w:rPr>
          <w:rFonts w:asciiTheme="minorHAnsi" w:hAnsiTheme="minorHAnsi"/>
          <w:sz w:val="22"/>
          <w:szCs w:val="22"/>
          <w:vertAlign w:val="superscript"/>
        </w:rPr>
        <w:t>1</w:t>
      </w:r>
      <w:r>
        <w:rPr>
          <w:rFonts w:asciiTheme="minorHAnsi" w:hAnsiTheme="minorHAnsi"/>
          <w:sz w:val="22"/>
          <w:szCs w:val="22"/>
        </w:rPr>
        <w:t xml:space="preserve">Ανεξάρτητα από τις προεπιλεγμένες ρυθμίσεις, οι προσφορές και το περιεχόμενο πρέπει να μπορούν να ταξινομούνται εύκολα και γρήγορα από τον χρήστη (π.χ. χρησιμοποιώντας μια λίστα αγαπημένων). </w:t>
      </w:r>
      <w:r>
        <w:rPr>
          <w:rFonts w:asciiTheme="minorHAnsi" w:hAnsiTheme="minorHAnsi"/>
          <w:sz w:val="22"/>
          <w:szCs w:val="22"/>
          <w:vertAlign w:val="superscript"/>
        </w:rPr>
        <w:t>2</w:t>
      </w:r>
      <w:r>
        <w:rPr>
          <w:rFonts w:asciiTheme="minorHAnsi" w:hAnsiTheme="minorHAnsi"/>
          <w:sz w:val="22"/>
          <w:szCs w:val="22"/>
        </w:rPr>
        <w:t xml:space="preserve">Κατά κανόνα, οι προσφορές ή το περιεχόμενο μπορούν να ταξινομηθούν ή να τακτοποιηθούν γρήγορα και εύκολα, εάν αυτό είναι προφανές ή εξηγείται με έναν εύκολα κατανοητό τρόπο. </w:t>
      </w:r>
      <w:r>
        <w:rPr>
          <w:rFonts w:asciiTheme="minorHAnsi" w:hAnsiTheme="minorHAnsi"/>
          <w:sz w:val="22"/>
          <w:szCs w:val="22"/>
          <w:vertAlign w:val="superscript"/>
        </w:rPr>
        <w:t>3</w:t>
      </w:r>
      <w:r>
        <w:rPr>
          <w:rFonts w:asciiTheme="minorHAnsi" w:hAnsiTheme="minorHAnsi"/>
          <w:sz w:val="22"/>
          <w:szCs w:val="22"/>
        </w:rPr>
        <w:t>Η ταξινόμηση ή η ρύθμιση που γίνεται από τον χρήστη πρέπει να μπορεί να αλλάξει μόνο από τον ίδιο και ιδίως όχι μέσω ενημερώσεων.</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Οι παράγραφοι 4 έως 7 δεν ισχύουν εάν ο πάροχος της διεπαφής χρήστη αποδείξει ότι η εφαρμογή είναι τεχνικά αδύνατη ή είναι δυνατή μόνο με δυσανάλογη προσπάθεια. </w:t>
      </w:r>
      <w:r>
        <w:rPr>
          <w:rFonts w:asciiTheme="minorHAnsi" w:hAnsiTheme="minorHAnsi"/>
          <w:sz w:val="22"/>
          <w:szCs w:val="22"/>
          <w:vertAlign w:val="superscript"/>
        </w:rPr>
        <w:t>2</w:t>
      </w:r>
      <w:r>
        <w:rPr>
          <w:rFonts w:asciiTheme="minorHAnsi" w:hAnsiTheme="minorHAnsi"/>
          <w:sz w:val="22"/>
          <w:szCs w:val="22"/>
        </w:rPr>
        <w:t>Αποφασιστικής σημασίας για τον προσδιορισμό της δυσανάλογης προσπάθειας είναι μια συνολική εκτίμηση, στην οποία λαμβάνεται υπόψη ειδικότερα η οικονομική ικανότητα του παρόχου, η προσπάθεια για άλλες λειτουργίες της διεπαφής χρήστη που διευκολύνουν τον εντοπισμό, καθώς και το είδος και το εύρος της παραβίασης που διαπράχθηκε σε περίπτωση μη εφαρμογής. Η προσπάθεια είναι δυσανάλογη μόνο εάν υπάρχει μεγάλη δυσαναλογία.</w:t>
      </w:r>
    </w:p>
    <w:bookmarkEnd w:id="8"/>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Τμήμα 5: Απαιτήσεις διαφάνειας</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Άρθρο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Διαφάνεια</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Οι πλατφόρμες μέσων και οι πάροχοι διεπαφών χρήστη πρέπει να παρέχουν διαφανείς πληροφορίες σύμφωνα με το άρθρο 85 MStV. </w:t>
      </w:r>
      <w:r>
        <w:rPr>
          <w:rFonts w:asciiTheme="minorHAnsi" w:hAnsiTheme="minorHAnsi"/>
          <w:sz w:val="22"/>
          <w:szCs w:val="22"/>
          <w:vertAlign w:val="superscript"/>
        </w:rPr>
        <w:t>2</w:t>
      </w:r>
      <w:r>
        <w:rPr>
          <w:rFonts w:asciiTheme="minorHAnsi" w:hAnsiTheme="minorHAnsi"/>
          <w:sz w:val="22"/>
          <w:szCs w:val="22"/>
        </w:rPr>
        <w:t>Οι πληροφορίες πρέπει να παρέχονται στη γερμανική γλώσσα με τέτοιο τρόπο ώστε να είναι εύκολα αντιληπτές για τον χρήστη, άμεσα προσβάσιμες και συνεχώς διαθέσιμες.</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Όσον αφορά τις απαιτήσεις για την εφαρμογή των κανόνων διαφάνειας, η κατανόηση ενός μέσου χρήστη που δεν έχει συγκεκριμένες τεχνικές γνώσεις είναι αποφασιστικής σημασίας.</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9"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Οι πληροφορίες είναι εύκολο να γίνουν αντιληπτές αν μπορούν να βρεθούν γρήγορα και εύκολα όταν χρησιμοποιείται η πλατφόρμα μέσων ή η διεπαφή χρήστη, καθώς, για παράδειγμα, επισημαίνονται και αναγνωρίζονται από έναν αδιαμφισβήτητο όρο. </w:t>
      </w:r>
      <w:r>
        <w:rPr>
          <w:rFonts w:asciiTheme="minorHAnsi" w:hAnsiTheme="minorHAnsi"/>
          <w:sz w:val="22"/>
          <w:szCs w:val="22"/>
          <w:vertAlign w:val="superscript"/>
        </w:rPr>
        <w:t>2</w:t>
      </w:r>
      <w:r>
        <w:rPr>
          <w:rFonts w:asciiTheme="minorHAnsi" w:hAnsiTheme="minorHAnsi"/>
          <w:sz w:val="22"/>
          <w:szCs w:val="22"/>
        </w:rPr>
        <w:t xml:space="preserve">Ο συγκεκριμένος σχεδιασμός για την εξασφάλιση εύκολης αντιληπτότητας πρέπει να γίνει υπό το φως του τύπου, του πεδίου και του λοιπού σχεδιασμού της υπηρεσίας. </w:t>
      </w:r>
      <w:r>
        <w:rPr>
          <w:rFonts w:asciiTheme="minorHAnsi" w:hAnsiTheme="minorHAnsi"/>
          <w:sz w:val="22"/>
          <w:szCs w:val="22"/>
          <w:vertAlign w:val="superscript"/>
        </w:rPr>
        <w:t>3</w:t>
      </w:r>
      <w:r>
        <w:rPr>
          <w:rFonts w:asciiTheme="minorHAnsi" w:hAnsiTheme="minorHAnsi"/>
          <w:sz w:val="22"/>
          <w:szCs w:val="22"/>
        </w:rPr>
        <w:t>Εάν η χρήση της υπηρεσίας ελέγχεται κυρίως από τη φωνή, οι πληροφορίες θα πρέπει επίσης να αναπαράγονται ακουστικά κατόπιν αιτήματος του χρήστη, με ακουστική ένδειξη για το πού διατίθενται οι πληροφορίες.</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75"/>
      <w:bookmarkEnd w:id="9"/>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Οι πληροφορίες είναι άμεσα προσβάσιμες εάν διατίθενται με τέτοιο τρόπο ώστε να μπορούν να κληθούν εντός της πλατφόρμας μέσων ή της διεπαφής χρήστη χωρίς σημαντικά ενδιάμεσα βήματα. </w:t>
      </w:r>
      <w:r>
        <w:rPr>
          <w:rFonts w:asciiTheme="minorHAnsi" w:hAnsiTheme="minorHAnsi"/>
          <w:sz w:val="22"/>
          <w:szCs w:val="22"/>
          <w:vertAlign w:val="superscript"/>
        </w:rPr>
        <w:t>2</w:t>
      </w:r>
      <w:r>
        <w:rPr>
          <w:rFonts w:asciiTheme="minorHAnsi" w:hAnsiTheme="minorHAnsi"/>
          <w:sz w:val="22"/>
          <w:szCs w:val="22"/>
        </w:rPr>
        <w:t>Εάν η υπηρεσία χρησιμοποιείται μέσω του διαδικτύου, αυτό μπορεί επίσης να γίνει με σύνδεση.</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5) Οι πληροφορίες είναι πάντα διαθέσιμες εάν διατίθενται μόνιμα και χωρίς χρονικό περιορισμό.</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lastRenderedPageBreak/>
        <w:t>Τμήμα 6: Διαδικαστικοί κανόνες</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0"/>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Άρθρο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ZAK</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Η Επιτροπή έγκρισης και εποπτείας (ZAK) της αρμόδιας κρατικής αρχής μέσων ενημέρωσης λειτουργεί ως όργανο για τα καθήκοντα που πρέπει να εκπληρωθούν στο πλαίσιο αυτού του καταστατικού (άρθρο 104 παρ. 2 εδάφιο 1 σημείο 1, άρθρο 105 παρ. 1 εδάφιο 1 σημεία 8 και 9 MStV σε συνδυασμό με τον εσωτερικό κανονισμό της ZAK – GVO ZAK).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Το άρθρο 81 παρ. 5 εδάφιο 3 σε συνδυασμό με το άρθρο 105 παρ. 2 εδάφιο 1 εναλλακτική περίπτωση 2 MStV παραμένει ως έχει.</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Η αρμόδια κρατική αρχή μέσων ενημέρωσης διαβιβάζει ειδοποιήσεις σύμφωνα με το άρθρο 2 και καταγγελίες σύμφωνα με το άρθρο 14 αμέσως μέσω του κοινού γραφείου στη ZAK και την ενημερώνει για αυτεπάγγελτους ελέγχους. </w:t>
      </w:r>
      <w:r>
        <w:rPr>
          <w:rFonts w:asciiTheme="minorHAnsi" w:hAnsiTheme="minorHAnsi"/>
          <w:sz w:val="22"/>
          <w:szCs w:val="22"/>
          <w:vertAlign w:val="superscript"/>
        </w:rPr>
        <w:t>2</w:t>
      </w:r>
      <w:r>
        <w:rPr>
          <w:rFonts w:asciiTheme="minorHAnsi" w:hAnsiTheme="minorHAnsi"/>
          <w:sz w:val="22"/>
          <w:szCs w:val="22"/>
        </w:rPr>
        <w:t xml:space="preserve">Η αρμόδια κρατική αρχή μέσων διεξάγει τη διαδικασία έως ότου είναι έτοιμη για έκδοση απόφασης.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Άρθρο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Μέθοδος</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Η αρμόδια κρατική αρχή μέσων ενημέρωσης ελέγχει μέσω της ZAK και βάσει καταγγελίας από εξουσιοδοτημένο άτομο σύμφωνα με το άρθρο 14 ή αυτεπαγγέλτως εάν ο πάροχος πλατφόρμας μέσων ή διεπαφής χρήστη συμμορφώνεται με τις διατάξεις των άρθρων 79 έως 85 MStV ή των άρθρων 2 έως 6 και 10, 11 αυτού του καταστατικού.</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Εάν υπάρχουν συγκεκριμένες ενδείξεις παραβίασης, ο πάροχος πλατφόρμας μέσων ή διεπαφής χρήστη υποχρεούται να υποβάλει αμέσως τις πληροφορίες και τα έγγραφα που απαιτούνται για επαλήθευση στην αρμόδια κρατική αρχή μέσων ενημέρωσης.</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Εάν η αρμόδια κρατική αρχή μέσων ενημέρωσης εντοπίσει παραβίαση μέσω της ZAK σύμφωνα με την παράγραφο 1, μπορεί να δώσει στον πάροχο της πλατφόρμας μέσων ή της διεπαφής χρήστη την ευκαιρία να κάνει βελτιώσεις ορίζοντας μια εύλογη προθεσμία. </w:t>
      </w:r>
      <w:r>
        <w:rPr>
          <w:rFonts w:asciiTheme="minorHAnsi" w:hAnsiTheme="minorHAnsi"/>
          <w:sz w:val="22"/>
          <w:szCs w:val="22"/>
          <w:vertAlign w:val="superscript"/>
        </w:rPr>
        <w:t>2</w:t>
      </w:r>
      <w:r>
        <w:rPr>
          <w:rFonts w:asciiTheme="minorHAnsi" w:hAnsiTheme="minorHAnsi"/>
          <w:sz w:val="22"/>
          <w:szCs w:val="22"/>
        </w:rPr>
        <w:t>Εάν οι νομικές απαιτήσεις εξακολουθούν να μην πληρούνται μετά από αυτό, η αρμόδια κρατική αρχή μέσων ενημέρωσης θα λάβει τα απαιτούμενα μέτρα σύμφωνα με το άρθρο 109 παρ. 1 MStV βάσει απόφασης της ZAK και, στην περίπτωση του άρθρου 81 παρ. 5 εδάφιο 3 MStV, σχετικά με την απόφαση της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Άρθρο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szCs w:val="22"/>
        </w:rPr>
        <w:t>Καταγγελία</w:t>
      </w:r>
      <w:r>
        <w:rPr>
          <w:rFonts w:asciiTheme="minorHAnsi" w:hAnsiTheme="minorHAnsi"/>
          <w:b/>
          <w:bCs/>
          <w:sz w:val="22"/>
          <w:szCs w:val="22"/>
        </w:rPr>
        <w:t xml:space="preserve"> στο πλαίσιο της εποπτείας</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Οι πάροχοι ραδιοφωνικών προγραμμάτων, ραδιοτηλεοπτικών τηλεμέσων ή τηλεμέσων σύμφωνα με το άρθρο 19 παρ. 1 MStV</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που διανέμονται σε μια πλατφόρμα μέσων ή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ζητούν πρόσβαση σε μια πλατφόρμα μέσων προκειμένου να προσφέρουν ή να εμπορεύονται ραδιοτηλεοπτικά τηλεμέσα ή τηλεμέσα σύμφωνα με το άρθρο 19 παρ. 1 RStV δικαιούνται να υποβάλουν καταγγελία ή</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lastRenderedPageBreak/>
        <w:t>επηρεάζονται από την εμφάνιση σε διεπαφές χρήστη κατά την έννοια του άρθρου 2 παρ. 2 σημείο 15 MStV.</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Οι καταγγέλλοντες μπορούν να είναι πάροχοι πλατφορμών μέσων σύμφωνα με το άρθρο 2 παρ. 2 σημείο 19 MStV και πάροχοι διεπαφών χρήστη σύμφωνα με το άρθρο 2 παρ. 2 σημείο 20 MStV.</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Τα άτομα που δικαιούνται να υποβάλουν καταγγελία σύμφωνα με την παράγραφο 1 μπορούν να υποβάλουν καταγγελία στην αρμόδια κρατική αρχή μέσων ενημέρωσης γραπτώς, δηλώνοντας συγκεκριμένες ενδείξεις για την ύπαρξη παραβίασης των διατάξεων των άρθρων 80 έως 84 MStV ή των άρθρων 3 έως 6 και 10 αυτού του καταστατικού και εξηγώντας τα υποκείμενα γεγονότα.</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Κατά την υποβολή καταγγελίας, τα δικαιούχα μέρη πρέπει να αποδείξουν και να καταστήσουν με αξιόπιστο τρόπο ότι έχουν εργαστεί για την αποσαφήνιση της διαφωνίας με τον πάροχο της πλατφόρμας μέσων ή της διεπαφής χρήστη.</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Η αρμόδια κρατική αρχή μέσων ενημέρωσης δύναται πρώτα να προσπαθήσει να εργαστεί προς μια κατάλληλη λύση μεταξύ των εμπλεκομένων. </w:t>
      </w:r>
      <w:r>
        <w:rPr>
          <w:rFonts w:asciiTheme="minorHAnsi" w:hAnsiTheme="minorHAnsi"/>
          <w:sz w:val="22"/>
          <w:szCs w:val="22"/>
          <w:vertAlign w:val="superscript"/>
        </w:rPr>
        <w:t>2</w:t>
      </w:r>
      <w:r>
        <w:rPr>
          <w:rFonts w:asciiTheme="minorHAnsi" w:hAnsiTheme="minorHAnsi"/>
          <w:sz w:val="22"/>
          <w:szCs w:val="22"/>
        </w:rPr>
        <w:t>Στις περιπτώσεις του άρθρου 83 παρ. 3 MStV, η αρμόδια κρατική αρχή μέσων ενημέρωσης πρέπει να μεσολαβήσει πριν από τη διαδικασία καταγγελίας.</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Όσον αφορά τα συστήματα εξουσιοδότησης πρόσβασης και διεπαφές για προγράμματα εφαρμογών, η αρμόδια κρατική αρχή μέσων ενημέρωσης διαβιβάζει την καταγγελία στην Ομοσπονδιακή Υπηρεσία Δικτύων (BNetzA) στο πλαίσιο της διαδικασίας που συμφωνήθηκε με αυτήν (περιγραφή διαδικασίας με ημερομηνία την 20ή Απριλίου 2010).</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Η καταγγελία πρέπει να απευθύνεται στην κρατική αρχή μέσων ενημέρωσης στην οποία εμφανίζεται η πλατφόρμα μέσων ή η διεπαφή χρήστη. </w:t>
      </w:r>
      <w:r>
        <w:rPr>
          <w:rFonts w:asciiTheme="minorHAnsi" w:hAnsiTheme="minorHAnsi"/>
          <w:sz w:val="22"/>
          <w:szCs w:val="22"/>
          <w:vertAlign w:val="superscript"/>
        </w:rPr>
        <w:t>2</w:t>
      </w:r>
      <w:r>
        <w:rPr>
          <w:rFonts w:asciiTheme="minorHAnsi" w:hAnsiTheme="minorHAnsi"/>
          <w:sz w:val="22"/>
          <w:szCs w:val="22"/>
        </w:rPr>
        <w:t>Εάν δεν υπάρχει ειδοποίηση κατά τη στιγμή της καταγγελίας, το άρθρο 106 παρ. 1 MStV ισχύει ανάλογα για τις προσφορές σε ομοσπονδιακό επίπεδο.</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Άρθρο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Έκδοση πιστοποιητικού εκκαθάρισης σύμφωνα με το άρθρο 87 MStV</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Εάν υποβληθεί αίτηση για πιστοποιητικό ασφάλειας σύμφωνα με το άρθρο 87 εδάφιο 1 MStV, η αρμόδια κρατική αρχή μέσων ενημέρωσης ενημερώνει τους παρόχους για τις προνομιακές προσφορές σύμφωνα με το άρθρο 84 παράγραφος 3 εδάφιο 2 και την παράγραφο 4 MStV σχετικά με την έναρξη της διαδικασίας. </w:t>
      </w:r>
      <w:r>
        <w:rPr>
          <w:rFonts w:asciiTheme="minorHAnsi" w:hAnsiTheme="minorHAnsi"/>
          <w:sz w:val="22"/>
          <w:szCs w:val="22"/>
          <w:vertAlign w:val="superscript"/>
        </w:rPr>
        <w:t>2</w:t>
      </w:r>
      <w:r>
        <w:rPr>
          <w:rFonts w:asciiTheme="minorHAnsi" w:hAnsiTheme="minorHAnsi"/>
          <w:sz w:val="22"/>
          <w:szCs w:val="22"/>
        </w:rPr>
        <w:t>Οι πληροφορίες μπορούν να παρέχονται ηλεκτρονικά.</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Η αρμόδια κρατική αρχή μέσων ενημέρωσης διαβιβάζει την αίτηση στη ZAK μέσω του κοινού γραφείου. Η αρμόδια κρατική αρχή μέσων διεξάγει τη διαδικασία έως ότου είναι έτοιμη για έκδοση απόφασης.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Κατά τη διάρκεια ισχύος του πιστοποιητικού εκκαθάρισης, ο πάροχος της πλατφόρμας μέσων ή της διεπαφής χρήστη πρέπει να ενημερώσει την αρμόδια κρατική αρχή πολυμέσων για όλες τις σημαντικές αλλαγές που γίνονται στην πλατφόρμα μέσων ή στη διεπαφή χρήστη. </w:t>
      </w:r>
      <w:r>
        <w:rPr>
          <w:rFonts w:asciiTheme="minorHAnsi" w:hAnsiTheme="minorHAnsi"/>
          <w:sz w:val="22"/>
          <w:szCs w:val="22"/>
          <w:vertAlign w:val="superscript"/>
        </w:rPr>
        <w:t>2</w:t>
      </w:r>
      <w:r>
        <w:rPr>
          <w:rFonts w:asciiTheme="minorHAnsi" w:hAnsiTheme="minorHAnsi"/>
          <w:sz w:val="22"/>
          <w:szCs w:val="22"/>
        </w:rPr>
        <w:t>Η αρμόδια κρατική αρχή μέσων ενημέρωσης προβαίνει σε αυτεπάγγελτο έλεγχο εάν εξακολουθούν να πληρούνται οι απαιτήσεις για το πιστοποιητικό εκκαθάρισης.</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Τμήμα 7: Τελικές διατάξεις</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Άρθρο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Προσβασιμότητα</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bCs/>
          <w:sz w:val="22"/>
          <w:szCs w:val="22"/>
        </w:rPr>
        <w:t>Οι πάροχοι</w:t>
      </w:r>
      <w:r>
        <w:rPr>
          <w:rFonts w:asciiTheme="minorHAnsi" w:hAnsiTheme="minorHAnsi"/>
          <w:sz w:val="22"/>
          <w:szCs w:val="22"/>
        </w:rPr>
        <w:t xml:space="preserve"> διεπαφών χρήστη</w:t>
      </w:r>
      <w:r>
        <w:rPr>
          <w:rFonts w:asciiTheme="minorHAnsi" w:hAnsiTheme="minorHAnsi"/>
          <w:bCs/>
          <w:sz w:val="22"/>
          <w:szCs w:val="22"/>
        </w:rPr>
        <w:t xml:space="preserve"> και οι πάροχοι πλατφορμών μέσων θα πρέπει να υποστηρίζουν την πρόσβαση χωρίς φραγμούς σε τηλεοπτικά προγράμματ</w:t>
      </w:r>
      <w:bookmarkStart w:id="11" w:name="_GoBack"/>
      <w:bookmarkEnd w:id="11"/>
      <w:r>
        <w:rPr>
          <w:rFonts w:asciiTheme="minorHAnsi" w:hAnsiTheme="minorHAnsi"/>
          <w:bCs/>
          <w:sz w:val="22"/>
          <w:szCs w:val="22"/>
        </w:rPr>
        <w:t>α και τηλεοπτικά τηλεμέσα στο πλαίσιο των τεχνικών και οικονομικών δυνατοτήτων τους (άρθρο 21 MStV).</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Άρθρο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Έναρξη ισχύος, θέση εκτός ισχύος</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Το παρόν καταστατικό τίθεται σε ισχύ στις 15 Απριλίου 2021. </w:t>
      </w:r>
      <w:r>
        <w:rPr>
          <w:rFonts w:asciiTheme="minorHAnsi" w:hAnsiTheme="minorHAnsi"/>
          <w:sz w:val="22"/>
          <w:szCs w:val="22"/>
          <w:vertAlign w:val="superscript"/>
        </w:rPr>
        <w:t>2</w:t>
      </w:r>
      <w:r>
        <w:rPr>
          <w:rFonts w:asciiTheme="minorHAnsi" w:hAnsiTheme="minorHAnsi"/>
          <w:sz w:val="22"/>
          <w:szCs w:val="22"/>
        </w:rPr>
        <w:t>Ο πρόεδρος της διάσκεψης των διευθυντών των κρατικών αρχών για τα μέσα ενημέρωσης (DLM) δημοσιεύει στον ιστότοπο με την επωνυμία «die medienanstalten (αρχές για τα μέσα ενημέρωσης)» εάν όλες οι κρατικές αρχές για τα μέσα ενημέρωσης έχουν εκδώσει και δημοσιεύσει αντίστοιχα καταστατικά μέχρι τότε. η</w:t>
      </w:r>
      <w:r>
        <w:rPr>
          <w:rFonts w:asciiTheme="minorHAnsi" w:hAnsiTheme="minorHAnsi"/>
          <w:sz w:val="22"/>
          <w:szCs w:val="22"/>
          <w:vertAlign w:val="superscript"/>
        </w:rPr>
        <w:t>3</w:t>
      </w:r>
      <w:r>
        <w:rPr>
          <w:rFonts w:asciiTheme="minorHAnsi" w:hAnsiTheme="minorHAnsi"/>
          <w:sz w:val="22"/>
          <w:szCs w:val="22"/>
        </w:rPr>
        <w:t>Κατά παρέκκλιση από το εδάφιο 1, το άρθρο 10 παρ. 5 έως 7 του παρόντος καταστατικού τίθεται σε ισχύ την 1η Σεπτεμβρίου 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Ταυτόχρονα, τίθεται εκτός ισχύος το καταστατικό σχετικά με την ελευθερία πρόσβασης σε ψηφιακές υπηρεσίες και το ρυθμιστικό πλαίσιο για τις πλατφόρμες σύμφωνα με το άρθρο 53 της κρατικής σύμβασης για τη ραδιοτηλεόραση της 14ης Δεκεμβρίου 2016.</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AF2F17">
          <w:rPr>
            <w:rFonts w:asciiTheme="minorHAnsi" w:hAnsiTheme="minorHAnsi" w:cstheme="minorHAnsi"/>
            <w:sz w:val="22"/>
          </w:rPr>
          <w:t>1</w:t>
        </w:r>
        <w:r w:rsidR="00AF2F17">
          <w:rPr>
            <w:rFonts w:asciiTheme="minorHAnsi" w:hAnsiTheme="minorHAnsi" w:cstheme="minorHAnsi"/>
            <w:sz w:val="22"/>
          </w:rPr>
          <w:t>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t xml:space="preserve"> </w:t>
      </w:r>
      <w:r>
        <w:rPr>
          <w:rFonts w:asciiTheme="minorHAnsi" w:hAnsiTheme="minorHAnsi"/>
        </w:rPr>
        <w:t>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w:rPr>
        <w:noProof/>
      </w:rP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9D4655" w:rsidRDefault="009D4655" w:rsidP="00FA085F">
                          <w:pPr>
                            <w:jc w:val="right"/>
                            <w:rPr>
                              <w:rFonts w:asciiTheme="minorHAnsi" w:hAnsiTheme="minorHAnsi" w:cstheme="minorHAnsi"/>
                              <w:sz w:val="32"/>
                              <w:lang w:val="de-CH"/>
                            </w:rPr>
                          </w:pPr>
                          <w:r>
                            <w:rPr>
                              <w:rFonts w:asciiTheme="minorHAnsi" w:hAnsiTheme="minorHAnsi"/>
                              <w:sz w:val="32"/>
                              <w:lang w:val="de-CH"/>
                            </w:rPr>
                            <w:t>die</w:t>
                          </w:r>
                          <w:r w:rsidRPr="009D4655">
                            <w:rPr>
                              <w:rFonts w:asciiTheme="minorHAnsi" w:hAnsiTheme="minorHAnsi"/>
                              <w:sz w:val="32"/>
                              <w:lang w:val="de-CH"/>
                            </w:rPr>
                            <w:t xml:space="preserve"> </w:t>
                          </w:r>
                          <w:proofErr w:type="spellStart"/>
                          <w:r>
                            <w:rPr>
                              <w:rFonts w:asciiTheme="minorHAnsi" w:hAnsiTheme="minorHAnsi"/>
                              <w:sz w:val="32"/>
                              <w:lang w:val="de-CH"/>
                            </w:rPr>
                            <w:t>medienanstalten</w:t>
                          </w:r>
                          <w:proofErr w:type="spellEnd"/>
                          <w:r w:rsidR="00FA085F" w:rsidRPr="009D4655">
                            <w:rPr>
                              <w:rFonts w:asciiTheme="minorHAnsi" w:hAnsiTheme="minorHAnsi"/>
                              <w:sz w:val="32"/>
                              <w:lang w:val="de-CH"/>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9D4655" w:rsidRDefault="009D4655" w:rsidP="00FA085F">
                    <w:pPr>
                      <w:jc w:val="right"/>
                      <w:rPr>
                        <w:rFonts w:asciiTheme="minorHAnsi" w:hAnsiTheme="minorHAnsi" w:cstheme="minorHAnsi"/>
                        <w:sz w:val="32"/>
                        <w:lang w:val="de-CH"/>
                      </w:rPr>
                    </w:pPr>
                    <w:r>
                      <w:rPr>
                        <w:rFonts w:asciiTheme="minorHAnsi" w:hAnsiTheme="minorHAnsi"/>
                        <w:sz w:val="32"/>
                        <w:lang w:val="de-CH"/>
                      </w:rPr>
                      <w:t>die</w:t>
                    </w:r>
                    <w:r w:rsidRPr="009D4655">
                      <w:rPr>
                        <w:rFonts w:asciiTheme="minorHAnsi" w:hAnsiTheme="minorHAnsi"/>
                        <w:sz w:val="32"/>
                        <w:lang w:val="de-CH"/>
                      </w:rPr>
                      <w:t xml:space="preserve"> </w:t>
                    </w:r>
                    <w:proofErr w:type="spellStart"/>
                    <w:r>
                      <w:rPr>
                        <w:rFonts w:asciiTheme="minorHAnsi" w:hAnsiTheme="minorHAnsi"/>
                        <w:sz w:val="32"/>
                        <w:lang w:val="de-CH"/>
                      </w:rPr>
                      <w:t>medienanstalten</w:t>
                    </w:r>
                    <w:proofErr w:type="spellEnd"/>
                    <w:r w:rsidR="00FA085F" w:rsidRPr="009D4655">
                      <w:rPr>
                        <w:rFonts w:asciiTheme="minorHAnsi" w:hAnsiTheme="minorHAnsi"/>
                        <w:sz w:val="32"/>
                        <w:lang w:val="de-CH"/>
                      </w:rPr>
                      <w:t xml:space="preserve"> </w:t>
                    </w:r>
                  </w:p>
                </w:txbxContent>
              </v:textbox>
            </v:shape>
          </w:pict>
        </mc:Fallback>
      </mc:AlternateContent>
    </w:r>
    <w:r>
      <w:rPr>
        <w:noProof/>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C28A6"/>
    <w:rsid w:val="003F26AC"/>
    <w:rsid w:val="0048212F"/>
    <w:rsid w:val="00483146"/>
    <w:rsid w:val="00485576"/>
    <w:rsid w:val="00490C3B"/>
    <w:rsid w:val="00506FCB"/>
    <w:rsid w:val="00511D74"/>
    <w:rsid w:val="00517E15"/>
    <w:rsid w:val="00521970"/>
    <w:rsid w:val="00532ECA"/>
    <w:rsid w:val="00543B52"/>
    <w:rsid w:val="0058421F"/>
    <w:rsid w:val="00590EA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D4655"/>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F06AF9"/>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el-GR"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EE2C-8632-4F12-8746-864CE88C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4071</Words>
  <Characters>22713</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Geschäfts- und Verfahrensordnung</vt:lpstr>
      <vt:lpstr>Geschäfts- und Verfahrensordnung</vt:lpstr>
    </vt:vector>
  </TitlesOfParts>
  <Company>Bayer. Sozialgerichtsbarkeit</Company>
  <LinksUpToDate>false</LinksUpToDate>
  <CharactersWithSpaces>26731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PETSIMERIS, Christodoulos</cp:lastModifiedBy>
  <cp:revision>6</cp:revision>
  <cp:lastPrinted>2014-01-13T11:15:00Z</cp:lastPrinted>
  <dcterms:created xsi:type="dcterms:W3CDTF">2020-12-17T11:14:00Z</dcterms:created>
  <dcterms:modified xsi:type="dcterms:W3CDTF">2020-12-31T12:22:00Z</dcterms:modified>
</cp:coreProperties>
</file>