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F8" w:rsidRPr="003574F8" w:rsidRDefault="003574F8" w:rsidP="003574F8">
      <w:pPr>
        <w:jc w:val="center"/>
        <w:rPr>
          <w:rFonts w:ascii="Courier New" w:hAnsi="Courier New"/>
          <w:sz w:val="20"/>
        </w:rPr>
      </w:pPr>
      <w:r>
        <w:rPr>
          <w:rFonts w:ascii="Courier New" w:hAnsi="Courier New"/>
          <w:sz w:val="20"/>
        </w:rPr>
        <w:t>1. ------IND- 2020 0813 D-- ET-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Seis: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Põhimäärus</w:t>
      </w:r>
      <w:r>
        <w:rPr>
          <w:rFonts w:asciiTheme="minorHAnsi" w:hAnsiTheme="minorHAnsi"/>
          <w:b/>
          <w:bCs/>
          <w:sz w:val="22"/>
          <w:szCs w:val="22"/>
        </w:rPr>
        <w:t xml:space="preserve">, milles täpsustatakse meediat käsitleva riigilepingu sätteid meediaplatvormide ja kasutajaliideste kohta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(MB-põhimäärus)</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…[kuupäev]</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 xml:space="preserve">14. kuni 28. aprilli 2020. aasta meediat käsitleva riigilepingu § 84 lõike 8, § </w:t>
      </w:r>
      <w:r>
        <w:rPr>
          <w:rFonts w:ascii="Calibri" w:hAnsi="Calibri"/>
          <w:sz w:val="22"/>
          <w:szCs w:val="22"/>
        </w:rPr>
        <w:t>88</w:t>
      </w:r>
      <w:r>
        <w:rPr>
          <w:rFonts w:asciiTheme="minorHAnsi" w:hAnsiTheme="minorHAnsi"/>
          <w:bCs/>
          <w:sz w:val="22"/>
          <w:szCs w:val="22"/>
        </w:rPr>
        <w:t xml:space="preserve"> </w:t>
      </w:r>
      <w:bookmarkStart w:id="0" w:name="_GoBack"/>
      <w:bookmarkEnd w:id="0"/>
      <w:r>
        <w:rPr>
          <w:rFonts w:ascii="Calibri" w:hAnsi="Calibri"/>
          <w:sz w:val="22"/>
          <w:szCs w:val="22"/>
        </w:rPr>
        <w:t xml:space="preserve">(… viide) alusel annab [liidumaa meediaametiasutus] </w:t>
      </w:r>
      <w:r>
        <w:rPr>
          <w:rFonts w:ascii="Calibri" w:hAnsi="Calibri"/>
          <w:bCs/>
          <w:sz w:val="22"/>
          <w:szCs w:val="22"/>
        </w:rPr>
        <w:t xml:space="preserve">kokkuleppel </w:t>
      </w:r>
      <w:r>
        <w:rPr>
          <w:rFonts w:ascii="Calibri" w:hAnsi="Calibri"/>
          <w:sz w:val="22"/>
          <w:szCs w:val="22"/>
        </w:rPr>
        <w:t xml:space="preserve">teiste liidumaade meediaametiasutustega välja </w:t>
      </w:r>
      <w:r>
        <w:rPr>
          <w:rFonts w:ascii="Calibri" w:hAnsi="Calibri"/>
          <w:bCs/>
          <w:sz w:val="22"/>
          <w:szCs w:val="22"/>
        </w:rPr>
        <w:t>järgmise põhimääruse:</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1. jagu: Üldsätted</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 1</w:t>
      </w:r>
      <w:r>
        <w:rPr>
          <w:rFonts w:ascii="Calibri" w:hAnsi="Calibri"/>
          <w:b/>
          <w:sz w:val="22"/>
          <w:szCs w:val="22"/>
        </w:rPr>
        <w:br/>
        <w:t>Eesmärk, kohaldamisala</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rFonts w:asciiTheme="minorHAnsi" w:hAnsiTheme="minorHAnsi"/>
          <w:bCs/>
          <w:sz w:val="22"/>
          <w:szCs w:val="22"/>
        </w:rPr>
        <w:t xml:space="preserve">Käesolev põhimäärus reguleerib meediat käsitleva riigilepingu § 84 lõike 8, § 88 kohaselt üksikasju seadusesätete sisulise ja </w:t>
      </w:r>
      <w:r>
        <w:rPr>
          <w:rFonts w:ascii="Calibri" w:hAnsi="Calibri"/>
          <w:sz w:val="22"/>
          <w:szCs w:val="22"/>
        </w:rPr>
        <w:t>menetlusliku</w:t>
      </w:r>
      <w:r>
        <w:rPr>
          <w:rFonts w:asciiTheme="minorHAnsi" w:hAnsiTheme="minorHAnsi"/>
          <w:bCs/>
          <w:sz w:val="22"/>
          <w:szCs w:val="22"/>
        </w:rPr>
        <w:t xml:space="preserve"> täpsustuse kohta meediat käsitleva riigilepingu V jao 2. alajaotuse meediaplatvormidel ja kasutajaliidestel (meediat käsitleva riigilepingu § 78 kuni § 88). </w:t>
      </w:r>
      <w:r>
        <w:rPr>
          <w:rFonts w:asciiTheme="minorHAnsi" w:hAnsiTheme="minorHAnsi"/>
          <w:bCs/>
          <w:sz w:val="22"/>
          <w:szCs w:val="22"/>
          <w:vertAlign w:val="superscript"/>
        </w:rPr>
        <w:t>2</w:t>
      </w:r>
      <w:r>
        <w:rPr>
          <w:rFonts w:asciiTheme="minorHAnsi" w:hAnsiTheme="minorHAnsi"/>
          <w:bCs/>
          <w:sz w:val="22"/>
          <w:szCs w:val="22"/>
        </w:rPr>
        <w:t xml:space="preserve">See aitab positiivselt tagada arvamuste mitmekesisuse (pakkumiste ja pakkujate mitmekesisus).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Käesoleva põhimääruse sätteid kohaldatakse meediaplatvormide ja kasutajaliideste suhtes. </w:t>
      </w:r>
      <w:r>
        <w:rPr>
          <w:rFonts w:asciiTheme="minorHAnsi" w:hAnsiTheme="minorHAnsi"/>
          <w:sz w:val="22"/>
          <w:szCs w:val="22"/>
          <w:vertAlign w:val="superscript"/>
        </w:rPr>
        <w:t>2</w:t>
      </w:r>
      <w:r>
        <w:rPr>
          <w:rFonts w:asciiTheme="minorHAnsi" w:hAnsiTheme="minorHAnsi"/>
          <w:sz w:val="22"/>
          <w:szCs w:val="22"/>
        </w:rPr>
        <w:t xml:space="preserve">Erandina käesoleva põhimääruse § 1, § 2, § 3, §12 jj ei kehti need meediaplatvormide ja kasutajaliideste suhtes, mille tähtsus pakkumiste ja arvamuste mitmekesisuse seisukohast on väike. </w:t>
      </w:r>
      <w:r>
        <w:rPr>
          <w:rFonts w:asciiTheme="minorHAnsi" w:hAnsiTheme="minorHAnsi"/>
          <w:sz w:val="22"/>
          <w:szCs w:val="22"/>
          <w:vertAlign w:val="superscript"/>
        </w:rPr>
        <w:t>3</w:t>
      </w:r>
      <w:r>
        <w:rPr>
          <w:rFonts w:asciiTheme="minorHAnsi" w:hAnsiTheme="minorHAnsi"/>
          <w:sz w:val="22"/>
          <w:szCs w:val="22"/>
        </w:rPr>
        <w:t>Seda tavaliselt juhul, kui meediaplatvorm või kasutajaliides on jääb alla meediat käsitleva riigilepingu § 78 teise lause punktides 1 ja 2 sätestatud künniste.</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Meediaplatvormid on taristuga seotud, kui meediaplatvormi pakkuja kontrollib ka ülekandetaristut sisenemispunktist võrgu lõpp-punktini. </w:t>
      </w:r>
      <w:r>
        <w:rPr>
          <w:rFonts w:asciiTheme="minorHAnsi" w:hAnsiTheme="minorHAnsi"/>
          <w:sz w:val="22"/>
          <w:szCs w:val="22"/>
          <w:vertAlign w:val="superscript"/>
        </w:rPr>
        <w:t>2</w:t>
      </w:r>
      <w:r>
        <w:rPr>
          <w:rFonts w:asciiTheme="minorHAnsi" w:hAnsiTheme="minorHAnsi"/>
          <w:sz w:val="22"/>
          <w:szCs w:val="22"/>
        </w:rPr>
        <w:t>Kontroll võib toimuda ka ülekandetaristu pakkuja ja omaniku vahelise lepingulise kokkuleppe alusel.</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szCs w:val="22"/>
        </w:rPr>
        <w:t>4) Kaabellevivõrgupõhiste meediaplatvormide ja nende kasutajaliideste ühendatud elamute määramine vastavalt meediat käsitleva riigilepingu § 78 teise lause punkti 1 toimub järgmiste sätete kohaselt:</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Kaabellevivõrgupõhise</w:t>
      </w:r>
      <w:r>
        <w:rPr>
          <w:sz w:val="22"/>
          <w:szCs w:val="22"/>
        </w:rPr>
        <w:t xml:space="preserve"> </w:t>
      </w:r>
      <w:r>
        <w:rPr>
          <w:rFonts w:ascii="Calibri" w:hAnsi="Calibri"/>
          <w:sz w:val="22"/>
          <w:szCs w:val="22"/>
        </w:rPr>
        <w:t xml:space="preserve">meediaplatvormi </w:t>
      </w:r>
      <w:r>
        <w:rPr>
          <w:rFonts w:asciiTheme="minorHAnsi" w:hAnsiTheme="minorHAnsi"/>
          <w:sz w:val="22"/>
          <w:szCs w:val="22"/>
        </w:rPr>
        <w:t xml:space="preserve"> pakkujale kõiki omistatavaid võrke vaadeldakse koos.</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Ühendatud elamud meediat käsitleva riigilepingu § 78 teise lause punkti 1 tähenduses on kaabellevivõrgupõhiste meediumiplatvormide puhul elamud, kus on füüsiline võrgu lõpp-punkt, kus lõpptarbijale võimaldatakse juurdepääs kaabellevivõrgule, tingimusel et võrgu lõpp-punkti osas on sõlmitud leping, mille kohaselt on lõpptarbijal õigus ringhäälinguprogramme vastu võtta.</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lastRenderedPageBreak/>
        <w:t>5) Meediat käsitleva riigilepingu § 78 lõike 2 punktis 2 osutatud tegelike igapäevaste kasutajate määramisel kohaldatakse järgmisi sätteid:</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Taristuga mitteseotud meediaplatvormi või kasutajaliidese tegelikud igapäevased kasutajad on kasutajad, kes külastavad meediaplatvormi või kasutajaliidest ühe päeva jooksul. Ühe kasutaja mitut juurdepääsu tuleb lihtsalt loendada (unique user).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Otsustavaks teguriks on meediaplatvormi või kasutajaliidese esimesele valikutasemele sisenemine. Kui meediaplatvorm on aga segapakkumise piiritletav osa, on määravaks piiritleva funktsiooni unikaalsete kasutajate arvud.</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Kui meediat käsitleva riigilepingu § 19 lõikes 1 osutatud juurdepääs ringhäälinguprogrammidele, ringhäälingutaolistele telemeediatele või telemeediatele sõltub ainult registreerimisest või sisselogimisest, on ainulaadsete kasutajate mõõtmisel määravaks esimesele valikutasemele sisenemine, millele pääseb juurde pärast registreerimist või sisselogimist.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Kui teavet tegelike igapäevaste kasutajate kohta ei saa esitada, võetakse kasutajaliideste puhul aluseks müüdud seadmete arv.</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Eeltoodud kuu keskmise arvutused põhinevad kuue kuu pikkusel periood.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Pakkuja peab tõendama meediat käsitleva riigilepingu § 78 teise lause punktide 1 ja 2 kohased eeldused on täidetud.</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Teavitamine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Pakkujad, kes soovivad pakkuda meediaplatvormi või kasutajaliidest, peavad sellest vähemalt üks kuu enne kasutuselevõtmist teavitama liidumaa pädevat meediaametiasutust. </w:t>
      </w:r>
      <w:r>
        <w:rPr>
          <w:rFonts w:asciiTheme="minorHAnsi" w:hAnsiTheme="minorHAnsi"/>
          <w:sz w:val="22"/>
          <w:szCs w:val="22"/>
          <w:vertAlign w:val="superscript"/>
        </w:rPr>
        <w:t>2</w:t>
      </w:r>
      <w:r>
        <w:rPr>
          <w:rFonts w:asciiTheme="minorHAnsi" w:hAnsiTheme="minorHAnsi"/>
          <w:sz w:val="22"/>
          <w:szCs w:val="22"/>
        </w:rPr>
        <w:t xml:space="preserve">Kui pakkumise kasutuselevõtmine ei ole pakkuja vastutusalas, põhineb esimese lause kohane teavitamiskohustus turule viimise ajahetkel.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Teavitamise raames tuleb esitada eelkõige järgmine teave ning järgmised dokumendid:</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pakkumise esitamine, sealhulgas ka teave meediaplatvormi taristuga seotud olemuse kohta või teave selle kohta, kas tegemist on taristuga seotud meediaplatvormi kasutajaliidesega;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meediaplatvormi või kasutajaliidese pakkuja füüsilise või juriidilise isiku ning tema elukoha või registrijärgse asukoha määramine;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meediaplatvormi või kasutajaliidese pakkuja isiku või teda seaduslikult või põhikirja kohaselt esindava isiku ametiasutusele esitamiseks karistusregistri väljavõte või sellega võrreldava välisriigi dokumendi esitamine, mis ei ole esitamisel vanem kui kuus kuud, mitme seadusjärgse või põhikirja kohase esindaja korral piisab esimeses lauses nimetatud dokumendi esitamisest nende esindajate kohta, kes vastutavad pakkumiste valiku või ülevaate kujundamise eest,</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teave tehnilise ja eeldatava kasutusulatuse kohta. See hõlmab eelkõige meediat käsileva riigilepingu § 78 teise lause ja käesoleva põhimääruse § 1 lõigete 4 kuni 6 ülevaatamiseks vajalikku teavet.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Kui meediaplatvormi või kasutajaliidese pakkuja alaline asukoht või registrijärgne asukoht ei ole Saksamaal, mõnes teises Euroopa Liidu liikmesriigis ega muus Euroopa Majanduspiirkonna lepingu </w:t>
      </w:r>
      <w:r>
        <w:rPr>
          <w:rFonts w:asciiTheme="minorHAnsi" w:hAnsiTheme="minorHAnsi"/>
          <w:sz w:val="22"/>
          <w:szCs w:val="22"/>
        </w:rPr>
        <w:lastRenderedPageBreak/>
        <w:t xml:space="preserve">osalisriigis, peab ta nimetama meediat käsitleva riigilepingu § 79 lõike 1 teise lause alusel volitatud esindaja, esitades dokumendi vastavalt lõike 2 punktile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Pädev meediaametiasutus võib nõuda ka teate hindamiseks vajalike täiendavate dokumentide ja teabe esitamist.</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Signaali terviklikkus, ülekatted ja skaleerimine</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1) Tehnilise muudatusega meediat käsitleva riigilepingu § 80 lõike 1 punkti 1 tähenduses on tegemist ka juhul, kui meediaplatvormi pakkujad ei edasta tehniliselt pakutavaid HübriidTV signaale.</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szCs w:val="22"/>
        </w:rPr>
        <w:t xml:space="preserve">2) Akustilisi või visuaalseid ülekatteid, mis tekivad vahetult pärast kasutaja valikut ja enne ringhäälinguprogrammide algust (eelrull), loetakse samaväärseks meediat käsitleva riigilepingu § 80 lõike 1 punktis 2 osutatud ülekattega.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Meediat käsitleva riigilepingu § 80 lõike 2 teises ja kolmandas lauses viidatud üksikjuhtumi esilekutsumine toimub kasutaja üheselt mõistetava toimingu abil, millega vabatahtlikult teatatakse konkreetse kasutusolukorra jaoks ja üheselt, et kasutaja soovib käivitada ülekatte või skaleerimise. </w:t>
      </w:r>
      <w:r>
        <w:rPr>
          <w:rFonts w:asciiTheme="minorHAnsi" w:hAnsiTheme="minorHAnsi"/>
          <w:sz w:val="22"/>
          <w:szCs w:val="22"/>
          <w:vertAlign w:val="superscript"/>
        </w:rPr>
        <w:t>2</w:t>
      </w:r>
      <w:r>
        <w:rPr>
          <w:rFonts w:asciiTheme="minorHAnsi" w:hAnsiTheme="minorHAnsi"/>
          <w:sz w:val="22"/>
          <w:szCs w:val="22"/>
        </w:rPr>
        <w:t>Seda eriti juhul, kui kasutaja kasutab hajutamise või skaleerimise käivitamiseks asjakohaselt tähistatud visuaalseid või akustilisi juhtelemente.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2. jagu: Hõivatuse nõuded</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Hõivatuse nõuded infrastruktuuriga seotud meediaplatvormidele</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Pakkumiste asjakohane kaalumine meediat käsitleva riigilepingu § 81 lõike 2 lõike 1 punkti 1 alapunktide b ja c ning § 81 lõike 3 punkti 1 punkti 1 alapunkti b kohaselt nõuab:</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tõendeid selle kohta, esimese lause punkti 1 kohane hõivatusvõime ei ole piisav levitamiskohustuste täielikuks täitmiseks meediat käsitleva riigilepingu § 81 lõike 2 esimese lause punkti 1 ning samuti § 81 lõige 3 esimese lause punkti 1 kohaselt,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erinevates standardites levitatavaid programmide loendamist ainult üks kord,</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meediat käsitleva riigilepingu § 81 lõike 2 esimese lause punkti 1 ja § 81 lõike 3 esimese lause punkti 1 kohaste programmide, mis ei ole vastava leviala jaoks õiguslikult kindlaks määratud, levitamist pakkumistele allutatult § 81 lõike 2 esimese lause punkti 1 alapunktide b ja c ning § 81 lõike 3 esimese lause punkti 1 alapunkti b kohaselt,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pakkumiste mitte täielikku mahasurumist meediat käsitleva riigilepingu § 81 lõike 2 esimese lause punkti 1 alapunktide b ja c ning § 81 lõike 3 esimese lause punkti 1 alapunkti b kohaselt.</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lastRenderedPageBreak/>
        <w:t>3. jagu:</w:t>
      </w:r>
      <w:r>
        <w:rPr>
          <w:rFonts w:asciiTheme="minorHAnsi" w:hAnsiTheme="minorHAnsi"/>
          <w:b/>
          <w:sz w:val="22"/>
          <w:szCs w:val="22"/>
        </w:rPr>
        <w:t xml:space="preserve"> Meediaplatvormidele juurdepääsu tingimused</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Võrdsed võimalused</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Meediaplatvormide pakkujad peavad pakkuma juurdepääsu oma meediaplatvormidele viisil, mis ei takista meediat käsitleva riigilepingu § 82 lõike 2 kohaldamisalasse kuuluvate pakkumiste avaldamist ega turustamist ei otseselt ega kaudselt.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Takistuse ebavõrdsust tuleb kindlaks teha pärast asjaosaliste huvide hoolikat kaalumist ning meediat käsitleva riigilepingu ja käesoleva põhimääruse eesmärkide arvestamist, mille eesmärk on kaitsta arvamuste ja pakkumiste mitmekesisust.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3) Põhjendamatu takistus on olemas eelkõige siis, kui meediaplatvormid ei paku tehniliselt võimaliku ja majanduslikult mõistliku raames reaalset juurdepääsu võimalust või kui juurdepääsutingimused toovad meediat käsitleva riigilepingu § 82 lõike 2 kohaselt kaasa pakkumiste struktuurilise halvemasse olukorda panemise.</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Mittediskrimineerimine</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Meediaplatvormide pakkujad ei tohi ilma objektiivselt põhjendatud põhjuseta käsitleda meediat käsitleva riigilepingu § 82 lõike 2 raames tehtud pakkumisi erinevalt kui teisi sarnaseid pakkumisi. </w:t>
      </w:r>
      <w:r>
        <w:rPr>
          <w:rFonts w:asciiTheme="minorHAnsi" w:hAnsiTheme="minorHAnsi"/>
          <w:sz w:val="22"/>
          <w:szCs w:val="22"/>
          <w:vertAlign w:val="superscript"/>
        </w:rPr>
        <w:t>2</w:t>
      </w:r>
      <w:r>
        <w:rPr>
          <w:rFonts w:asciiTheme="minorHAnsi" w:hAnsiTheme="minorHAnsi"/>
          <w:sz w:val="22"/>
          <w:szCs w:val="22"/>
        </w:rPr>
        <w:t xml:space="preserve">Seda eriti juhul, kui meediaplatvormi pakkuja pakub juurdepääsu meediaplatvormide pakkumisele vastavalt meediat käsitleva riigilepingu § 82 lõikele 2 erinevatel juurdepääsutingimustel kui meediaplatvormi pakkujale omistatavale ettevõttele, välja arvatud juhul, kui selleks on objektiivselt põhjendatud põhjus. </w:t>
      </w:r>
      <w:r>
        <w:rPr>
          <w:rFonts w:asciiTheme="minorHAnsi" w:hAnsiTheme="minorHAnsi"/>
          <w:sz w:val="22"/>
          <w:szCs w:val="22"/>
          <w:vertAlign w:val="superscript"/>
        </w:rPr>
        <w:t>3</w:t>
      </w:r>
      <w:r>
        <w:rPr>
          <w:rFonts w:asciiTheme="minorHAnsi" w:hAnsiTheme="minorHAnsi"/>
          <w:sz w:val="22"/>
          <w:szCs w:val="22"/>
        </w:rPr>
        <w:t>Arvesse tuleb võtta ettevõtteid, kellega meediaplatvormide pakkujad on osaluse kaudu või muul viisil otseselt või kaudselt seotud. Meediat käsitleva riigilepingu § 62 tuleb kohaldada vastavalt.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Ebaõiglase kohtlemise objektiivselt põhjendatud põhjus peab kehtima, pidades silmas arvamuste mitmekesisuse tagamise peamist eesmärki.</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Tingimusliku juurdepääsu süsteemid</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Tingimusliku juurdepääsu süsteem on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mis tahes tehniline meede,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mis tahes autentimissüsteem ja/või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mis tahes seade,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mis muudab krüpteerimata kujul juurdepääsu kaitstud raadio- või televisiooniteenusele sõltuvaks tellimusest või muul viisil eelnevast individuaalsest loast.</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2) Tingimusliku juurdepääsu süsteemide puhul meediat käsitleva riigilepingu § 82 lõike 2 punkti 1 tähenduses peavad kõik õigustatud isikud saama kasutada nende süsteemide kasutamiseks vajalikke </w:t>
      </w:r>
      <w:r>
        <w:rPr>
          <w:rFonts w:asciiTheme="minorHAnsi" w:hAnsiTheme="minorHAnsi"/>
          <w:sz w:val="22"/>
          <w:szCs w:val="22"/>
        </w:rPr>
        <w:lastRenderedPageBreak/>
        <w:t>tehnilisi teenuseid ning selleks on vajalik neile esitada teave tingimuste kohta, mis põhinevad võrdsetel võimalustel, on asjakohased ja mittediskrimineerivad.</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Juurdepääsutingimused</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Juurdepääsutingimuste struktuur meediat käsitleva riigilepingu § 82 lõike 2 punkti 4 ja § 83 lõike 2 tähenduses hõlmab eelkõige viisi, kuidas meediaplatvormide pakkuja määrab finants- ja tehniliste kirjelduste abil juurdepääsu meediaplatvormile meediat käsitleva riigilepingu § 82 lõikes 2 osutatud pakkumisega.</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Kui ringhäälinguorganisatsioon taotleb juurdepääsu meediaplatvormile, tuleb mittediskrimineerimise ja võrdsete võimaluste uurimisel arvesse võtta kõiki rahalise väärtusega teenuseid, mida vahetatakse või kavatsetakse vahetatakse juurdepääsuga otseses või kaudses materiaalses seoses. See hõlmab eelkõige järgmist:</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tasud ja tariifid, mille meediaplatvormi pakkuja kogub või soovib koguda juurdepääsu taotlevatelt ringhäälinguorganisatsioonidelt,</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hüvitis, mida meediaplatvormi pakkuja maksab või peaks lepingujärgselt ringhäälinguorganisatsioonile signaali edastamise alusel maksma, sealhulgas HD-CPS-mudelite tagastus.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szCs w:val="22"/>
        </w:rPr>
        <w:t>3) Kui on vajalik juurdepääsu olukorra hindamiseks, võib nõutavasse üldhinnangusse lisada ka õiguste andmise ja tasustamise lepingud, mille meediaplatvormi pakkuja sõlmib või kavatseb ringhäälinguorganisatsiooniga sõlmida autoriõiguste või kaubamärkide alusel. Autoriõiguse seaduse, kollektiivsete õiguste haldamise seaduse ja konkurentsipiirangute vastase seaduse sätted ning nendega seotud kohustused jäävad muutmata.</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Avalikustamine</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Meediaplatvormide pakkujad on kohustatud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kui ületatakse meediat käsitleva riigilepingu § 78 nimetatud regulatiivsed künnised, avalikustama juurdepääsutingimused meediat käsitleva riigilepingu § 82 lõike 2 tähenduses ja vastavalt § 8 osutatule,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meediat käsitleva riigilepingu § 81 lõike 2 teise lause korral avalikustama teabe telesaadete või raadio digitaalseks levitamiseks kasutatava koguvõimsuse kohta</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taotluse korral pädevale liidumaa meediaametiasutusele.</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Avalikustamine peab toimuma asjakohaste dokumentide esitamise vormis.</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Avalikustatav teave peab eelkõige sisaldama teavet järgmiste punktide kohta:</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lõike 1 punkti 1 korral</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kõik tehnilised parameetrid ja tehnilised raamtingimused, mille teadmine on vajalik juurdepääsu hindamiseks meediat käsitleva riigilepingu § 82 lõike 2 punktide 1 ja 2 kohaselt,</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meediaplatvormide pakkujate nõutavad tasud ja tariifid, sealhulgas nende arvutamise aluseks olevad andmed ja eeldused äritegevuse kohta,</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lastRenderedPageBreak/>
        <w:t>kasutatud hüvitussüsteemi kirjeldus,</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lõike 1 punkti 2 korral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teave selle kohta, milliseid võimalusi kasutati võimsuste tõhusaks kasutamiseks,</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kas ja millistes erinevates levitamisstandardites programmi levitatakse.</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4. jagu:</w:t>
      </w:r>
      <w:r>
        <w:rPr>
          <w:rFonts w:asciiTheme="minorHAnsi" w:hAnsiTheme="minorHAnsi"/>
          <w:b/>
          <w:sz w:val="22"/>
          <w:szCs w:val="22"/>
        </w:rPr>
        <w:t xml:space="preserve"> Kasutajaliideste eeskirjad</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szCs w:val="22"/>
        </w:rPr>
        <w:t xml:space="preserve">§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Leitavus kasutajaliidestes</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Pakkumiste ja sisu leitavuse jaoks kasutajaliideses on määrav pakkumiste ja sisu sorteerimine, paigutamine ja esitamine ning muud tekstilised, visuaalsed ja akustilised esitamisvormid, mis hõlbustavad nende leidmist. </w:t>
      </w:r>
      <w:r>
        <w:rPr>
          <w:rFonts w:asciiTheme="minorHAnsi" w:hAnsiTheme="minorHAnsi"/>
          <w:sz w:val="22"/>
          <w:szCs w:val="22"/>
          <w:vertAlign w:val="superscript"/>
        </w:rPr>
        <w:t>2</w:t>
      </w:r>
      <w:r>
        <w:rPr>
          <w:rFonts w:asciiTheme="minorHAnsi" w:hAnsiTheme="minorHAnsi"/>
          <w:sz w:val="22"/>
          <w:szCs w:val="22"/>
        </w:rPr>
        <w:t xml:space="preserve">Pakkumised on nii üksikud raadiosaated, raadiosarnased telemeediumid, meediat käsitleva riigilepingu § 19 lõike 1 kohased telemeediad kui ka tarkvarapõhised rakendused, mida kasutatakse peamiselt eespool nimetatud pakkumiste täielikuks kontrollimiseks. </w:t>
      </w:r>
      <w:r>
        <w:rPr>
          <w:rFonts w:asciiTheme="minorHAnsi" w:hAnsiTheme="minorHAnsi"/>
          <w:sz w:val="22"/>
          <w:szCs w:val="22"/>
          <w:vertAlign w:val="superscript"/>
        </w:rPr>
        <w:t>3</w:t>
      </w:r>
      <w:r>
        <w:rPr>
          <w:rFonts w:asciiTheme="minorHAnsi" w:hAnsiTheme="minorHAnsi"/>
          <w:sz w:val="22"/>
          <w:szCs w:val="22"/>
        </w:rPr>
        <w:t>Sisu on piiritletav, eelkõige pakkumiste eraldi nimetatud või tajutavad osad, näiteks programmid.</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Kasutajaliideste leitavuse ja toimimise nõuete osas on järgmistes eeskirjades määravaks keskmise, tehniliste eriteadmisteta kasutaja arusaamisvõime.</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Sarnaseid pakkumisi või sisu peab olema võimalik leida võrdsetel võimalustel põhinevalt ja mittediskrimineerivalt. </w:t>
      </w:r>
      <w:r>
        <w:rPr>
          <w:rFonts w:asciiTheme="minorHAnsi" w:hAnsiTheme="minorHAnsi"/>
          <w:sz w:val="22"/>
          <w:szCs w:val="22"/>
          <w:vertAlign w:val="superscript"/>
        </w:rPr>
        <w:t>2</w:t>
      </w:r>
      <w:r>
        <w:rPr>
          <w:rFonts w:asciiTheme="minorHAnsi" w:hAnsiTheme="minorHAnsi"/>
          <w:sz w:val="22"/>
          <w:szCs w:val="22"/>
        </w:rPr>
        <w:t xml:space="preserve">Ebavõrdne kohtlemine on lubatud ainult siis, kui on olemas kontrollitav objektiivne põhjus, mis ei ole vastuolus mitmekesisuse tagamise eesmärgiga. </w:t>
      </w:r>
      <w:r>
        <w:rPr>
          <w:rFonts w:asciiTheme="minorHAnsi" w:hAnsiTheme="minorHAnsi"/>
          <w:sz w:val="22"/>
          <w:szCs w:val="22"/>
          <w:vertAlign w:val="superscript"/>
        </w:rPr>
        <w:t>3</w:t>
      </w:r>
      <w:r>
        <w:rPr>
          <w:rFonts w:asciiTheme="minorHAnsi" w:hAnsiTheme="minorHAnsi"/>
          <w:sz w:val="22"/>
          <w:szCs w:val="22"/>
        </w:rPr>
        <w:t>Pakkumiste ja sisu sorteerimise või korraldamise lubatavad kriteeriumid on eelkõige järgmised:</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tähestikuline järjestus,</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žanrid nagu teave, haridus, kultuur, piirkondlik või meelelahutus või</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kasutusulatus.</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Kriteeriumide edasiarendamise võimalus jääb muutmata. </w:t>
      </w:r>
      <w:r>
        <w:rPr>
          <w:rFonts w:asciiTheme="minorHAnsi" w:hAnsiTheme="minorHAnsi"/>
          <w:sz w:val="22"/>
          <w:szCs w:val="22"/>
          <w:vertAlign w:val="superscript"/>
        </w:rPr>
        <w:t>5</w:t>
      </w:r>
      <w:r>
        <w:rPr>
          <w:rFonts w:asciiTheme="minorHAnsi" w:hAnsiTheme="minorHAnsi"/>
          <w:sz w:val="22"/>
          <w:szCs w:val="22"/>
        </w:rPr>
        <w:t xml:space="preserve">Diskrimineerimisega on tegemist eelkõige siis, kui kasutajaliidese pakkuja kaldub kõrvale enda lubatud kriteeriumidest. </w:t>
      </w:r>
      <w:r>
        <w:rPr>
          <w:rFonts w:asciiTheme="minorHAnsi" w:hAnsiTheme="minorHAnsi"/>
          <w:sz w:val="22"/>
          <w:szCs w:val="22"/>
          <w:vertAlign w:val="superscript"/>
        </w:rPr>
        <w:t>6</w:t>
      </w:r>
      <w:r>
        <w:rPr>
          <w:rFonts w:asciiTheme="minorHAnsi" w:hAnsiTheme="minorHAnsi"/>
          <w:sz w:val="22"/>
          <w:szCs w:val="22"/>
        </w:rPr>
        <w:t xml:space="preserve">Pakkuja peab tagama liidumaa meediaametiasutustele kriteeriumide kontrollitavuse ja nendele vastavuse, eelkõige selgitama üksikasjalikult, milliseid kriteeriume kasutatakse ja milline teave võetakse aluseks. </w:t>
      </w:r>
      <w:r>
        <w:rPr>
          <w:rFonts w:asciiTheme="minorHAnsi" w:hAnsiTheme="minorHAnsi"/>
          <w:sz w:val="22"/>
          <w:szCs w:val="22"/>
          <w:vertAlign w:val="superscript"/>
        </w:rPr>
        <w:t>7</w:t>
      </w:r>
      <w:r>
        <w:rPr>
          <w:rFonts w:asciiTheme="minorHAnsi" w:hAnsiTheme="minorHAnsi"/>
          <w:sz w:val="22"/>
          <w:szCs w:val="22"/>
        </w:rPr>
        <w:t xml:space="preserve">Reeglina ei ole lubatud järgmine: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sorteerimine või korraldamine, mida mõjutab tasu või muu sarnane makse või</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kasutajaliidese pakkuja enda pakkumiste ja sisu eelistamine, välja arvatud juhul, kui selle kasutamise eest tasutakse.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Kasutajaliidesed peavad pakkuma võimalust otsida konkreetseid pakkumisi kõigist pakkumistest (otsingufunktsioon). </w:t>
      </w:r>
      <w:r>
        <w:rPr>
          <w:rFonts w:asciiTheme="minorHAnsi" w:hAnsiTheme="minorHAnsi"/>
          <w:sz w:val="22"/>
          <w:szCs w:val="22"/>
          <w:vertAlign w:val="superscript"/>
        </w:rPr>
        <w:t>2</w:t>
      </w:r>
      <w:r>
        <w:rPr>
          <w:rFonts w:asciiTheme="minorHAnsi" w:hAnsiTheme="minorHAnsi"/>
          <w:sz w:val="22"/>
          <w:szCs w:val="22"/>
        </w:rPr>
        <w:t xml:space="preserve">Otsingu tulemus, mis sisaldab otsinguprotsessi käigus tehtud otsingusoovitusi (nt automaatse täitmise funktsiooni), peab olema mittediskrimineeriv. </w:t>
      </w:r>
      <w:r>
        <w:rPr>
          <w:rFonts w:asciiTheme="minorHAnsi" w:hAnsiTheme="minorHAnsi"/>
          <w:sz w:val="22"/>
          <w:szCs w:val="22"/>
          <w:vertAlign w:val="superscript"/>
        </w:rPr>
        <w:t>3</w:t>
      </w:r>
      <w:r>
        <w:rPr>
          <w:rFonts w:asciiTheme="minorHAnsi" w:hAnsiTheme="minorHAnsi"/>
          <w:sz w:val="22"/>
          <w:szCs w:val="22"/>
        </w:rPr>
        <w:t>Lisaks võib kasutajaliides pakkuda ka sisu otsimise võimalust; lõike 3 esimest lauset kohaldatakse vastavalt.</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Pakkumisi peetakse kasutajaliidestest kergesti leitavateks, kui neid on lihtne ja kiire leida, näiteks seetõttu, et need on esiplaanil või esile tõstetud, näiteks eraldi nupu abil. </w:t>
      </w:r>
      <w:r>
        <w:rPr>
          <w:rFonts w:asciiTheme="minorHAnsi" w:hAnsiTheme="minorHAnsi"/>
          <w:sz w:val="22"/>
          <w:szCs w:val="22"/>
          <w:vertAlign w:val="superscript"/>
        </w:rPr>
        <w:t>2</w:t>
      </w:r>
      <w:r>
        <w:rPr>
          <w:rFonts w:asciiTheme="minorHAnsi" w:hAnsiTheme="minorHAnsi"/>
          <w:sz w:val="22"/>
          <w:szCs w:val="22"/>
        </w:rPr>
        <w:t xml:space="preserve">Üksikjuhtudel leitavuse tagamise viis sõltub nii kasutajaliidese tüübist, ulatusest ja ülesehitusest kui ka pakkumiste ja sisu konkreetsest illustreerimisest või muust esitlusest. </w:t>
      </w:r>
      <w:r>
        <w:rPr>
          <w:rFonts w:asciiTheme="minorHAnsi" w:hAnsiTheme="minorHAnsi"/>
          <w:sz w:val="22"/>
          <w:szCs w:val="22"/>
          <w:vertAlign w:val="superscript"/>
        </w:rPr>
        <w:t>3</w:t>
      </w:r>
      <w:r>
        <w:rPr>
          <w:rFonts w:asciiTheme="minorHAnsi" w:hAnsiTheme="minorHAnsi"/>
          <w:sz w:val="22"/>
          <w:szCs w:val="22"/>
        </w:rPr>
        <w:t>Reeglina on asjakohaste pakkumiste kergeks leidmiseks vajalik, kuid mitte piisav, et neid saaks leida sama kergesti ja kiiresti kui ülejäänud pakkumisi.</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Kasutajaliidestest peab olema lihtne leida järgmist:</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esimesel valimistasandil ringhääling tervikuna, tingimusel et sellel tasemel saab valida mitte ainult ringhäälinguprogramme,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ringhäälingus seaduslikult kindlaks määratud osamaksudega rahastatavad programmid, ringhäälinguprogrammid, aknaprogrammid (meediat käsitleva riigilepingu § 59 lõige 4) ja eraprogrammid, mis annavad erilise panuse riigis arvamuste ja pakkumiste mitmekesisusse ja</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valikutasanditel, mis esitavad ainult või valdavalt ringhäälingutaolist telemeediat või tarkvarapõhiseid rakendusi, mis toimivad nende otseseks juhtimiseks, telemeedia pakkumisi ja tarkvarapõhiseid rakendusi meediat käsitleva riigilepingu § 84 lõike 4 kohaselt.</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Esimesel valimistasandil peab olema võimalik ringhäälingusse tervikuna jõuda ilma oluliste vaheastmeteta, üldiselt ainult ühe toimingu abil. </w:t>
      </w:r>
      <w:r>
        <w:rPr>
          <w:rFonts w:asciiTheme="minorHAnsi" w:hAnsiTheme="minorHAnsi"/>
          <w:sz w:val="22"/>
          <w:szCs w:val="22"/>
          <w:vertAlign w:val="superscript"/>
        </w:rPr>
        <w:t>3</w:t>
      </w:r>
      <w:r>
        <w:rPr>
          <w:rFonts w:asciiTheme="minorHAnsi" w:hAnsiTheme="minorHAnsi"/>
          <w:sz w:val="22"/>
          <w:szCs w:val="22"/>
        </w:rPr>
        <w:t>Kui kuvatakse või edastatakse akustiliselt ringhäälinguprogramme, mis peavad aknaprogramme salvestama (§ 59 lõige 4), tuleb kuvada aknaprogrammidega lubatud või seaduslikult kindlaksmääratud piirkonnas aknaprogrammidega põhiprogramme enne ilma aknaprogrammita eetris olevat põhiprogrammi ja aknaprogrammide, millel on tegevusluba teiste piirkondade jaoks või mis on neile määratud.</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Sõltumata vaikeseadetest peab kasutajal olema võimalik pakkumisi ja sisu lihtsalt ja kiiresti sorteerida ning korraldada (nt lemmikute loendi abil). </w:t>
      </w:r>
      <w:r>
        <w:rPr>
          <w:rFonts w:asciiTheme="minorHAnsi" w:hAnsiTheme="minorHAnsi"/>
          <w:sz w:val="22"/>
          <w:szCs w:val="22"/>
          <w:vertAlign w:val="superscript"/>
        </w:rPr>
        <w:t>2</w:t>
      </w:r>
      <w:r>
        <w:rPr>
          <w:rFonts w:asciiTheme="minorHAnsi" w:hAnsiTheme="minorHAnsi"/>
          <w:sz w:val="22"/>
          <w:szCs w:val="22"/>
        </w:rPr>
        <w:t xml:space="preserve">Reeglina saab pakkumisi või sisu lihtsalt ja kiiresti sorteerida või korraldada, kui see on ilmne või seda selgitatakse kergesti arusaadavalt. </w:t>
      </w:r>
      <w:r>
        <w:rPr>
          <w:rFonts w:asciiTheme="minorHAnsi" w:hAnsiTheme="minorHAnsi"/>
          <w:sz w:val="22"/>
          <w:szCs w:val="22"/>
          <w:vertAlign w:val="superscript"/>
        </w:rPr>
        <w:t>3</w:t>
      </w:r>
      <w:r>
        <w:rPr>
          <w:rFonts w:asciiTheme="minorHAnsi" w:hAnsiTheme="minorHAnsi"/>
          <w:sz w:val="22"/>
          <w:szCs w:val="22"/>
        </w:rPr>
        <w:t>Kasutaja tehtud sorteerimist või korraldust võib muuta ainult tema ise ja eelkõige ei tohi saada seda värskendustega muuta.</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Lõike 4 kuni 7 ei kohaldata, kui kasutajaliidese pakkuja tõendab, et rakendamine on tehniliselt võimatu või võimalik ainult ebaproportsionaalsete kulutustega. </w:t>
      </w:r>
      <w:r>
        <w:rPr>
          <w:rFonts w:asciiTheme="minorHAnsi" w:hAnsiTheme="minorHAnsi"/>
          <w:sz w:val="22"/>
          <w:szCs w:val="22"/>
          <w:vertAlign w:val="superscript"/>
        </w:rPr>
        <w:t>2</w:t>
      </w:r>
      <w:r>
        <w:rPr>
          <w:rFonts w:asciiTheme="minorHAnsi" w:hAnsiTheme="minorHAnsi"/>
          <w:sz w:val="22"/>
          <w:szCs w:val="22"/>
        </w:rPr>
        <w:t>Ebaproportsionaalsete kulutuste hindamise jaoks on määrav üldhinnang, milles võetakse arvesse eelkõige teenuseosutaja finantssuutlikkust, kasutajaliidese muude leitavusfunktsioonide jaoks vajalikke kulutusi ning rakendamata jätmise korral toime pandud rikkumise tüüpi ja ulatust. Kulutusi peetakse ebaproportsionaalseteks ainult suure ebaproportsionaalsuse korral.</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5. jagu: Läbipaistvusnõuded</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Läbipaistvus</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Meediaplatvormide ja kasutajaliideste pakkujad peavad muutma teabe meediat käsitleva riigilepingu § 85 tähenduses läbipaistvaks. </w:t>
      </w:r>
      <w:r>
        <w:rPr>
          <w:rFonts w:asciiTheme="minorHAnsi" w:hAnsiTheme="minorHAnsi"/>
          <w:sz w:val="22"/>
          <w:szCs w:val="22"/>
          <w:vertAlign w:val="superscript"/>
        </w:rPr>
        <w:t>2</w:t>
      </w:r>
      <w:r>
        <w:rPr>
          <w:rFonts w:asciiTheme="minorHAnsi" w:hAnsiTheme="minorHAnsi"/>
          <w:sz w:val="22"/>
          <w:szCs w:val="22"/>
        </w:rPr>
        <w:t>Teave tuleb esitada saksa keeles selliselt, et see oleks kasutajale kergesti tajutav, koheselt juurdepääsetav ja püsivalt kättesaadav.</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Läbipaistvusnõuete rakendamise nõuete puhul on määravaks keskmise tehniliste eriteadmistega kasutaja arusaamisvõime.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Teavet peetakse hõlpsasti tajutavaks, kui see on meediaplatvormi või kasutajaliidese kasutamisel kergesti ja kiiresti leitav, kuna see on näiteks esile tõstetud ja tähistatud üheselt mõistetava terminiga. </w:t>
      </w:r>
      <w:r>
        <w:rPr>
          <w:rFonts w:asciiTheme="minorHAnsi" w:hAnsiTheme="minorHAnsi"/>
          <w:sz w:val="22"/>
          <w:szCs w:val="22"/>
          <w:vertAlign w:val="superscript"/>
        </w:rPr>
        <w:t>2</w:t>
      </w:r>
      <w:r>
        <w:rPr>
          <w:rFonts w:asciiTheme="minorHAnsi" w:hAnsiTheme="minorHAnsi"/>
          <w:sz w:val="22"/>
          <w:szCs w:val="22"/>
        </w:rPr>
        <w:t xml:space="preserve">Konkreetne kujundus kergesti tajutavuse tagamiseks tuleb teha pidades silmas teenuse liiki, ulatust ja muud kujundust. </w:t>
      </w:r>
      <w:r>
        <w:rPr>
          <w:rFonts w:asciiTheme="minorHAnsi" w:hAnsiTheme="minorHAnsi"/>
          <w:sz w:val="22"/>
          <w:szCs w:val="22"/>
          <w:vertAlign w:val="superscript"/>
        </w:rPr>
        <w:t>3</w:t>
      </w:r>
      <w:r>
        <w:rPr>
          <w:rFonts w:asciiTheme="minorHAnsi" w:hAnsiTheme="minorHAnsi"/>
          <w:sz w:val="22"/>
          <w:szCs w:val="22"/>
        </w:rPr>
        <w:t>Kui teenust kasutatakse valdavalt hääljuhtimisega, peab kasutaja taotlusel teave olema akustiliselt taasesitatav, seejuures piisab akustilisest viitest teabe asukoha kohta.</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Teavet peetakse koheselt juurdepääsetavaks, kui see tehakse kättesaadavaks selliselt, et sellele saab juurde pääseda meediaplatvormil või kasutajaliideses ilma oluliste vaheastmeteta. </w:t>
      </w:r>
      <w:r>
        <w:rPr>
          <w:rFonts w:asciiTheme="minorHAnsi" w:hAnsiTheme="minorHAnsi"/>
          <w:sz w:val="22"/>
          <w:szCs w:val="22"/>
          <w:vertAlign w:val="superscript"/>
        </w:rPr>
        <w:t>2</w:t>
      </w:r>
      <w:r>
        <w:rPr>
          <w:rFonts w:asciiTheme="minorHAnsi" w:hAnsiTheme="minorHAnsi"/>
          <w:sz w:val="22"/>
          <w:szCs w:val="22"/>
        </w:rPr>
        <w:t>Kui teenust kasutatakse interneti kaudu, võib seda teha ka linkimisega.</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Teavet loetakse püsivalt kättesaadavaks, kui see tehakse kättesaadavaks alaliselt ja tähtajatult.</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6. jagu: Menetlussätted</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Heakskiidu ja järelevalve komisjon (ZAK)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Heakskiidu ja järelevalve komisjon on vastutava liidumaa meediaametiasutuse organ, kes täidab käesoleva põhimääruse raames täidetavaid ülesandeid (meediat käsitleva riigilepingu § 104 lõike 2 esimese lause punkt 1, § 105 lõike 1 esimese lause punktid 8 ja 9 koostoimes heakskiidu ja järelevalve komisjoni protseduurireeglitega - GVO ZAK).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Meediat käsitleva riigilepingu § 81 lõike 5 punkt 3 koostoimes § 105 lõike 2 esimese või teise lausega jääb muutmata.</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Pädev liidumaa meediaametiasutus edastab § 2 kohased teated ja § 14 kohased kaebused ühiskontori kaudu viivitamata heakskiidu ja järelevalve komisjonile ja oma kohustusi täites teavitab neid uuringutest. </w:t>
      </w:r>
      <w:r>
        <w:rPr>
          <w:rFonts w:asciiTheme="minorHAnsi" w:hAnsiTheme="minorHAnsi"/>
          <w:sz w:val="22"/>
          <w:szCs w:val="22"/>
          <w:vertAlign w:val="superscript"/>
        </w:rPr>
        <w:t>2</w:t>
      </w:r>
      <w:r>
        <w:rPr>
          <w:rFonts w:asciiTheme="minorHAnsi" w:hAnsiTheme="minorHAnsi"/>
          <w:sz w:val="22"/>
          <w:szCs w:val="22"/>
        </w:rPr>
        <w:t xml:space="preserve">Pädev liidumaa meediaametiasutus viib menetlust läbi kuni otsuse tegemiseni.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Menetlus</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Pädev liidumaa meediaametiasutus kontrollib heakskiidu ja järelevalve komisjoni kaudu õigustatud isiku kaebuse alusel artikli 14 kohaselt või oma kohustusi täites, kas meediaplatvormi või kasutajaliidese pakkuja järgib meediat käsitleva riigilepingu § 79 kuni § 85 või § 2 kuni 6 ja käesoleva põhimääruse § 10 ja § 11 sätteid.</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Kui rikkumise kohta on konkreetseid viiteid, on meediaplatvormi või kasutajaliidese pakkuja kohustatud viivitamata esitama vajalikud andmed ja dokumendid kontrollimiseks pädevale liidumaa meediaametiasutusele.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Kui vastutav liidumaa meediaasutus tuvastab heakskiidu ja järelevalve komisjoni kaudu rikkumise lõike 1 kohaselt, võib ta anda meediaplatvormi või kasutajaliidese pakkujale võimaluse parandusi teha, määrates selleks mõistliku tähtaja. </w:t>
      </w:r>
      <w:r>
        <w:rPr>
          <w:rFonts w:asciiTheme="minorHAnsi" w:hAnsiTheme="minorHAnsi"/>
          <w:sz w:val="22"/>
          <w:szCs w:val="22"/>
          <w:vertAlign w:val="superscript"/>
        </w:rPr>
        <w:t>2</w:t>
      </w:r>
      <w:r>
        <w:rPr>
          <w:rFonts w:asciiTheme="minorHAnsi" w:hAnsiTheme="minorHAnsi"/>
          <w:sz w:val="22"/>
          <w:szCs w:val="22"/>
        </w:rPr>
        <w:t>Kui seaduslikud nõuded ei ole pärast seda endiselt täidetud, võtab pädev liidumaa meediaametiasutus heakskiidu ja järelevalve komisjoni otsuse ja meediat käsitleva riigilepingu § 81 lõike 5 lõike kolmanda lause korral GVK otsuse alusel meediat käsitleva riigilepingu § 109 lõikes 1 nõutavad meetmed.</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szCs w:val="22"/>
        </w:rPr>
        <w:t>Kaebus</w:t>
      </w:r>
      <w:r>
        <w:rPr>
          <w:rFonts w:asciiTheme="minorHAnsi" w:hAnsiTheme="minorHAnsi"/>
          <w:b/>
          <w:bCs/>
          <w:sz w:val="22"/>
          <w:szCs w:val="22"/>
        </w:rPr>
        <w:t xml:space="preserve"> järelevalve raames</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Kaebuse esitamise õigus on meediat käsitleva riigilepingu § 19 lõike 1 kohaselt ringhäälingu, ringhäälingutaolist telemeedia või telemeedia pakkujal, kui</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neid levitatakse meediaplatvormil või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nad taotlevad juurdepääsu meediaplatvormile, et pakkuda või turustada ringhäälingut, ringhäälingutaolist telemeediat või telemeediat ringhäälingut käsitleva riigilepingu § 19 lõike 1 kohaselt või</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neid mõjutab kasutajaliideste kuvamine meediat käsitleva riigilepingu § 2 lõike 2 punkti 15 tähenduses.</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Kostjad võivad olla meediaplatvormide pakkujad vastavalt meediat käsitleva riigilepingu § 2 lõike 2 punktile 19 ja kasutajaliideste pakkujad vastavalt meediat käsitleva riigilepingu § 2 lõike 2 punktile 20.</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Isikud, kellel on õigus esitada kaebus lõike 1 kohaselt, võivad esitada kaebuse kirjalikult pädevale liidumaa meediaametiasutusele, märkides konkreetsed viited meediat käsitleva riigilepingu § 80 kuni § 84 või käesoleva põhimääruse § 3 kuni § 6 ja § 10 sätete rikkumise olemasolu kohta ning selgitades kaebuse aluseks olevaid asjaolusid.</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Kaebuse esitamisel peavad õigustatud isikud selgitama ja tõendama usaldusväärselt, et nad on teinud koostööd meediaplatvormi või kasutajaliidese pakkujaga vaidlusaluse olukorra selgitamiseks.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Pädev liidumaa meediaametiasutus võib kõigepealt proovida leida asjaosaliste vahel sobivat lahendust. </w:t>
      </w:r>
      <w:r>
        <w:rPr>
          <w:rFonts w:asciiTheme="minorHAnsi" w:hAnsiTheme="minorHAnsi"/>
          <w:sz w:val="22"/>
          <w:szCs w:val="22"/>
          <w:vertAlign w:val="superscript"/>
        </w:rPr>
        <w:t>2</w:t>
      </w:r>
      <w:r>
        <w:rPr>
          <w:rFonts w:asciiTheme="minorHAnsi" w:hAnsiTheme="minorHAnsi"/>
          <w:sz w:val="22"/>
          <w:szCs w:val="22"/>
        </w:rPr>
        <w:t>Meediat käsitleva riigilepingu § 83 lõikes 3 nimetatud juhtudel peab pädev liidumaa meediaametiasutus enne apellatsioonimenetlust läbi viima lepitusmenetluse.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Mis puudutab tingimusliku juurdepääsu süsteeme ja rakendusprogrammide liideseid, edastab pädev liidumaa meediaametiasutus riiklikule võrguagentuurile, kes menetluse läbi viib, riikliku võrguagentuuriga kokku lepitud menetluse raames (menetluse kirjeldus seisuga 20.4.2010) kaebuse.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Kaebus tuleb esitada liidumaa meediaametiasutusele, kelle juures on meediaplatvorm või kasutajaliides registreeritud. </w:t>
      </w:r>
      <w:r>
        <w:rPr>
          <w:rFonts w:asciiTheme="minorHAnsi" w:hAnsiTheme="minorHAnsi"/>
          <w:sz w:val="22"/>
          <w:szCs w:val="22"/>
          <w:vertAlign w:val="superscript"/>
        </w:rPr>
        <w:t>2</w:t>
      </w:r>
      <w:r>
        <w:rPr>
          <w:rFonts w:asciiTheme="minorHAnsi" w:hAnsiTheme="minorHAnsi"/>
          <w:sz w:val="22"/>
          <w:szCs w:val="22"/>
        </w:rPr>
        <w:t>Kui kaebuse esitamise ajal ei ole meediaplatvorm või kasutajaliides registreeritud, kohaldatakse üleriigiliste pakkumiste suhtest kehtestatud vastavalt meediat käsitleva riigilepingu § 106 lõiget 1.</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Kinnitustõendi väljastamine meediat käsitleva riigilepingu § 87 kohaselt</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Kui meediat käsitleva riigilepingu § 87 esimese lause kohaselt esitatakse kinnitustõendi taotlus, teavitab pädev liidumaa meediaametiasutus pakkujaid menetluse algatamisest pakkumiste kohta, mis on privilegeeritud meediat käsitleva riigilepingu § 84 lõike 3 teise lause ja lõike 4 kohaselt. </w:t>
      </w:r>
      <w:r>
        <w:rPr>
          <w:rFonts w:asciiTheme="minorHAnsi" w:hAnsiTheme="minorHAnsi"/>
          <w:sz w:val="22"/>
          <w:szCs w:val="22"/>
          <w:vertAlign w:val="superscript"/>
        </w:rPr>
        <w:t>2</w:t>
      </w:r>
      <w:r>
        <w:rPr>
          <w:rFonts w:asciiTheme="minorHAnsi" w:hAnsiTheme="minorHAnsi"/>
          <w:sz w:val="22"/>
          <w:szCs w:val="22"/>
        </w:rPr>
        <w:t>Teavet võib edastada elektrooniliselt.</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Pädev liidumaa meediaametiasutus edastab taotluse ühiskontori kaudu heakskiidu ja järelevalve komisjonile. Pädev liidumaa meediaametiasutus viib menetlust läbi kuni otsuse tegemiseni.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Kinnitustõendi kehtivuse ajal peab meediaplatvormi või kasutajaliidese pakkuja teavitama pädevat liidumaa meediaametiasutust kõigist meediaplatvormil või kasutajaliideses tehtavatest olulistest muudatustest. </w:t>
      </w:r>
      <w:r>
        <w:rPr>
          <w:rFonts w:asciiTheme="minorHAnsi" w:hAnsiTheme="minorHAnsi"/>
          <w:sz w:val="22"/>
          <w:szCs w:val="22"/>
          <w:vertAlign w:val="superscript"/>
        </w:rPr>
        <w:t>2</w:t>
      </w:r>
      <w:r>
        <w:rPr>
          <w:rFonts w:asciiTheme="minorHAnsi" w:hAnsiTheme="minorHAnsi"/>
          <w:sz w:val="22"/>
          <w:szCs w:val="22"/>
        </w:rPr>
        <w:t>Pädev liidumaa meediaametiasutus kontrollib oma kohustusi täites, kas kinnitustõendi nõuded on endiselt täidetud.</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7. jagu: Lõppsätted</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Juurdepääsetavus</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szCs w:val="22"/>
        </w:rPr>
        <w:t>Kasutajaliideste pakkujad ja meediumiplatvormide pakkujad peavad oma tehniliste ja rahaliste võimaluste piires toetama takistusteta juurdepääsu televisiooniprogrammidele ja televisioonitaolistele telemeediatele (meediat käsitleva riigilepingu § 21).</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Jõustumine, kehtivuse lõppemine</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Käesolev põhimäärus jõustub 15. aprillil 2021. aastal. </w:t>
      </w:r>
      <w:r>
        <w:rPr>
          <w:rFonts w:asciiTheme="minorHAnsi" w:hAnsiTheme="minorHAnsi"/>
          <w:sz w:val="22"/>
          <w:szCs w:val="22"/>
          <w:vertAlign w:val="superscript"/>
        </w:rPr>
        <w:t>2</w:t>
      </w:r>
      <w:r>
        <w:rPr>
          <w:rFonts w:asciiTheme="minorHAnsi" w:hAnsiTheme="minorHAnsi"/>
          <w:sz w:val="22"/>
          <w:szCs w:val="22"/>
        </w:rPr>
        <w:t xml:space="preserve">Liidumaade meediaametiasutuste direktorite konverentsi esimees avaldab veebilehel katusbrändi „die medienanstalten“ all, kas kõik liidumaade meediaametiasutused on selleks ajaks välja andnud ja avaldanud kooskõlalised põhimäärused. </w:t>
      </w:r>
      <w:r>
        <w:rPr>
          <w:rFonts w:asciiTheme="minorHAnsi" w:hAnsiTheme="minorHAnsi"/>
          <w:sz w:val="22"/>
          <w:szCs w:val="22"/>
          <w:vertAlign w:val="superscript"/>
        </w:rPr>
        <w:t>3</w:t>
      </w:r>
      <w:r>
        <w:rPr>
          <w:rFonts w:asciiTheme="minorHAnsi" w:hAnsiTheme="minorHAnsi"/>
          <w:sz w:val="22"/>
          <w:szCs w:val="22"/>
        </w:rPr>
        <w:t>Erandina esimesest lausest jõustuvad käesoleva põhimääruse § 10 lõiked 5 kuni 7 1. septembril 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Samal ajal kaotab kehtivuse digitaalsetele teenustele juurdepääsu vabaduse ja platvormi reguleerimise põhimäärus 14. detsembri 2016. aasta ringhäälingut käsitleva riigilepingu § 53 kohaselt.</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D4280E">
          <w:rPr>
            <w:rFonts w:asciiTheme="minorHAnsi" w:hAnsiTheme="minorHAnsi" w:cstheme="minorHAnsi"/>
            <w:noProof/>
            <w:sz w:val="22"/>
          </w:rPr>
          <w:t>10</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Teavitatud kooskõlas Euroopa Parlamendi ja nõukogu 9. septembri 2015. aasta direktiiviga (EL) 2015/1535, millega nähakse ette tehnilistest eeskirjadest ning infoühiskonna teenuste eeskirjadest teatamise kord (ELT L 241, 17.9.2015, lk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29" w:rsidRDefault="00FA085F">
    <w:pPr>
      <w:pStyle w:val="Header"/>
    </w:pPr>
    <w:r>
      <w:rPr>
        <w:noProof/>
        <w:lang w:val="en-US" w:eastAsia="en-US"/>
      </w:rP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die medienanstalten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sz w:val="32"/>
                        <w:rFonts w:asciiTheme="minorHAnsi" w:hAnsiTheme="minorHAnsi" w:cstheme="minorHAnsi"/>
                      </w:rPr>
                    </w:pPr>
                    <w:r>
                      <w:rPr>
                        <w:sz w:val="32"/>
                        <w:rFonts w:asciiTheme="minorHAnsi" w:hAnsiTheme="minorHAnsi"/>
                      </w:rPr>
                      <w:t xml:space="preserve">die medienanstalten</w:t>
                    </w:r>
                  </w:p>
                </w:txbxContent>
              </v:textbox>
            </v:shape>
          </w:pict>
        </mc:Fallback>
      </mc:AlternateContent>
    </w:r>
    <w:r>
      <w:rPr>
        <w:noProof/>
        <w:lang w:val="en-US" w:eastAsia="en-US"/>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4280E"/>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et-EE"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E9C8-73F1-4647-8B5F-09E52CF8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3693</Words>
  <Characters>21052</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METNIECE, Lasma</cp:lastModifiedBy>
  <cp:revision>6</cp:revision>
  <cp:lastPrinted>2014-01-13T11:15:00Z</cp:lastPrinted>
  <dcterms:created xsi:type="dcterms:W3CDTF">2020-12-17T11:14:00Z</dcterms:created>
  <dcterms:modified xsi:type="dcterms:W3CDTF">2020-12-30T11:06:00Z</dcterms:modified>
</cp:coreProperties>
</file>