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3574F8" w:rsidRDefault="003574F8" w:rsidP="003574F8">
      <w:pPr>
        <w:jc w:val="center"/>
        <w:rPr>
          <w:rFonts w:ascii="Courier New" w:hAnsi="Courier New"/>
          <w:sz w:val="20"/>
        </w:rPr>
      </w:pPr>
      <w:r>
        <w:rPr>
          <w:rFonts w:ascii="Courier New" w:hAnsi="Courier New"/>
          <w:sz w:val="20"/>
        </w:rPr>
        <w:t>1. ------IND- 2020 0813</w:t>
      </w:r>
      <w:bookmarkStart w:id="0" w:name="_GoBack"/>
      <w:bookmarkEnd w:id="0"/>
      <w:r>
        <w:rPr>
          <w:rFonts w:ascii="Courier New" w:hAnsi="Courier New"/>
          <w:sz w:val="20"/>
        </w:rPr>
        <w:t xml:space="preserve"> D-- HR-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Izdanje: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Statut</w:t>
      </w:r>
      <w:r>
        <w:rPr>
          <w:rFonts w:asciiTheme="minorHAnsi" w:hAnsiTheme="minorHAnsi"/>
          <w:b/>
          <w:bCs/>
          <w:sz w:val="22"/>
          <w:szCs w:val="22"/>
        </w:rPr>
        <w:t xml:space="preserve"> kojim se utvrđuju odredbe Ugovora o međudržavnim medijima o medijskim platformama i korisničkim sučeljima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(Statut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od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Calibri" w:hAnsi="Calibri"/>
          <w:sz w:val="22"/>
          <w:szCs w:val="22"/>
        </w:rPr>
        <w:t>Na temelju članka 84. stavaka 8. i članka 88</w:t>
      </w:r>
      <w:r w:rsidR="006F4150">
        <w:rPr>
          <w:rFonts w:ascii="Calibri" w:hAnsi="Calibri"/>
          <w:bCs/>
          <w:sz w:val="22"/>
          <w:szCs w:val="22"/>
        </w:rPr>
        <w:t xml:space="preserve"> </w:t>
      </w:r>
      <w:r>
        <w:rPr>
          <w:rFonts w:ascii="Calibri" w:hAnsi="Calibri"/>
          <w:sz w:val="22"/>
          <w:szCs w:val="22"/>
        </w:rPr>
        <w:t xml:space="preserve">Ugovora o medijima (MStV) od 14. do 28. travnja 2020. (... upućivanje), [naziv medijskog tijela savezne države], u </w:t>
      </w:r>
      <w:r>
        <w:rPr>
          <w:rFonts w:ascii="Calibri" w:hAnsi="Calibri"/>
          <w:bCs/>
          <w:sz w:val="22"/>
          <w:szCs w:val="22"/>
        </w:rPr>
        <w:t>dogovoru s drugim medijskim tijelom savezne države, donosi sljedeći Statut: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Odjeljak 1.: Opći propisi</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Članak 1.</w:t>
      </w:r>
      <w:r>
        <w:rPr>
          <w:rFonts w:ascii="Calibri" w:hAnsi="Calibri"/>
          <w:b/>
          <w:sz w:val="22"/>
          <w:szCs w:val="22"/>
        </w:rPr>
        <w:br/>
        <w:t>Svrha, Područje primjene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U skladu s člankom 84. stavkom 8. i člankom 88. MStV-a, ovim se Statutom utvrđuju detaljna pravila o materijalnim i postupovnim specifikacijama zakonskih odredaba V. odjeljka 2. pododjeljka MStV-a o medijskim platformama i korisničkim sučeljima (članci 78. do 88. MStV-a). </w:t>
      </w:r>
      <w:r>
        <w:rPr>
          <w:rFonts w:asciiTheme="minorHAnsi" w:hAnsiTheme="minorHAnsi"/>
          <w:bCs/>
          <w:sz w:val="22"/>
          <w:szCs w:val="22"/>
          <w:vertAlign w:val="superscript"/>
        </w:rPr>
        <w:t>2</w:t>
      </w:r>
      <w:r>
        <w:rPr>
          <w:rFonts w:asciiTheme="minorHAnsi" w:hAnsiTheme="minorHAnsi"/>
          <w:bCs/>
          <w:sz w:val="22"/>
          <w:szCs w:val="22"/>
        </w:rPr>
        <w:t xml:space="preserve">Svrha mu je osigurati pozitivnu raznolikost mišljenja (raznolikost ponude i dobavljača).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Odredbe ovog Statuta primjenjuju se na medijske platforme i korisnička sučelja. </w:t>
      </w:r>
      <w:r>
        <w:rPr>
          <w:rFonts w:asciiTheme="minorHAnsi" w:hAnsiTheme="minorHAnsi"/>
          <w:sz w:val="22"/>
          <w:szCs w:val="22"/>
          <w:vertAlign w:val="superscript"/>
        </w:rPr>
        <w:t>2</w:t>
      </w:r>
      <w:r>
        <w:rPr>
          <w:rFonts w:asciiTheme="minorHAnsi" w:hAnsiTheme="minorHAnsi"/>
          <w:sz w:val="22"/>
          <w:szCs w:val="22"/>
        </w:rPr>
        <w:t xml:space="preserve">Uz iznimku članaka 1., 2., 3. i 12. i daljnjih članaka ovog Statuta, one se ne primjenjuju na medijske platforme i korisnička sučelja, koja su od male važnosti za raznolikost ponuda i mišljenja. </w:t>
      </w:r>
      <w:r>
        <w:rPr>
          <w:rFonts w:asciiTheme="minorHAnsi" w:hAnsiTheme="minorHAnsi"/>
          <w:sz w:val="22"/>
          <w:szCs w:val="22"/>
          <w:vertAlign w:val="superscript"/>
        </w:rPr>
        <w:t>3</w:t>
      </w:r>
      <w:r>
        <w:rPr>
          <w:rFonts w:asciiTheme="minorHAnsi" w:hAnsiTheme="minorHAnsi"/>
          <w:sz w:val="22"/>
          <w:szCs w:val="22"/>
        </w:rPr>
        <w:t>To je obično slučaj ako medijska platforma ili korisničko sučelje padne ispod pragova utvrđenih u članku 78. rečenici 2. točkama 1. i 2. MStV-a.</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Infrastruktura je povezana s medijskim platformama na kojima pružatelj medijske platforme također kontrolira infrastrukturu za prijenos od ulazne točke do priključne točke mreže. </w:t>
      </w:r>
      <w:r>
        <w:rPr>
          <w:rFonts w:asciiTheme="minorHAnsi" w:hAnsiTheme="minorHAnsi"/>
          <w:sz w:val="22"/>
          <w:szCs w:val="22"/>
          <w:vertAlign w:val="superscript"/>
        </w:rPr>
        <w:t>2</w:t>
      </w:r>
      <w:r>
        <w:rPr>
          <w:rFonts w:asciiTheme="minorHAnsi" w:hAnsiTheme="minorHAnsi"/>
          <w:sz w:val="22"/>
          <w:szCs w:val="22"/>
        </w:rPr>
        <w:t>Kontrola se može temeljiti i na ugovoru između pružatelja i vlasnika prijenosne infrastrukture.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szCs w:val="22"/>
        </w:rPr>
        <w:t>(4) Identifikacija povezanih stambenih jedinica za medijske platforme na temelju kabelske mreže i njihovih korisničkih sučelja u skladu s člankom 78. rečenicom 2. točkom 1. MStV provodi se u skladu sa sljedećim odredbama:</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Sve mreže pružatelja </w:t>
      </w:r>
      <w:r>
        <w:rPr>
          <w:rFonts w:ascii="Calibri" w:hAnsi="Calibri"/>
          <w:sz w:val="22"/>
          <w:szCs w:val="22"/>
        </w:rPr>
        <w:t>medijske platforme</w:t>
      </w:r>
      <w:r>
        <w:rPr>
          <w:rFonts w:asciiTheme="minorHAnsi" w:hAnsiTheme="minorHAnsi"/>
          <w:sz w:val="22"/>
          <w:szCs w:val="22"/>
        </w:rPr>
        <w:t xml:space="preserve"> na temelju kabelske mreže koje se mogu pripisati toj mreži razmatraju se zajedno.</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Povezane stambene jedinice u smislu članka 78. druge rečenice točke 1. MStV-a su stambene jedinice u slučaju medijskih platformi koje se temelje na kabelskoj mreži ako postoji priključna točka fizičke mreže na kojoj se krajnjem korisniku pruža pristup kabelskoj mreži, pod uvjetom da je priključna točka mreže predmet sporazuma na temelju kojeg krajnji korisnik ima pravo koristiti radiodifuzijske programe.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lastRenderedPageBreak/>
        <w:t>(5) Sljedeće odredbe primjenjuju se na identifikaciju stvarnih dnevnih korisnika u smislu članka 78. stavka 2. točke 2. MStV-a:</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Stvarni svakodnevni korisnici medijske platforme ili sučelja koji se ne temelje na infrastrukturi korisnici su koji u roku od jednog dana posjećuju medijsku platformu ili sučelje. Broj poziva korisnika jednostavan je za računanje (jedinstveni korisnik).</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Važno je na prvoj razini odabrati medijsku platformu ili korisničko sučelje. S druge strane, ako je medijska platforma odvojiv dio mješovite ponude, mjerodavni su jedinstveni korisnički brojevi odvojive funkcije.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Ako poziv na emitiranje programa, telemedija sličnih radiju ili elektroničkih medija u smislu članka 19. stavka 1. MStV-a podliježe isključivo registraciji ili prijavi, izračun jedinstvenog korisnika temelji se na prvoj razini odabira koja se može postići nakon registracije ili prijave.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Ako nije moguće pružiti informacije o stvarnim dnevnim korisnicima, korisnička sučelja temelje se na broju prodanih uređaja.</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Za prethodno navedene izračune mjesečnog prosjeka primjenjuje se razdoblje od šest mjeseci.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Pružatelj mora dokazati da su ispunjeni uvjeti iz članka 78. rečenice 2. točaka 1. i 2. MStV-a.</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Obavijest</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Pružatelji koji žele ponuditi medijsku platformu ili korisničko sučelje moraju o tome obavijestiti nadležno medijsko tijelo savezne države najmanje mjesec dana prije početka rada. </w:t>
      </w:r>
      <w:r>
        <w:rPr>
          <w:rFonts w:asciiTheme="minorHAnsi" w:hAnsiTheme="minorHAnsi"/>
          <w:sz w:val="22"/>
          <w:szCs w:val="22"/>
          <w:vertAlign w:val="superscript"/>
        </w:rPr>
        <w:t>2</w:t>
      </w:r>
      <w:r>
        <w:rPr>
          <w:rFonts w:asciiTheme="minorHAnsi" w:hAnsiTheme="minorHAnsi"/>
          <w:sz w:val="22"/>
          <w:szCs w:val="22"/>
        </w:rPr>
        <w:t xml:space="preserve">Ako pružatelj nije odgovoran za stavljanje ponude u uporabu, obveza obavješćivanja iz 1. rečenice temelji se na vremenu stavljanja na tržište.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Obavijest posebno uključuje sljedeće informacije i dokumente: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Podnošenje ponude; To uključuje informacije o infrastrukturi medijske platforme ili o tome je li riječ o korisničkom sučelju infrastrukturne medijske platforme.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Naziv fizičke ili pravne osobe medijske platforme ili pružatelja korisničkog sučelja te mjesta boravišta ili registriranog sjedišta;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Predočenje zakonske potvrde o dobrom ponašanju za podnošenje javnom tijelu ili jednakovrijednog stranog dokumenta za osobu pružatelja medijske platforme ili korisničkog sučelja, odnosno osobe koja je pravno zastupa u skladu sa zakonom, koja u trenutku podnošenja nije starija od pola godine. U slučaju više osoba koje ga pravno zastupaju u skladu sa zakonom, podnošenje dokumenta u smislu rečenice 1. dovoljno je za one zastupnike koji su odgovorni za odabir ponuda ili oblikovanje pregleda;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Informacije o tehničkom i očekivanom rasponu upotrebe. To posebno uključuje informacije potrebne za preispitivanje članka 78. stavka 2. MStV-a i članka 1. stavaka 4. do 6. ovog Statuta.</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Ako pružatelj medijske platforme ili korisničkog sučelja nema boravište ili registrirano sjedište u Njemačkoj, bilo kojoj drugoj državi članici Europske unije ili drugoj državi koja je stranka Sporazuma o Europskom gospodarskom prostoru, mora u okviru obavijesti imenovati ovlaštenog zastupnika u skladu s člankom 79. stavkom 1. točkom 2. MStV-a podnošenjem dokumenta u skladu sa stavkom 2. točkom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Nadležno medijsko tijelo može zatražiti i podnošenje drugih dokumenata i informacija potrebnih za procjenu obavijesti.</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Cjelovitost signala, preklapanja i skaliranje signala</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Došlo je i do tehničke promjene u smislu članka 80. stavka 1. točke 1. MStV-a ako pružatelji medijskih platformi ne prenose tehnički osigurane signale HbbTV-a.</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(2) Preklapanje u smislu članka 80. stavka 1. točke 2. MStV-a jednako je zvučnim ili vizualnim prikazima koji se odvijaju neposredno nakon odabira korisnika i prije početka radiodifuzijskog programa (</w:t>
      </w:r>
      <w:r>
        <w:rPr>
          <w:rFonts w:asciiTheme="minorHAnsi" w:hAnsiTheme="minorHAnsi"/>
          <w:i/>
          <w:iCs/>
          <w:sz w:val="22"/>
          <w:szCs w:val="22"/>
        </w:rPr>
        <w:t>engl. Pre-Roll</w:t>
      </w:r>
      <w:r>
        <w:rPr>
          <w:rFonts w:asciiTheme="minorHAnsi" w:hAnsiTheme="minorHAnsi"/>
          <w:sz w:val="22"/>
          <w:szCs w:val="22"/>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Nalog u pojedinačnim slučajevima u smislu članka 80. stavka 2. rečenica 2. i 3. MStV-a provodi se jasnim djelovanjem korisnika kojim se dobrovoljno izražava, za konkretnu situaciju uporabe i nedvosmisleno, da korisnik namjerava pokrenuti preklapanje ili skaliranje signala. </w:t>
      </w:r>
      <w:r>
        <w:rPr>
          <w:rFonts w:asciiTheme="minorHAnsi" w:hAnsiTheme="minorHAnsi"/>
          <w:sz w:val="22"/>
          <w:szCs w:val="22"/>
          <w:vertAlign w:val="superscript"/>
        </w:rPr>
        <w:t>2</w:t>
      </w:r>
      <w:r>
        <w:rPr>
          <w:rFonts w:asciiTheme="minorHAnsi" w:hAnsiTheme="minorHAnsi"/>
          <w:sz w:val="22"/>
          <w:szCs w:val="22"/>
        </w:rPr>
        <w:t>To je posebno slučaj kada korisnik upotrebljava vizualne ili zvučne upravljačke mehanizme koji su odgovarajuće označeni za aktiviranje preklapanja ili skaliranja.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Odjeljak 2. Zahtjevi u pogledu zauzetosti</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Zahtjevi u pogledu zauzetosti za medijske platforme koje se temelje na infrastrukturi</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Primjereno razmatranje ponuda u skladu s člankom 81. stavkom 2. rečenicom 1. točkom 1. podtočkama (b) i (c) MStV-a i člankom 81. stavkom 3. rečenicom 1. točkom 1. podtočkom (b) MStV-a pretpostavlja sljedeće: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dokazano je da sposobnost zauzimanja u skladu s rečenicom 1. točkom 1. nije dovoljna za potpuno ispunjavanje obveza distribucije iz članka 81. stavka 2. rečenice 1. točke 1. MStV-a i članka 81. stavka 3. rečenice 1. točke 1. MStV-a;</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Programi koji se distribuiraju prema različitim standardima računaju se samo jednom;</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Programi u skladu s člankom 81. stavkom 2. rečenicom 1. točkom 1. MStV-a i člankom 81. stavkom 3. rečenicom 1. točkom 1. MStV, koji nisu zakonski namijenjeni za odgovarajuće područje distribucije, distribuiraju se na podređenoj osnovi ponudama u skladu s člankom 81. stavkom 2. rečenicom 1. točkom 1. podtočkom (b) MStV-a i člankom 81. stavkom 3. rečenicom 1. točkom 1. podtočkom (b) MStV-a;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Ponude u skladu s člankom 81. stavkom 2. rečenicom 1. točkom 1. podtočkama (b) i (c) MStV-a i člankom 81. stavkom 3. rečenicom 1. točkom 1. podtočkom (b) MStV-a nisu potpuno isključene.</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Odjeljak 3.</w:t>
      </w:r>
      <w:r>
        <w:rPr>
          <w:rFonts w:asciiTheme="minorHAnsi" w:hAnsiTheme="minorHAnsi"/>
          <w:b/>
          <w:sz w:val="22"/>
          <w:szCs w:val="22"/>
        </w:rPr>
        <w:t xml:space="preserve"> Uvjeti pristupa za medijske platforme</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Jednake mogućnosti</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Pružatelji medijskih platformi moraju ponuditi pristup svojim medijskim platformama tako da ponude iz članka 82. stavka 2. MStV-a nisu neopravdano spriječene, bilo izravno ili neizravno, u njihovoj distribuciji ili marketingu.</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Nepravednost prepreke treba utvrditi pažljivim odmjeravanjem interesa uključenih strana i uzimajući u obzir ciljeve MStV-a i ovih statuta usmjerenih na osiguravanje raznolikosti mišljenja i ponuda.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Nepravedna prepreka postoji posebice ako medijske platforme ne nude realnu mogućnost pristupa u okviru ograničenja tehnički i ekonomski izvedivog pristupa ili uvjeti pristupa dovode do strukturalnog nepovoljnog položaja ponuda u skladu s člankom 82. stavkom 2. MStV-a.</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Nediskriminacija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Pružatelji medijskih platformi ne smiju bez objektivnog opravdanja postupati s ponudama u skladu s člankom 82. stavkom 2. MStV-a drukčije nego sa sličnim ponudama. </w:t>
      </w:r>
      <w:r>
        <w:rPr>
          <w:rFonts w:asciiTheme="minorHAnsi" w:hAnsiTheme="minorHAnsi"/>
          <w:sz w:val="22"/>
          <w:szCs w:val="22"/>
          <w:vertAlign w:val="superscript"/>
        </w:rPr>
        <w:t>2</w:t>
      </w:r>
      <w:r>
        <w:rPr>
          <w:rFonts w:asciiTheme="minorHAnsi" w:hAnsiTheme="minorHAnsi"/>
          <w:sz w:val="22"/>
          <w:szCs w:val="22"/>
        </w:rPr>
        <w:t xml:space="preserve">To je osobito slučaj kada pružatelj medijske platforme nudi pristup medijskim platformama ponudi na temelju članka 82. stavka 2. MStV-a pod drukčijim uvjetima pristupa za poduzeće koji se mogu pripisati pružatelju medijske platforme, osim ako za to postoji objektivno opravdanje. </w:t>
      </w:r>
      <w:r>
        <w:rPr>
          <w:rFonts w:asciiTheme="minorHAnsi" w:hAnsiTheme="minorHAnsi"/>
          <w:sz w:val="22"/>
          <w:szCs w:val="22"/>
          <w:vertAlign w:val="superscript"/>
        </w:rPr>
        <w:t>3</w:t>
      </w:r>
      <w:r>
        <w:rPr>
          <w:rFonts w:asciiTheme="minorHAnsi" w:hAnsiTheme="minorHAnsi"/>
          <w:sz w:val="22"/>
          <w:szCs w:val="22"/>
        </w:rPr>
        <w:t>Poduzeća s kojima su pružatelji medijske platforme izravno ili neizravno povezani sudjelovanjem ili na neki drugi način. Članak 62. MStV-a primjenjuje se na odgovarajući način.</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Objektivni razlog za nejednako postupanje koji se može opravdati mora prevladavati prije glavnog cilja osiguravanja raznolikosti mišljenja.</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Sustavi uvjetovanog pristupa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Sustav uvjetovanog pristupa su: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sve tehničke mjere;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bilo koji sustav autentikacije; i/ili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bilo koji uređaj,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uvjetovanje pristupa zaštićenoj radijskoj ili televizijskoj usluzi u nekodiranom obliku uz pretplatu ili neki drugi oblik prethodnog pojedinačnog odobrenja.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U slučaju sustava uvjetovanog pristupa u smislu članka 82. stavka 2. točke 1. MStV-a, sve ovlaštene osobe moraju se moći koristiti potrebnim tehničkim uslugama za upotrebu tih sustava, a potrebne informacije moraju se pružiti pod jednakim, razumnim i nediskriminirajućim uvjetima.</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Uvjeti pristupa</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Definicija uvjeta pristupa u smislu članka 82. stavka 2. točke 4. i članka 83. stavka 2. MStV-a posebno uključuje način na koji pružatelj medijske platforme određuje medijsku platformu s pomoću financijskih i tehničkih odredbi o pristupu ponudi u smislu članka 82. stavka 2. MStV-a.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Ako televizijska kuća zatraži pristup medijskoj platformi, sve novčane koristi koje se razmjenjuju ili će se razmjenjivati​ u izravnoj ili neizravnoj materijalnoj vezi s pristupom trebaju se uključiti u ispitivanje nediskriminacije i jednakih mogućnosti. To posebno uključuje</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Naknade i tarife koje pružatelj medijske platforme naplaćuje ili ih namjerava naplatiti televizijskim kućama koje zatraže pristup;</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Naknada koju pružatelj medijske platforme plaća ili plaća prema ugovoru televizijskim kućama kao rezultat pružanja signala, uključujući povrate u modelima HD-CPS-a.</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(3) Ako je potrebno ocijeniti stanje pristupa, sporazumi o dodjeli i naknadi prava koje je pružatelj medijske platforme sklopio ili namjerava sklopiti s televizijskom kućom na temelju autorskog prava ili prava žiga također mogu biti uključeni u ukupnu potrebnu ocjenu. Odredbe UrhG-a, UrhWahrG-a i GWB-a, kao i povezane nadležnosti, ostaju nepromijenjene.</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Članak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Javno objavljivanje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Pružatelji medijskih platformi obvezni su: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prekoračenje regulatornih pragova utvrđenih u članku 78. MStV-a za uvjete pristupa u smislu članka 82. stavka 2. MStV-a i članka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u slučaju članka 81. stavka 2. MStV-a, informacije o ukupnom kapacitetu dostupnom za digitalnu distribuciju televizijskih programa ili radija</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objaviti na zahtjev nadležnog medijskog tijela savezne države.</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Javno objavljivanje mora biti izvršeno podnošenjem odgovarajućih dokumenata.</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Otkrivanje mora sadržavati podatke o sljedećim točkama:</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U slučaju stavka 1. točke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sve tehničke parametre i tehničke uvjete za koje je potrebno znanje za procjenu pristupa u skladu s člankom 82. stavkom 2. točkama 1. i 2. MStV-a,</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naknade i tarife koje naplaćuju pružatelji medijskih platformi, zajedno s podacima i poslovnim pretpostavkama na kojima se temelji njihov izračun;</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opis primijenjenog sustava primitaka.</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U slučaju stavka 1. točke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Informacije o mogućnostima koje se koriste za učinkovito korištenje kapaciteta;</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informacija o tome distribuira li se program i u kojim se drugim normama za širenje rezultata distribuira.</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Odjeljak 4.</w:t>
      </w:r>
      <w:r>
        <w:rPr>
          <w:rFonts w:asciiTheme="minorHAnsi" w:hAnsiTheme="minorHAnsi"/>
          <w:b/>
          <w:sz w:val="22"/>
          <w:szCs w:val="22"/>
        </w:rPr>
        <w:t xml:space="preserve"> Mehanizmi korisničkog sučelja</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Članak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Dostupnost u korisničkom sučelju</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Dostupnost, raspored i prezentacija ponuda i sadržaja, kao i drugi tekstualni, vizualni i akustični oblici predstavljanja koji služe za lakše pronalaženje presudni su za pronalaženje ponuda i sadržaja u korisničkim sučeljima. </w:t>
      </w:r>
      <w:r>
        <w:rPr>
          <w:rFonts w:asciiTheme="minorHAnsi" w:hAnsiTheme="minorHAnsi"/>
          <w:sz w:val="22"/>
          <w:szCs w:val="22"/>
          <w:vertAlign w:val="superscript"/>
        </w:rPr>
        <w:t>2</w:t>
      </w:r>
      <w:r>
        <w:rPr>
          <w:rFonts w:asciiTheme="minorHAnsi" w:hAnsiTheme="minorHAnsi"/>
          <w:sz w:val="22"/>
          <w:szCs w:val="22"/>
        </w:rPr>
        <w:t xml:space="preserve">Ponude su pojedinačni radijski programi, kao što su telemediji slični radiju, telemediji i telemediji u smislu članka 19. stavka 1. MStV-a, kao i softverske aplikacije koje su prvenstveno osmišljene za izravno upravljanje navedenim ponudama. </w:t>
      </w:r>
      <w:r>
        <w:rPr>
          <w:rFonts w:asciiTheme="minorHAnsi" w:hAnsiTheme="minorHAnsi"/>
          <w:sz w:val="22"/>
          <w:szCs w:val="22"/>
          <w:vertAlign w:val="superscript"/>
        </w:rPr>
        <w:t>3</w:t>
      </w:r>
      <w:r>
        <w:rPr>
          <w:rFonts w:asciiTheme="minorHAnsi" w:hAnsiTheme="minorHAnsi"/>
          <w:sz w:val="22"/>
          <w:szCs w:val="22"/>
        </w:rPr>
        <w:t>Sadržaj je definiran, zasebno identificirani ili uočljivi dijelovi ponuda, kao što su poštanske pošiljke.</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S obzirom na zahtjeve za dostupnost i rad korisničkih sučelja, sljedeća pravila određuju razumijevanje prosječnog korisnika koji nema specifično tehničko znanje.</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Slične ponude ili sadržaji moraju se moći pronaći na ravnopravnoj osnovi i na nediskriminirajući način. </w:t>
      </w:r>
      <w:r>
        <w:rPr>
          <w:rFonts w:asciiTheme="minorHAnsi" w:hAnsiTheme="minorHAnsi"/>
          <w:sz w:val="22"/>
          <w:szCs w:val="22"/>
          <w:vertAlign w:val="superscript"/>
        </w:rPr>
        <w:t>2</w:t>
      </w:r>
      <w:r>
        <w:rPr>
          <w:rFonts w:asciiTheme="minorHAnsi" w:hAnsiTheme="minorHAnsi"/>
          <w:sz w:val="22"/>
          <w:szCs w:val="22"/>
        </w:rPr>
        <w:t xml:space="preserve">Različito postupanje dopušteno je samo ako postoji objektivan razlog koji se može provjeriti i koji nije u suprotnosti s ciljem osiguravanja raznolikosti. </w:t>
      </w:r>
      <w:r>
        <w:rPr>
          <w:rFonts w:asciiTheme="minorHAnsi" w:hAnsiTheme="minorHAnsi"/>
          <w:sz w:val="22"/>
          <w:szCs w:val="22"/>
          <w:vertAlign w:val="superscript"/>
        </w:rPr>
        <w:t>3</w:t>
      </w:r>
      <w:r>
        <w:rPr>
          <w:rFonts w:asciiTheme="minorHAnsi" w:hAnsiTheme="minorHAnsi"/>
          <w:sz w:val="22"/>
          <w:szCs w:val="22"/>
        </w:rPr>
        <w:t>Prihvatljivi kriteriji za razvrstavanje ili dogovaranje ponuda i sadržaja su posebice sljedeći: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Abeceda,</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Žanrovi kao što su informacije, obrazovanje, kultura, regionalno područje ili zabava; ili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Širok raspon uporabe.</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Ne mijenja se mogućnost daljnjeg razvoja kriterija. </w:t>
      </w:r>
      <w:r>
        <w:rPr>
          <w:rFonts w:asciiTheme="minorHAnsi" w:hAnsiTheme="minorHAnsi"/>
          <w:sz w:val="22"/>
          <w:szCs w:val="22"/>
          <w:vertAlign w:val="superscript"/>
        </w:rPr>
        <w:t>5</w:t>
      </w:r>
      <w:r>
        <w:rPr>
          <w:rFonts w:asciiTheme="minorHAnsi" w:hAnsiTheme="minorHAnsi"/>
          <w:sz w:val="22"/>
          <w:szCs w:val="22"/>
        </w:rPr>
        <w:t xml:space="preserve">Diskriminacija posebice postoji kada pružatelj korisničkog sučelja odstupa od vlastitih dopuštenih kriterija. </w:t>
      </w:r>
      <w:r>
        <w:rPr>
          <w:rFonts w:asciiTheme="minorHAnsi" w:hAnsiTheme="minorHAnsi"/>
          <w:sz w:val="22"/>
          <w:szCs w:val="22"/>
          <w:vertAlign w:val="superscript"/>
        </w:rPr>
        <w:t>6</w:t>
      </w:r>
      <w:r>
        <w:rPr>
          <w:rFonts w:asciiTheme="minorHAnsi" w:hAnsiTheme="minorHAnsi"/>
          <w:sz w:val="22"/>
          <w:szCs w:val="22"/>
        </w:rPr>
        <w:t xml:space="preserve">Pružatelj mora osigurati medijskim tijelima savezne države da se kriteriji mogu provjeriti i da su u skladu s njima, posebno detaljno navodeći kriterije koji se koriste i koje se informacije upotrebljavaju u tu svrhu. </w:t>
      </w:r>
      <w:r>
        <w:rPr>
          <w:rFonts w:asciiTheme="minorHAnsi" w:hAnsiTheme="minorHAnsi"/>
          <w:sz w:val="22"/>
          <w:szCs w:val="22"/>
          <w:vertAlign w:val="superscript"/>
        </w:rPr>
        <w:t>7</w:t>
      </w:r>
      <w:r>
        <w:rPr>
          <w:rFonts w:asciiTheme="minorHAnsi" w:hAnsiTheme="minorHAnsi"/>
          <w:sz w:val="22"/>
          <w:szCs w:val="22"/>
        </w:rPr>
        <w:t xml:space="preserve">Općenito nije dopušteno sljedeće: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razvrstavanje ili poredak na koji utječe naknada ili slična naknada; ili</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davanjem prednosti vlastitim ponudama i sadržaju pružatelja korisničkog sučelja, osim ako se za upotrebu ne plaća naknada.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Korisnička sučelja moraju moći pretraživati sve ponude za posebne ponude (funkcija pretraživanja). </w:t>
      </w:r>
      <w:r>
        <w:rPr>
          <w:rFonts w:asciiTheme="minorHAnsi" w:hAnsiTheme="minorHAnsi"/>
          <w:sz w:val="22"/>
          <w:szCs w:val="22"/>
          <w:vertAlign w:val="superscript"/>
        </w:rPr>
        <w:t>2</w:t>
      </w:r>
      <w:r>
        <w:rPr>
          <w:rFonts w:asciiTheme="minorHAnsi" w:hAnsiTheme="minorHAnsi"/>
          <w:sz w:val="22"/>
          <w:szCs w:val="22"/>
        </w:rPr>
        <w:t xml:space="preserve">Rezultat pretraživanja, uključujući prijedloge dane tijekom postupka pretraživanja (na primjer, s pomoću funkcije automatskog nadopune), ne smije biti diskriminirajući. </w:t>
      </w:r>
      <w:r>
        <w:rPr>
          <w:rFonts w:asciiTheme="minorHAnsi" w:hAnsiTheme="minorHAnsi"/>
          <w:sz w:val="22"/>
          <w:szCs w:val="22"/>
          <w:vertAlign w:val="superscript"/>
        </w:rPr>
        <w:t>3</w:t>
      </w:r>
      <w:r>
        <w:rPr>
          <w:rFonts w:asciiTheme="minorHAnsi" w:hAnsiTheme="minorHAnsi"/>
          <w:sz w:val="22"/>
          <w:szCs w:val="22"/>
        </w:rPr>
        <w:t>Osim toga, korisničko sučelje također može imati mogućnost pretraživanja sadržaja; Stavak 3. rečenica 1. primjenjuje se na odgovarajući način.</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Ponude se lako mogu pronaći na korisničkim sučeljima ako ih je lako i brzo pronaći, primjerice zato što su unaprijed postavljene ili istaknute, na primjer, namjenskim gumbom. </w:t>
      </w:r>
      <w:r>
        <w:rPr>
          <w:rFonts w:asciiTheme="minorHAnsi" w:hAnsiTheme="minorHAnsi"/>
          <w:sz w:val="22"/>
          <w:szCs w:val="22"/>
          <w:vertAlign w:val="superscript"/>
        </w:rPr>
        <w:t>2</w:t>
      </w:r>
      <w:r>
        <w:rPr>
          <w:rFonts w:asciiTheme="minorHAnsi" w:hAnsiTheme="minorHAnsi"/>
          <w:sz w:val="22"/>
          <w:szCs w:val="22"/>
        </w:rPr>
        <w:t xml:space="preserve">Kako osigurati jednostavno pronalaženje u pojedinačnim slučajevima ovisi o prirodi, opsegu i dizajnu korisničkog sučelja, kao i o konkretnoj slici ili drugom prikazu ponuda i sadržaja. </w:t>
      </w:r>
      <w:r>
        <w:rPr>
          <w:rFonts w:asciiTheme="minorHAnsi" w:hAnsiTheme="minorHAnsi"/>
          <w:sz w:val="22"/>
          <w:szCs w:val="22"/>
          <w:vertAlign w:val="superscript"/>
        </w:rPr>
        <w:t>3</w:t>
      </w:r>
      <w:r>
        <w:rPr>
          <w:rFonts w:asciiTheme="minorHAnsi" w:hAnsiTheme="minorHAnsi"/>
          <w:sz w:val="22"/>
          <w:szCs w:val="22"/>
        </w:rPr>
        <w:t>U pravilu, da bi se odgovarajuće ponude lako pronašlo, potrebno je, ali ne i dovoljno da ih se može pronaći jednako lako i brzo kao i ostale ponude.</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U korisničkom sučelju mora se lako pronaći sljedeće: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Emitiranje u cijelosti na prvoj razini odabira, pod uvjetom da se na toj razini ne mogu odabrati samo programi emitiranja.</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u sektoru radiodifuzije, pravno definirane programe financirane doprinosima, radiodifuzijske programe koji moraju uključivati programske prozore (članak 59. stavak 4. MStV-a) i privatne programe koji posebno doprinose raznolikosti mišljenja i ponuda u Njemačkoj i</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na razinama odabira koje sadržavaju samo ili uglavnom telemedije slične radiju ili aplikacije koje se temelje na softveru koje ih izravno nadziru, usluge telemedija i softverske aplikacije u skladu s člankom 84. stavkom 4. MStV-a.</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Sustav radiodifuzije u cjelini mora biti ostvariv na prvoj razini odabira bez značajnih međukoraka, obično samo jednom radnjom. </w:t>
      </w:r>
      <w:r>
        <w:rPr>
          <w:rFonts w:asciiTheme="minorHAnsi" w:hAnsiTheme="minorHAnsi"/>
          <w:sz w:val="22"/>
          <w:szCs w:val="22"/>
          <w:vertAlign w:val="superscript"/>
        </w:rPr>
        <w:t>3</w:t>
      </w:r>
      <w:r>
        <w:rPr>
          <w:rFonts w:asciiTheme="minorHAnsi" w:hAnsiTheme="minorHAnsi"/>
          <w:sz w:val="22"/>
          <w:szCs w:val="22"/>
        </w:rPr>
        <w:t>Ako se prikazuju ili akustički prenose radijski programi koji moraju snimati programske prozore (članak 59. stavak 4.), na području za koje su programski prozori dopušteni ili zakonski određeni, glavni programi s programskim prozorima uspoređuju se s glavnim programom koji se emitira bez programskog prozora i uspoređuju s programskim prozorima koji su dopušteni za druga područja ili su propisani zakonom.</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Bez obzira na zadane postavke, korisnik mora moći lako i brzo razvrstati i naručiti ponude i sadržaj (na primjer, na temelju povoljnog popisa). </w:t>
      </w:r>
      <w:r>
        <w:rPr>
          <w:rFonts w:asciiTheme="minorHAnsi" w:hAnsiTheme="minorHAnsi"/>
          <w:sz w:val="22"/>
          <w:szCs w:val="22"/>
          <w:vertAlign w:val="superscript"/>
        </w:rPr>
        <w:t>2</w:t>
      </w:r>
      <w:r>
        <w:rPr>
          <w:rFonts w:asciiTheme="minorHAnsi" w:hAnsiTheme="minorHAnsi"/>
          <w:sz w:val="22"/>
          <w:szCs w:val="22"/>
        </w:rPr>
        <w:t xml:space="preserve">U pravilu, ponude ili sadržaji mogu se razvrstati ili lako i brzo rasporediti ako je to očito ili objašnjeno na lako razumljiv način. </w:t>
      </w:r>
      <w:r>
        <w:rPr>
          <w:rFonts w:asciiTheme="minorHAnsi" w:hAnsiTheme="minorHAnsi"/>
          <w:sz w:val="22"/>
          <w:szCs w:val="22"/>
          <w:vertAlign w:val="superscript"/>
        </w:rPr>
        <w:t>3</w:t>
      </w:r>
      <w:r>
        <w:rPr>
          <w:rFonts w:asciiTheme="minorHAnsi" w:hAnsiTheme="minorHAnsi"/>
          <w:sz w:val="22"/>
          <w:szCs w:val="22"/>
        </w:rPr>
        <w:t>Sortiranje ili organizaciju koju provodi korisnik može promijeniti samo korisnik, i nikako ne može biti promijenjena s pomoći ažuriranja.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Stavci od 4. do 7. ne primjenjuju se ako pružatelj korisničkog sučelja dokaže da je to tehnički nemoguće ili da se može provesti samo uz nerazmjeran trošak. </w:t>
      </w:r>
      <w:r>
        <w:rPr>
          <w:rFonts w:asciiTheme="minorHAnsi" w:hAnsiTheme="minorHAnsi"/>
          <w:sz w:val="22"/>
          <w:szCs w:val="22"/>
          <w:vertAlign w:val="superscript"/>
        </w:rPr>
        <w:t>2</w:t>
      </w:r>
      <w:r>
        <w:rPr>
          <w:rFonts w:asciiTheme="minorHAnsi" w:hAnsiTheme="minorHAnsi"/>
          <w:sz w:val="22"/>
          <w:szCs w:val="22"/>
        </w:rPr>
        <w:t>Utvrđivanje nerazmjernog troška temelji se na cjelokupnoj procjeni kojom se posebice uzima u obzir financijski položaj dobavljača, opterećenje drugih funkcija pronalaženja korisničkog sučelja te priroda i opseg povrede počinjene u slučaju neprovedbe. Trošak je neproporcionalan samo u slučaju ozbiljne neravnoteže.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Odjeljak 5. Zahtjev za transparentnost</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Transparentnost</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Pružatelji medijskih platformi i korisničkih sučelja moraju informacije učiniti transparentnima u smislu članka 85. MStV-a. </w:t>
      </w:r>
      <w:r>
        <w:rPr>
          <w:rFonts w:asciiTheme="minorHAnsi" w:hAnsiTheme="minorHAnsi"/>
          <w:sz w:val="22"/>
          <w:szCs w:val="22"/>
          <w:vertAlign w:val="superscript"/>
        </w:rPr>
        <w:t>2</w:t>
      </w:r>
      <w:r>
        <w:rPr>
          <w:rFonts w:asciiTheme="minorHAnsi" w:hAnsiTheme="minorHAnsi"/>
          <w:sz w:val="22"/>
          <w:szCs w:val="22"/>
        </w:rPr>
        <w:t>Informacije moraju biti dostupne na njemačkom jeziku tako da budu lako vidljive, izravno dostupne i stalno dostupne korisniku.</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U pogledu zahtjeva za provedbu zahtjeva transparentnosti važno je razumjeti prosječnog korisnika koji nema specifično tehničko znanje.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Informacije se lako mogu uočiti ako ih je jednostavno i brzo pronaći pri upotrebi medijske platforme ili korisničkog sučelja, primjerice zato što su istaknute i označene nedvosmislenim izrazom. </w:t>
      </w:r>
      <w:r>
        <w:rPr>
          <w:rFonts w:asciiTheme="minorHAnsi" w:hAnsiTheme="minorHAnsi"/>
          <w:sz w:val="22"/>
          <w:szCs w:val="22"/>
          <w:vertAlign w:val="superscript"/>
        </w:rPr>
        <w:t>2</w:t>
      </w:r>
      <w:r>
        <w:rPr>
          <w:rFonts w:asciiTheme="minorHAnsi" w:hAnsiTheme="minorHAnsi"/>
          <w:sz w:val="22"/>
          <w:szCs w:val="22"/>
        </w:rPr>
        <w:t xml:space="preserve">Praktična rješenja za osiguravanje vidljivosti moraju se provesti s obzirom na prirodu, opseg i drugi oblik usluge. </w:t>
      </w:r>
      <w:r>
        <w:rPr>
          <w:rFonts w:asciiTheme="minorHAnsi" w:hAnsiTheme="minorHAnsi"/>
          <w:sz w:val="22"/>
          <w:szCs w:val="22"/>
          <w:vertAlign w:val="superscript"/>
        </w:rPr>
        <w:t>3</w:t>
      </w:r>
      <w:r>
        <w:rPr>
          <w:rFonts w:asciiTheme="minorHAnsi" w:hAnsiTheme="minorHAnsi"/>
          <w:sz w:val="22"/>
          <w:szCs w:val="22"/>
        </w:rPr>
        <w:t>Ako se usluga uglavnom koristi na temelju jezika, informacije bi se trebale moći čuti i na zahtjev korisnika, uz zvučnu oznaku o tome gdje se informacije čuvaju.</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Informacije su izravno dostupne ako su stavljene na raspolaganje na način da su dostupne na medijskoj platformi ili korisničkom sučelju bez značajnih međukoraka. </w:t>
      </w:r>
      <w:r>
        <w:rPr>
          <w:rFonts w:asciiTheme="minorHAnsi" w:hAnsiTheme="minorHAnsi"/>
          <w:sz w:val="22"/>
          <w:szCs w:val="22"/>
          <w:vertAlign w:val="superscript"/>
        </w:rPr>
        <w:t>2</w:t>
      </w:r>
      <w:r>
        <w:rPr>
          <w:rFonts w:asciiTheme="minorHAnsi" w:hAnsiTheme="minorHAnsi"/>
          <w:sz w:val="22"/>
          <w:szCs w:val="22"/>
        </w:rPr>
        <w:t>Ako se usluga koristi putem interneta, to se može učiniti i povezivanjem.</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Informacije su trajno dostupne ako su trajno dostupne bez vremenskog ograničenja.</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Odjeljak 6. Postupovni uvjeti</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Komisija za odobravanje i nadzor</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Za zadaće koje se obavljaju u skladu s ovim Statutom Komisija za odobrenje i nadzor (ZAK) djeluje kao tijelo nadležnog medijskog tijela savezne države (članak 104. stavak 2. rečenica 1. točka 1., članak 105. stavak 1. rečenica 1., točke 8. i 9.) u vezi s poslovnikom ZAK-a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Članak 81. stavak 5. rečenica 3. u vezi s člankom 105. stavkom 2. rečenicom 1. točkom 2. MStV-a ostaje neizmijenjen.</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Nadležno medijsko tijelo savezne države odmah prosljeđuje obavijesti iz stavka 2. i pritužbe iz članka 14. putem zajedničkog tajništva ZAK-u i obavješćuje ga o inspekcijama po službenoj dužnosti. </w:t>
      </w:r>
      <w:r>
        <w:rPr>
          <w:rFonts w:asciiTheme="minorHAnsi" w:hAnsiTheme="minorHAnsi"/>
          <w:sz w:val="22"/>
          <w:szCs w:val="22"/>
          <w:vertAlign w:val="superscript"/>
        </w:rPr>
        <w:t>2</w:t>
      </w:r>
      <w:r>
        <w:rPr>
          <w:rFonts w:asciiTheme="minorHAnsi" w:hAnsiTheme="minorHAnsi"/>
          <w:sz w:val="22"/>
          <w:szCs w:val="22"/>
        </w:rPr>
        <w:t xml:space="preserve">Nadležno medijsko tijelo savezne države provodi postupak do donošenja odluke.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Postupak</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Nadležno medijsko tijelo savezne države na temelju prigovora korisnika iz članka 14. ili po službenoj dužnosti ispituje krši li pružatelj medijske platforme ili korisničkog sučelja odredbe članaka 79. do 85. MStV-a ili članaka 2. do 6. te 10. i 11. tog Statuta.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Ako postoje konkretni dokazi o povredi, pružatelj medijske platforme ili korisničkog sučelja dužan je nadležnom medijskom tijelu savezne države bez odgode dostaviti informacije i dokumente potrebne za provjeru.</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Ako nadležno medijsko tijelo savezne države utvrdi povredu koju je počinio ZAK u skladu sa stavkom 1., ono pružatelju medijske platforme ili korisničkog sučelja može pružiti mogućnost da to ispravi u razumnom roku. </w:t>
      </w:r>
      <w:r>
        <w:rPr>
          <w:rFonts w:asciiTheme="minorHAnsi" w:hAnsiTheme="minorHAnsi"/>
          <w:sz w:val="22"/>
          <w:szCs w:val="22"/>
          <w:vertAlign w:val="superscript"/>
        </w:rPr>
        <w:t>2</w:t>
      </w:r>
      <w:r>
        <w:rPr>
          <w:rFonts w:asciiTheme="minorHAnsi" w:hAnsiTheme="minorHAnsi"/>
          <w:sz w:val="22"/>
          <w:szCs w:val="22"/>
        </w:rPr>
        <w:t>Ako pravni zahtjevi još uvijek nisu ispunjeni, nadležno medijsko tijelo savezne države poduzima potrebne mjere u skladu s člankom 109. stavkom 1. MStV-a odlukom ZAK-a i, u slučaju članka 81. stavka 5. rečenice 3. MStV-a, odlukom GVK-a.</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Članak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b/>
          <w:sz w:val="22"/>
          <w:szCs w:val="22"/>
        </w:rPr>
        <w:t>Pritužba u okviru nadzora</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Stranke koje imaju pravo pritužbe jesu pružatelji radiodifuzijskog emitiranja, telemedija sličnih radiju ili telemedija u skladu s člankom 19. stavkom 1. MStV-a koji: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distribuiraju na medijskoj platformi; ili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zatražiti pristup medijskoj platformi radi ponude ili tržišta radiodifuzijskog emitiranja, telemedija sličnih radiju ili telemedija u skladu s člankom 19. stavkom 1. RStV-a, ili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na njih utječe prezentacija na korisničkim sučeljima u smislu članka 2. stavka 2. točke 15. MStV-a.</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Ispitanici mogu biti pružatelji medijskih platformi u skladu s člankom 2. stavkom 2. točkom 19. MStV-a i pružatelji korisničkih sučelja u skladu s člankom 2. stavkom 2. točkom 20. MStV-a.</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Osobe koje imaju pravo na žalbu u skladu sa stavkom 1. mogu podnijeti pritužbu nadležnom medijskom tijelu savezne države u pisanom obliku, navodeći konkretne naznake o postojanju povrede odredaba članaka 80. do 84. MStV-a ili članaka 3. do 6. i 10. tog Statuta te navodeći činjenice na kojima se temelji.</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Tijekom podnošenja pritužbe korisnici moraju podnijeti i dokazati da su radili na razjašnjavanju spornog stajališta s pružateljem medijske platforme ili korisničkog sučelja.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Nadležno medijsko tijelo savezne države prvo može pokušati pronaći odgovarajuće rješenje među uključenim stranama. </w:t>
      </w:r>
      <w:r>
        <w:rPr>
          <w:rFonts w:asciiTheme="minorHAnsi" w:hAnsiTheme="minorHAnsi"/>
          <w:sz w:val="22"/>
          <w:szCs w:val="22"/>
          <w:vertAlign w:val="superscript"/>
        </w:rPr>
        <w:t>2</w:t>
      </w:r>
      <w:r>
        <w:rPr>
          <w:rFonts w:asciiTheme="minorHAnsi" w:hAnsiTheme="minorHAnsi"/>
          <w:sz w:val="22"/>
          <w:szCs w:val="22"/>
        </w:rPr>
        <w:t>U slučajevima iz članka 83. stavka 3. MStV-a nadležno medijsko tijelo savezne države mora provesti mirenje prije žalbenog postupka.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Kad je riječ o sustavima uvjetovanog pristupa i sučeljima za aplikacijske programe, u okviru postupka dogovorenog sa Saveznom agencijom za mreže (BNetzA) (opis postupka od 20. travnja 2010.) nadležno medijsko tijelo savezne države prosljeđuje pritužbu BNetzA-i, koja je predmet postupka.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Pritužba se upućuje medijskom tijelu savezne države gdje se prikazuje medijska platforma ili korisničko sučelje. </w:t>
      </w:r>
      <w:r>
        <w:rPr>
          <w:rFonts w:asciiTheme="minorHAnsi" w:hAnsiTheme="minorHAnsi"/>
          <w:sz w:val="22"/>
          <w:szCs w:val="22"/>
          <w:vertAlign w:val="superscript"/>
        </w:rPr>
        <w:t>2</w:t>
      </w:r>
      <w:r>
        <w:rPr>
          <w:rFonts w:asciiTheme="minorHAnsi" w:hAnsiTheme="minorHAnsi"/>
          <w:sz w:val="22"/>
          <w:szCs w:val="22"/>
        </w:rPr>
        <w:t>Ako u trenutku podnošenja pritužbe nije bilo obavijesti, članak 106. stavak 1. MStV-a primjenjuje se na odgovarajući način na ponude koje su na nacionalnoj razini.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Izdavanje potvrde o neosporavanju u skladu s člankom 87. MStV-a</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Ako je podnesen zahtjev za izdavanje rješenja o sigurnosti u skladu s člankom 87. rečenicom 1. MStV-a, nadležna pokrajinska medijska ustanova obavješćuje pružatelje povlaštenih ponuda u skladu s člankom 84. stavkom 3. rečenicom 2. i 4. MStV-a da je postupak pokrenut. </w:t>
      </w:r>
      <w:r>
        <w:rPr>
          <w:rFonts w:asciiTheme="minorHAnsi" w:hAnsiTheme="minorHAnsi"/>
          <w:sz w:val="22"/>
          <w:szCs w:val="22"/>
          <w:vertAlign w:val="superscript"/>
        </w:rPr>
        <w:t>2</w:t>
      </w:r>
      <w:r>
        <w:rPr>
          <w:rFonts w:asciiTheme="minorHAnsi" w:hAnsiTheme="minorHAnsi"/>
          <w:sz w:val="22"/>
          <w:szCs w:val="22"/>
        </w:rPr>
        <w:t>Informacije se mogu pružiti elektroničkim putem.</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Nadležna državna medijska ustanova prosljeđuje zahtjev ZAK-u preko zajedničkog ureda. Nadležno medijsko tijelo savezne države provodi postupak do donošenja odluke.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Tijekom razdoblja valjanosti potvrde o provjeri, pružatelj medijske platforme ili korisničkog sučelja mora obavijestiti nadležno državno tijelo za medije o svim značajnim promjenama na medijskoj platformi ili korisničkom sučelju. </w:t>
      </w:r>
      <w:r>
        <w:rPr>
          <w:rFonts w:asciiTheme="minorHAnsi" w:hAnsiTheme="minorHAnsi"/>
          <w:sz w:val="22"/>
          <w:szCs w:val="22"/>
          <w:vertAlign w:val="superscript"/>
        </w:rPr>
        <w:t>2</w:t>
      </w:r>
      <w:r>
        <w:rPr>
          <w:rFonts w:asciiTheme="minorHAnsi" w:hAnsiTheme="minorHAnsi"/>
          <w:sz w:val="22"/>
          <w:szCs w:val="22"/>
        </w:rPr>
        <w:t>Nadležno medijsko tijelo savezne države po službenoj dužnosti provjerava jesu li i dalje ispunjeni zahtjevi iz rješenja o sigurnosti.</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Odjeljak 7. Završne odredbe</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Članak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Pristupačnost</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Pružatelji korisničkih sučelja i pružatelji medijskih platformi u okviru svojih tehničkih i financijskih mogućnosti podupiru dostupnost televizijskih programa i televizije kao što su telemediji slični televiziji (članak 21. MStV-a).</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Članak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Stupanje na snagu, stavljanje izvan snage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Ovaj Statut stupa na snagu 15. travnja 2021. </w:t>
      </w:r>
      <w:r>
        <w:rPr>
          <w:rFonts w:asciiTheme="minorHAnsi" w:hAnsiTheme="minorHAnsi"/>
          <w:sz w:val="22"/>
          <w:szCs w:val="22"/>
          <w:vertAlign w:val="superscript"/>
        </w:rPr>
        <w:t>2</w:t>
      </w:r>
      <w:r>
        <w:rPr>
          <w:rFonts w:asciiTheme="minorHAnsi" w:hAnsiTheme="minorHAnsi"/>
          <w:sz w:val="22"/>
          <w:szCs w:val="22"/>
        </w:rPr>
        <w:t xml:space="preserve">Predsjednik Konferencije direktora Medijskih tijela saveznih država na internetskoj stranici pod krovnim nazivom „medijska tijela” objavljuje jesu li sva medijska tijela saveznih država do tada donijela i objavila jednake Statute. </w:t>
      </w:r>
      <w:r>
        <w:rPr>
          <w:rFonts w:asciiTheme="minorHAnsi" w:hAnsiTheme="minorHAnsi"/>
          <w:sz w:val="22"/>
          <w:szCs w:val="22"/>
          <w:vertAlign w:val="superscript"/>
        </w:rPr>
        <w:t>3</w:t>
      </w:r>
      <w:r>
        <w:rPr>
          <w:rFonts w:asciiTheme="minorHAnsi" w:hAnsiTheme="minorHAnsi"/>
          <w:sz w:val="22"/>
          <w:szCs w:val="22"/>
        </w:rPr>
        <w:t>Odstupajući od rečenice 1., članak 10. stavci od 5. do 7. ovog Statuta stupaju na snagu 1. rujna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Istodobno, u skladu s člankom 53. Ugovora o međudržavnoj radiodifuziji od 14. prosinca 2016. prestaje važiti društveni ugovor o slobodi pristupa digitalnim uslugama i o uredbi o platformama.</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63D" w:rsidRDefault="00DC263D" w:rsidP="00986629">
      <w:r>
        <w:separator/>
      </w:r>
    </w:p>
  </w:endnote>
  <w:endnote w:type="continuationSeparator" w:id="0">
    <w:p w:rsidR="00DC263D" w:rsidRDefault="00DC263D"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DC263D">
          <w:rPr>
            <w:rFonts w:asciiTheme="minorHAnsi" w:hAnsiTheme="minorHAnsi" w:cstheme="minorHAnsi"/>
            <w:noProof/>
            <w:sz w:val="22"/>
          </w:rPr>
          <w:t>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63D" w:rsidRDefault="00DC263D" w:rsidP="00986629">
      <w:r>
        <w:separator/>
      </w:r>
    </w:p>
  </w:footnote>
  <w:footnote w:type="continuationSeparator" w:id="0">
    <w:p w:rsidR="00DC263D" w:rsidRDefault="00DC263D"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Priopćeno u skladu s Direktivom (EU) 2015/1535 Europskog parlamenta i Vijeća od 9. rujna 2015. o utvrđivanju postupka pružanja informacija u području tehničkih propisa i pravila o uslugama informacijskog društva (SL L 241 od 17. rujna 2015.,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zh-CN"/>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04CA"/>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6F4150"/>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DC263D"/>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hr-HR"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310E-3AAD-45C6-BA29-5578CD6E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3611</Words>
  <Characters>20584</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Liu, Lei</cp:lastModifiedBy>
  <cp:revision>7</cp:revision>
  <cp:lastPrinted>2014-01-13T11:15:00Z</cp:lastPrinted>
  <dcterms:created xsi:type="dcterms:W3CDTF">2020-12-17T11:14:00Z</dcterms:created>
  <dcterms:modified xsi:type="dcterms:W3CDTF">2021-01-04T01:44:00Z</dcterms:modified>
</cp:coreProperties>
</file>