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4F8" w:rsidRPr="003574F8" w:rsidRDefault="003574F8" w:rsidP="003574F8">
      <w:pPr>
        <w:jc w:val="center"/>
        <w:rPr>
          <w:rFonts w:ascii="Courier New" w:hAnsi="Courier New"/>
          <w:sz w:val="20"/>
        </w:rPr>
      </w:pPr>
      <w:r>
        <w:rPr>
          <w:rFonts w:ascii="Courier New" w:hAnsi="Courier New"/>
          <w:sz w:val="20"/>
        </w:rPr>
        <w:t>1. ------IND- 2020 0813 D-- RO- ------ 20201231 --- --- PRO</w:t>
      </w:r>
      <w:r w:rsidR="005074FB">
        <w:rPr>
          <w:rFonts w:ascii="Courier New" w:hAnsi="Courier New"/>
          <w:sz w:val="20"/>
        </w:rPr>
        <w:t>JE</w:t>
      </w:r>
      <w:bookmarkStart w:id="0" w:name="_GoBack"/>
      <w:bookmarkEnd w:id="0"/>
      <w:r>
        <w:rPr>
          <w:rFonts w:ascii="Courier New" w:hAnsi="Courier New"/>
          <w:sz w:val="20"/>
        </w:rPr>
        <w:t>T</w:t>
      </w:r>
    </w:p>
    <w:p w:rsidR="00A211F5" w:rsidRPr="003574F8" w:rsidRDefault="00A211F5" w:rsidP="00A211F5">
      <w:pPr>
        <w:spacing w:before="120" w:line="320" w:lineRule="exact"/>
        <w:rPr>
          <w:rFonts w:ascii="Verdana" w:hAnsi="Verdana"/>
          <w:sz w:val="16"/>
          <w:szCs w:val="16"/>
        </w:rPr>
      </w:pPr>
      <w:r>
        <w:rPr>
          <w:rFonts w:ascii="Verdana" w:hAnsi="Verdana"/>
          <w:sz w:val="16"/>
          <w:szCs w:val="16"/>
        </w:rPr>
        <w:t>Versiunea: 16.12.2020</w:t>
      </w:r>
    </w:p>
    <w:p w:rsidR="002C21BC" w:rsidRPr="00077B73" w:rsidRDefault="009C24A4">
      <w:pPr>
        <w:rPr>
          <w:rFonts w:ascii="Calibri" w:hAnsi="Calibri"/>
          <w:sz w:val="22"/>
          <w:szCs w:val="22"/>
        </w:rPr>
      </w:pPr>
      <w:r>
        <w:rPr>
          <w:rFonts w:ascii="Calibri" w:hAnsi="Calibri"/>
          <w:sz w:val="22"/>
          <w:szCs w:val="22"/>
        </w:rPr>
        <w:t>__________________________________________________________________________________</w:t>
      </w:r>
    </w:p>
    <w:p w:rsidR="009C24A4" w:rsidRPr="00077B73" w:rsidRDefault="009C24A4">
      <w:pPr>
        <w:autoSpaceDE w:val="0"/>
        <w:autoSpaceDN w:val="0"/>
        <w:adjustRightInd w:val="0"/>
        <w:jc w:val="center"/>
        <w:rPr>
          <w:rFonts w:ascii="Calibri" w:hAnsi="Calibri"/>
          <w:sz w:val="22"/>
          <w:szCs w:val="22"/>
        </w:rPr>
      </w:pPr>
    </w:p>
    <w:p w:rsidR="00485576" w:rsidRPr="00077B73" w:rsidRDefault="00F57DE5" w:rsidP="00485576">
      <w:pPr>
        <w:spacing w:line="276" w:lineRule="auto"/>
        <w:jc w:val="center"/>
        <w:rPr>
          <w:rFonts w:asciiTheme="minorHAnsi" w:eastAsia="Calibri" w:hAnsiTheme="minorHAnsi" w:cstheme="minorHAnsi"/>
          <w:b/>
          <w:bCs/>
          <w:sz w:val="22"/>
          <w:szCs w:val="22"/>
        </w:rPr>
      </w:pPr>
      <w:r>
        <w:rPr>
          <w:rFonts w:ascii="Calibri" w:hAnsi="Calibri"/>
          <w:b/>
          <w:sz w:val="22"/>
          <w:szCs w:val="22"/>
        </w:rPr>
        <w:t>Statut</w:t>
      </w:r>
      <w:r>
        <w:rPr>
          <w:rFonts w:asciiTheme="minorHAnsi" w:hAnsiTheme="minorHAnsi"/>
          <w:b/>
          <w:bCs/>
          <w:sz w:val="22"/>
          <w:szCs w:val="22"/>
        </w:rPr>
        <w:t xml:space="preserve"> privind concretizarea dispozițiilor tratatului de stat privind mediile de comunicare și platformele media și interfețele cu utilizatorul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57DE5" w:rsidRPr="00077B73" w:rsidRDefault="00F57DE5" w:rsidP="00485576">
      <w:pPr>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(Statut MB)</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485576" w:rsidRPr="00077B73" w:rsidRDefault="00485576" w:rsidP="00485576">
      <w:pPr>
        <w:spacing w:line="276" w:lineRule="auto"/>
        <w:jc w:val="center"/>
        <w:rPr>
          <w:rFonts w:ascii="Calibri" w:eastAsia="Calibri" w:hAnsi="Calibri"/>
          <w:b/>
          <w:sz w:val="22"/>
          <w:szCs w:val="22"/>
        </w:rPr>
      </w:pPr>
      <w:r>
        <w:rPr>
          <w:rFonts w:ascii="Calibri" w:hAnsi="Calibri"/>
          <w:b/>
          <w:sz w:val="22"/>
          <w:szCs w:val="22"/>
        </w:rPr>
        <w:t>din…</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71879" w:rsidRPr="00077B73" w:rsidRDefault="00F57DE5" w:rsidP="00F71879">
      <w:pPr>
        <w:spacing w:line="276" w:lineRule="auto"/>
        <w:rPr>
          <w:rFonts w:ascii="Calibri" w:eastAsia="Calibri" w:hAnsi="Calibri"/>
          <w:bCs/>
          <w:sz w:val="22"/>
          <w:szCs w:val="22"/>
        </w:rPr>
      </w:pPr>
      <w:r>
        <w:rPr>
          <w:rFonts w:asciiTheme="minorHAnsi" w:hAnsiTheme="minorHAnsi"/>
          <w:bCs/>
          <w:sz w:val="22"/>
          <w:szCs w:val="22"/>
        </w:rPr>
        <w:t xml:space="preserve">În temeiul articolelor 84 alineatul (8) și </w:t>
      </w:r>
      <w:r>
        <w:rPr>
          <w:rFonts w:ascii="Calibri" w:hAnsi="Calibri"/>
          <w:sz w:val="22"/>
          <w:szCs w:val="22"/>
        </w:rPr>
        <w:t>88</w:t>
      </w:r>
      <w:r>
        <w:rPr>
          <w:rFonts w:asciiTheme="minorHAnsi" w:hAnsiTheme="minorHAnsi"/>
          <w:bCs/>
          <w:sz w:val="22"/>
          <w:szCs w:val="22"/>
        </w:rPr>
        <w:t xml:space="preserve"> </w:t>
      </w:r>
      <w:r>
        <w:rPr>
          <w:rFonts w:ascii="Calibri" w:hAnsi="Calibri"/>
          <w:sz w:val="22"/>
          <w:szCs w:val="22"/>
        </w:rPr>
        <w:t>din Tratatul privind mediile de comunicare (</w:t>
      </w:r>
      <w:proofErr w:type="spellStart"/>
      <w:r>
        <w:rPr>
          <w:rFonts w:ascii="Calibri" w:hAnsi="Calibri"/>
          <w:sz w:val="22"/>
          <w:szCs w:val="22"/>
        </w:rPr>
        <w:t>MStV</w:t>
      </w:r>
      <w:proofErr w:type="spellEnd"/>
      <w:r>
        <w:rPr>
          <w:rFonts w:ascii="Calibri" w:hAnsi="Calibri"/>
          <w:sz w:val="22"/>
          <w:szCs w:val="22"/>
        </w:rPr>
        <w:t xml:space="preserve">) din 14-28 aprilie 2020 (… trimitere) [Numele autorității de stat pentru reglementarea mediilor de comunicare] emite </w:t>
      </w:r>
      <w:r>
        <w:rPr>
          <w:rFonts w:ascii="Calibri" w:hAnsi="Calibri"/>
          <w:bCs/>
          <w:sz w:val="22"/>
          <w:szCs w:val="22"/>
        </w:rPr>
        <w:t xml:space="preserve">de comun acord cu </w:t>
      </w:r>
      <w:r>
        <w:rPr>
          <w:rFonts w:ascii="Calibri" w:hAnsi="Calibri"/>
          <w:sz w:val="22"/>
          <w:szCs w:val="22"/>
        </w:rPr>
        <w:t xml:space="preserve"> restul autorităților de stat pentru mediile de comunicare </w:t>
      </w:r>
      <w:r>
        <w:rPr>
          <w:rFonts w:ascii="Calibri" w:hAnsi="Calibri"/>
          <w:bCs/>
          <w:sz w:val="22"/>
          <w:szCs w:val="22"/>
        </w:rPr>
        <w:t>următorul statut:</w:t>
      </w:r>
    </w:p>
    <w:p w:rsidR="00DB7447" w:rsidRPr="00077B73" w:rsidRDefault="00DB7447" w:rsidP="00F71879">
      <w:pPr>
        <w:spacing w:line="276" w:lineRule="auto"/>
        <w:rPr>
          <w:rFonts w:ascii="Calibri" w:eastAsia="Calibri" w:hAnsi="Calibri"/>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Secțiunea 1: Dispoziții generale</w:t>
      </w:r>
    </w:p>
    <w:p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Articolul 1</w:t>
      </w:r>
      <w:r>
        <w:rPr>
          <w:rFonts w:ascii="Calibri" w:hAnsi="Calibri"/>
          <w:b/>
          <w:sz w:val="22"/>
          <w:szCs w:val="22"/>
        </w:rPr>
        <w:br/>
        <w:t>Obiectiv, domeniu de aplicare</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F71879" w:rsidP="00F71879">
      <w:pPr>
        <w:spacing w:line="276" w:lineRule="auto"/>
        <w:rPr>
          <w:rFonts w:asciiTheme="minorHAnsi" w:eastAsia="Calibri" w:hAnsiTheme="minorHAnsi" w:cstheme="minorHAnsi"/>
          <w:bCs/>
          <w:sz w:val="22"/>
          <w:szCs w:val="22"/>
        </w:rPr>
      </w:pPr>
      <w:r>
        <w:rPr>
          <w:rFonts w:asciiTheme="minorHAnsi" w:hAnsiTheme="minorHAnsi"/>
          <w:bCs/>
          <w:sz w:val="22"/>
          <w:szCs w:val="22"/>
        </w:rPr>
        <w:t xml:space="preserve">(1) </w:t>
      </w:r>
      <w:r>
        <w:rPr>
          <w:rFonts w:asciiTheme="minorHAnsi" w:hAnsiTheme="minorHAnsi"/>
          <w:bCs/>
          <w:sz w:val="22"/>
          <w:szCs w:val="22"/>
          <w:vertAlign w:val="superscript"/>
        </w:rPr>
        <w:t>1</w:t>
      </w:r>
      <w:r>
        <w:rPr>
          <w:rFonts w:asciiTheme="minorHAnsi" w:hAnsiTheme="minorHAnsi"/>
          <w:bCs/>
          <w:sz w:val="22"/>
          <w:szCs w:val="22"/>
        </w:rPr>
        <w:t xml:space="preserve">Prezentul statut stabilește, în conformitate cu articolele 84 alineatul (8) și 88 din </w:t>
      </w:r>
      <w:proofErr w:type="spellStart"/>
      <w:r>
        <w:rPr>
          <w:rFonts w:asciiTheme="minorHAnsi" w:hAnsiTheme="minorHAnsi"/>
          <w:bCs/>
          <w:sz w:val="22"/>
          <w:szCs w:val="22"/>
        </w:rPr>
        <w:t>MStV</w:t>
      </w:r>
      <w:proofErr w:type="spellEnd"/>
      <w:r>
        <w:rPr>
          <w:rFonts w:asciiTheme="minorHAnsi" w:hAnsiTheme="minorHAnsi"/>
          <w:bCs/>
          <w:sz w:val="22"/>
          <w:szCs w:val="22"/>
        </w:rPr>
        <w:t xml:space="preserve">, normele detaliate privind concretizarea conținutului și a </w:t>
      </w:r>
      <w:r>
        <w:rPr>
          <w:rFonts w:ascii="Calibri" w:hAnsi="Calibri"/>
          <w:sz w:val="22"/>
          <w:szCs w:val="22"/>
        </w:rPr>
        <w:t>procedurilor</w:t>
      </w:r>
      <w:r>
        <w:rPr>
          <w:rFonts w:asciiTheme="minorHAnsi" w:hAnsiTheme="minorHAnsi"/>
          <w:bCs/>
          <w:sz w:val="22"/>
          <w:szCs w:val="22"/>
        </w:rPr>
        <w:t xml:space="preserve"> prevederilor legale ale secțiunii V alineatul (2). Subsecțiunea </w:t>
      </w:r>
      <w:proofErr w:type="spellStart"/>
      <w:r>
        <w:rPr>
          <w:rFonts w:asciiTheme="minorHAnsi" w:hAnsiTheme="minorHAnsi"/>
          <w:bCs/>
          <w:sz w:val="22"/>
          <w:szCs w:val="22"/>
        </w:rPr>
        <w:t>MStV</w:t>
      </w:r>
      <w:proofErr w:type="spellEnd"/>
      <w:r>
        <w:rPr>
          <w:rFonts w:asciiTheme="minorHAnsi" w:hAnsiTheme="minorHAnsi"/>
          <w:bCs/>
          <w:sz w:val="22"/>
          <w:szCs w:val="22"/>
        </w:rPr>
        <w:t xml:space="preserve"> privind platformele media și interfețele cu utilizatorul (articolele 78-88 </w:t>
      </w:r>
      <w:proofErr w:type="spellStart"/>
      <w:r>
        <w:rPr>
          <w:rFonts w:asciiTheme="minorHAnsi" w:hAnsiTheme="minorHAnsi"/>
          <w:bCs/>
          <w:sz w:val="22"/>
          <w:szCs w:val="22"/>
        </w:rPr>
        <w:t>MStV</w:t>
      </w:r>
      <w:proofErr w:type="spellEnd"/>
      <w:r>
        <w:rPr>
          <w:rFonts w:asciiTheme="minorHAnsi" w:hAnsiTheme="minorHAnsi"/>
          <w:bCs/>
          <w:sz w:val="22"/>
          <w:szCs w:val="22"/>
        </w:rPr>
        <w:t xml:space="preserve">). </w:t>
      </w:r>
      <w:r>
        <w:rPr>
          <w:rFonts w:asciiTheme="minorHAnsi" w:hAnsiTheme="minorHAnsi"/>
          <w:bCs/>
          <w:sz w:val="22"/>
          <w:szCs w:val="22"/>
          <w:vertAlign w:val="superscript"/>
        </w:rPr>
        <w:t>2</w:t>
      </w:r>
      <w:r>
        <w:rPr>
          <w:rFonts w:asciiTheme="minorHAnsi" w:hAnsiTheme="minorHAnsi"/>
          <w:bCs/>
          <w:sz w:val="22"/>
          <w:szCs w:val="22"/>
        </w:rPr>
        <w:t xml:space="preserve">Aceasta servește la asigurarea pozitivă a unei diversități de opinii (diversitatea ofertei și a furnizorilor). </w:t>
      </w:r>
    </w:p>
    <w:p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Prevederile prezentului statut se aplică platformelor media și interfețelor cu utilizatorul. </w:t>
      </w:r>
      <w:r>
        <w:rPr>
          <w:rFonts w:asciiTheme="minorHAnsi" w:hAnsiTheme="minorHAnsi"/>
          <w:sz w:val="22"/>
          <w:szCs w:val="22"/>
          <w:vertAlign w:val="superscript"/>
        </w:rPr>
        <w:t>2</w:t>
      </w:r>
      <w:r>
        <w:rPr>
          <w:rFonts w:asciiTheme="minorHAnsi" w:hAnsiTheme="minorHAnsi"/>
          <w:sz w:val="22"/>
          <w:szCs w:val="22"/>
        </w:rPr>
        <w:t xml:space="preserve">Cu excepția articolelor 1, 2, 3, 12 și următoarele din prezentul statut, acestea nu se aplică platformelor media și interfețelor cu utilizatorul a căror importanță pentru diversitatea ofertelor și a opiniilor este limitată. </w:t>
      </w:r>
      <w:r>
        <w:rPr>
          <w:rFonts w:asciiTheme="minorHAnsi" w:hAnsiTheme="minorHAnsi"/>
          <w:sz w:val="22"/>
          <w:szCs w:val="22"/>
          <w:vertAlign w:val="superscript"/>
        </w:rPr>
        <w:t>3</w:t>
      </w:r>
      <w:r>
        <w:rPr>
          <w:rFonts w:asciiTheme="minorHAnsi" w:hAnsiTheme="minorHAnsi"/>
          <w:sz w:val="22"/>
          <w:szCs w:val="22"/>
        </w:rPr>
        <w:t xml:space="preserve"> Această situație se regăsește în mod normal atunci când platforma media sau interfața cu utilizatorul se situează sub pragurile prevăzute la articolul 78 alineatul (2) punctele 1 și 2 din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 Platformele media, în care furnizorul de platforme media controlează, de asemenea, infrastructura de transmisie de la punctul de intrare până la punctul terminal al rețelei, sunt considerate a fi dependente de o anumită infrastructură. </w:t>
      </w:r>
      <w:r>
        <w:rPr>
          <w:rFonts w:asciiTheme="minorHAnsi" w:hAnsiTheme="minorHAnsi"/>
          <w:sz w:val="22"/>
          <w:szCs w:val="22"/>
          <w:vertAlign w:val="superscript"/>
        </w:rPr>
        <w:t>2</w:t>
      </w:r>
      <w:r>
        <w:rPr>
          <w:rFonts w:asciiTheme="minorHAnsi" w:hAnsiTheme="minorHAnsi"/>
          <w:sz w:val="22"/>
          <w:szCs w:val="22"/>
        </w:rPr>
        <w:t xml:space="preserve"> Controlul se poate realiza, de asemenea, pe baza unui acord contractual între furnizor și proprietarul infrastructurii de transmisie.</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bookmarkStart w:id="1" w:name="_Hlk46137526"/>
      <w:r>
        <w:rPr>
          <w:rFonts w:asciiTheme="minorHAnsi" w:hAnsiTheme="minorHAnsi"/>
          <w:sz w:val="22"/>
          <w:szCs w:val="22"/>
        </w:rPr>
        <w:t xml:space="preserve">(4) Identificarea unităților rezidențiale conectate pentru platformele media prin cablu și interfețele cu utilizatorul ale acestora în temeiul articolului 78 alineatul (2) punctul 1 din </w:t>
      </w:r>
      <w:proofErr w:type="spellStart"/>
      <w:r>
        <w:rPr>
          <w:rFonts w:asciiTheme="minorHAnsi" w:hAnsiTheme="minorHAnsi"/>
          <w:sz w:val="22"/>
          <w:szCs w:val="22"/>
        </w:rPr>
        <w:t>MStV</w:t>
      </w:r>
      <w:proofErr w:type="spellEnd"/>
      <w:r>
        <w:rPr>
          <w:rFonts w:asciiTheme="minorHAnsi" w:hAnsiTheme="minorHAnsi"/>
          <w:sz w:val="22"/>
          <w:szCs w:val="22"/>
        </w:rPr>
        <w:t xml:space="preserve"> se efectuează în conformitate cu următoarele dispoziții:</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toate rețelele atribuibile ale unui furnizor din cadrul unei </w:t>
      </w:r>
      <w:r>
        <w:rPr>
          <w:rFonts w:ascii="Calibri" w:hAnsi="Calibri"/>
          <w:sz w:val="22"/>
          <w:szCs w:val="22"/>
        </w:rPr>
        <w:t>platforme media</w:t>
      </w:r>
      <w:r>
        <w:rPr>
          <w:rFonts w:asciiTheme="minorHAnsi" w:hAnsiTheme="minorHAnsi"/>
          <w:sz w:val="22"/>
          <w:szCs w:val="22"/>
        </w:rPr>
        <w:t xml:space="preserve"> conectate prin cablu de rețea sunt luate în considerare în comun;</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unitățile rezidențiale conectate în sensul articolului 78 alineatul (2) punctul 1 din </w:t>
      </w:r>
      <w:proofErr w:type="spellStart"/>
      <w:r>
        <w:rPr>
          <w:rFonts w:asciiTheme="minorHAnsi" w:hAnsiTheme="minorHAnsi"/>
          <w:sz w:val="22"/>
          <w:szCs w:val="22"/>
        </w:rPr>
        <w:t>MStV</w:t>
      </w:r>
      <w:proofErr w:type="spellEnd"/>
      <w:r>
        <w:rPr>
          <w:rFonts w:asciiTheme="minorHAnsi" w:hAnsiTheme="minorHAnsi"/>
          <w:sz w:val="22"/>
          <w:szCs w:val="22"/>
        </w:rPr>
        <w:t xml:space="preserve"> sunt, în cazul platformelor media conectate prin cablu de rețea, unități locative în care există un punct terminus de natură fizică al rețelei la care accesul la o rețea prin cablu este furnizat </w:t>
      </w:r>
      <w:r>
        <w:rPr>
          <w:rFonts w:asciiTheme="minorHAnsi" w:hAnsiTheme="minorHAnsi"/>
          <w:sz w:val="22"/>
          <w:szCs w:val="22"/>
        </w:rPr>
        <w:lastRenderedPageBreak/>
        <w:t>unui utilizator final, cu condiția ca punctul terminus al rețelei să facă obiectul unui contract în temeiul căruia utilizatorul final are dreptul de a utiliza programe de radiodifuziune.</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(5) Pentru identificarea utilizatorilor zilnici efectivi în sensul articolului 78 alineatul (2) punctul 2 din </w:t>
      </w:r>
      <w:proofErr w:type="spellStart"/>
      <w:r>
        <w:rPr>
          <w:rFonts w:asciiTheme="minorHAnsi" w:hAnsiTheme="minorHAnsi"/>
          <w:sz w:val="22"/>
          <w:szCs w:val="22"/>
        </w:rPr>
        <w:t>MStV</w:t>
      </w:r>
      <w:proofErr w:type="spellEnd"/>
      <w:r>
        <w:rPr>
          <w:rFonts w:asciiTheme="minorHAnsi" w:hAnsiTheme="minorHAnsi"/>
          <w:sz w:val="22"/>
          <w:szCs w:val="22"/>
        </w:rPr>
        <w:t xml:space="preserve"> se aplică următoarele dispoziții:</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utilizatorii zilnici efectivi ai unei platforme media sau ai unei interfețe cu utilizatorul care nu este conectată printr-o infrastructură reprezintă utilizatorii care vizitează platforma media sau interfața cu utilizatorul în cadrul unei zile. Accesările multiple efectuate de către un utilizator sunt ușor de contorizat (utilizator unic);</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este relevantă accesarea la primul nivel de selecție a unei platforme media sau a unei interfețe cu utilizatorul. În schimb, dacă platforma media este o parte separabilă a unei oferte mixte, sunt decisive numerele utilizatorilor unici ai funcției separabile;</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în cazul în care accesarea programelor de radiodifuziune, a mediilor similare celor radio sau </w:t>
      </w:r>
      <w:proofErr w:type="spellStart"/>
      <w:r>
        <w:rPr>
          <w:rFonts w:ascii="Calibri" w:hAnsi="Calibri"/>
          <w:sz w:val="22"/>
          <w:szCs w:val="22"/>
        </w:rPr>
        <w:t>telemedia</w:t>
      </w:r>
      <w:proofErr w:type="spellEnd"/>
      <w:r>
        <w:rPr>
          <w:rFonts w:ascii="Calibri" w:hAnsi="Calibri"/>
          <w:sz w:val="22"/>
          <w:szCs w:val="22"/>
        </w:rPr>
        <w:t xml:space="preserve"> în sensul articolului 19 alineatul (1) din </w:t>
      </w:r>
      <w:proofErr w:type="spellStart"/>
      <w:r>
        <w:rPr>
          <w:rFonts w:ascii="Calibri" w:hAnsi="Calibri"/>
          <w:sz w:val="22"/>
          <w:szCs w:val="22"/>
        </w:rPr>
        <w:t>MStV</w:t>
      </w:r>
      <w:proofErr w:type="spellEnd"/>
      <w:r>
        <w:rPr>
          <w:rFonts w:ascii="Calibri" w:hAnsi="Calibri"/>
          <w:sz w:val="22"/>
          <w:szCs w:val="22"/>
        </w:rPr>
        <w:t xml:space="preserve"> depinde în mod exclusiv de o înregistrare sau de o conectare, pentru determinarea utilizatorilor unici este relevantă accesarea primului nivel de selecție care este accesibil după înregistrare sau după conectare; </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în cazul în care nu este posibil să se furnizeze informații privind utilizatorii zilnici efectivi, pentru interfețele cu utilizatorul este relevant numărul dispozitivelor vândute;</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pentru calculele de mai sus ale mediei lunare se utilizează un interval de timp de șase luni. </w:t>
      </w:r>
    </w:p>
    <w:p w:rsidR="00F57DE5" w:rsidRPr="00077B73" w:rsidRDefault="00F57DE5" w:rsidP="00F57DE5">
      <w:pPr>
        <w:ind w:left="36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(6) Furnizorul trebuie să demonstreze că sunt îndeplinite condițiile prevăzute la articolul 78 alineatul (2), punctele 1 și 2 din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E22B72">
      <w:pPr>
        <w:spacing w:line="276" w:lineRule="auto"/>
        <w:jc w:val="center"/>
        <w:rPr>
          <w:rFonts w:ascii="Calibri" w:eastAsia="Calibri" w:hAnsi="Calibri"/>
          <w:b/>
          <w:sz w:val="22"/>
          <w:szCs w:val="22"/>
          <w:lang w:eastAsia="en-US"/>
        </w:rPr>
      </w:pPr>
    </w:p>
    <w:p w:rsidR="00E22B7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Articolul 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Notificarea</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E22B72" w:rsidP="00E22B7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Furnizorii care doresc să ofere o platformă media sau o interfață cu utilizatorul trebuie să notifice autoritatea de stat de reglementare a mediilor de comunicare relevantă cu cel puțin o lună înainte de începerea operațiunilor. </w:t>
      </w:r>
      <w:r>
        <w:rPr>
          <w:rFonts w:asciiTheme="minorHAnsi" w:hAnsiTheme="minorHAnsi"/>
          <w:sz w:val="22"/>
          <w:szCs w:val="22"/>
          <w:vertAlign w:val="superscript"/>
        </w:rPr>
        <w:t>2</w:t>
      </w:r>
      <w:r>
        <w:rPr>
          <w:rFonts w:asciiTheme="minorHAnsi" w:hAnsiTheme="minorHAnsi"/>
          <w:sz w:val="22"/>
          <w:szCs w:val="22"/>
        </w:rPr>
        <w:t xml:space="preserve">În măsura în care punerea în funcțiune a ofertei nu este responsabilitatea furnizorului, obligația de notificare prevăzută la alineatul (1) depinde de momentul introducerii pe piață. </w:t>
      </w:r>
    </w:p>
    <w:p w:rsidR="00E22B72" w:rsidRPr="00077B73" w:rsidRDefault="00E22B72" w:rsidP="00E22B72">
      <w:pPr>
        <w:spacing w:line="276" w:lineRule="auto"/>
        <w:rPr>
          <w:rFonts w:asciiTheme="minorHAnsi" w:eastAsia="Calibri" w:hAnsiTheme="minorHAnsi" w:cstheme="minorHAnsi"/>
          <w:sz w:val="22"/>
          <w:szCs w:val="22"/>
          <w:lang w:eastAsia="en-US"/>
        </w:rPr>
      </w:pPr>
    </w:p>
    <w:p w:rsidR="00F57DE5" w:rsidRPr="00077B73" w:rsidRDefault="00E22B7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În cadrul notificării trebuie prezentate, în special, următoarele informații și documente:</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descrierea ofertei, inclusiv informații privind conectivitatea infrastructurii platformei media, respectiv informații dacă aceasta este o interfață cu utilizatorul a unei platforme media bazate pe o anumită infrastructură;</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desemnarea persoanei fizice sau juridice a furnizorului platformei media sau a interfeței cu utilizatorul precum și a domiciliului sau a sediului social;</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prezentarea unui certificat legal de cazier pentru transmiterea către o autoritate publică sau a unui document străin echivalent pentru persoana furnizorului platformei media sau a interfeței cu utilizatorul, respectiv pentru persoana care îl reprezintă în temeiul legii sau al statutului și care la momentul depunerii are o vechime de cel mult jumătate de an. În cazul mai multor persoane care îl reprezintă în conformitate cu legea sau cu statutul, prezentarea unui document în sensul alineatului (1) este suficientă pentru reprezentanții respectivi care răspund de selectarea ofertelor sau de întocmirea prezentării generale;</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lastRenderedPageBreak/>
        <w:t xml:space="preserve">informații privind domeniul tehnic și preconizat de utilizare. În această categorie se includ, în special, informațiile necesare pentru verificarea informațiilor necesare în conformitate cu articolul 78 alineatul (2) din </w:t>
      </w:r>
      <w:proofErr w:type="spellStart"/>
      <w:r>
        <w:rPr>
          <w:rFonts w:ascii="Calibri" w:hAnsi="Calibri"/>
          <w:sz w:val="22"/>
          <w:szCs w:val="22"/>
        </w:rPr>
        <w:t>MStV</w:t>
      </w:r>
      <w:proofErr w:type="spellEnd"/>
      <w:r>
        <w:rPr>
          <w:rFonts w:ascii="Calibri" w:hAnsi="Calibri"/>
          <w:sz w:val="22"/>
          <w:szCs w:val="22"/>
        </w:rPr>
        <w:t xml:space="preserve"> și cu articolul 1 alineatele (4)-(6) din prezentul statut.</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În cazul în care furnizorul platformei media sau al interfeței cu utilizatorul nu are reședința sau sediul social în Germania, într-un alt stat membru al Uniunii Europene sau în orice alt stat parte la Acordul privind Spațiul Economic European, acesta trebuie, în cadrul notificării, să desemneze un reprezentant autorizat în temeiul articolului 79 alineatul (1) punctul 2 din </w:t>
      </w:r>
      <w:proofErr w:type="spellStart"/>
      <w:r>
        <w:rPr>
          <w:rFonts w:asciiTheme="minorHAnsi" w:hAnsiTheme="minorHAnsi"/>
          <w:sz w:val="22"/>
          <w:szCs w:val="22"/>
        </w:rPr>
        <w:t>MStV</w:t>
      </w:r>
      <w:proofErr w:type="spellEnd"/>
      <w:r>
        <w:rPr>
          <w:rFonts w:asciiTheme="minorHAnsi" w:hAnsiTheme="minorHAnsi"/>
          <w:sz w:val="22"/>
          <w:szCs w:val="22"/>
        </w:rPr>
        <w:t xml:space="preserve">, prin prezentarea unui document în conformitate cu alineatul (2) punctul 3 din </w:t>
      </w:r>
      <w:proofErr w:type="spellStart"/>
      <w:r>
        <w:rPr>
          <w:rFonts w:asciiTheme="minorHAnsi" w:hAnsiTheme="minorHAnsi"/>
          <w:sz w:val="22"/>
          <w:szCs w:val="22"/>
        </w:rPr>
        <w:t>MStV</w:t>
      </w:r>
      <w:proofErr w:type="spellEnd"/>
      <w:r>
        <w:rPr>
          <w:rFonts w:asciiTheme="minorHAnsi" w:hAnsiTheme="minorHAnsi"/>
          <w:sz w:val="22"/>
          <w:szCs w:val="22"/>
        </w:rPr>
        <w:t xml:space="preserve">.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(4) Autoritatea competentă de reglementare a mediilor de comunicare poate solicita, de asemenea, prezentarea altor documente și informații necesare pentru evaluarea notificării.</w:t>
      </w:r>
    </w:p>
    <w:p w:rsidR="00F57DE5" w:rsidRPr="00077B73" w:rsidRDefault="00F57DE5" w:rsidP="00075A82">
      <w:pPr>
        <w:spacing w:line="276" w:lineRule="auto"/>
        <w:jc w:val="center"/>
        <w:rPr>
          <w:rFonts w:ascii="Calibri" w:eastAsia="Calibri" w:hAnsi="Calibri"/>
          <w:b/>
          <w:sz w:val="22"/>
          <w:szCs w:val="22"/>
          <w:lang w:eastAsia="en-US"/>
        </w:rPr>
      </w:pPr>
    </w:p>
    <w:p w:rsidR="00075A8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Articolul 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Integritatea semnalului, suprapunerile și scalările</w:t>
      </w:r>
    </w:p>
    <w:p w:rsidR="00075A82" w:rsidRPr="00077B73" w:rsidRDefault="00075A82" w:rsidP="00077B73">
      <w:pPr>
        <w:keepNext/>
        <w:spacing w:line="276" w:lineRule="auto"/>
        <w:jc w:val="center"/>
        <w:rPr>
          <w:rFonts w:ascii="Calibri" w:eastAsia="Calibri" w:hAnsi="Calibri"/>
          <w:b/>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(1) O modificare tehnică în sensul articolului 80 alineatul (1) punctul 1 din </w:t>
      </w:r>
      <w:proofErr w:type="spellStart"/>
      <w:r>
        <w:rPr>
          <w:rFonts w:asciiTheme="minorHAnsi" w:hAnsiTheme="minorHAnsi"/>
          <w:sz w:val="22"/>
          <w:szCs w:val="22"/>
        </w:rPr>
        <w:t>MStV</w:t>
      </w:r>
      <w:proofErr w:type="spellEnd"/>
      <w:r>
        <w:rPr>
          <w:rFonts w:asciiTheme="minorHAnsi" w:hAnsiTheme="minorHAnsi"/>
          <w:sz w:val="22"/>
          <w:szCs w:val="22"/>
        </w:rPr>
        <w:t xml:space="preserve"> există și în cazul în care semnalele </w:t>
      </w:r>
      <w:proofErr w:type="spellStart"/>
      <w:r>
        <w:rPr>
          <w:rFonts w:asciiTheme="minorHAnsi" w:hAnsiTheme="minorHAnsi"/>
          <w:sz w:val="22"/>
          <w:szCs w:val="22"/>
        </w:rPr>
        <w:t>HbbTV</w:t>
      </w:r>
      <w:proofErr w:type="spellEnd"/>
      <w:r>
        <w:rPr>
          <w:rFonts w:asciiTheme="minorHAnsi" w:hAnsiTheme="minorHAnsi"/>
          <w:sz w:val="22"/>
          <w:szCs w:val="22"/>
        </w:rPr>
        <w:t xml:space="preserve"> furnizate din punct de vedere tehnic nu sunt transmise de către furnizorii de platforme media.</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bookmarkStart w:id="2" w:name="_Hlk49412973"/>
      <w:r>
        <w:rPr>
          <w:rFonts w:asciiTheme="minorHAnsi" w:hAnsiTheme="minorHAnsi"/>
          <w:sz w:val="22"/>
          <w:szCs w:val="22"/>
        </w:rPr>
        <w:t xml:space="preserve">(2) O suprapunere în sensul articolului 80 alineatul (1) punctul 2 din </w:t>
      </w:r>
      <w:proofErr w:type="spellStart"/>
      <w:r>
        <w:rPr>
          <w:rFonts w:asciiTheme="minorHAnsi" w:hAnsiTheme="minorHAnsi"/>
          <w:sz w:val="22"/>
          <w:szCs w:val="22"/>
        </w:rPr>
        <w:t>MStV</w:t>
      </w:r>
      <w:proofErr w:type="spellEnd"/>
      <w:r>
        <w:rPr>
          <w:rFonts w:asciiTheme="minorHAnsi" w:hAnsiTheme="minorHAnsi"/>
          <w:sz w:val="22"/>
          <w:szCs w:val="22"/>
        </w:rPr>
        <w:t xml:space="preserve"> este echivalentă cu inserările sonore sau vizuale care se realizează imediat după ce utilizatorul a făcut selecția sa și înainte de începerea programului de radiodifuziune („pre-</w:t>
      </w:r>
      <w:proofErr w:type="spellStart"/>
      <w:r>
        <w:rPr>
          <w:rFonts w:asciiTheme="minorHAnsi" w:hAnsiTheme="minorHAnsi"/>
          <w:sz w:val="22"/>
          <w:szCs w:val="22"/>
        </w:rPr>
        <w:t>roll</w:t>
      </w:r>
      <w:proofErr w:type="spellEnd"/>
      <w:r>
        <w:rPr>
          <w:rFonts w:asciiTheme="minorHAnsi" w:hAnsiTheme="minorHAnsi"/>
          <w:sz w:val="22"/>
          <w:szCs w:val="22"/>
        </w:rPr>
        <w:t xml:space="preserve">”).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O invocare în cazuri individuale în sensul articolului 80 alineatul (2) punctele 2 și 3 din </w:t>
      </w:r>
      <w:proofErr w:type="spellStart"/>
      <w:r>
        <w:rPr>
          <w:rFonts w:asciiTheme="minorHAnsi" w:hAnsiTheme="minorHAnsi"/>
          <w:sz w:val="22"/>
          <w:szCs w:val="22"/>
        </w:rPr>
        <w:t>MStV</w:t>
      </w:r>
      <w:proofErr w:type="spellEnd"/>
      <w:r>
        <w:rPr>
          <w:rFonts w:asciiTheme="minorHAnsi" w:hAnsiTheme="minorHAnsi"/>
          <w:sz w:val="22"/>
          <w:szCs w:val="22"/>
        </w:rPr>
        <w:t xml:space="preserve"> se realizează printr-o acțiune clară din partea utilizatorului, în mod voluntar exprimată pentru situația specifică de utilizare și declarând fără echivoc că utilizatorul intenționează să declanșeze suprapunerea sau scalarea. </w:t>
      </w:r>
      <w:r>
        <w:rPr>
          <w:rFonts w:asciiTheme="minorHAnsi" w:hAnsiTheme="minorHAnsi"/>
          <w:sz w:val="22"/>
          <w:szCs w:val="22"/>
          <w:vertAlign w:val="superscript"/>
        </w:rPr>
        <w:t>2</w:t>
      </w:r>
      <w:r>
        <w:rPr>
          <w:rFonts w:asciiTheme="minorHAnsi" w:hAnsiTheme="minorHAnsi"/>
          <w:sz w:val="22"/>
          <w:szCs w:val="22"/>
        </w:rPr>
        <w:t>Acest lucru se întâmplă în special atunci când utilizatorul utilizează elemente de comandă vizuale sau sonore marcate în mod corespunzător pentru declanșarea suprapunerii sau a scalării.</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Secțiunea 2: Cerințe privind alocarea</w:t>
      </w:r>
    </w:p>
    <w:p w:rsidR="00F57DE5" w:rsidRPr="00077B73" w:rsidRDefault="00F57DE5"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Articolul 4</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Cerințe privind alocarea pentru platformele media bazate pe o anumită infrastructură</w:t>
      </w:r>
    </w:p>
    <w:p w:rsidR="002C35D6" w:rsidRPr="00077B73" w:rsidRDefault="002C35D6" w:rsidP="00077B73">
      <w:pPr>
        <w:keepNext/>
        <w:spacing w:line="276" w:lineRule="auto"/>
        <w:jc w:val="center"/>
        <w:rPr>
          <w:rFonts w:ascii="Calibri" w:eastAsia="Calibri" w:hAnsi="Calibri"/>
          <w:b/>
          <w:sz w:val="22"/>
          <w:szCs w:val="22"/>
          <w:lang w:eastAsia="en-US"/>
        </w:rPr>
      </w:pPr>
    </w:p>
    <w:bookmarkEnd w:id="2"/>
    <w:p w:rsidR="00590EAA" w:rsidRPr="00077B73" w:rsidRDefault="00590EAA"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Examinarea corespunzătoare a ofertelor în conformitate cu articolul 81 alineatul (2) primul paragraf punctul 1 literele (b) și (c) din </w:t>
      </w:r>
      <w:proofErr w:type="spellStart"/>
      <w:r>
        <w:rPr>
          <w:rFonts w:asciiTheme="minorHAnsi" w:hAnsiTheme="minorHAnsi"/>
          <w:sz w:val="22"/>
          <w:szCs w:val="22"/>
        </w:rPr>
        <w:t>MStV</w:t>
      </w:r>
      <w:proofErr w:type="spellEnd"/>
      <w:r>
        <w:rPr>
          <w:rFonts w:asciiTheme="minorHAnsi" w:hAnsiTheme="minorHAnsi"/>
          <w:sz w:val="22"/>
          <w:szCs w:val="22"/>
        </w:rPr>
        <w:t xml:space="preserve"> și cu articolul 81 alineatul (3) primul paragraf punctul 1 litera (b) din </w:t>
      </w:r>
      <w:proofErr w:type="spellStart"/>
      <w:r>
        <w:rPr>
          <w:rFonts w:asciiTheme="minorHAnsi" w:hAnsiTheme="minorHAnsi"/>
          <w:sz w:val="22"/>
          <w:szCs w:val="22"/>
        </w:rPr>
        <w:t>MStV</w:t>
      </w:r>
      <w:proofErr w:type="spellEnd"/>
      <w:r>
        <w:rPr>
          <w:rFonts w:asciiTheme="minorHAnsi" w:hAnsiTheme="minorHAnsi"/>
          <w:sz w:val="22"/>
          <w:szCs w:val="22"/>
        </w:rPr>
        <w:t xml:space="preserve"> presupune că</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 xml:space="preserve">se demonstrează că, în conformitate cu primul paragraf punctul 1, capacitatea de alocare nu este suficientă pentru a respecta pe deplin obligațiile de distribuire prevăzute la articolul 81 alineatul (2) primul paragraf punctul 1 din </w:t>
      </w:r>
      <w:proofErr w:type="spellStart"/>
      <w:r>
        <w:rPr>
          <w:rFonts w:ascii="Calibri" w:hAnsi="Calibri"/>
          <w:sz w:val="22"/>
          <w:szCs w:val="22"/>
        </w:rPr>
        <w:t>MStV</w:t>
      </w:r>
      <w:proofErr w:type="spellEnd"/>
      <w:r>
        <w:rPr>
          <w:rFonts w:ascii="Calibri" w:hAnsi="Calibri"/>
          <w:sz w:val="22"/>
          <w:szCs w:val="22"/>
        </w:rPr>
        <w:t xml:space="preserve"> și la articolul 81 alineatul (3) primul paragraf punctul 1 din </w:t>
      </w:r>
      <w:proofErr w:type="spellStart"/>
      <w:r>
        <w:rPr>
          <w:rFonts w:ascii="Calibri" w:hAnsi="Calibri"/>
          <w:sz w:val="22"/>
          <w:szCs w:val="22"/>
        </w:rPr>
        <w:t>MStV</w:t>
      </w:r>
      <w:proofErr w:type="spellEnd"/>
      <w:r>
        <w:rPr>
          <w:rFonts w:ascii="Calibri" w:hAnsi="Calibri"/>
          <w:sz w:val="22"/>
          <w:szCs w:val="22"/>
        </w:rPr>
        <w:t>;</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programele care sunt difuzate în diferite standarde sunt luate în calcul o singură dată;</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 xml:space="preserve">programele în temeiul articolului 81 alineatul (2) primul paragraf punctul 1 din </w:t>
      </w:r>
      <w:proofErr w:type="spellStart"/>
      <w:r>
        <w:rPr>
          <w:rFonts w:ascii="Calibri" w:hAnsi="Calibri"/>
          <w:sz w:val="22"/>
          <w:szCs w:val="22"/>
        </w:rPr>
        <w:t>MStV</w:t>
      </w:r>
      <w:proofErr w:type="spellEnd"/>
      <w:r>
        <w:rPr>
          <w:rFonts w:ascii="Calibri" w:hAnsi="Calibri"/>
          <w:sz w:val="22"/>
          <w:szCs w:val="22"/>
        </w:rPr>
        <w:t xml:space="preserve"> și al articolului 81 alineatul (3) primul paragraf punctul 1 din </w:t>
      </w:r>
      <w:proofErr w:type="spellStart"/>
      <w:r>
        <w:rPr>
          <w:rFonts w:ascii="Calibri" w:hAnsi="Calibri"/>
          <w:sz w:val="22"/>
          <w:szCs w:val="22"/>
        </w:rPr>
        <w:t>MStV</w:t>
      </w:r>
      <w:proofErr w:type="spellEnd"/>
      <w:r>
        <w:rPr>
          <w:rFonts w:ascii="Calibri" w:hAnsi="Calibri"/>
          <w:sz w:val="22"/>
          <w:szCs w:val="22"/>
        </w:rPr>
        <w:t xml:space="preserve">, care nu sunt destinate în mod </w:t>
      </w:r>
      <w:r>
        <w:rPr>
          <w:rFonts w:ascii="Calibri" w:hAnsi="Calibri"/>
          <w:sz w:val="22"/>
          <w:szCs w:val="22"/>
        </w:rPr>
        <w:lastRenderedPageBreak/>
        <w:t xml:space="preserve">legal zonei de distribuție relevante, sunt distribuite în mod subordonat ofertelor în temeiul articolului 81 alineatul (2) primul paragraf punctul 1 litera (b) din </w:t>
      </w:r>
      <w:proofErr w:type="spellStart"/>
      <w:r>
        <w:rPr>
          <w:rFonts w:ascii="Calibri" w:hAnsi="Calibri"/>
          <w:sz w:val="22"/>
          <w:szCs w:val="22"/>
        </w:rPr>
        <w:t>MStV</w:t>
      </w:r>
      <w:proofErr w:type="spellEnd"/>
      <w:r>
        <w:rPr>
          <w:rFonts w:ascii="Calibri" w:hAnsi="Calibri"/>
          <w:sz w:val="22"/>
          <w:szCs w:val="22"/>
        </w:rPr>
        <w:t xml:space="preserve"> și al articolului 81 alineatul (3) primul paragraf punctul 1 litera (b) din </w:t>
      </w:r>
      <w:proofErr w:type="spellStart"/>
      <w:r>
        <w:rPr>
          <w:rFonts w:ascii="Calibri" w:hAnsi="Calibri"/>
          <w:sz w:val="22"/>
          <w:szCs w:val="22"/>
        </w:rPr>
        <w:t>MStV</w:t>
      </w:r>
      <w:proofErr w:type="spellEnd"/>
      <w:r>
        <w:rPr>
          <w:rFonts w:ascii="Calibri" w:hAnsi="Calibri"/>
          <w:sz w:val="22"/>
          <w:szCs w:val="22"/>
        </w:rPr>
        <w:t xml:space="preserve">; </w:t>
      </w:r>
    </w:p>
    <w:p w:rsidR="002C35D6"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 xml:space="preserve">ofertele de servicii în temeiul articolului 81 alineatul (2) primul paragraf punctul 1 literele (b) și (c) din </w:t>
      </w:r>
      <w:proofErr w:type="spellStart"/>
      <w:r>
        <w:rPr>
          <w:rFonts w:ascii="Calibri" w:hAnsi="Calibri"/>
          <w:sz w:val="22"/>
          <w:szCs w:val="22"/>
        </w:rPr>
        <w:t>MStV</w:t>
      </w:r>
      <w:proofErr w:type="spellEnd"/>
      <w:r>
        <w:rPr>
          <w:rFonts w:ascii="Calibri" w:hAnsi="Calibri"/>
          <w:sz w:val="22"/>
          <w:szCs w:val="22"/>
        </w:rPr>
        <w:t xml:space="preserve"> și al articolului 81 alineatul (3) primul paragraf punctul 1 litera (b) din </w:t>
      </w:r>
      <w:proofErr w:type="spellStart"/>
      <w:r>
        <w:rPr>
          <w:rFonts w:ascii="Calibri" w:hAnsi="Calibri"/>
          <w:sz w:val="22"/>
          <w:szCs w:val="22"/>
        </w:rPr>
        <w:t>MStV</w:t>
      </w:r>
      <w:proofErr w:type="spellEnd"/>
      <w:r>
        <w:rPr>
          <w:rFonts w:ascii="Calibri" w:hAnsi="Calibri"/>
          <w:sz w:val="22"/>
          <w:szCs w:val="22"/>
        </w:rPr>
        <w:t xml:space="preserve"> nu sunt eliminate complet.</w:t>
      </w:r>
      <w:bookmarkEnd w:id="1"/>
    </w:p>
    <w:p w:rsidR="00590EAA" w:rsidRPr="00077B73" w:rsidRDefault="00590EAA" w:rsidP="00590EAA">
      <w:pPr>
        <w:spacing w:after="200" w:line="276" w:lineRule="auto"/>
        <w:ind w:left="720"/>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Secțiunea 3:</w:t>
      </w:r>
      <w:r>
        <w:rPr>
          <w:rFonts w:asciiTheme="minorHAnsi" w:hAnsiTheme="minorHAnsi"/>
          <w:b/>
          <w:sz w:val="22"/>
          <w:szCs w:val="22"/>
        </w:rPr>
        <w:t xml:space="preserve"> Condiții de acces pentru platformele media</w:t>
      </w:r>
    </w:p>
    <w:p w:rsidR="002C35D6" w:rsidRPr="00077B73" w:rsidRDefault="002C35D6"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Articolul 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Egalitatea de șanse</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(1) Furnizorii de platforme media trebuie să ofere acces la platformele lor media astfel, încât ofertele prevăzute la articolul 82 alineatul (2) din </w:t>
      </w:r>
      <w:proofErr w:type="spellStart"/>
      <w:r>
        <w:rPr>
          <w:rFonts w:asciiTheme="minorHAnsi" w:hAnsiTheme="minorHAnsi"/>
          <w:sz w:val="22"/>
          <w:szCs w:val="22"/>
        </w:rPr>
        <w:t>MStV</w:t>
      </w:r>
      <w:proofErr w:type="spellEnd"/>
      <w:r>
        <w:rPr>
          <w:rFonts w:asciiTheme="minorHAnsi" w:hAnsiTheme="minorHAnsi"/>
          <w:sz w:val="22"/>
          <w:szCs w:val="22"/>
        </w:rPr>
        <w:t xml:space="preserve"> să nu fie împiedicate în mod nejustificat, direct sau indirect, în ceea ce privește distribuirea sau comercializarea lor.</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(2) Caracterul nejustificat al unui obstacol trebuie stabilit pe baza unei analize cuprinzătoare a intereselor părților interesate în contextul prezentului statut și al obiectivului </w:t>
      </w:r>
      <w:proofErr w:type="spellStart"/>
      <w:r>
        <w:rPr>
          <w:rFonts w:asciiTheme="minorHAnsi" w:hAnsiTheme="minorHAnsi"/>
          <w:sz w:val="22"/>
          <w:szCs w:val="22"/>
        </w:rPr>
        <w:t>MStV</w:t>
      </w:r>
      <w:proofErr w:type="spellEnd"/>
      <w:r>
        <w:rPr>
          <w:rFonts w:asciiTheme="minorHAnsi" w:hAnsiTheme="minorHAnsi"/>
          <w:sz w:val="22"/>
          <w:szCs w:val="22"/>
        </w:rPr>
        <w:t xml:space="preserve"> care urmărește să asigure diversitatea opiniilor și a ofertelor.</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(3) Un obstacol nejustificat există în special în cazul în care platformele media nu oferă o șansă reală de acces în limitele accesului fezabil din punct de vedere tehnic și economic sau condițiile de acces conduc la un dezavantaj structural față de oferte în temeiul articolului 82 alineatul (2) din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Articolul 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Nediscriminarea</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 Furnizorii de platforme media nu pot trata ofertele în temeiul articolului 82 alineatul (2) din </w:t>
      </w:r>
      <w:proofErr w:type="spellStart"/>
      <w:r>
        <w:rPr>
          <w:rFonts w:asciiTheme="minorHAnsi" w:hAnsiTheme="minorHAnsi"/>
          <w:sz w:val="22"/>
          <w:szCs w:val="22"/>
        </w:rPr>
        <w:t>MStV</w:t>
      </w:r>
      <w:proofErr w:type="spellEnd"/>
      <w:r>
        <w:rPr>
          <w:rFonts w:asciiTheme="minorHAnsi" w:hAnsiTheme="minorHAnsi"/>
          <w:sz w:val="22"/>
          <w:szCs w:val="22"/>
        </w:rPr>
        <w:t xml:space="preserve"> în mod diferit față de ofertele similare fără o justificare obiectivă. </w:t>
      </w:r>
      <w:r>
        <w:rPr>
          <w:rFonts w:asciiTheme="minorHAnsi" w:hAnsiTheme="minorHAnsi"/>
          <w:sz w:val="22"/>
          <w:szCs w:val="22"/>
          <w:vertAlign w:val="superscript"/>
        </w:rPr>
        <w:t>2</w:t>
      </w:r>
      <w:r>
        <w:rPr>
          <w:rFonts w:asciiTheme="minorHAnsi" w:hAnsiTheme="minorHAnsi"/>
          <w:sz w:val="22"/>
          <w:szCs w:val="22"/>
        </w:rPr>
        <w:t xml:space="preserve"> Acest lucru se întâmplă în special atunci când un furnizor de platforme media oferă acces la platformele media unei oferte în temeiul articolului 82 alineatul (2) din </w:t>
      </w:r>
      <w:proofErr w:type="spellStart"/>
      <w:r>
        <w:rPr>
          <w:rFonts w:asciiTheme="minorHAnsi" w:hAnsiTheme="minorHAnsi"/>
          <w:sz w:val="22"/>
          <w:szCs w:val="22"/>
        </w:rPr>
        <w:t>MStV</w:t>
      </w:r>
      <w:proofErr w:type="spellEnd"/>
      <w:r>
        <w:rPr>
          <w:rFonts w:asciiTheme="minorHAnsi" w:hAnsiTheme="minorHAnsi"/>
          <w:sz w:val="22"/>
          <w:szCs w:val="22"/>
        </w:rPr>
        <w:t xml:space="preserve"> în condiții de acces diferite de cele oferite unei companii care este alocată structural furnizorului de platforme media, cu excepția cazului în care există o justificare obiectivă în acest sens. </w:t>
      </w:r>
      <w:r>
        <w:rPr>
          <w:rFonts w:asciiTheme="minorHAnsi" w:hAnsiTheme="minorHAnsi"/>
          <w:sz w:val="22"/>
          <w:szCs w:val="22"/>
          <w:vertAlign w:val="superscript"/>
        </w:rPr>
        <w:t>3</w:t>
      </w:r>
      <w:r>
        <w:rPr>
          <w:rFonts w:asciiTheme="minorHAnsi" w:hAnsiTheme="minorHAnsi"/>
          <w:sz w:val="22"/>
          <w:szCs w:val="22"/>
        </w:rPr>
        <w:t xml:space="preserve"> Trebuie luate în considerare companiile cu care furnizorii de platforme media sunt legați direct sau indirect prin participațiune sau în alt mod. Articolul 62 din </w:t>
      </w:r>
      <w:proofErr w:type="spellStart"/>
      <w:r>
        <w:rPr>
          <w:rFonts w:asciiTheme="minorHAnsi" w:hAnsiTheme="minorHAnsi"/>
          <w:sz w:val="22"/>
          <w:szCs w:val="22"/>
        </w:rPr>
        <w:t>MStV</w:t>
      </w:r>
      <w:proofErr w:type="spellEnd"/>
      <w:r>
        <w:rPr>
          <w:rFonts w:asciiTheme="minorHAnsi" w:hAnsiTheme="minorHAnsi"/>
          <w:sz w:val="22"/>
          <w:szCs w:val="22"/>
        </w:rPr>
        <w:t xml:space="preserve"> se aplică mutatis mutandis.</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Motivul obiectiv justificabil al tratamentului discriminatoriu trebuie să prevaleze înaintea obiectivului principal de asigurare a diversității de opinie.</w:t>
      </w:r>
    </w:p>
    <w:p w:rsidR="00C5646E" w:rsidRPr="00077B73" w:rsidRDefault="00C5646E"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Articolul 7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Sisteme cu acces condiționat</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Sistemul cu acces condiționat este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orice măsură tehnică;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orice sistem de autentificare; și/sau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orice dispozitiv </w:t>
      </w:r>
    </w:p>
    <w:p w:rsidR="00F57DE5" w:rsidRPr="00077B73" w:rsidRDefault="00F57DE5" w:rsidP="002C35D6">
      <w:pPr>
        <w:spacing w:line="276" w:lineRule="auto"/>
        <w:rPr>
          <w:rFonts w:asciiTheme="minorHAnsi" w:eastAsia="Calibri" w:hAnsiTheme="minorHAnsi" w:cstheme="minorHAnsi"/>
          <w:sz w:val="22"/>
          <w:szCs w:val="22"/>
        </w:rPr>
      </w:pPr>
      <w:r>
        <w:rPr>
          <w:rFonts w:asciiTheme="minorHAnsi" w:hAnsiTheme="minorHAnsi"/>
          <w:sz w:val="22"/>
          <w:szCs w:val="22"/>
        </w:rPr>
        <w:lastRenderedPageBreak/>
        <w:t>care condiționează accesul la un serviciu de radio sau de televiziune protejat în formă necriptată de un abonament sau de o altă formă de autorizare individuală prealabilă.</w:t>
      </w:r>
    </w:p>
    <w:p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(2) În cazul sistemelor cu acces condiționat în sensul articolului 82 alineatul (2) punctul 1 din </w:t>
      </w:r>
      <w:proofErr w:type="spellStart"/>
      <w:r>
        <w:rPr>
          <w:rFonts w:asciiTheme="minorHAnsi" w:hAnsiTheme="minorHAnsi"/>
          <w:sz w:val="22"/>
          <w:szCs w:val="22"/>
        </w:rPr>
        <w:t>MStV</w:t>
      </w:r>
      <w:proofErr w:type="spellEnd"/>
      <w:r>
        <w:rPr>
          <w:rFonts w:asciiTheme="minorHAnsi" w:hAnsiTheme="minorHAnsi"/>
          <w:sz w:val="22"/>
          <w:szCs w:val="22"/>
        </w:rPr>
        <w:t>, tuturor persoanelor autorizate trebuie li se permită utilizarea serviciilor tehnice necesare în scopul utilizării acestor sisteme, iar informațiile necesare în acest scop trebuie furnizate în condiții de egalitate de șanse, conformitate și nediscriminare.</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Articolul 8</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Condițiile de acces</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(1) Definiția condițiilor de acces în sensul articolului 82 alineatul (2) punctul 4 și al articolului 83 alineatul (2) din </w:t>
      </w:r>
      <w:proofErr w:type="spellStart"/>
      <w:r>
        <w:rPr>
          <w:rFonts w:asciiTheme="minorHAnsi" w:hAnsiTheme="minorHAnsi"/>
          <w:sz w:val="22"/>
          <w:szCs w:val="22"/>
        </w:rPr>
        <w:t>MStV</w:t>
      </w:r>
      <w:proofErr w:type="spellEnd"/>
      <w:r>
        <w:rPr>
          <w:rFonts w:asciiTheme="minorHAnsi" w:hAnsiTheme="minorHAnsi"/>
          <w:sz w:val="22"/>
          <w:szCs w:val="22"/>
        </w:rPr>
        <w:t xml:space="preserve"> include, printre altele, modul în care un furnizor de platforme media desemnează platforma media prin dispoziții financiare și tehnice privind accesul la o ofertă în sensul articolului 82 alineatul (2) din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În cazul în care un organism de radiodifuziune solicită acces la o platformă media, evaluarea nediscriminării și a egalității de șanse include toate serviciile cu potențial comercial care sunt schimbate sau care urmează să fie transferate în contextul concret indirect sau direct al accesului. Acest lucru include în special</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remunerațiile și tarifele percepute sau care vor fi percepute de către furnizorul unei platforme media organismelor de radiodifuziune care solicită acces;</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 xml:space="preserve">remunerațiile plătite sau care trebuie să fie plătite prin contract de către un furnizor de platforme media către organismul de radiodifuziune ca urmare a furnizării de semnale, inclusiv </w:t>
      </w:r>
      <w:proofErr w:type="spellStart"/>
      <w:r>
        <w:rPr>
          <w:rFonts w:ascii="Calibri" w:hAnsi="Calibri"/>
          <w:sz w:val="22"/>
          <w:szCs w:val="22"/>
        </w:rPr>
        <w:t>reinserțiile</w:t>
      </w:r>
      <w:proofErr w:type="spellEnd"/>
      <w:r>
        <w:rPr>
          <w:rFonts w:ascii="Calibri" w:hAnsi="Calibri"/>
          <w:sz w:val="22"/>
          <w:szCs w:val="22"/>
        </w:rPr>
        <w:t xml:space="preserve"> în modelele HD-CPS.</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1B0E42" w:rsidP="002C35D6">
      <w:pPr>
        <w:spacing w:line="276" w:lineRule="auto"/>
        <w:rPr>
          <w:rFonts w:asciiTheme="minorHAnsi" w:eastAsia="Calibri" w:hAnsiTheme="minorHAnsi" w:cstheme="minorHAnsi"/>
          <w:sz w:val="22"/>
          <w:szCs w:val="22"/>
        </w:rPr>
      </w:pPr>
      <w:bookmarkStart w:id="3" w:name="_Hlk46133246"/>
      <w:r>
        <w:rPr>
          <w:rFonts w:asciiTheme="minorHAnsi" w:hAnsiTheme="minorHAnsi"/>
          <w:sz w:val="22"/>
          <w:szCs w:val="22"/>
        </w:rPr>
        <w:t xml:space="preserve">(3) În plus, în măsura în care este necesar pentru evaluarea situației accesului, acordurile privind acordarea și remunerarea drepturilor încheiate sau care urmează să fie încheiate de către un furnizor de platforme media cu organismul de radiodifuziune pe baza drepturilor de autor sau a drepturilor asupra mărcii pot fi incluse în evaluarea globală necesară. Dispozițiile legilor germane </w:t>
      </w:r>
      <w:proofErr w:type="spellStart"/>
      <w:r>
        <w:rPr>
          <w:rFonts w:asciiTheme="minorHAnsi" w:hAnsiTheme="minorHAnsi"/>
          <w:sz w:val="22"/>
          <w:szCs w:val="22"/>
        </w:rPr>
        <w:t>UrhG</w:t>
      </w:r>
      <w:proofErr w:type="spellEnd"/>
      <w:r>
        <w:rPr>
          <w:rFonts w:asciiTheme="minorHAnsi" w:hAnsiTheme="minorHAnsi"/>
          <w:sz w:val="22"/>
          <w:szCs w:val="22"/>
        </w:rPr>
        <w:t xml:space="preserve">, </w:t>
      </w:r>
      <w:proofErr w:type="spellStart"/>
      <w:r>
        <w:rPr>
          <w:rFonts w:asciiTheme="minorHAnsi" w:hAnsiTheme="minorHAnsi"/>
          <w:sz w:val="22"/>
          <w:szCs w:val="22"/>
        </w:rPr>
        <w:t>UrhWahrG</w:t>
      </w:r>
      <w:proofErr w:type="spellEnd"/>
      <w:r>
        <w:rPr>
          <w:rFonts w:asciiTheme="minorHAnsi" w:hAnsiTheme="minorHAnsi"/>
          <w:sz w:val="22"/>
          <w:szCs w:val="22"/>
        </w:rPr>
        <w:t xml:space="preserve"> și GWB, precum și competențele aferente rămân valabile în continuare.</w:t>
      </w:r>
      <w:bookmarkEnd w:id="3"/>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2C35D6" w:rsidP="00077B73">
      <w:pPr>
        <w:keepNext/>
        <w:spacing w:line="276" w:lineRule="auto"/>
        <w:jc w:val="center"/>
        <w:rPr>
          <w:rFonts w:ascii="Calibri" w:eastAsia="Calibri" w:hAnsi="Calibri"/>
          <w:b/>
          <w:sz w:val="22"/>
          <w:szCs w:val="22"/>
        </w:rPr>
      </w:pPr>
      <w:r>
        <w:rPr>
          <w:rFonts w:ascii="Calibri" w:hAnsi="Calibri"/>
          <w:b/>
          <w:sz w:val="22"/>
          <w:szCs w:val="22"/>
        </w:rPr>
        <w:t>Articolul 9</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Divulgarea</w:t>
      </w:r>
    </w:p>
    <w:p w:rsidR="002C35D6" w:rsidRPr="00077B73" w:rsidRDefault="002C35D6" w:rsidP="00077B73">
      <w:pPr>
        <w:keepNext/>
        <w:spacing w:line="276" w:lineRule="auto"/>
        <w:jc w:val="center"/>
        <w:rPr>
          <w:rFonts w:ascii="Calibri" w:eastAsia="Calibri" w:hAnsi="Calibri"/>
          <w:b/>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(1) Furnizorii de platforme media au obligația </w:t>
      </w:r>
    </w:p>
    <w:p w:rsidR="00CC7F6D" w:rsidRPr="00077B73" w:rsidRDefault="00CC7F6D" w:rsidP="002417C5">
      <w:pPr>
        <w:numPr>
          <w:ilvl w:val="0"/>
          <w:numId w:val="10"/>
        </w:numPr>
        <w:spacing w:after="200" w:line="276" w:lineRule="auto"/>
        <w:contextualSpacing/>
        <w:rPr>
          <w:rFonts w:ascii="Calibri" w:eastAsia="Calibri" w:hAnsi="Calibri"/>
          <w:sz w:val="22"/>
          <w:szCs w:val="22"/>
        </w:rPr>
      </w:pPr>
      <w:r>
        <w:rPr>
          <w:rFonts w:ascii="Calibri" w:hAnsi="Calibri"/>
          <w:sz w:val="22"/>
          <w:szCs w:val="22"/>
        </w:rPr>
        <w:t xml:space="preserve">să dezvăluie, prin depășirea pragurilor de reglementare stabilite la articolul 78 din </w:t>
      </w:r>
      <w:proofErr w:type="spellStart"/>
      <w:r>
        <w:rPr>
          <w:rFonts w:ascii="Calibri" w:hAnsi="Calibri"/>
          <w:sz w:val="22"/>
          <w:szCs w:val="22"/>
        </w:rPr>
        <w:t>MStV</w:t>
      </w:r>
      <w:proofErr w:type="spellEnd"/>
      <w:r>
        <w:rPr>
          <w:rFonts w:ascii="Calibri" w:hAnsi="Calibri"/>
          <w:sz w:val="22"/>
          <w:szCs w:val="22"/>
        </w:rPr>
        <w:t xml:space="preserve">, condițiile de acces în sensul articolului 82 alineatul (2) din </w:t>
      </w:r>
      <w:proofErr w:type="spellStart"/>
      <w:r>
        <w:rPr>
          <w:rFonts w:ascii="Calibri" w:hAnsi="Calibri"/>
          <w:sz w:val="22"/>
          <w:szCs w:val="22"/>
        </w:rPr>
        <w:t>MStV</w:t>
      </w:r>
      <w:proofErr w:type="spellEnd"/>
      <w:r>
        <w:rPr>
          <w:rFonts w:ascii="Calibri" w:hAnsi="Calibri"/>
          <w:sz w:val="22"/>
          <w:szCs w:val="22"/>
        </w:rPr>
        <w:t xml:space="preserve"> și al articolului 8 </w:t>
      </w:r>
    </w:p>
    <w:p w:rsidR="00CC7F6D" w:rsidRPr="00077B73" w:rsidRDefault="00CC7F6D" w:rsidP="002417C5">
      <w:pPr>
        <w:numPr>
          <w:ilvl w:val="0"/>
          <w:numId w:val="10"/>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în cazul articolului 81 alineatul (2) punctul 2 din </w:t>
      </w:r>
      <w:proofErr w:type="spellStart"/>
      <w:r>
        <w:rPr>
          <w:rFonts w:asciiTheme="minorHAnsi" w:hAnsiTheme="minorHAnsi"/>
          <w:sz w:val="22"/>
          <w:szCs w:val="22"/>
        </w:rPr>
        <w:t>MStV</w:t>
      </w:r>
      <w:proofErr w:type="spellEnd"/>
      <w:r>
        <w:rPr>
          <w:rFonts w:asciiTheme="minorHAnsi" w:hAnsiTheme="minorHAnsi"/>
          <w:sz w:val="22"/>
          <w:szCs w:val="22"/>
        </w:rPr>
        <w:t xml:space="preserve"> să dezvăluie informații privind capacitatea totală disponibilă pentru distribuția digitală a programelor de televiziune sau de radio</w:t>
      </w:r>
    </w:p>
    <w:p w:rsidR="00CC7F6D" w:rsidRPr="00077B73" w:rsidRDefault="00CC7F6D" w:rsidP="00CC7F6D">
      <w:pPr>
        <w:spacing w:after="200" w:line="276" w:lineRule="auto"/>
        <w:ind w:left="360"/>
        <w:contextualSpacing/>
        <w:rPr>
          <w:rFonts w:asciiTheme="minorHAnsi" w:eastAsia="Calibri" w:hAnsiTheme="minorHAnsi" w:cstheme="minorHAnsi"/>
          <w:sz w:val="22"/>
          <w:szCs w:val="22"/>
        </w:rPr>
      </w:pPr>
      <w:r>
        <w:rPr>
          <w:rFonts w:asciiTheme="minorHAnsi" w:hAnsiTheme="minorHAnsi"/>
          <w:sz w:val="22"/>
          <w:szCs w:val="22"/>
        </w:rPr>
        <w:t>la cerere, instituției de stat de reglementare a comunicațiilor media competente.</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CC7F6D">
      <w:pPr>
        <w:spacing w:line="276" w:lineRule="auto"/>
        <w:rPr>
          <w:rFonts w:asciiTheme="minorHAnsi" w:eastAsia="Calibri" w:hAnsiTheme="minorHAnsi" w:cstheme="minorHAnsi"/>
          <w:sz w:val="22"/>
          <w:szCs w:val="22"/>
        </w:rPr>
      </w:pPr>
      <w:r>
        <w:rPr>
          <w:rFonts w:asciiTheme="minorHAnsi" w:hAnsiTheme="minorHAnsi"/>
          <w:sz w:val="22"/>
          <w:szCs w:val="22"/>
        </w:rPr>
        <w:t>(2) Divulgarea se realizează prin intermediul unei documentații corespunzătoare.</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lastRenderedPageBreak/>
        <w:t>(3) Informațiile dezvăluite includ în special informații privind următoarele puncte:</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În cazul prevăzut la alineatul (1) punctul 1</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toți parametrii tehnici și condițiile tehnice pentru care sunt necesare informații pentru evaluarea accesului în temeiul articolului 82 alineatele (2) punctele 1 și 2 din </w:t>
      </w:r>
      <w:proofErr w:type="spellStart"/>
      <w:r>
        <w:rPr>
          <w:rFonts w:asciiTheme="minorHAnsi" w:hAnsiTheme="minorHAnsi"/>
          <w:sz w:val="22"/>
          <w:szCs w:val="22"/>
        </w:rPr>
        <w:t>MStV</w:t>
      </w:r>
      <w:proofErr w:type="spellEnd"/>
      <w:r>
        <w:rPr>
          <w:rFonts w:asciiTheme="minorHAnsi" w:hAnsiTheme="minorHAnsi"/>
          <w:sz w:val="22"/>
          <w:szCs w:val="22"/>
        </w:rPr>
        <w:t>;</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remunerațiile și tarifele percepute de furnizorii de platforme media, împreună cu datele și ipotezele comerciale care stau la baza calculării acestora;</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o descriere a sistemului sistematizat de remunerare aplicat.</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În cazul prevăzut la alineatul (1) punctul 2 </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informații privind posibilitățile folosite pentru utilizarea eficientă a capacităților;</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dacă și în ce alte standarde diferite de distribuție este diseminat un program.</w:t>
      </w:r>
    </w:p>
    <w:p w:rsidR="00CC7F6D" w:rsidRPr="00077B73" w:rsidRDefault="00CC7F6D" w:rsidP="00CC7F6D">
      <w:pPr>
        <w:spacing w:after="200" w:line="276" w:lineRule="auto"/>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Secțiunea 4:</w:t>
      </w:r>
      <w:r>
        <w:rPr>
          <w:rFonts w:asciiTheme="minorHAnsi" w:hAnsiTheme="minorHAnsi"/>
          <w:b/>
          <w:sz w:val="22"/>
          <w:szCs w:val="22"/>
        </w:rPr>
        <w:t xml:space="preserve"> Reglementări privind interfețele cu utilizatorul</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074EC8" w:rsidRPr="00077B73" w:rsidRDefault="00F57DE5" w:rsidP="00077B73">
      <w:pPr>
        <w:keepNext/>
        <w:spacing w:line="276" w:lineRule="auto"/>
        <w:jc w:val="center"/>
        <w:rPr>
          <w:rFonts w:ascii="Calibri" w:eastAsia="Calibri" w:hAnsi="Calibri"/>
          <w:b/>
          <w:sz w:val="22"/>
          <w:szCs w:val="22"/>
        </w:rPr>
      </w:pPr>
      <w:bookmarkStart w:id="4" w:name="_Hlk46133330"/>
      <w:r>
        <w:rPr>
          <w:rFonts w:ascii="Calibri" w:hAnsi="Calibri"/>
          <w:b/>
          <w:sz w:val="22"/>
          <w:szCs w:val="22"/>
        </w:rPr>
        <w:t xml:space="preserve">Articolul 10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Posibilitatea de identificare în interfețele cu utilizatorul</w:t>
      </w:r>
      <w:bookmarkEnd w:id="4"/>
    </w:p>
    <w:p w:rsidR="00074EC8" w:rsidRPr="00077B73" w:rsidRDefault="00074EC8" w:rsidP="00077B73">
      <w:pPr>
        <w:keepNext/>
        <w:spacing w:line="276" w:lineRule="auto"/>
        <w:jc w:val="center"/>
        <w:rPr>
          <w:rFonts w:ascii="Calibri" w:eastAsia="Calibri" w:hAnsi="Calibri"/>
          <w:b/>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bookmarkStart w:id="5" w:name="_Hlk46133556"/>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 Principalul factor determinant pentru identificarea ofertelor și a conținutului în interfețele cu utilizatorul este sortarea, ordonarea și prezentarea ofertelor și a conținutului, precum și alte forme de prezentare textuală, vizuală și acustică care sunt necesare spre identificare. </w:t>
      </w:r>
      <w:r>
        <w:rPr>
          <w:rFonts w:asciiTheme="minorHAnsi" w:hAnsiTheme="minorHAnsi"/>
          <w:sz w:val="22"/>
          <w:szCs w:val="22"/>
          <w:vertAlign w:val="superscript"/>
        </w:rPr>
        <w:t>2</w:t>
      </w:r>
      <w:r>
        <w:rPr>
          <w:rFonts w:asciiTheme="minorHAnsi" w:hAnsiTheme="minorHAnsi"/>
          <w:sz w:val="22"/>
          <w:szCs w:val="22"/>
        </w:rPr>
        <w:t xml:space="preserve"> Ofertele reprezintă programe radio individuale, similare celor radio precum </w:t>
      </w:r>
      <w:proofErr w:type="spellStart"/>
      <w:r>
        <w:rPr>
          <w:rFonts w:asciiTheme="minorHAnsi" w:hAnsiTheme="minorHAnsi"/>
          <w:sz w:val="22"/>
          <w:szCs w:val="22"/>
        </w:rPr>
        <w:t>telemedia</w:t>
      </w:r>
      <w:proofErr w:type="spellEnd"/>
      <w:r>
        <w:rPr>
          <w:rFonts w:asciiTheme="minorHAnsi" w:hAnsiTheme="minorHAnsi"/>
          <w:sz w:val="22"/>
          <w:szCs w:val="22"/>
        </w:rPr>
        <w:t xml:space="preserve">, </w:t>
      </w:r>
      <w:proofErr w:type="spellStart"/>
      <w:r>
        <w:rPr>
          <w:rFonts w:asciiTheme="minorHAnsi" w:hAnsiTheme="minorHAnsi"/>
          <w:sz w:val="22"/>
          <w:szCs w:val="22"/>
        </w:rPr>
        <w:t>telemedia</w:t>
      </w:r>
      <w:proofErr w:type="spellEnd"/>
      <w:r>
        <w:rPr>
          <w:rFonts w:asciiTheme="minorHAnsi" w:hAnsiTheme="minorHAnsi"/>
          <w:sz w:val="22"/>
          <w:szCs w:val="22"/>
        </w:rPr>
        <w:t xml:space="preserve"> în sensul articolului 19 alineatul (1) din </w:t>
      </w:r>
      <w:proofErr w:type="spellStart"/>
      <w:r>
        <w:rPr>
          <w:rFonts w:asciiTheme="minorHAnsi" w:hAnsiTheme="minorHAnsi"/>
          <w:sz w:val="22"/>
          <w:szCs w:val="22"/>
        </w:rPr>
        <w:t>MStV</w:t>
      </w:r>
      <w:proofErr w:type="spellEnd"/>
      <w:r>
        <w:rPr>
          <w:rFonts w:asciiTheme="minorHAnsi" w:hAnsiTheme="minorHAnsi"/>
          <w:sz w:val="22"/>
          <w:szCs w:val="22"/>
        </w:rPr>
        <w:t xml:space="preserve"> și, în esență, aplicații bazate pe programe de calculator destinate direct controlării directe a ofertelor menționate mai sus în integralitatea acestora. </w:t>
      </w:r>
      <w:r>
        <w:rPr>
          <w:rFonts w:asciiTheme="minorHAnsi" w:hAnsiTheme="minorHAnsi"/>
          <w:sz w:val="22"/>
          <w:szCs w:val="22"/>
          <w:vertAlign w:val="superscript"/>
        </w:rPr>
        <w:t>3</w:t>
      </w:r>
      <w:r>
        <w:rPr>
          <w:rFonts w:asciiTheme="minorHAnsi" w:hAnsiTheme="minorHAnsi"/>
          <w:sz w:val="22"/>
          <w:szCs w:val="22"/>
        </w:rPr>
        <w:t xml:space="preserve"> Conținutul este reprezentat de părți delimitabile ale ofertelor, în special desemnate sau perceptibile separat, cum ar fi emisiunile.</w:t>
      </w:r>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r>
        <w:rPr>
          <w:rFonts w:asciiTheme="minorHAnsi" w:hAnsiTheme="minorHAnsi"/>
          <w:sz w:val="22"/>
          <w:szCs w:val="22"/>
        </w:rPr>
        <w:t>(2) În ceea ce privește cerințele privind identificarea și exploatarea interfețelor cu utilizatorul, următoarele reguli sunt esențiale pentru înțelegerea unui utilizator mediu care nu dispune de cunoștințe tehnice specifice.</w:t>
      </w:r>
      <w:bookmarkEnd w:id="5"/>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 Ofertele sau conținuturile similare trebuie să fie echitabile și nediscriminatorii. </w:t>
      </w:r>
      <w:r>
        <w:rPr>
          <w:rFonts w:asciiTheme="minorHAnsi" w:hAnsiTheme="minorHAnsi"/>
          <w:sz w:val="22"/>
          <w:szCs w:val="22"/>
          <w:vertAlign w:val="superscript"/>
        </w:rPr>
        <w:t>2</w:t>
      </w:r>
      <w:r>
        <w:rPr>
          <w:rFonts w:asciiTheme="minorHAnsi" w:hAnsiTheme="minorHAnsi"/>
          <w:sz w:val="22"/>
          <w:szCs w:val="22"/>
        </w:rPr>
        <w:t xml:space="preserve"> Un tratament discriminatoriu nu poate fi admis decât dacă există un motiv obiectiv și verificabil care să nu contravină obiectivului de asigurare a diversității. </w:t>
      </w:r>
      <w:r>
        <w:rPr>
          <w:rFonts w:asciiTheme="minorHAnsi" w:hAnsiTheme="minorHAnsi"/>
          <w:sz w:val="22"/>
          <w:szCs w:val="22"/>
          <w:vertAlign w:val="superscript"/>
        </w:rPr>
        <w:t>3</w:t>
      </w:r>
      <w:r>
        <w:rPr>
          <w:rFonts w:asciiTheme="minorHAnsi" w:hAnsiTheme="minorHAnsi"/>
          <w:sz w:val="22"/>
          <w:szCs w:val="22"/>
        </w:rPr>
        <w:t xml:space="preserve"> Criteriile eligibile pentru sortarea sau ordonarea ofertelor și a conținutului sunt, în special:</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ordinea alfabetică;</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genurile precum informarea, educația, cultura, aspecte regionale sau divertismentul, respectiv</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gama de utilizare.</w:t>
      </w:r>
    </w:p>
    <w:p w:rsidR="002643CD" w:rsidRPr="00077B73" w:rsidRDefault="00C74DCA" w:rsidP="00077B73">
      <w:pPr>
        <w:keepNext/>
        <w:spacing w:line="276" w:lineRule="auto"/>
        <w:rPr>
          <w:rFonts w:asciiTheme="minorHAnsi" w:eastAsia="Calibri" w:hAnsiTheme="minorHAnsi" w:cstheme="minorHAnsi"/>
          <w:sz w:val="22"/>
          <w:szCs w:val="22"/>
        </w:rPr>
      </w:pPr>
      <w:r>
        <w:rPr>
          <w:rFonts w:asciiTheme="minorHAnsi" w:hAnsiTheme="minorHAnsi"/>
          <w:sz w:val="22"/>
          <w:szCs w:val="22"/>
          <w:vertAlign w:val="superscript"/>
        </w:rPr>
        <w:t>4</w:t>
      </w:r>
      <w:r>
        <w:rPr>
          <w:rFonts w:asciiTheme="minorHAnsi" w:hAnsiTheme="minorHAnsi"/>
          <w:sz w:val="22"/>
          <w:szCs w:val="22"/>
        </w:rPr>
        <w:t xml:space="preserve"> Nu se aduce atingere posibilității de a dezvolta în continuare criteriile. </w:t>
      </w:r>
      <w:r>
        <w:rPr>
          <w:rFonts w:asciiTheme="minorHAnsi" w:hAnsiTheme="minorHAnsi"/>
          <w:sz w:val="22"/>
          <w:szCs w:val="22"/>
          <w:vertAlign w:val="superscript"/>
        </w:rPr>
        <w:t>5</w:t>
      </w:r>
      <w:r>
        <w:rPr>
          <w:rFonts w:asciiTheme="minorHAnsi" w:hAnsiTheme="minorHAnsi"/>
          <w:sz w:val="22"/>
          <w:szCs w:val="22"/>
        </w:rPr>
        <w:t xml:space="preserve"> Există o discriminare în special atunci când furnizorul interfeței cu utilizatorul se abate de la propriile criterii admisibile. </w:t>
      </w:r>
      <w:r>
        <w:rPr>
          <w:rFonts w:asciiTheme="minorHAnsi" w:hAnsiTheme="minorHAnsi"/>
          <w:sz w:val="22"/>
          <w:szCs w:val="22"/>
          <w:vertAlign w:val="superscript"/>
        </w:rPr>
        <w:t>6</w:t>
      </w:r>
      <w:r>
        <w:rPr>
          <w:rFonts w:asciiTheme="minorHAnsi" w:hAnsiTheme="minorHAnsi"/>
          <w:sz w:val="22"/>
          <w:szCs w:val="22"/>
        </w:rPr>
        <w:t xml:space="preserve"> Furnizorul trebuie să asigure autorităților de stat pentru reglementarea mediilor de comunicare faptul că criteriile sunt verificabile și că acestea sunt respectate, să le prezinte în mod special detaliat, respectiv să prezinte criteriile utilizate și informațiile folosite în acest scop. </w:t>
      </w:r>
      <w:r>
        <w:rPr>
          <w:rFonts w:asciiTheme="minorHAnsi" w:hAnsiTheme="minorHAnsi"/>
          <w:sz w:val="22"/>
          <w:szCs w:val="22"/>
          <w:vertAlign w:val="superscript"/>
        </w:rPr>
        <w:t>7</w:t>
      </w:r>
      <w:r>
        <w:rPr>
          <w:rFonts w:asciiTheme="minorHAnsi" w:hAnsiTheme="minorHAnsi"/>
          <w:sz w:val="22"/>
          <w:szCs w:val="22"/>
        </w:rPr>
        <w:t xml:space="preserve">De regulă nu se acceptă </w:t>
      </w:r>
    </w:p>
    <w:p w:rsidR="002643CD"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o sortare sau o ordonare care este afectată de remunerație sau de un contraserviciu similar sau</w:t>
      </w:r>
    </w:p>
    <w:p w:rsidR="00F57DE5"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 xml:space="preserve">preferința pentru ofertele proprii și conținutul propriu ale furnizorului interfeței cu utilizatorul, cu excepția cazului în care se plătește o taxă pentru utilizare. </w:t>
      </w:r>
      <w:bookmarkStart w:id="6" w:name="_Hlk46133683"/>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74DC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 Interfețele cu utilizatorul trebuie să prezinte posibilitatea de a căuta anumite oferte specifice în toate ofertele (funcție de căutare). </w:t>
      </w:r>
      <w:r>
        <w:rPr>
          <w:rFonts w:asciiTheme="minorHAnsi" w:hAnsiTheme="minorHAnsi"/>
          <w:sz w:val="22"/>
          <w:szCs w:val="22"/>
          <w:vertAlign w:val="superscript"/>
        </w:rPr>
        <w:t>2</w:t>
      </w:r>
      <w:r>
        <w:rPr>
          <w:rFonts w:asciiTheme="minorHAnsi" w:hAnsiTheme="minorHAnsi"/>
          <w:sz w:val="22"/>
          <w:szCs w:val="22"/>
        </w:rPr>
        <w:t xml:space="preserve"> Rezultatul căutării, inclusiv sugestiile generate în timpul procesului de căutare (de exemplu prin intermediul unei funcții de completare automată), trebuie să fie nediscriminatoriu. </w:t>
      </w:r>
      <w:r>
        <w:rPr>
          <w:rFonts w:asciiTheme="minorHAnsi" w:hAnsiTheme="minorHAnsi"/>
          <w:sz w:val="22"/>
          <w:szCs w:val="22"/>
          <w:vertAlign w:val="superscript"/>
        </w:rPr>
        <w:t>3</w:t>
      </w:r>
      <w:r>
        <w:rPr>
          <w:rFonts w:asciiTheme="minorHAnsi" w:hAnsiTheme="minorHAnsi"/>
          <w:sz w:val="22"/>
          <w:szCs w:val="22"/>
        </w:rPr>
        <w:t xml:space="preserve"> În plus, o interfață cu utilizatorul poate, de asemenea, să păstreze posibilitatea de a căuta conținut; alineatul (3) punctul 1 se aplică mutatis mutandis.</w:t>
      </w:r>
      <w:bookmarkStart w:id="7" w:name="_Hlk46133701"/>
      <w:bookmarkEnd w:id="6"/>
    </w:p>
    <w:p w:rsidR="00F57DE5" w:rsidRPr="00077B73" w:rsidRDefault="00F57DE5" w:rsidP="00C74DCA">
      <w:pPr>
        <w:spacing w:line="276" w:lineRule="auto"/>
        <w:rPr>
          <w:rFonts w:asciiTheme="minorHAnsi" w:eastAsia="Calibri" w:hAnsiTheme="minorHAnsi" w:cstheme="minorHAnsi"/>
          <w:sz w:val="22"/>
          <w:szCs w:val="22"/>
          <w:lang w:eastAsia="en-US"/>
        </w:rPr>
      </w:pPr>
    </w:p>
    <w:p w:rsidR="00F57DE5" w:rsidRPr="00077B73" w:rsidRDefault="0060422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(5) </w:t>
      </w:r>
      <w:r>
        <w:rPr>
          <w:rFonts w:asciiTheme="minorHAnsi" w:hAnsiTheme="minorHAnsi"/>
          <w:sz w:val="22"/>
          <w:szCs w:val="22"/>
          <w:vertAlign w:val="superscript"/>
        </w:rPr>
        <w:t>1</w:t>
      </w:r>
      <w:r>
        <w:rPr>
          <w:rFonts w:asciiTheme="minorHAnsi" w:hAnsiTheme="minorHAnsi"/>
          <w:sz w:val="22"/>
          <w:szCs w:val="22"/>
        </w:rPr>
        <w:t xml:space="preserve"> Ofertele din interfețele cu utilizatorul sunt ușor de identificat dacă acestea sunt ușor și rapid de găsit, de exemplu pentru că sunt poziționate anterior sau evidențiate, spre exemplu prin intermediul unui buton dedicat. </w:t>
      </w:r>
      <w:r>
        <w:rPr>
          <w:rFonts w:asciiTheme="minorHAnsi" w:hAnsiTheme="minorHAnsi"/>
          <w:sz w:val="22"/>
          <w:szCs w:val="22"/>
          <w:vertAlign w:val="superscript"/>
        </w:rPr>
        <w:t>2</w:t>
      </w:r>
      <w:r>
        <w:rPr>
          <w:rFonts w:asciiTheme="minorHAnsi" w:hAnsiTheme="minorHAnsi"/>
          <w:sz w:val="22"/>
          <w:szCs w:val="22"/>
        </w:rPr>
        <w:t xml:space="preserve"> Modul facil de identificare în cazuri individuale poate fi asigurat în funcție de natura, domeniul de aplicare și structura interfeței cu utilizatorul, precum și de imaginea specifică sau de alte forme de prezentare a ofertelor și a conținutului. </w:t>
      </w:r>
      <w:r>
        <w:rPr>
          <w:rFonts w:asciiTheme="minorHAnsi" w:hAnsiTheme="minorHAnsi"/>
          <w:sz w:val="22"/>
          <w:szCs w:val="22"/>
          <w:vertAlign w:val="superscript"/>
        </w:rPr>
        <w:t>3</w:t>
      </w:r>
      <w:r>
        <w:rPr>
          <w:rFonts w:asciiTheme="minorHAnsi" w:hAnsiTheme="minorHAnsi"/>
          <w:sz w:val="22"/>
          <w:szCs w:val="22"/>
        </w:rPr>
        <w:t xml:space="preserve"> Ca regulă generală, pentru ca ofertele relevante să fie ușor de identificat, nu este suficient ca acestea să poată fi găsite la fel de ușor și de rapid ca restul ofertelor.</w:t>
      </w:r>
      <w:bookmarkEnd w:id="7"/>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C74DCA" w:rsidP="00077B73">
      <w:pPr>
        <w:keepNext/>
        <w:spacing w:line="276" w:lineRule="auto"/>
        <w:rPr>
          <w:rFonts w:asciiTheme="minorHAnsi" w:eastAsia="Calibri" w:hAnsiTheme="minorHAnsi" w:cstheme="minorHAnsi"/>
          <w:sz w:val="22"/>
          <w:szCs w:val="22"/>
        </w:rPr>
      </w:pPr>
      <w:bookmarkStart w:id="8" w:name="_Hlk46133741"/>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În interfețele cu utilizatorul trebuie să fie ușor de identificat următoarele:</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la primul nivel de selectare a radiodifuziunii în ansamblu, cu condiția ca la acest nivel să nu fie posibilă numai selectarea programelor de radiodifuziune;</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 xml:space="preserve">în domeniul radiodifuziunii programele finanțate prin contribuții definite în cadrul legal, programele de radiodifuziune care trebuie să includă programe de tip fereastră [articolul 59 alineatul (4) din </w:t>
      </w:r>
      <w:proofErr w:type="spellStart"/>
      <w:r>
        <w:rPr>
          <w:rFonts w:ascii="Calibri" w:hAnsi="Calibri"/>
          <w:sz w:val="22"/>
          <w:szCs w:val="22"/>
        </w:rPr>
        <w:t>MStV</w:t>
      </w:r>
      <w:proofErr w:type="spellEnd"/>
      <w:r>
        <w:rPr>
          <w:rFonts w:ascii="Calibri" w:hAnsi="Calibri"/>
          <w:sz w:val="22"/>
          <w:szCs w:val="22"/>
        </w:rPr>
        <w:t>] și programele private care contribuie în mod special la diversitatea opiniilor și ofertelor de pe teritoriul federal; și</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 xml:space="preserve">la nivelurile de selectare care prezintă numai sau în principal aplicații de </w:t>
      </w:r>
      <w:proofErr w:type="spellStart"/>
      <w:r>
        <w:rPr>
          <w:rFonts w:ascii="Calibri" w:hAnsi="Calibri"/>
          <w:sz w:val="22"/>
          <w:szCs w:val="22"/>
        </w:rPr>
        <w:t>telemedia</w:t>
      </w:r>
      <w:proofErr w:type="spellEnd"/>
      <w:r>
        <w:rPr>
          <w:rFonts w:ascii="Calibri" w:hAnsi="Calibri"/>
          <w:sz w:val="22"/>
          <w:szCs w:val="22"/>
        </w:rPr>
        <w:t xml:space="preserve"> sau software de tip radio care sunt concepute pentru controlul direct al acestora, serviciile </w:t>
      </w:r>
      <w:proofErr w:type="spellStart"/>
      <w:r>
        <w:rPr>
          <w:rFonts w:ascii="Calibri" w:hAnsi="Calibri"/>
          <w:sz w:val="22"/>
          <w:szCs w:val="22"/>
        </w:rPr>
        <w:t>telemedia</w:t>
      </w:r>
      <w:proofErr w:type="spellEnd"/>
      <w:r>
        <w:rPr>
          <w:rFonts w:ascii="Calibri" w:hAnsi="Calibri"/>
          <w:sz w:val="22"/>
          <w:szCs w:val="22"/>
        </w:rPr>
        <w:t xml:space="preserve"> și aplicațiile software în conformitate cu articolul 84 alineatul (4) din </w:t>
      </w:r>
      <w:proofErr w:type="spellStart"/>
      <w:r>
        <w:rPr>
          <w:rFonts w:ascii="Calibri" w:hAnsi="Calibri"/>
          <w:sz w:val="22"/>
          <w:szCs w:val="22"/>
        </w:rPr>
        <w:t>MStV</w:t>
      </w:r>
      <w:proofErr w:type="spellEnd"/>
      <w:r>
        <w:rPr>
          <w:rFonts w:ascii="Calibri" w:hAnsi="Calibri"/>
          <w:sz w:val="22"/>
          <w:szCs w:val="22"/>
        </w:rPr>
        <w:t>.</w:t>
      </w:r>
      <w:bookmarkEnd w:id="8"/>
    </w:p>
    <w:p w:rsidR="00F57DE5" w:rsidRPr="00077B73" w:rsidRDefault="0060422A" w:rsidP="0060422A">
      <w:pPr>
        <w:spacing w:line="276" w:lineRule="auto"/>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 xml:space="preserve"> Radiodifuziunea în ansamblu trebuie să fie realizabilă la primul nivel de selectare, fără etape intermediare semnificative, de obicei cu o singură acțiune. </w:t>
      </w:r>
      <w:r>
        <w:rPr>
          <w:rFonts w:asciiTheme="minorHAnsi" w:hAnsiTheme="minorHAnsi"/>
          <w:sz w:val="22"/>
          <w:szCs w:val="22"/>
          <w:vertAlign w:val="superscript"/>
        </w:rPr>
        <w:t>3</w:t>
      </w:r>
      <w:r>
        <w:rPr>
          <w:rFonts w:asciiTheme="minorHAnsi" w:hAnsiTheme="minorHAnsi"/>
          <w:sz w:val="22"/>
          <w:szCs w:val="22"/>
        </w:rPr>
        <w:t xml:space="preserve"> În cazul în care programele radio care trebuie să includă programe de tip fereastră [articolul 59 alineatul (4)] sunt reprezentate sau transmise în mod acustic în zona pentru care programele de tip fereastră sunt autorizate sau prevăzute de lege, principalele programe cu program de tip fereastră au prioritate față de programul principal difuzat fără program tip fereastră și față de programele tip fereastră care sunt autorizate sau prevăzute de lege pentru utilizarea în alte zone.</w:t>
      </w:r>
    </w:p>
    <w:p w:rsidR="0060422A" w:rsidRPr="00077B73" w:rsidRDefault="0060422A" w:rsidP="0060422A">
      <w:pPr>
        <w:spacing w:line="276" w:lineRule="auto"/>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bookmarkStart w:id="9" w:name="_Hlk46133783"/>
      <w:r>
        <w:rPr>
          <w:rFonts w:asciiTheme="minorHAnsi" w:hAnsiTheme="minorHAnsi"/>
          <w:sz w:val="22"/>
          <w:szCs w:val="22"/>
        </w:rPr>
        <w:t xml:space="preserve">(7) </w:t>
      </w:r>
      <w:r>
        <w:rPr>
          <w:rFonts w:asciiTheme="minorHAnsi" w:hAnsiTheme="minorHAnsi"/>
          <w:sz w:val="22"/>
          <w:szCs w:val="22"/>
          <w:vertAlign w:val="superscript"/>
        </w:rPr>
        <w:t>1</w:t>
      </w:r>
      <w:r>
        <w:rPr>
          <w:rFonts w:asciiTheme="minorHAnsi" w:hAnsiTheme="minorHAnsi"/>
          <w:sz w:val="22"/>
          <w:szCs w:val="22"/>
        </w:rPr>
        <w:t xml:space="preserve"> Independent de presetări, ofertele și conținutul implicit trebuie să poată fi sortate și ordonate cu ușurință și rapid de către utilizatorul însuși (de exemplu prin intermediul unei liste de favorite). </w:t>
      </w:r>
      <w:r>
        <w:rPr>
          <w:rFonts w:asciiTheme="minorHAnsi" w:hAnsiTheme="minorHAnsi"/>
          <w:sz w:val="22"/>
          <w:szCs w:val="22"/>
          <w:vertAlign w:val="superscript"/>
        </w:rPr>
        <w:t>2</w:t>
      </w:r>
      <w:r>
        <w:rPr>
          <w:rFonts w:asciiTheme="minorHAnsi" w:hAnsiTheme="minorHAnsi"/>
          <w:sz w:val="22"/>
          <w:szCs w:val="22"/>
        </w:rPr>
        <w:t xml:space="preserve"> Ca regulă generală, ofertele sau conținutul pot fi sortate sau ordonate cu ușurință și rapid dacă acest lucru este evident sau este explicat într-un mod ușor de înțeles. </w:t>
      </w:r>
      <w:r>
        <w:rPr>
          <w:rFonts w:asciiTheme="minorHAnsi" w:hAnsiTheme="minorHAnsi"/>
          <w:sz w:val="22"/>
          <w:szCs w:val="22"/>
          <w:vertAlign w:val="superscript"/>
        </w:rPr>
        <w:t>3</w:t>
      </w:r>
      <w:r>
        <w:rPr>
          <w:rFonts w:asciiTheme="minorHAnsi" w:hAnsiTheme="minorHAnsi"/>
          <w:sz w:val="22"/>
          <w:szCs w:val="22"/>
        </w:rPr>
        <w:t xml:space="preserve"> Sortarea sau ordonarea efectuată de utilizator nu poate fi modificată decât de utilizatorul însuși și, în special, nu prin intermediul actualizărilor.</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r>
        <w:rPr>
          <w:rFonts w:asciiTheme="minorHAnsi" w:hAnsiTheme="minorHAnsi"/>
          <w:sz w:val="22"/>
          <w:szCs w:val="22"/>
        </w:rPr>
        <w:t xml:space="preserve">(8) </w:t>
      </w:r>
      <w:r>
        <w:rPr>
          <w:rFonts w:asciiTheme="minorHAnsi" w:hAnsiTheme="minorHAnsi"/>
          <w:sz w:val="22"/>
          <w:szCs w:val="22"/>
          <w:vertAlign w:val="superscript"/>
        </w:rPr>
        <w:t>1</w:t>
      </w:r>
      <w:r>
        <w:rPr>
          <w:rFonts w:asciiTheme="minorHAnsi" w:hAnsiTheme="minorHAnsi"/>
          <w:sz w:val="22"/>
          <w:szCs w:val="22"/>
        </w:rPr>
        <w:t xml:space="preserve"> Alineatele (4)-(7) nu se aplică în cazul în care furnizorul interfeței cu utilizatorul demonstrează că acest lucru este imposibil din punct de vedere tehnic sau poate fi pus în aplicare numai cu eforturi disproporționate. </w:t>
      </w:r>
      <w:r>
        <w:rPr>
          <w:rFonts w:asciiTheme="minorHAnsi" w:hAnsiTheme="minorHAnsi"/>
          <w:sz w:val="22"/>
          <w:szCs w:val="22"/>
          <w:vertAlign w:val="superscript"/>
        </w:rPr>
        <w:t>2</w:t>
      </w:r>
      <w:r>
        <w:rPr>
          <w:rFonts w:asciiTheme="minorHAnsi" w:hAnsiTheme="minorHAnsi"/>
          <w:sz w:val="22"/>
          <w:szCs w:val="22"/>
        </w:rPr>
        <w:t xml:space="preserve"> Factorul determinant pentru stabilirea efortului disproporționat reprezintă o evaluare globală care ia în considerare în special situația financiară a furnizorului, efortul pentru alte funcții care sunt utile identificării interfeței cu utilizatorul, precum și natura și amploarea încălcării </w:t>
      </w:r>
      <w:r>
        <w:rPr>
          <w:rFonts w:asciiTheme="minorHAnsi" w:hAnsiTheme="minorHAnsi"/>
          <w:sz w:val="22"/>
          <w:szCs w:val="22"/>
        </w:rPr>
        <w:lastRenderedPageBreak/>
        <w:t>săvârșite în cazul lipsei implementării. Efortul este disproporționat numai în cazul unei discrepanțe acute.</w:t>
      </w:r>
    </w:p>
    <w:bookmarkEnd w:id="9"/>
    <w:p w:rsidR="00165009" w:rsidRPr="00077B73" w:rsidRDefault="00165009">
      <w:pPr>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Secțiunea 5: Cerințe privind transparența</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48314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Articolul 11</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Transparența</w:t>
      </w:r>
    </w:p>
    <w:p w:rsidR="00483146" w:rsidRPr="00077B73" w:rsidRDefault="00483146" w:rsidP="00077B73">
      <w:pPr>
        <w:keepNext/>
        <w:spacing w:line="276" w:lineRule="auto"/>
        <w:jc w:val="center"/>
        <w:rPr>
          <w:rFonts w:ascii="Calibri" w:eastAsia="Calibri" w:hAnsi="Calibri"/>
          <w:b/>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 Furnizorii de platforme media și de interfețe cu utilizatorul trebuie să asigure transparența informațiilor în sensul articolului 85 din MSTV. </w:t>
      </w:r>
      <w:r>
        <w:rPr>
          <w:rFonts w:asciiTheme="minorHAnsi" w:hAnsiTheme="minorHAnsi"/>
          <w:sz w:val="22"/>
          <w:szCs w:val="22"/>
          <w:vertAlign w:val="superscript"/>
        </w:rPr>
        <w:t>2</w:t>
      </w:r>
      <w:r>
        <w:rPr>
          <w:rFonts w:asciiTheme="minorHAnsi" w:hAnsiTheme="minorHAnsi"/>
          <w:sz w:val="22"/>
          <w:szCs w:val="22"/>
        </w:rPr>
        <w:t xml:space="preserve"> Informațiile trebuie să fie disponibile în limba nativă, astfel încât să fie ușor vizibile, direct accesibile și în permanență la dispoziția utilizatorului.</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(2) În ceea ce privește cerințele pentru punerea în aplicare a solicitărilor legate de transparență, este important nivelul de înțelegere al unui utilizator mediu care nu are cunoștințe tehnice specifice.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0" w:name="_Hlk46134451"/>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 Informațiile sunt ușor de înțeles dacă pot fi găsite cu ușurință și rapid atunci când se utilizează platforma media sau interfața cu utilizatorul, de exemplu pentru că sunt evidențiate și marcate cu un termen lipsit clar. </w:t>
      </w:r>
      <w:r>
        <w:rPr>
          <w:rFonts w:asciiTheme="minorHAnsi" w:hAnsiTheme="minorHAnsi"/>
          <w:sz w:val="22"/>
          <w:szCs w:val="22"/>
          <w:vertAlign w:val="superscript"/>
        </w:rPr>
        <w:t>2</w:t>
      </w:r>
      <w:r>
        <w:rPr>
          <w:rFonts w:asciiTheme="minorHAnsi" w:hAnsiTheme="minorHAnsi"/>
          <w:sz w:val="22"/>
          <w:szCs w:val="22"/>
        </w:rPr>
        <w:t xml:space="preserve"> Modalitățile practice de asigurare a unei înțelegeri facile trebuie să fie stabilite în funcție de natura, domeniul de aplicare și de alte forme ale serviciului. </w:t>
      </w:r>
      <w:r>
        <w:rPr>
          <w:rFonts w:asciiTheme="minorHAnsi" w:hAnsiTheme="minorHAnsi"/>
          <w:sz w:val="22"/>
          <w:szCs w:val="22"/>
          <w:vertAlign w:val="superscript"/>
        </w:rPr>
        <w:t>3</w:t>
      </w:r>
      <w:r>
        <w:rPr>
          <w:rFonts w:asciiTheme="minorHAnsi" w:hAnsiTheme="minorHAnsi"/>
          <w:sz w:val="22"/>
          <w:szCs w:val="22"/>
        </w:rPr>
        <w:t xml:space="preserve"> În cazul în care utilizarea serviciului se realizează în principal prin comenzi vocale, informațiile ar trebui, de asemenea, să poată fi redate și acustic la cererea utilizatorului, cu o indicație acustică a locului unde sunt păstrate informațiile.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1" w:name="_Hlk46134475"/>
      <w:bookmarkEnd w:id="10"/>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 Informațiile sunt direct accesibile dacă sunt furnizate astfel încât să poată fi accesate în cadrul platformei media sau al interfeței cu utilizatorul fără etape intermediare semnificative. </w:t>
      </w:r>
      <w:r>
        <w:rPr>
          <w:rFonts w:asciiTheme="minorHAnsi" w:hAnsiTheme="minorHAnsi"/>
          <w:sz w:val="22"/>
          <w:szCs w:val="22"/>
          <w:vertAlign w:val="superscript"/>
        </w:rPr>
        <w:t>2</w:t>
      </w:r>
      <w:r>
        <w:rPr>
          <w:rFonts w:asciiTheme="minorHAnsi" w:hAnsiTheme="minorHAnsi"/>
          <w:sz w:val="22"/>
          <w:szCs w:val="22"/>
        </w:rPr>
        <w:t xml:space="preserve"> Atunci când utilizarea serviciului se realizează prin internet, acest lucru poate fi realizat, de asemenea, prin crearea unei legături.</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(5) Informațiile sunt permanent disponibile atunci când acestea sunt puse la dispoziție în mod permanent și fără limitare în timp.</w:t>
      </w:r>
    </w:p>
    <w:p w:rsidR="00F33BCA" w:rsidRPr="00077B73" w:rsidRDefault="00F33BCA" w:rsidP="00490C3B">
      <w:pPr>
        <w:spacing w:line="276" w:lineRule="auto"/>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Secțiunea 6: Dispoziții procedurale</w:t>
      </w:r>
    </w:p>
    <w:p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1"/>
    <w:p w:rsidR="00BF13E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Articolul 12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ZAK</w:t>
      </w:r>
    </w:p>
    <w:p w:rsidR="00BF13E2" w:rsidRPr="00077B73" w:rsidRDefault="00BF13E2" w:rsidP="00077B73">
      <w:pPr>
        <w:keepNext/>
        <w:spacing w:line="276" w:lineRule="auto"/>
        <w:jc w:val="center"/>
        <w:rPr>
          <w:rFonts w:ascii="Calibri" w:eastAsia="Calibri" w:hAnsi="Calibri"/>
          <w:b/>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 Pentru sarcinile care trebuie îndeplinite în temeiul prezentului statut, Comisia de Aprobare și Supraveghere (ZAK) a autoritățile competente de stat pentru reglementarea mediilor de comunicare îndeplinește rolul de organ [articolul 104 alineatul (2) primul paragraf punctul 1, articolul 105 alineatul (1) primul paragraf punctele 8 și 9 din </w:t>
      </w:r>
      <w:proofErr w:type="spellStart"/>
      <w:r>
        <w:rPr>
          <w:rFonts w:asciiTheme="minorHAnsi" w:hAnsiTheme="minorHAnsi"/>
          <w:sz w:val="22"/>
          <w:szCs w:val="22"/>
        </w:rPr>
        <w:t>MStV</w:t>
      </w:r>
      <w:proofErr w:type="spellEnd"/>
      <w:r>
        <w:rPr>
          <w:rFonts w:asciiTheme="minorHAnsi" w:hAnsiTheme="minorHAnsi"/>
          <w:sz w:val="22"/>
          <w:szCs w:val="22"/>
        </w:rPr>
        <w:t xml:space="preserve">, coroborat cu regulamentul comercial și de procedură al ZAK — GVO ZAK]. </w:t>
      </w:r>
      <w:r>
        <w:rPr>
          <w:rFonts w:asciiTheme="minorHAnsi" w:hAnsiTheme="minorHAnsi"/>
          <w:sz w:val="22"/>
          <w:szCs w:val="22"/>
        </w:rPr>
        <w:br/>
      </w:r>
      <w:r>
        <w:rPr>
          <w:rFonts w:asciiTheme="minorHAnsi" w:hAnsiTheme="minorHAnsi"/>
          <w:sz w:val="22"/>
          <w:szCs w:val="22"/>
          <w:vertAlign w:val="superscript"/>
        </w:rPr>
        <w:t>2</w:t>
      </w:r>
      <w:r>
        <w:rPr>
          <w:rFonts w:asciiTheme="minorHAnsi" w:hAnsiTheme="minorHAnsi"/>
          <w:sz w:val="22"/>
          <w:szCs w:val="22"/>
        </w:rPr>
        <w:t xml:space="preserve"> Articolul 81 alineatul (5) punctul 3, coroborat cu articolul 105 alineatul (2) punctele 1 și 2 </w:t>
      </w:r>
      <w:proofErr w:type="spellStart"/>
      <w:r>
        <w:rPr>
          <w:rFonts w:asciiTheme="minorHAnsi" w:hAnsiTheme="minorHAnsi"/>
          <w:sz w:val="22"/>
          <w:szCs w:val="22"/>
        </w:rPr>
        <w:t>MStV</w:t>
      </w:r>
      <w:proofErr w:type="spellEnd"/>
      <w:r>
        <w:rPr>
          <w:rFonts w:asciiTheme="minorHAnsi" w:hAnsiTheme="minorHAnsi"/>
          <w:sz w:val="22"/>
          <w:szCs w:val="22"/>
        </w:rPr>
        <w:t xml:space="preserve"> rămâne nemodificat.</w:t>
      </w:r>
    </w:p>
    <w:p w:rsidR="00F57DE5" w:rsidRPr="00077B73" w:rsidRDefault="00F57DE5" w:rsidP="00BF13E2">
      <w:pPr>
        <w:spacing w:line="276" w:lineRule="auto"/>
        <w:rPr>
          <w:rFonts w:asciiTheme="minorHAnsi" w:eastAsia="Calibri" w:hAnsiTheme="minorHAnsi" w:cstheme="minorHAnsi"/>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(2)</w:t>
      </w:r>
      <w:r>
        <w:rPr>
          <w:rFonts w:asciiTheme="minorHAnsi" w:hAnsiTheme="minorHAnsi"/>
          <w:sz w:val="22"/>
          <w:szCs w:val="22"/>
          <w:vertAlign w:val="superscript"/>
        </w:rPr>
        <w:t xml:space="preserve"> 1</w:t>
      </w:r>
      <w:r>
        <w:rPr>
          <w:rFonts w:asciiTheme="minorHAnsi" w:hAnsiTheme="minorHAnsi"/>
          <w:sz w:val="22"/>
          <w:szCs w:val="22"/>
        </w:rPr>
        <w:t xml:space="preserve"> Autoritatea competentă de stat pentru reglementarea mediilor de comunicare transmite fără întârziere ZAK notificările prevăzute la articolul 2 și reclamațiile formulate în temeiul articolului 14 </w:t>
      </w:r>
      <w:r>
        <w:rPr>
          <w:rFonts w:asciiTheme="minorHAnsi" w:hAnsiTheme="minorHAnsi"/>
          <w:sz w:val="22"/>
          <w:szCs w:val="22"/>
        </w:rPr>
        <w:lastRenderedPageBreak/>
        <w:t xml:space="preserve">prin intermediul biroului comun și informează cu privire la inspecțiile din oficiu. </w:t>
      </w:r>
      <w:r>
        <w:rPr>
          <w:rFonts w:asciiTheme="minorHAnsi" w:hAnsiTheme="minorHAnsi"/>
          <w:sz w:val="22"/>
          <w:szCs w:val="22"/>
          <w:vertAlign w:val="superscript"/>
        </w:rPr>
        <w:t>2</w:t>
      </w:r>
      <w:r>
        <w:rPr>
          <w:rFonts w:asciiTheme="minorHAnsi" w:hAnsiTheme="minorHAnsi"/>
          <w:sz w:val="22"/>
          <w:szCs w:val="22"/>
        </w:rPr>
        <w:t xml:space="preserve"> Autoritatea competentă de stat pentru reglementarea mediilor de comunicare desfășoară procedura până la luarea unei decizii. </w:t>
      </w:r>
    </w:p>
    <w:p w:rsidR="00F702A0" w:rsidRPr="00077B73" w:rsidRDefault="00F702A0" w:rsidP="009F46B5">
      <w:pPr>
        <w:spacing w:line="276" w:lineRule="auto"/>
        <w:jc w:val="center"/>
        <w:rPr>
          <w:rFonts w:ascii="Calibri" w:eastAsia="Calibri" w:hAnsi="Calibri"/>
          <w:b/>
          <w:sz w:val="22"/>
          <w:szCs w:val="22"/>
          <w:lang w:eastAsia="en-US"/>
        </w:rPr>
      </w:pPr>
    </w:p>
    <w:p w:rsidR="009F46B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Articolul 13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Procedurile</w:t>
      </w:r>
    </w:p>
    <w:p w:rsidR="009F46B5" w:rsidRPr="00077B73" w:rsidRDefault="009F46B5" w:rsidP="00077B73">
      <w:pPr>
        <w:keepNext/>
        <w:spacing w:line="276" w:lineRule="auto"/>
        <w:jc w:val="center"/>
        <w:rPr>
          <w:rFonts w:ascii="Calibri" w:eastAsia="Calibri" w:hAnsi="Calibri"/>
          <w:b/>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(1) Autoritatea competentă de stat pentru reglementarea mediilor de comunicare examinează prin ZAK, pe baza unei reclamații depuse de o persoană interesată în temeiul articolului 14 sau din proprie inițiativă, dacă furnizorul unei platforme media sau al unei interfețe cu utilizatorul încalcă dispozițiile articolelor 79-85 din </w:t>
      </w:r>
      <w:proofErr w:type="spellStart"/>
      <w:r>
        <w:rPr>
          <w:rFonts w:asciiTheme="minorHAnsi" w:hAnsiTheme="minorHAnsi"/>
          <w:sz w:val="22"/>
          <w:szCs w:val="22"/>
        </w:rPr>
        <w:t>MStV</w:t>
      </w:r>
      <w:proofErr w:type="spellEnd"/>
      <w:r>
        <w:rPr>
          <w:rFonts w:asciiTheme="minorHAnsi" w:hAnsiTheme="minorHAnsi"/>
          <w:sz w:val="22"/>
          <w:szCs w:val="22"/>
        </w:rPr>
        <w:t xml:space="preserve"> sau ale articolelor 2-6, 10 și 11 din prezentul statut.</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În cazul în care există dovezi concrete ale unei încălcări, furnizorul unei platforme media sau al unei interfețe cu utilizatorul are obligația să furnizeze fără întârziere autorității de stat competente informațiile și documentele necesare pentru verificare.</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 În cazul în care autoritatea de stat competentă pentru mediile de comunicare constată o încălcare de către ZAK în conformitate cu alineatul (1), aceasta poate oferi furnizorului platformei sau interfeței cu utilizatorul posibilitatea de a remedia situația într-un termen rezonabil. </w:t>
      </w:r>
      <w:r>
        <w:rPr>
          <w:rFonts w:asciiTheme="minorHAnsi" w:hAnsiTheme="minorHAnsi"/>
          <w:sz w:val="22"/>
          <w:szCs w:val="22"/>
          <w:vertAlign w:val="superscript"/>
        </w:rPr>
        <w:t>2</w:t>
      </w:r>
      <w:r>
        <w:rPr>
          <w:rFonts w:asciiTheme="minorHAnsi" w:hAnsiTheme="minorHAnsi"/>
          <w:sz w:val="22"/>
          <w:szCs w:val="22"/>
        </w:rPr>
        <w:t xml:space="preserve"> În cazul în care cerințele legale sunt ulterior în continuare neîndeplinite, autoritatea de stat competentă pentru mediile de comunicare ia, prin decizia ZAK și, în cazul articolului 81 alineatul (5) punctul 3 din </w:t>
      </w:r>
      <w:proofErr w:type="spellStart"/>
      <w:r>
        <w:rPr>
          <w:rFonts w:asciiTheme="minorHAnsi" w:hAnsiTheme="minorHAnsi"/>
          <w:sz w:val="22"/>
          <w:szCs w:val="22"/>
        </w:rPr>
        <w:t>MStV</w:t>
      </w:r>
      <w:proofErr w:type="spellEnd"/>
      <w:r>
        <w:rPr>
          <w:rFonts w:asciiTheme="minorHAnsi" w:hAnsiTheme="minorHAnsi"/>
          <w:sz w:val="22"/>
          <w:szCs w:val="22"/>
        </w:rPr>
        <w:t xml:space="preserve">, măsurile necesare în temeiul articolului 109 alineatul (1) din </w:t>
      </w:r>
      <w:proofErr w:type="spellStart"/>
      <w:r>
        <w:rPr>
          <w:rFonts w:asciiTheme="minorHAnsi" w:hAnsiTheme="minorHAnsi"/>
          <w:sz w:val="22"/>
          <w:szCs w:val="22"/>
        </w:rPr>
        <w:t>MStV</w:t>
      </w:r>
      <w:proofErr w:type="spellEnd"/>
      <w:r>
        <w:rPr>
          <w:rFonts w:asciiTheme="minorHAnsi" w:hAnsiTheme="minorHAnsi"/>
          <w:sz w:val="22"/>
          <w:szCs w:val="22"/>
        </w:rPr>
        <w:t xml:space="preserve"> în urma unei decizii a GVK.</w:t>
      </w:r>
    </w:p>
    <w:p w:rsidR="00F57DE5" w:rsidRPr="00077B73" w:rsidRDefault="00F57DE5" w:rsidP="00A16C12">
      <w:pPr>
        <w:spacing w:line="276" w:lineRule="auto"/>
        <w:jc w:val="center"/>
        <w:rPr>
          <w:rFonts w:ascii="Calibri" w:eastAsia="Calibri" w:hAnsi="Calibri"/>
          <w:b/>
          <w:sz w:val="22"/>
          <w:szCs w:val="22"/>
          <w:lang w:eastAsia="en-US"/>
        </w:rPr>
      </w:pPr>
    </w:p>
    <w:p w:rsidR="00A16C1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Articolul 14</w:t>
      </w:r>
    </w:p>
    <w:p w:rsidR="00F57DE5" w:rsidRPr="00077B73" w:rsidRDefault="00F57DE5" w:rsidP="00077B73">
      <w:pPr>
        <w:keepNext/>
        <w:spacing w:line="276" w:lineRule="auto"/>
        <w:jc w:val="center"/>
        <w:rPr>
          <w:rFonts w:asciiTheme="minorHAnsi" w:eastAsia="Calibri" w:hAnsiTheme="minorHAnsi" w:cstheme="minorHAnsi"/>
          <w:b/>
          <w:bCs/>
          <w:sz w:val="22"/>
          <w:szCs w:val="22"/>
        </w:rPr>
      </w:pPr>
      <w:r>
        <w:rPr>
          <w:rFonts w:ascii="Calibri" w:hAnsi="Calibri"/>
          <w:b/>
          <w:sz w:val="22"/>
          <w:szCs w:val="22"/>
        </w:rPr>
        <w:t>Reclamațiile</w:t>
      </w:r>
      <w:r>
        <w:rPr>
          <w:rFonts w:asciiTheme="minorHAnsi" w:hAnsiTheme="minorHAnsi"/>
          <w:b/>
          <w:bCs/>
          <w:sz w:val="22"/>
          <w:szCs w:val="22"/>
        </w:rPr>
        <w:t xml:space="preserve"> în cadrul monitorizării</w:t>
      </w:r>
    </w:p>
    <w:p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A16C1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 În conformitate cu articolul 19 alineatul (1) din </w:t>
      </w:r>
      <w:proofErr w:type="spellStart"/>
      <w:r>
        <w:rPr>
          <w:rFonts w:asciiTheme="minorHAnsi" w:hAnsiTheme="minorHAnsi"/>
          <w:sz w:val="22"/>
          <w:szCs w:val="22"/>
        </w:rPr>
        <w:t>MStV</w:t>
      </w:r>
      <w:proofErr w:type="spellEnd"/>
      <w:r>
        <w:rPr>
          <w:rFonts w:asciiTheme="minorHAnsi" w:hAnsiTheme="minorHAnsi"/>
          <w:sz w:val="22"/>
          <w:szCs w:val="22"/>
        </w:rPr>
        <w:t xml:space="preserve">, au dreptul de a depune o reclamație furnizorii de servicii de radiodifuziune, de </w:t>
      </w:r>
      <w:proofErr w:type="spellStart"/>
      <w:r>
        <w:rPr>
          <w:rFonts w:asciiTheme="minorHAnsi" w:hAnsiTheme="minorHAnsi"/>
          <w:sz w:val="22"/>
          <w:szCs w:val="22"/>
        </w:rPr>
        <w:t>telemedia</w:t>
      </w:r>
      <w:proofErr w:type="spellEnd"/>
      <w:r>
        <w:rPr>
          <w:rFonts w:asciiTheme="minorHAnsi" w:hAnsiTheme="minorHAnsi"/>
          <w:sz w:val="22"/>
          <w:szCs w:val="22"/>
        </w:rPr>
        <w:t xml:space="preserve"> similare radio sau de </w:t>
      </w:r>
      <w:proofErr w:type="spellStart"/>
      <w:r>
        <w:rPr>
          <w:rFonts w:asciiTheme="minorHAnsi" w:hAnsiTheme="minorHAnsi"/>
          <w:sz w:val="22"/>
          <w:szCs w:val="22"/>
        </w:rPr>
        <w:t>telemedia</w:t>
      </w:r>
      <w:proofErr w:type="spellEnd"/>
      <w:r>
        <w:rPr>
          <w:rFonts w:asciiTheme="minorHAnsi" w:hAnsiTheme="minorHAnsi"/>
          <w:sz w:val="22"/>
          <w:szCs w:val="22"/>
        </w:rPr>
        <w:t xml:space="preserve"> care:</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sunt distribuite pe o platformă media sau </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solicită accesul la o platformă media pentru a oferi sau a comercializa servicii de radiodifuziune, </w:t>
      </w:r>
      <w:proofErr w:type="spellStart"/>
      <w:r>
        <w:rPr>
          <w:rFonts w:ascii="Calibri" w:hAnsi="Calibri"/>
          <w:sz w:val="22"/>
          <w:szCs w:val="22"/>
        </w:rPr>
        <w:t>telemedia</w:t>
      </w:r>
      <w:proofErr w:type="spellEnd"/>
      <w:r>
        <w:rPr>
          <w:rFonts w:ascii="Calibri" w:hAnsi="Calibri"/>
          <w:sz w:val="22"/>
          <w:szCs w:val="22"/>
        </w:rPr>
        <w:t xml:space="preserve"> similare radio sau </w:t>
      </w:r>
      <w:proofErr w:type="spellStart"/>
      <w:r>
        <w:rPr>
          <w:rFonts w:ascii="Calibri" w:hAnsi="Calibri"/>
          <w:sz w:val="22"/>
          <w:szCs w:val="22"/>
        </w:rPr>
        <w:t>telemedia</w:t>
      </w:r>
      <w:proofErr w:type="spellEnd"/>
      <w:r>
        <w:rPr>
          <w:rFonts w:ascii="Calibri" w:hAnsi="Calibri"/>
          <w:sz w:val="22"/>
          <w:szCs w:val="22"/>
        </w:rPr>
        <w:t xml:space="preserve"> în temeiul articolului 19 alineatul (1) din </w:t>
      </w:r>
      <w:proofErr w:type="spellStart"/>
      <w:r>
        <w:rPr>
          <w:rFonts w:ascii="Calibri" w:hAnsi="Calibri"/>
          <w:sz w:val="22"/>
          <w:szCs w:val="22"/>
        </w:rPr>
        <w:t>RStV</w:t>
      </w:r>
      <w:proofErr w:type="spellEnd"/>
      <w:r>
        <w:rPr>
          <w:rFonts w:ascii="Calibri" w:hAnsi="Calibri"/>
          <w:sz w:val="22"/>
          <w:szCs w:val="22"/>
        </w:rPr>
        <w:t xml:space="preserve"> sau</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sunt afectate concret de prezentarea în interfețele cu utilizatorul în sensul articolului 2 alineatul (2) punctul 15 din </w:t>
      </w:r>
      <w:proofErr w:type="spellStart"/>
      <w:r>
        <w:rPr>
          <w:rFonts w:ascii="Calibri" w:hAnsi="Calibri"/>
          <w:sz w:val="22"/>
          <w:szCs w:val="22"/>
        </w:rPr>
        <w:t>MStV</w:t>
      </w:r>
      <w:proofErr w:type="spellEnd"/>
      <w:r>
        <w:rPr>
          <w:rFonts w:ascii="Calibri" w:hAnsi="Calibri"/>
          <w:sz w:val="22"/>
          <w:szCs w:val="22"/>
        </w:rPr>
        <w:t>.</w:t>
      </w:r>
    </w:p>
    <w:p w:rsidR="00F57DE5" w:rsidRPr="00077B73" w:rsidRDefault="00A16C12" w:rsidP="00F57DE5">
      <w:pPr>
        <w:spacing w:after="160" w:line="259" w:lineRule="auto"/>
        <w:contextualSpacing/>
        <w:jc w:val="both"/>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 xml:space="preserve"> Intimații pot fi furnizori de platforme media în temeiul articolului 2 alineatul (2) punctul 19 din </w:t>
      </w:r>
      <w:proofErr w:type="spellStart"/>
      <w:r>
        <w:rPr>
          <w:rFonts w:asciiTheme="minorHAnsi" w:hAnsiTheme="minorHAnsi"/>
          <w:sz w:val="22"/>
          <w:szCs w:val="22"/>
        </w:rPr>
        <w:t>MStV</w:t>
      </w:r>
      <w:proofErr w:type="spellEnd"/>
      <w:r>
        <w:rPr>
          <w:rFonts w:asciiTheme="minorHAnsi" w:hAnsiTheme="minorHAnsi"/>
          <w:sz w:val="22"/>
          <w:szCs w:val="22"/>
        </w:rPr>
        <w:t xml:space="preserve"> și furnizori de interfețe cu utilizatorul în temeiul articolului 2 alineatul (2) punctul 20 din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(2) Persoanele care au dreptul la o cale de atac în temeiul alineatului (1) pot depune în scris o plângere la autoritatea de stat competentă pentru mediile de comunicare, indicând în mod concret existența unei încălcări a dispozițiilor articolelor 80-84 din </w:t>
      </w:r>
      <w:proofErr w:type="spellStart"/>
      <w:r>
        <w:rPr>
          <w:rFonts w:asciiTheme="minorHAnsi" w:hAnsiTheme="minorHAnsi"/>
          <w:sz w:val="22"/>
          <w:szCs w:val="22"/>
        </w:rPr>
        <w:t>MStV</w:t>
      </w:r>
      <w:proofErr w:type="spellEnd"/>
      <w:r>
        <w:rPr>
          <w:rFonts w:asciiTheme="minorHAnsi" w:hAnsiTheme="minorHAnsi"/>
          <w:sz w:val="22"/>
          <w:szCs w:val="22"/>
        </w:rPr>
        <w:t xml:space="preserve"> sau ale articolelor 3-6 și 10 din prezentul statut și precizând faptele subiacente.</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(3) La depunerea reclamației, persoanele îndreptățite trebuie să prezinte și să demonstreze în mod credibil că au colaborat cu furnizorul platformei media sau al interfeței cu utilizatorul pentru a clarifica poziția aflată în litigiu.</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lastRenderedPageBreak/>
        <w:t xml:space="preserve">(4) </w:t>
      </w:r>
      <w:r>
        <w:rPr>
          <w:rFonts w:asciiTheme="minorHAnsi" w:hAnsiTheme="minorHAnsi"/>
          <w:sz w:val="22"/>
          <w:szCs w:val="22"/>
          <w:vertAlign w:val="superscript"/>
        </w:rPr>
        <w:t>1</w:t>
      </w:r>
      <w:r>
        <w:rPr>
          <w:rFonts w:asciiTheme="minorHAnsi" w:hAnsiTheme="minorHAnsi"/>
          <w:sz w:val="22"/>
          <w:szCs w:val="22"/>
        </w:rPr>
        <w:t xml:space="preserve"> Autoritatea de stat competentă pentru mediile de comunicare poate încerca mai întâi să găsească o soluție adecvată între părțile implicate. </w:t>
      </w:r>
      <w:r>
        <w:rPr>
          <w:rFonts w:asciiTheme="minorHAnsi" w:hAnsiTheme="minorHAnsi"/>
          <w:sz w:val="22"/>
          <w:szCs w:val="22"/>
          <w:vertAlign w:val="superscript"/>
        </w:rPr>
        <w:t>2</w:t>
      </w:r>
      <w:r>
        <w:rPr>
          <w:rFonts w:asciiTheme="minorHAnsi" w:hAnsiTheme="minorHAnsi"/>
          <w:sz w:val="22"/>
          <w:szCs w:val="22"/>
        </w:rPr>
        <w:t xml:space="preserve"> În cazurile prevăzute la articolul 83 alineatul (3) din </w:t>
      </w:r>
      <w:proofErr w:type="spellStart"/>
      <w:r>
        <w:rPr>
          <w:rFonts w:asciiTheme="minorHAnsi" w:hAnsiTheme="minorHAnsi"/>
          <w:sz w:val="22"/>
          <w:szCs w:val="22"/>
        </w:rPr>
        <w:t>MStV</w:t>
      </w:r>
      <w:proofErr w:type="spellEnd"/>
      <w:r>
        <w:rPr>
          <w:rFonts w:asciiTheme="minorHAnsi" w:hAnsiTheme="minorHAnsi"/>
          <w:sz w:val="22"/>
          <w:szCs w:val="22"/>
        </w:rPr>
        <w:t>, autoritatea de stat competentă pentru mediile de comunicare trebuie să efectueze medierea înainte de procedura căii de atac.</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(5) În măsura în care sistemele de acces condiționat și interfețele pentru aplicații sunt afectate, în cadrul procedurii convenite cu Agenția Federală a Rețelelor (</w:t>
      </w:r>
      <w:proofErr w:type="spellStart"/>
      <w:r>
        <w:rPr>
          <w:rFonts w:asciiTheme="minorHAnsi" w:hAnsiTheme="minorHAnsi"/>
          <w:sz w:val="22"/>
          <w:szCs w:val="22"/>
        </w:rPr>
        <w:t>BNetzA</w:t>
      </w:r>
      <w:proofErr w:type="spellEnd"/>
      <w:r>
        <w:rPr>
          <w:rFonts w:asciiTheme="minorHAnsi" w:hAnsiTheme="minorHAnsi"/>
          <w:sz w:val="22"/>
          <w:szCs w:val="22"/>
        </w:rPr>
        <w:t xml:space="preserve">) (descrierea procedurii din 20 aprilie 2010), autoritatea de stat competentă pentru mediile de comunicare transmite reclamația către </w:t>
      </w:r>
      <w:proofErr w:type="spellStart"/>
      <w:r>
        <w:rPr>
          <w:rFonts w:asciiTheme="minorHAnsi" w:hAnsiTheme="minorHAnsi"/>
          <w:sz w:val="22"/>
          <w:szCs w:val="22"/>
        </w:rPr>
        <w:t>BNetzA</w:t>
      </w:r>
      <w:proofErr w:type="spellEnd"/>
      <w:r>
        <w:rPr>
          <w:rFonts w:asciiTheme="minorHAnsi" w:hAnsiTheme="minorHAnsi"/>
          <w:sz w:val="22"/>
          <w:szCs w:val="22"/>
        </w:rPr>
        <w:t xml:space="preserve"> care realizează procedura în continuare.</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 xml:space="preserve"> Reclamația se adresează autorității de stat pentru mediile de comunicare la care este notificată platforma media sau interfața cu utilizatorul. </w:t>
      </w:r>
      <w:r>
        <w:rPr>
          <w:rFonts w:asciiTheme="minorHAnsi" w:hAnsiTheme="minorHAnsi"/>
          <w:sz w:val="22"/>
          <w:szCs w:val="22"/>
          <w:vertAlign w:val="superscript"/>
        </w:rPr>
        <w:t>2</w:t>
      </w:r>
      <w:r>
        <w:rPr>
          <w:rFonts w:asciiTheme="minorHAnsi" w:hAnsiTheme="minorHAnsi"/>
          <w:sz w:val="22"/>
          <w:szCs w:val="22"/>
        </w:rPr>
        <w:t xml:space="preserve"> În lipsa unei notificări la momentul reclamației, articolul 106 alineatul (1) din </w:t>
      </w:r>
      <w:proofErr w:type="spellStart"/>
      <w:r>
        <w:rPr>
          <w:rFonts w:asciiTheme="minorHAnsi" w:hAnsiTheme="minorHAnsi"/>
          <w:sz w:val="22"/>
          <w:szCs w:val="22"/>
        </w:rPr>
        <w:t>MStV</w:t>
      </w:r>
      <w:proofErr w:type="spellEnd"/>
      <w:r>
        <w:rPr>
          <w:rFonts w:asciiTheme="minorHAnsi" w:hAnsiTheme="minorHAnsi"/>
          <w:sz w:val="22"/>
          <w:szCs w:val="22"/>
        </w:rPr>
        <w:t xml:space="preserve"> se aplică mutatis mutandis pentru ofertele de pe întreg teritoriul național.</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7C685D"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Articolul 15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Eliberarea unui certificat în conformitate cu articolul 87 din </w:t>
      </w:r>
      <w:proofErr w:type="spellStart"/>
      <w:r>
        <w:rPr>
          <w:rFonts w:ascii="Calibri" w:hAnsi="Calibri"/>
          <w:b/>
          <w:sz w:val="22"/>
          <w:szCs w:val="22"/>
        </w:rPr>
        <w:t>MStV</w:t>
      </w:r>
      <w:proofErr w:type="spellEnd"/>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 În cazul în care se depune o cerere pentru un certificat în conformitate cu articolul 87 alineatul (1) din </w:t>
      </w:r>
      <w:proofErr w:type="spellStart"/>
      <w:r>
        <w:rPr>
          <w:rFonts w:asciiTheme="minorHAnsi" w:hAnsiTheme="minorHAnsi"/>
          <w:sz w:val="22"/>
          <w:szCs w:val="22"/>
        </w:rPr>
        <w:t>MStV</w:t>
      </w:r>
      <w:proofErr w:type="spellEnd"/>
      <w:r>
        <w:rPr>
          <w:rFonts w:asciiTheme="minorHAnsi" w:hAnsiTheme="minorHAnsi"/>
          <w:sz w:val="22"/>
          <w:szCs w:val="22"/>
        </w:rPr>
        <w:t xml:space="preserve">, autoritatea competentă de stat pentru mediile de comunicare informează furnizorii cu privire la ofertele privilegiate în temeiul articolului 84 alineatul (3) punctul 2 și alineatul (4) din </w:t>
      </w:r>
      <w:proofErr w:type="spellStart"/>
      <w:r>
        <w:rPr>
          <w:rFonts w:asciiTheme="minorHAnsi" w:hAnsiTheme="minorHAnsi"/>
          <w:sz w:val="22"/>
          <w:szCs w:val="22"/>
        </w:rPr>
        <w:t>MStV</w:t>
      </w:r>
      <w:proofErr w:type="spellEnd"/>
      <w:r>
        <w:rPr>
          <w:rFonts w:asciiTheme="minorHAnsi" w:hAnsiTheme="minorHAnsi"/>
          <w:sz w:val="22"/>
          <w:szCs w:val="22"/>
        </w:rPr>
        <w:t xml:space="preserve"> cu privire la inițierea procedurii. </w:t>
      </w:r>
      <w:r>
        <w:rPr>
          <w:rFonts w:asciiTheme="minorHAnsi" w:hAnsiTheme="minorHAnsi"/>
          <w:sz w:val="22"/>
          <w:szCs w:val="22"/>
          <w:vertAlign w:val="superscript"/>
        </w:rPr>
        <w:t>2</w:t>
      </w:r>
      <w:r>
        <w:rPr>
          <w:rFonts w:asciiTheme="minorHAnsi" w:hAnsiTheme="minorHAnsi"/>
          <w:sz w:val="22"/>
          <w:szCs w:val="22"/>
        </w:rPr>
        <w:t xml:space="preserve"> Informațiile pot fi furnizate prin mijloace electronice.</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(2) Autoritatea competentă de stat pentru mediile de comunicare transmite cererea către ZAK prin intermediul biroului comun. Autoritatea competentă de stat pentru reglementarea mediilor de comunicare desfășoară procedura până la luarea unei decizii. </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 În perioada de valabilitate a certificatului, furnizorul platformei media sau al interfeței cu utilizatorul informează autoritatea competentă cu privire la orice modificări semnificative aduse platformei media sau interfeței cu utilizatorul. </w:t>
      </w:r>
      <w:r>
        <w:rPr>
          <w:rFonts w:asciiTheme="minorHAnsi" w:hAnsiTheme="minorHAnsi"/>
          <w:sz w:val="22"/>
          <w:szCs w:val="22"/>
          <w:vertAlign w:val="superscript"/>
        </w:rPr>
        <w:t>2</w:t>
      </w:r>
      <w:r>
        <w:rPr>
          <w:rFonts w:asciiTheme="minorHAnsi" w:hAnsiTheme="minorHAnsi"/>
          <w:sz w:val="22"/>
          <w:szCs w:val="22"/>
        </w:rPr>
        <w:t xml:space="preserve"> Autoritatea competentă de stat pentru reglementarea mediilor de comunicare verifică din oficiu dacă sunt îndeplinite în continuare condițiile pentru obținerea unui certificat.</w:t>
      </w:r>
    </w:p>
    <w:p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Secțiunea 7: Dispoziții finale</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FC769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Articolul 16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Lipsa obstacolelor</w:t>
      </w:r>
    </w:p>
    <w:p w:rsidR="00FC7696" w:rsidRPr="00077B73" w:rsidRDefault="00FC7696" w:rsidP="00077B73">
      <w:pPr>
        <w:keepNext/>
        <w:spacing w:line="276" w:lineRule="auto"/>
        <w:jc w:val="center"/>
        <w:rPr>
          <w:rFonts w:ascii="Calibri" w:eastAsia="Calibri" w:hAnsi="Calibri"/>
          <w:b/>
          <w:sz w:val="22"/>
          <w:szCs w:val="22"/>
          <w:lang w:eastAsia="en-US"/>
        </w:rPr>
      </w:pPr>
    </w:p>
    <w:p w:rsidR="00F57DE5" w:rsidRPr="00077B73" w:rsidRDefault="00F57DE5" w:rsidP="00FC7696">
      <w:pPr>
        <w:spacing w:line="276" w:lineRule="auto"/>
        <w:rPr>
          <w:rFonts w:asciiTheme="minorHAnsi" w:eastAsia="Calibri" w:hAnsiTheme="minorHAnsi" w:cstheme="minorHAnsi"/>
          <w:bCs/>
          <w:sz w:val="22"/>
          <w:szCs w:val="22"/>
        </w:rPr>
      </w:pPr>
      <w:r>
        <w:rPr>
          <w:rFonts w:asciiTheme="minorHAnsi" w:hAnsiTheme="minorHAnsi"/>
          <w:bCs/>
          <w:sz w:val="22"/>
          <w:szCs w:val="22"/>
        </w:rPr>
        <w:t>Furnizorii de</w:t>
      </w:r>
      <w:r>
        <w:rPr>
          <w:rFonts w:asciiTheme="minorHAnsi" w:hAnsiTheme="minorHAnsi"/>
          <w:sz w:val="22"/>
          <w:szCs w:val="22"/>
        </w:rPr>
        <w:t xml:space="preserve"> interfețe cu utilizatorul </w:t>
      </w:r>
      <w:r>
        <w:rPr>
          <w:rFonts w:asciiTheme="minorHAnsi" w:hAnsiTheme="minorHAnsi"/>
          <w:bCs/>
          <w:sz w:val="22"/>
          <w:szCs w:val="22"/>
        </w:rPr>
        <w:t xml:space="preserve">și furnizorii de platforme media sprijină, în limitele capacității tehnice și financiare proprii, accesibilitatea programelor de televiziune și a mediilor de tip </w:t>
      </w:r>
      <w:proofErr w:type="spellStart"/>
      <w:r>
        <w:rPr>
          <w:rFonts w:asciiTheme="minorHAnsi" w:hAnsiTheme="minorHAnsi"/>
          <w:bCs/>
          <w:sz w:val="22"/>
          <w:szCs w:val="22"/>
        </w:rPr>
        <w:t>telemedia</w:t>
      </w:r>
      <w:proofErr w:type="spellEnd"/>
      <w:r>
        <w:rPr>
          <w:rFonts w:asciiTheme="minorHAnsi" w:hAnsiTheme="minorHAnsi"/>
          <w:bCs/>
          <w:sz w:val="22"/>
          <w:szCs w:val="22"/>
        </w:rPr>
        <w:t xml:space="preserve"> (articolul 21 din MSTV).</w:t>
      </w:r>
    </w:p>
    <w:p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rsidR="00FC7696" w:rsidRPr="00077B73" w:rsidRDefault="00F57DE5" w:rsidP="00077B73">
      <w:pPr>
        <w:keepNext/>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lastRenderedPageBreak/>
        <w:t>Articolul 17</w:t>
      </w: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Intrare în vigoare, abrogare</w:t>
      </w:r>
    </w:p>
    <w:p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 Prezentul regulament intră în vigoare la 15 aprilie 2021. </w:t>
      </w:r>
      <w:r>
        <w:rPr>
          <w:rFonts w:asciiTheme="minorHAnsi" w:hAnsiTheme="minorHAnsi"/>
          <w:sz w:val="22"/>
          <w:szCs w:val="22"/>
          <w:vertAlign w:val="superscript"/>
        </w:rPr>
        <w:t>2</w:t>
      </w:r>
      <w:r>
        <w:rPr>
          <w:rFonts w:asciiTheme="minorHAnsi" w:hAnsiTheme="minorHAnsi"/>
          <w:sz w:val="22"/>
          <w:szCs w:val="22"/>
        </w:rPr>
        <w:t xml:space="preserve"> Președintele conferinței directorilor autorităților competente de stat pentru reglementarea mediilor de comunicare (DLM) publică pe pagina de internet sub denumirea generală „Autorități media” informația dacă toate autoritățile competente au adoptat și publicat până atunci statute identice. </w:t>
      </w:r>
      <w:r>
        <w:rPr>
          <w:rFonts w:asciiTheme="minorHAnsi" w:hAnsiTheme="minorHAnsi"/>
          <w:sz w:val="22"/>
          <w:szCs w:val="22"/>
          <w:vertAlign w:val="superscript"/>
        </w:rPr>
        <w:t>3</w:t>
      </w:r>
      <w:r>
        <w:rPr>
          <w:rFonts w:asciiTheme="minorHAnsi" w:hAnsiTheme="minorHAnsi"/>
          <w:sz w:val="22"/>
          <w:szCs w:val="22"/>
        </w:rPr>
        <w:t xml:space="preserve"> Prin derogare de la teza 1, articolul 10 alineatele (5)-(7) din prezentul statut intră în vigoare la 1 septembrie 2021.</w:t>
      </w:r>
    </w:p>
    <w:p w:rsidR="00F57DE5" w:rsidRPr="00077B73" w:rsidRDefault="00F57DE5" w:rsidP="00FC7696">
      <w:pPr>
        <w:spacing w:line="276" w:lineRule="auto"/>
        <w:rPr>
          <w:rFonts w:asciiTheme="minorHAnsi" w:eastAsia="Calibri" w:hAnsiTheme="minorHAnsi" w:cstheme="minorHAnsi"/>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(2) Statutul privind libertatea de acces la serviciile digitale și reglementarea platformelor în conformitate cu articolul 53 din Tratatul Interstatal de Radiodifuziune din 14 decembrie 2016 își pierd valabilitatea în același timp.</w:t>
      </w:r>
      <w:r w:rsidR="00AF2F17" w:rsidRPr="00077B73">
        <w:rPr>
          <w:rStyle w:val="FootnoteReference"/>
          <w:rFonts w:asciiTheme="minorHAnsi" w:eastAsia="Calibri" w:hAnsiTheme="minorHAnsi" w:cstheme="minorHAnsi"/>
          <w:sz w:val="22"/>
          <w:szCs w:val="22"/>
          <w:lang w:eastAsia="en-US"/>
        </w:rPr>
        <w:footnoteReference w:id="1"/>
      </w:r>
    </w:p>
    <w:sectPr w:rsidR="00F57DE5" w:rsidRPr="00077B7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B2D" w:rsidRDefault="005C7B2D" w:rsidP="00986629">
      <w:r>
        <w:separator/>
      </w:r>
    </w:p>
  </w:endnote>
  <w:endnote w:type="continuationSeparator" w:id="0">
    <w:p w:rsidR="005C7B2D" w:rsidRDefault="005C7B2D"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113784"/>
      <w:docPartObj>
        <w:docPartGallery w:val="Page Numbers (Bottom of Page)"/>
        <w:docPartUnique/>
      </w:docPartObj>
    </w:sdtPr>
    <w:sdtEndPr>
      <w:rPr>
        <w:rFonts w:asciiTheme="minorHAnsi" w:hAnsiTheme="minorHAnsi" w:cstheme="minorHAnsi"/>
        <w:sz w:val="22"/>
      </w:rPr>
    </w:sdtEndPr>
    <w:sdtContent>
      <w:p w:rsidR="00A1291E" w:rsidRPr="00A1291E" w:rsidRDefault="00A1291E">
        <w:pPr>
          <w:pStyle w:val="Footer"/>
          <w:jc w:val="center"/>
          <w:rPr>
            <w:rFonts w:asciiTheme="minorHAnsi" w:hAnsiTheme="minorHAnsi" w:cstheme="minorHAnsi"/>
            <w:sz w:val="22"/>
          </w:rPr>
        </w:pPr>
        <w:r w:rsidRPr="00A1291E">
          <w:rPr>
            <w:rFonts w:asciiTheme="minorHAnsi" w:hAnsiTheme="minorHAnsi" w:cstheme="minorHAnsi"/>
            <w:sz w:val="22"/>
          </w:rPr>
          <w:fldChar w:fldCharType="begin"/>
        </w:r>
        <w:r w:rsidRPr="00A1291E">
          <w:rPr>
            <w:rFonts w:asciiTheme="minorHAnsi" w:hAnsiTheme="minorHAnsi" w:cstheme="minorHAnsi"/>
            <w:sz w:val="22"/>
          </w:rPr>
          <w:instrText>PAGE   \* MERGEFORMAT</w:instrText>
        </w:r>
        <w:r w:rsidRPr="00A1291E">
          <w:rPr>
            <w:rFonts w:asciiTheme="minorHAnsi" w:hAnsiTheme="minorHAnsi" w:cstheme="minorHAnsi"/>
            <w:sz w:val="22"/>
          </w:rPr>
          <w:fldChar w:fldCharType="separate"/>
        </w:r>
        <w:r w:rsidR="00AF2F17">
          <w:rPr>
            <w:rFonts w:asciiTheme="minorHAnsi" w:hAnsiTheme="minorHAnsi" w:cstheme="minorHAnsi"/>
            <w:sz w:val="22"/>
          </w:rPr>
          <w:t>11</w:t>
        </w:r>
        <w:r w:rsidRPr="00A1291E">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B2D" w:rsidRDefault="005C7B2D" w:rsidP="00986629">
      <w:r>
        <w:separator/>
      </w:r>
    </w:p>
  </w:footnote>
  <w:footnote w:type="continuationSeparator" w:id="0">
    <w:p w:rsidR="005C7B2D" w:rsidRDefault="005C7B2D" w:rsidP="00986629">
      <w:r>
        <w:continuationSeparator/>
      </w:r>
    </w:p>
  </w:footnote>
  <w:footnote w:id="1">
    <w:p w:rsidR="00AF2F17" w:rsidRPr="00F33BCA" w:rsidRDefault="00AF2F1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Notificată în conformitate cu Directiva (UE) 2015/1535 a Parlamentului European și a Consiliului din 9 septembrie 2015 referitoare la procedura de furnizare de informații în domeniul reglementărilor tehnice și al normelor privind serviciile societății informaționale (JO L 241 din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Default="00FA085F">
    <w:pPr>
      <w:pStyle w:val="Header"/>
    </w:pPr>
    <w:r>
      <w:rPr>
        <w:noProof/>
      </w:rPr>
      <mc:AlternateContent>
        <mc:Choice Requires="wps">
          <w:drawing>
            <wp:anchor distT="45720" distB="45720" distL="114300" distR="114300" simplePos="0" relativeHeight="251660288" behindDoc="0" locked="0" layoutInCell="1" allowOverlap="1">
              <wp:simplePos x="0" y="0"/>
              <wp:positionH relativeFrom="column">
                <wp:posOffset>962872</wp:posOffset>
              </wp:positionH>
              <wp:positionV relativeFrom="paragraph">
                <wp:posOffset>-68580</wp:posOffset>
              </wp:positionV>
              <wp:extent cx="4052146" cy="1404620"/>
              <wp:effectExtent l="0" t="0" r="571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2146" cy="1404620"/>
                      </a:xfrm>
                      <a:prstGeom prst="rect">
                        <a:avLst/>
                      </a:prstGeom>
                      <a:solidFill>
                        <a:srgbClr val="FFFFFF"/>
                      </a:solidFill>
                      <a:ln w="9525">
                        <a:noFill/>
                        <a:miter lim="800000"/>
                        <a:headEnd/>
                        <a:tailEnd/>
                      </a:ln>
                    </wps:spPr>
                    <wps:txbx>
                      <w:txbxContent>
                        <w:p w:rsidR="00FA085F" w:rsidRPr="00FA085F" w:rsidRDefault="00FA085F" w:rsidP="00FA085F">
                          <w:pPr>
                            <w:jc w:val="right"/>
                            <w:rPr>
                              <w:rFonts w:asciiTheme="minorHAnsi" w:hAnsiTheme="minorHAnsi" w:cstheme="minorHAnsi"/>
                              <w:sz w:val="32"/>
                            </w:rPr>
                          </w:pPr>
                          <w:r>
                            <w:rPr>
                              <w:rFonts w:asciiTheme="minorHAnsi" w:hAnsiTheme="minorHAnsi"/>
                              <w:sz w:val="32"/>
                            </w:rPr>
                            <w:t xml:space="preserve">Die </w:t>
                          </w:r>
                          <w:proofErr w:type="spellStart"/>
                          <w:r>
                            <w:rPr>
                              <w:rFonts w:asciiTheme="minorHAnsi" w:hAnsiTheme="minorHAnsi"/>
                              <w:sz w:val="32"/>
                            </w:rPr>
                            <w:t>Medienanstalten</w:t>
                          </w:r>
                          <w:proofErr w:type="spellEnd"/>
                          <w:r>
                            <w:rPr>
                              <w:rFonts w:asciiTheme="minorHAnsi" w:hAnsiTheme="minorHAnsi"/>
                              <w:sz w:val="32"/>
                            </w:rPr>
                            <w:t xml:space="preserve"> (Autorități de stat pentru reglementarea mediilor de comunicare)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8pt;margin-top:-5.4pt;width:319.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" stroked="f">
              <v:textbox style="mso-fit-shape-to-text:t" inset="0,0,0,0">
                <w:txbxContent>
                  <w:p w:rsidR="00FA085F" w:rsidRPr="00FA085F" w:rsidRDefault="00FA085F" w:rsidP="00FA085F">
                    <w:pPr>
                      <w:jc w:val="right"/>
                      <w:rPr>
                        <w:rFonts w:asciiTheme="minorHAnsi" w:hAnsiTheme="minorHAnsi" w:cstheme="minorHAnsi"/>
                        <w:sz w:val="32"/>
                      </w:rPr>
                    </w:pPr>
                    <w:r>
                      <w:rPr>
                        <w:rFonts w:asciiTheme="minorHAnsi" w:hAnsiTheme="minorHAnsi"/>
                        <w:sz w:val="32"/>
                      </w:rPr>
                      <w:t xml:space="preserve">Die </w:t>
                    </w:r>
                    <w:proofErr w:type="spellStart"/>
                    <w:r>
                      <w:rPr>
                        <w:rFonts w:asciiTheme="minorHAnsi" w:hAnsiTheme="minorHAnsi"/>
                        <w:sz w:val="32"/>
                      </w:rPr>
                      <w:t>Medienanstalten</w:t>
                    </w:r>
                    <w:proofErr w:type="spellEnd"/>
                    <w:r>
                      <w:rPr>
                        <w:rFonts w:asciiTheme="minorHAnsi" w:hAnsiTheme="minorHAnsi"/>
                        <w:sz w:val="32"/>
                      </w:rPr>
                      <w:t xml:space="preserve"> (Autorități de stat pentru reglementarea mediilor de comunicare)</w:t>
                    </w:r>
                  </w:p>
                </w:txbxContent>
              </v:textbox>
            </v:shape>
          </w:pict>
        </mc:Fallback>
      </mc:AlternateContent>
    </w:r>
    <w:r>
      <w:rPr>
        <w:noProof/>
      </w:rPr>
      <w:drawing>
        <wp:anchor distT="0" distB="0" distL="114300" distR="114300" simplePos="0" relativeHeight="251658240" behindDoc="0" locked="1" layoutInCell="1" allowOverlap="1" wp14:anchorId="506558D4" wp14:editId="5B0DA52A">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47B"/>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3F08"/>
    <w:rsid w:val="000045F8"/>
    <w:rsid w:val="00013A16"/>
    <w:rsid w:val="000508DB"/>
    <w:rsid w:val="000544D5"/>
    <w:rsid w:val="00074EC8"/>
    <w:rsid w:val="00075A82"/>
    <w:rsid w:val="00077B73"/>
    <w:rsid w:val="000C657E"/>
    <w:rsid w:val="001504D9"/>
    <w:rsid w:val="00165009"/>
    <w:rsid w:val="00171DE3"/>
    <w:rsid w:val="0018279D"/>
    <w:rsid w:val="001B0E42"/>
    <w:rsid w:val="001C0704"/>
    <w:rsid w:val="001D2E17"/>
    <w:rsid w:val="00220524"/>
    <w:rsid w:val="002417C5"/>
    <w:rsid w:val="002643CD"/>
    <w:rsid w:val="002644D4"/>
    <w:rsid w:val="00290049"/>
    <w:rsid w:val="002C21BC"/>
    <w:rsid w:val="002C35D6"/>
    <w:rsid w:val="003421E6"/>
    <w:rsid w:val="003574F8"/>
    <w:rsid w:val="0038319A"/>
    <w:rsid w:val="003C28A6"/>
    <w:rsid w:val="003F26AC"/>
    <w:rsid w:val="0048212F"/>
    <w:rsid w:val="00483146"/>
    <w:rsid w:val="00485576"/>
    <w:rsid w:val="00490C3B"/>
    <w:rsid w:val="00506FCB"/>
    <w:rsid w:val="005074FB"/>
    <w:rsid w:val="00511D74"/>
    <w:rsid w:val="00517E15"/>
    <w:rsid w:val="00521970"/>
    <w:rsid w:val="00543B52"/>
    <w:rsid w:val="0058421F"/>
    <w:rsid w:val="00590EAA"/>
    <w:rsid w:val="005C7B2D"/>
    <w:rsid w:val="005D5943"/>
    <w:rsid w:val="005F244D"/>
    <w:rsid w:val="0060422A"/>
    <w:rsid w:val="00650B4F"/>
    <w:rsid w:val="00653AA0"/>
    <w:rsid w:val="00691044"/>
    <w:rsid w:val="00793947"/>
    <w:rsid w:val="007C3618"/>
    <w:rsid w:val="007C685D"/>
    <w:rsid w:val="007E4D6F"/>
    <w:rsid w:val="00816EE9"/>
    <w:rsid w:val="00862E68"/>
    <w:rsid w:val="008B6DA5"/>
    <w:rsid w:val="00903F24"/>
    <w:rsid w:val="00915B2E"/>
    <w:rsid w:val="009217BC"/>
    <w:rsid w:val="009574F2"/>
    <w:rsid w:val="00986629"/>
    <w:rsid w:val="009C012D"/>
    <w:rsid w:val="009C24A4"/>
    <w:rsid w:val="009F46B5"/>
    <w:rsid w:val="00A1291E"/>
    <w:rsid w:val="00A16C12"/>
    <w:rsid w:val="00A211F5"/>
    <w:rsid w:val="00AC1705"/>
    <w:rsid w:val="00AD10EE"/>
    <w:rsid w:val="00AE1692"/>
    <w:rsid w:val="00AF2F17"/>
    <w:rsid w:val="00B126BF"/>
    <w:rsid w:val="00B25AAD"/>
    <w:rsid w:val="00B45353"/>
    <w:rsid w:val="00B82C25"/>
    <w:rsid w:val="00B93BDE"/>
    <w:rsid w:val="00BF13E2"/>
    <w:rsid w:val="00C04BEE"/>
    <w:rsid w:val="00C5646E"/>
    <w:rsid w:val="00C57E5E"/>
    <w:rsid w:val="00C74DCA"/>
    <w:rsid w:val="00C902B9"/>
    <w:rsid w:val="00CC7F6D"/>
    <w:rsid w:val="00CE1C3D"/>
    <w:rsid w:val="00DB7447"/>
    <w:rsid w:val="00E14290"/>
    <w:rsid w:val="00E22B72"/>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462C5"/>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ro-RO"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AF2F17"/>
    <w:rPr>
      <w:sz w:val="20"/>
      <w:szCs w:val="20"/>
    </w:rPr>
  </w:style>
  <w:style w:type="character" w:customStyle="1" w:styleId="FootnoteTextChar">
    <w:name w:val="Footnote Text Char"/>
    <w:basedOn w:val="DefaultParagraphFont"/>
    <w:link w:val="FootnoteText"/>
    <w:rsid w:val="00AF2F17"/>
  </w:style>
  <w:style w:type="character" w:styleId="FootnoteReference">
    <w:name w:val="footnote reference"/>
    <w:basedOn w:val="DefaultParagraphFon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E210E-3366-47A9-8802-79DD2FDE8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4431</Words>
  <Characters>25259</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Ke, Tingting</cp:lastModifiedBy>
  <cp:revision>6</cp:revision>
  <cp:lastPrinted>2014-01-13T11:15:00Z</cp:lastPrinted>
  <dcterms:created xsi:type="dcterms:W3CDTF">2020-12-17T11:14:00Z</dcterms:created>
  <dcterms:modified xsi:type="dcterms:W3CDTF">2021-01-04T11:28:00Z</dcterms:modified>
</cp:coreProperties>
</file>