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9DC9D" w14:textId="282E5D0C" w:rsidR="007A1FAA" w:rsidRPr="00153F89" w:rsidRDefault="007A1FAA" w:rsidP="00C54A0E">
      <w:pPr>
        <w:jc w:val="center"/>
        <w:rPr>
          <w:b/>
        </w:rPr>
      </w:pPr>
      <w:r>
        <w:rPr>
          <w:b/>
        </w:rPr>
        <w:t>Ley […] de 2023</w:t>
      </w:r>
    </w:p>
    <w:p w14:paraId="4A900911" w14:textId="77777777" w:rsidR="007A1FAA" w:rsidRPr="00153F89" w:rsidRDefault="007A1FAA" w:rsidP="00C54A0E">
      <w:pPr>
        <w:jc w:val="center"/>
        <w:rPr>
          <w:b/>
        </w:rPr>
      </w:pPr>
    </w:p>
    <w:p w14:paraId="3305083E" w14:textId="28A6A7D7" w:rsidR="007A1FAA" w:rsidRDefault="007A1FAA" w:rsidP="00C54A0E">
      <w:pPr>
        <w:jc w:val="center"/>
        <w:rPr>
          <w:b/>
        </w:rPr>
      </w:pPr>
      <w:r>
        <w:rPr>
          <w:b/>
        </w:rPr>
        <w:t xml:space="preserve">por la que se modifica la Ley XLII de </w:t>
      </w:r>
      <w:proofErr w:type="gramStart"/>
      <w:r>
        <w:rPr>
          <w:b/>
        </w:rPr>
        <w:t xml:space="preserve">1999 </w:t>
      </w:r>
      <w:r>
        <w:rPr>
          <w:rStyle w:val="Emphasis"/>
          <w:b/>
          <w:i w:val="0"/>
        </w:rPr>
        <w:t xml:space="preserve"> sobre</w:t>
      </w:r>
      <w:proofErr w:type="gramEnd"/>
      <w:r>
        <w:rPr>
          <w:rStyle w:val="Emphasis"/>
          <w:b/>
          <w:i w:val="0"/>
        </w:rPr>
        <w:t xml:space="preserve"> la protección de los no fumadores</w:t>
      </w:r>
      <w:r>
        <w:rPr>
          <w:b/>
        </w:rPr>
        <w:t xml:space="preserve"> y determinadas normas sobre el consumo y la distribución de los productos del tabaco y la Ley CXXXIV de 2012 sobre la supresión del tabaquismo juvenil y la venta al por menor de productos del tabaco</w:t>
      </w:r>
    </w:p>
    <w:p w14:paraId="60E721BE" w14:textId="1C81A8B7" w:rsidR="007A1FAA" w:rsidRDefault="007A1FAA" w:rsidP="00C54A0E">
      <w:pPr>
        <w:jc w:val="center"/>
        <w:rPr>
          <w:b/>
        </w:rPr>
      </w:pPr>
    </w:p>
    <w:p w14:paraId="35324481" w14:textId="647AE267" w:rsidR="00396C85" w:rsidRDefault="00396C85" w:rsidP="00C54A0E">
      <w:pPr>
        <w:jc w:val="center"/>
        <w:rPr>
          <w:b/>
        </w:rPr>
      </w:pPr>
    </w:p>
    <w:p w14:paraId="594C6594" w14:textId="62E1C8A3" w:rsidR="00396C85" w:rsidRDefault="00396C85" w:rsidP="00C54A0E">
      <w:pPr>
        <w:jc w:val="center"/>
        <w:rPr>
          <w:b/>
        </w:rPr>
      </w:pPr>
    </w:p>
    <w:p w14:paraId="0ADB084F" w14:textId="3753FB14" w:rsidR="00396C85" w:rsidRPr="00153F89" w:rsidRDefault="00396C85" w:rsidP="00913058">
      <w:pPr>
        <w:jc w:val="center"/>
        <w:rPr>
          <w:rFonts w:eastAsia="Noto Sans CJK SC"/>
          <w:b/>
          <w:kern w:val="2"/>
        </w:rPr>
      </w:pPr>
      <w:r>
        <w:rPr>
          <w:b/>
        </w:rPr>
        <w:t xml:space="preserve">1. Modificación de la Ley XLII de 1999 </w:t>
      </w:r>
      <w:r>
        <w:rPr>
          <w:rStyle w:val="Emphasis"/>
          <w:b/>
          <w:i w:val="0"/>
        </w:rPr>
        <w:t>sobre la protección de los no fumadores</w:t>
      </w:r>
      <w:r>
        <w:rPr>
          <w:b/>
        </w:rPr>
        <w:t xml:space="preserve"> y determinadas normas sobre el consumo y la distribución de los productos del tabaco</w:t>
      </w:r>
    </w:p>
    <w:p w14:paraId="77B62EF7" w14:textId="77777777" w:rsidR="007A1FAA" w:rsidRDefault="007A1FAA" w:rsidP="00C54A0E">
      <w:pPr>
        <w:jc w:val="center"/>
        <w:rPr>
          <w:rFonts w:eastAsia="Noto Sans CJK SC"/>
          <w:b/>
          <w:kern w:val="2"/>
          <w:lang w:eastAsia="zh-CN" w:bidi="hi-IN"/>
        </w:rPr>
      </w:pPr>
    </w:p>
    <w:p w14:paraId="37AE6481" w14:textId="77777777" w:rsidR="007A1FAA" w:rsidRDefault="007A1FAA" w:rsidP="00C54A0E">
      <w:pPr>
        <w:jc w:val="center"/>
        <w:rPr>
          <w:rFonts w:eastAsia="Noto Sans CJK SC"/>
          <w:b/>
          <w:kern w:val="2"/>
          <w:lang w:eastAsia="zh-CN" w:bidi="hi-IN"/>
        </w:rPr>
      </w:pPr>
    </w:p>
    <w:p w14:paraId="7602B97D" w14:textId="1DC3F8E9" w:rsidR="00C54A0E" w:rsidRPr="00C54A0E" w:rsidRDefault="00835734" w:rsidP="00C54A0E">
      <w:pPr>
        <w:jc w:val="center"/>
        <w:rPr>
          <w:rFonts w:eastAsia="Noto Sans CJK SC"/>
          <w:b/>
          <w:kern w:val="2"/>
        </w:rPr>
      </w:pPr>
      <w:r>
        <w:rPr>
          <w:b/>
        </w:rPr>
        <w:t>Artículo 1</w:t>
      </w:r>
    </w:p>
    <w:p w14:paraId="59207714" w14:textId="77777777" w:rsidR="00C54A0E" w:rsidRDefault="00C54A0E" w:rsidP="00DB125E">
      <w:pPr>
        <w:jc w:val="both"/>
        <w:rPr>
          <w:rFonts w:eastAsia="Noto Sans CJK SC"/>
          <w:kern w:val="2"/>
          <w:lang w:eastAsia="zh-CN" w:bidi="hi-IN"/>
        </w:rPr>
      </w:pPr>
    </w:p>
    <w:p w14:paraId="1103FA69" w14:textId="1C54AF0F" w:rsidR="00DB125E" w:rsidRDefault="004049B2" w:rsidP="00DB125E">
      <w:pPr>
        <w:jc w:val="both"/>
      </w:pPr>
      <w:r>
        <w:t>(1) En la Ley XLII de 1999 sobre la protección de los no fumadores y determinadas normas sobre el consumo y la distribución de los productos del tabaco (en lo sucesivo, «Ley antitabaco»), el artículo 1</w:t>
      </w:r>
      <w:r>
        <w:rPr>
          <w:i/>
        </w:rPr>
        <w:t>, letras s) y t),</w:t>
      </w:r>
      <w:r>
        <w:t xml:space="preserve"> se sustituye por el texto siguiente: </w:t>
      </w:r>
    </w:p>
    <w:p w14:paraId="60AA4A3C" w14:textId="77777777" w:rsidR="00DB125E" w:rsidRDefault="00DB125E" w:rsidP="00DB125E">
      <w:pPr>
        <w:jc w:val="both"/>
      </w:pPr>
    </w:p>
    <w:p w14:paraId="7FEED38F" w14:textId="77777777" w:rsidR="00DB125E" w:rsidRPr="00E5303B" w:rsidRDefault="00DB125E" w:rsidP="00DB125E">
      <w:pPr>
        <w:suppressAutoHyphens/>
        <w:jc w:val="both"/>
        <w:rPr>
          <w:rFonts w:eastAsia="Noto Sans CJK SC"/>
          <w:i/>
          <w:iCs/>
          <w:kern w:val="2"/>
        </w:rPr>
      </w:pPr>
      <w:r>
        <w:rPr>
          <w:i/>
        </w:rPr>
        <w:t>[A efectos de la presente Ley:]</w:t>
      </w:r>
    </w:p>
    <w:p w14:paraId="08370725" w14:textId="77777777" w:rsidR="00DB125E" w:rsidRPr="005A143B" w:rsidRDefault="00DB125E" w:rsidP="00DB125E">
      <w:pPr>
        <w:jc w:val="both"/>
      </w:pPr>
    </w:p>
    <w:p w14:paraId="4219C306" w14:textId="77777777" w:rsidR="00DB125E" w:rsidRPr="00164E2E" w:rsidRDefault="00DB125E" w:rsidP="00DB125E">
      <w:pPr>
        <w:jc w:val="both"/>
      </w:pPr>
      <w:r>
        <w:rPr>
          <w:i/>
        </w:rPr>
        <w:t>«s)</w:t>
      </w:r>
      <w:r>
        <w:t xml:space="preserve"> </w:t>
      </w:r>
      <w:r>
        <w:rPr>
          <w:i/>
        </w:rPr>
        <w:t>dispositivo electrónico de imitación al acto de fumar</w:t>
      </w:r>
      <w:r>
        <w:t>: un producto electrónico de un solo uso (desechable) o un producto que debe rellenarse con un envase de recarga exento de nicotina u operado con un cartucho exento de nicotina (para uso múltiple), que puede utilizarse para consumir vapor exento de nicotina a través de una boquilla; o cualquier componente de ese producto, incluidos los tanques, o cualquier dispositivo sin cartucho o tanque;</w:t>
      </w:r>
    </w:p>
    <w:p w14:paraId="715B99F0" w14:textId="77777777" w:rsidR="00DB125E" w:rsidRPr="00164E2E" w:rsidRDefault="00DB125E" w:rsidP="00DB125E">
      <w:pPr>
        <w:jc w:val="both"/>
      </w:pPr>
      <w:r>
        <w:rPr>
          <w:i/>
        </w:rPr>
        <w:t>t)</w:t>
      </w:r>
      <w:r>
        <w:t xml:space="preserve"> </w:t>
      </w:r>
      <w:r>
        <w:rPr>
          <w:i/>
        </w:rPr>
        <w:t>envase de recarga exento de nicotina</w:t>
      </w:r>
      <w:r>
        <w:t>: un tanque que contiene líquido exento de nicotina para rellenar un dispositivo electrónico de imitación al acto de fumar;».</w:t>
      </w:r>
    </w:p>
    <w:p w14:paraId="622D8771" w14:textId="77777777" w:rsidR="00DB125E" w:rsidRDefault="00DB125E" w:rsidP="00DB125E">
      <w:pPr>
        <w:jc w:val="both"/>
      </w:pPr>
    </w:p>
    <w:p w14:paraId="07B1F29D" w14:textId="747BAB26" w:rsidR="00DB125E" w:rsidRDefault="00DB125E" w:rsidP="00DB125E">
      <w:pPr>
        <w:jc w:val="both"/>
      </w:pPr>
      <w:r>
        <w:t xml:space="preserve">(2) En la Ley antitabaco se añadirá la siguiente </w:t>
      </w:r>
      <w:r>
        <w:rPr>
          <w:i/>
        </w:rPr>
        <w:t>letra z)</w:t>
      </w:r>
      <w:r>
        <w:t xml:space="preserve"> al artículo 1: </w:t>
      </w:r>
    </w:p>
    <w:p w14:paraId="7979A114" w14:textId="77777777" w:rsidR="00AF7221" w:rsidRDefault="00AF7221" w:rsidP="00DB125E">
      <w:pPr>
        <w:suppressAutoHyphens/>
        <w:jc w:val="both"/>
        <w:rPr>
          <w:rFonts w:eastAsia="Noto Sans CJK SC"/>
          <w:i/>
          <w:iCs/>
          <w:kern w:val="2"/>
          <w:lang w:eastAsia="zh-CN" w:bidi="hi-IN"/>
        </w:rPr>
      </w:pPr>
    </w:p>
    <w:p w14:paraId="50B52E7A" w14:textId="77777777" w:rsidR="00DB125E" w:rsidRPr="00E5303B" w:rsidRDefault="00DB125E" w:rsidP="00DB125E">
      <w:pPr>
        <w:suppressAutoHyphens/>
        <w:jc w:val="both"/>
        <w:rPr>
          <w:rFonts w:eastAsia="Noto Sans CJK SC"/>
          <w:i/>
          <w:iCs/>
          <w:kern w:val="2"/>
        </w:rPr>
      </w:pPr>
      <w:r>
        <w:rPr>
          <w:i/>
        </w:rPr>
        <w:t>[A efectos de la presente Ley:]</w:t>
      </w:r>
    </w:p>
    <w:p w14:paraId="51C4D610" w14:textId="77777777" w:rsidR="00DB125E" w:rsidRPr="00164E2E" w:rsidRDefault="00DB125E" w:rsidP="00DB125E">
      <w:pPr>
        <w:jc w:val="both"/>
      </w:pPr>
    </w:p>
    <w:p w14:paraId="0754F231" w14:textId="77777777" w:rsidR="00DB125E" w:rsidRPr="00164E2E" w:rsidRDefault="00DB125E" w:rsidP="00DB125E">
      <w:pPr>
        <w:jc w:val="both"/>
      </w:pPr>
      <w:r>
        <w:t>«</w:t>
      </w:r>
      <w:r>
        <w:rPr>
          <w:i/>
        </w:rPr>
        <w:t>z) cartucho exento de nicotina</w:t>
      </w:r>
      <w:r>
        <w:t>: un tipo de envase de recarga exento de nicotina necesario para el uso de ciertos dispositivos electrónicos de imitación al acto de fumar, y que es un tanque que contiene líquido exento de nicotina en cualquier forma, generalmente para un solo uso (no recargable).»</w:t>
      </w:r>
    </w:p>
    <w:p w14:paraId="60DBF520" w14:textId="77777777" w:rsidR="00DB125E" w:rsidRPr="00E5303B" w:rsidRDefault="00DB125E" w:rsidP="00DB125E">
      <w:pPr>
        <w:pStyle w:val="BodyText"/>
        <w:spacing w:after="0"/>
      </w:pPr>
    </w:p>
    <w:p w14:paraId="7157B6B9" w14:textId="77F5D7FF" w:rsidR="00DB125E" w:rsidRPr="00E5303B" w:rsidRDefault="002D6BBD" w:rsidP="00DB125E">
      <w:pPr>
        <w:suppressAutoHyphens/>
        <w:jc w:val="center"/>
        <w:rPr>
          <w:rFonts w:eastAsia="Noto Sans CJK SC"/>
          <w:b/>
          <w:bCs/>
          <w:kern w:val="2"/>
        </w:rPr>
      </w:pPr>
      <w:r>
        <w:rPr>
          <w:b/>
        </w:rPr>
        <w:t xml:space="preserve">Artículo 2 </w:t>
      </w:r>
    </w:p>
    <w:p w14:paraId="4D09B8D7" w14:textId="77777777" w:rsidR="00DB125E" w:rsidRPr="00E5303B" w:rsidRDefault="00DB125E" w:rsidP="00DB125E">
      <w:pPr>
        <w:suppressAutoHyphens/>
        <w:jc w:val="center"/>
        <w:rPr>
          <w:rFonts w:eastAsia="Noto Sans CJK SC"/>
          <w:b/>
          <w:bCs/>
          <w:kern w:val="2"/>
          <w:lang w:eastAsia="zh-CN" w:bidi="hi-IN"/>
        </w:rPr>
      </w:pPr>
    </w:p>
    <w:p w14:paraId="0904DDA9" w14:textId="77777777" w:rsidR="00DB125E" w:rsidRPr="00E5303B" w:rsidRDefault="00DB125E" w:rsidP="00DB125E">
      <w:pPr>
        <w:suppressAutoHyphens/>
        <w:jc w:val="both"/>
        <w:rPr>
          <w:rFonts w:eastAsia="Noto Sans CJK SC"/>
          <w:kern w:val="2"/>
        </w:rPr>
      </w:pPr>
      <w:r>
        <w:t>(1) El artículo 7/D, apartado 1, de la Ley antitabaco se sustituye por el texto siguiente:</w:t>
      </w:r>
    </w:p>
    <w:p w14:paraId="1AB84FCC" w14:textId="77777777" w:rsidR="00DB125E" w:rsidRPr="00E5303B" w:rsidRDefault="00DB125E" w:rsidP="00DB125E">
      <w:pPr>
        <w:suppressAutoHyphens/>
        <w:jc w:val="both"/>
        <w:rPr>
          <w:rFonts w:eastAsia="Noto Sans CJK SC"/>
          <w:kern w:val="2"/>
          <w:lang w:eastAsia="zh-CN" w:bidi="hi-IN"/>
        </w:rPr>
      </w:pPr>
    </w:p>
    <w:p w14:paraId="2BDA0FD0" w14:textId="77777777" w:rsidR="00DB125E" w:rsidRPr="00E5303B" w:rsidRDefault="00DB125E" w:rsidP="00DB125E">
      <w:pPr>
        <w:suppressAutoHyphens/>
        <w:jc w:val="both"/>
        <w:rPr>
          <w:rFonts w:eastAsia="Noto Sans CJK SC"/>
          <w:kern w:val="2"/>
        </w:rPr>
      </w:pPr>
      <w:r>
        <w:t>«1. Los fabricantes e importadores de cigarrillos electrónicos, envases y cartuchos de recarga, dispositivos electrónicos de imitación al acto de fumar, envases de recarga sin nicotina, cartuchos sin nicotina y sustitutos para fumar que contengan nicotina, y sus distribuidores en Hungría notificarán a la autoridad sanitaria pública cualquier producto que tengan la intención de comercializar seis meses antes de su comercialización.».</w:t>
      </w:r>
    </w:p>
    <w:p w14:paraId="679D7C12" w14:textId="77777777" w:rsidR="00DB125E" w:rsidRPr="00E5303B" w:rsidRDefault="00DB125E" w:rsidP="00DB125E">
      <w:pPr>
        <w:suppressAutoHyphens/>
        <w:jc w:val="both"/>
        <w:rPr>
          <w:rFonts w:eastAsia="Noto Sans CJK SC"/>
          <w:kern w:val="2"/>
          <w:lang w:eastAsia="zh-CN" w:bidi="hi-IN"/>
        </w:rPr>
      </w:pPr>
    </w:p>
    <w:p w14:paraId="1FADB2C1" w14:textId="77777777" w:rsidR="00DB125E" w:rsidRPr="00E5303B" w:rsidRDefault="00DB125E" w:rsidP="00DB125E">
      <w:pPr>
        <w:suppressAutoHyphens/>
        <w:jc w:val="both"/>
        <w:rPr>
          <w:rFonts w:eastAsia="Noto Sans CJK SC"/>
          <w:kern w:val="2"/>
        </w:rPr>
      </w:pPr>
      <w:r>
        <w:t>(2) El apartado 3 del artículo 7/D de la Ley antitabaco se sustituye por el texto siguiente:</w:t>
      </w:r>
    </w:p>
    <w:p w14:paraId="65AF6563" w14:textId="77777777" w:rsidR="00DB125E" w:rsidRPr="00E5303B" w:rsidRDefault="00DB125E" w:rsidP="00DB125E">
      <w:pPr>
        <w:suppressAutoHyphens/>
        <w:jc w:val="both"/>
        <w:rPr>
          <w:rFonts w:eastAsia="Noto Sans CJK SC"/>
          <w:kern w:val="2"/>
          <w:lang w:eastAsia="zh-CN" w:bidi="hi-IN"/>
        </w:rPr>
      </w:pPr>
    </w:p>
    <w:p w14:paraId="14D1678D" w14:textId="77777777" w:rsidR="00DB125E" w:rsidRPr="00E5303B" w:rsidRDefault="00DB125E" w:rsidP="00DB125E">
      <w:pPr>
        <w:suppressAutoHyphens/>
        <w:jc w:val="both"/>
        <w:rPr>
          <w:rFonts w:eastAsia="Noto Sans CJK SC"/>
          <w:kern w:val="2"/>
        </w:rPr>
      </w:pPr>
      <w:r>
        <w:lastRenderedPageBreak/>
        <w:t>«3. De conformidad con el apartado 1, se comunicará a la autoridad de salud pública lo siguiente:</w:t>
      </w:r>
    </w:p>
    <w:p w14:paraId="407E44DE" w14:textId="77777777" w:rsidR="00DB125E" w:rsidRPr="00E5303B" w:rsidRDefault="00DB125E" w:rsidP="00DB125E">
      <w:pPr>
        <w:suppressAutoHyphens/>
        <w:jc w:val="both"/>
        <w:rPr>
          <w:rFonts w:eastAsia="Noto Sans CJK SC"/>
          <w:kern w:val="2"/>
        </w:rPr>
      </w:pPr>
      <w:r>
        <w:t>a) cualquier cambio en cigarrillos electrónicos, envases y cartuchos de recarga, dispositivos electrónicos de imitación al acto de fumar, envases de recarga sin nicotina, cartuchos exentos de nicotina y sustitutos para fumar que contengan nicotina que afecten a las características técnicas del producto tal como se definen en esta Ley o en un decreto gubernamental emitido en virtud de la autorización de esta Ley, y</w:t>
      </w:r>
    </w:p>
    <w:p w14:paraId="4724DEC7" w14:textId="77777777" w:rsidR="00DB125E" w:rsidRPr="00E5303B" w:rsidRDefault="00DB125E" w:rsidP="00DB125E">
      <w:pPr>
        <w:suppressAutoHyphens/>
        <w:jc w:val="both"/>
        <w:rPr>
          <w:rFonts w:eastAsia="Noto Sans CJK SC"/>
          <w:kern w:val="2"/>
        </w:rPr>
      </w:pPr>
      <w:r>
        <w:t>b) cambios en la identidad y disponibilidad del fabricante, importador o distribuidor húngaro de cigarrillos electrónicos, envases y cartuchos de recarga, dispositivos electrónicos de imitación al acto de fumar, envases de recarga sin nicotina, cartuchos sin nicotina y sustitutos para fumar que contengan nicotina.»</w:t>
      </w:r>
    </w:p>
    <w:p w14:paraId="6C8341DF" w14:textId="77777777" w:rsidR="00DB125E" w:rsidRPr="00E5303B" w:rsidRDefault="00DB125E" w:rsidP="00DB125E">
      <w:pPr>
        <w:suppressAutoHyphens/>
        <w:jc w:val="both"/>
        <w:rPr>
          <w:rFonts w:eastAsia="Noto Sans CJK SC"/>
          <w:kern w:val="2"/>
          <w:lang w:eastAsia="zh-CN" w:bidi="hi-IN"/>
        </w:rPr>
      </w:pPr>
    </w:p>
    <w:p w14:paraId="0282F017" w14:textId="77777777" w:rsidR="00DB125E" w:rsidRPr="00E5303B" w:rsidRDefault="00DB125E" w:rsidP="00DB125E">
      <w:pPr>
        <w:suppressAutoHyphens/>
        <w:jc w:val="both"/>
        <w:rPr>
          <w:rFonts w:eastAsia="Noto Sans CJK SC"/>
          <w:kern w:val="2"/>
        </w:rPr>
      </w:pPr>
      <w:r>
        <w:t>(3) En el artículo 7/D de la Ley antitabaco se añaden los apartados 5 y 6 siguientes:</w:t>
      </w:r>
    </w:p>
    <w:p w14:paraId="7441615E" w14:textId="77777777" w:rsidR="00DB125E" w:rsidRPr="00E5303B" w:rsidRDefault="00DB125E" w:rsidP="00DB125E">
      <w:pPr>
        <w:suppressAutoHyphens/>
        <w:jc w:val="both"/>
        <w:rPr>
          <w:rFonts w:eastAsia="Noto Sans CJK SC"/>
          <w:kern w:val="2"/>
          <w:lang w:eastAsia="zh-CN" w:bidi="hi-IN"/>
        </w:rPr>
      </w:pPr>
    </w:p>
    <w:p w14:paraId="0B414A24" w14:textId="77777777" w:rsidR="00DB125E" w:rsidRPr="00E5303B" w:rsidRDefault="00DB125E" w:rsidP="00DB125E">
      <w:pPr>
        <w:suppressAutoHyphens/>
        <w:jc w:val="both"/>
        <w:rPr>
          <w:rFonts w:eastAsia="Noto Sans CJK SC"/>
          <w:kern w:val="2"/>
        </w:rPr>
      </w:pPr>
      <w:r>
        <w:t>«5. La autoridad de salud pública llevará registros de los productos notificados con arreglo al apartado 1, que contendrán:</w:t>
      </w:r>
    </w:p>
    <w:p w14:paraId="62C5FC5A" w14:textId="77777777" w:rsidR="00DB125E" w:rsidRPr="00E5303B" w:rsidRDefault="00DB125E" w:rsidP="00DB125E">
      <w:pPr>
        <w:suppressAutoHyphens/>
        <w:ind w:left="426" w:hanging="426"/>
        <w:jc w:val="both"/>
        <w:rPr>
          <w:rFonts w:eastAsia="Noto Sans CJK SC"/>
          <w:kern w:val="2"/>
        </w:rPr>
      </w:pPr>
      <w:r>
        <w:t>a) el nombre del notificante, del fabricante o el importador, o del distribuidor en Hungría;</w:t>
      </w:r>
    </w:p>
    <w:p w14:paraId="606EE827" w14:textId="77777777" w:rsidR="00DB125E" w:rsidRPr="00E5303B" w:rsidRDefault="00DB125E" w:rsidP="00DB125E">
      <w:pPr>
        <w:suppressAutoHyphens/>
        <w:ind w:left="426" w:hanging="426"/>
        <w:jc w:val="both"/>
        <w:rPr>
          <w:rFonts w:eastAsia="Noto Sans CJK SC"/>
          <w:kern w:val="2"/>
        </w:rPr>
      </w:pPr>
      <w:r>
        <w:t>b) el número de identificación del cigarrillo electrónico;</w:t>
      </w:r>
    </w:p>
    <w:p w14:paraId="19CD09BF" w14:textId="77777777" w:rsidR="00DB125E" w:rsidRPr="00E5303B" w:rsidRDefault="00DB125E" w:rsidP="00DB125E">
      <w:pPr>
        <w:suppressAutoHyphens/>
        <w:ind w:left="426" w:hanging="426"/>
        <w:jc w:val="both"/>
        <w:rPr>
          <w:rFonts w:eastAsia="Noto Sans CJK SC"/>
          <w:kern w:val="2"/>
        </w:rPr>
      </w:pPr>
      <w:r>
        <w:t>c) la marca y el nombre de la submarca;</w:t>
      </w:r>
    </w:p>
    <w:p w14:paraId="69FB953D" w14:textId="77777777" w:rsidR="00DB125E" w:rsidRPr="00E5303B" w:rsidRDefault="00DB125E" w:rsidP="00DB125E">
      <w:pPr>
        <w:suppressAutoHyphens/>
        <w:ind w:left="426" w:hanging="426"/>
        <w:jc w:val="both"/>
        <w:rPr>
          <w:rFonts w:eastAsia="Noto Sans CJK SC"/>
          <w:kern w:val="2"/>
        </w:rPr>
      </w:pPr>
      <w:r>
        <w:t>d) el tipo de producto;</w:t>
      </w:r>
    </w:p>
    <w:p w14:paraId="73992F7B" w14:textId="77777777" w:rsidR="00DB125E" w:rsidRPr="00E5303B" w:rsidRDefault="00DB125E" w:rsidP="00DB125E">
      <w:pPr>
        <w:suppressAutoHyphens/>
        <w:ind w:left="426" w:hanging="426"/>
        <w:jc w:val="both"/>
        <w:rPr>
          <w:rFonts w:eastAsia="Noto Sans CJK SC"/>
          <w:kern w:val="2"/>
        </w:rPr>
      </w:pPr>
      <w:r>
        <w:t>e) el número de serie del certificado expedido sobre la notificación; y</w:t>
      </w:r>
    </w:p>
    <w:p w14:paraId="56BF7838" w14:textId="77777777" w:rsidR="00DB125E" w:rsidRPr="00E5303B" w:rsidRDefault="00DB125E" w:rsidP="00DB125E">
      <w:pPr>
        <w:suppressAutoHyphens/>
        <w:ind w:left="426" w:hanging="426"/>
        <w:jc w:val="both"/>
        <w:rPr>
          <w:rFonts w:eastAsia="Noto Sans CJK SC"/>
          <w:kern w:val="2"/>
        </w:rPr>
      </w:pPr>
      <w:r>
        <w:t>f) el primer día posible de comercialización, calculado de conformidad con el apartado 1.</w:t>
      </w:r>
    </w:p>
    <w:p w14:paraId="0A73E3F9" w14:textId="77777777" w:rsidR="00DB125E" w:rsidRPr="00E5303B" w:rsidRDefault="00DB125E" w:rsidP="00DB125E">
      <w:pPr>
        <w:suppressAutoHyphens/>
        <w:jc w:val="both"/>
        <w:rPr>
          <w:rFonts w:eastAsia="Noto Sans CJK SC"/>
          <w:kern w:val="2"/>
          <w:lang w:eastAsia="zh-CN" w:bidi="hi-IN"/>
        </w:rPr>
      </w:pPr>
    </w:p>
    <w:p w14:paraId="1AFD82F4" w14:textId="77777777" w:rsidR="00DB125E" w:rsidRPr="00E5303B" w:rsidRDefault="00DB125E" w:rsidP="00DB125E">
      <w:pPr>
        <w:suppressAutoHyphens/>
        <w:jc w:val="both"/>
        <w:rPr>
          <w:rFonts w:eastAsia="Noto Sans CJK SC"/>
          <w:kern w:val="2"/>
        </w:rPr>
      </w:pPr>
      <w:r>
        <w:t>(6) El fabricante, importador y distribuidor húngaro se encargará de retirar del mercado y de recomprar cualquier producto que esté cubierto por la prohibición de comercialización y que mantenga en existencias el minorista de productos del tabaco.».</w:t>
      </w:r>
    </w:p>
    <w:p w14:paraId="0A9586A9" w14:textId="422B59D3" w:rsidR="00333428" w:rsidRDefault="00333428"/>
    <w:p w14:paraId="1421BAD6" w14:textId="29A4BA46" w:rsidR="002D6BBD" w:rsidRDefault="002D6BBD" w:rsidP="00153F89">
      <w:pPr>
        <w:jc w:val="center"/>
        <w:rPr>
          <w:b/>
        </w:rPr>
      </w:pPr>
      <w:r>
        <w:rPr>
          <w:b/>
        </w:rPr>
        <w:t>Artículo 3</w:t>
      </w:r>
    </w:p>
    <w:p w14:paraId="49A18EF4" w14:textId="77777777" w:rsidR="002D6BBD" w:rsidRPr="002D6BBD" w:rsidRDefault="002D6BBD" w:rsidP="00741559">
      <w:pPr>
        <w:suppressAutoHyphens/>
        <w:rPr>
          <w:rFonts w:eastAsia="Noto Sans CJK SC"/>
          <w:b/>
          <w:bCs/>
          <w:kern w:val="2"/>
          <w:lang w:eastAsia="zh-CN" w:bidi="hi-IN"/>
        </w:rPr>
      </w:pPr>
    </w:p>
    <w:p w14:paraId="55F5F8E9" w14:textId="77777777" w:rsidR="002D6BBD" w:rsidRPr="002D6BBD" w:rsidRDefault="002D6BBD" w:rsidP="002D6BBD">
      <w:pPr>
        <w:suppressAutoHyphens/>
        <w:jc w:val="both"/>
        <w:rPr>
          <w:rFonts w:eastAsia="Noto Sans CJK SC"/>
          <w:kern w:val="2"/>
        </w:rPr>
      </w:pPr>
      <w:r>
        <w:t xml:space="preserve">  El artículo 8, apartado 5, letra a), de la Ley antitabaco se sustituye por el texto siguiente:</w:t>
      </w:r>
    </w:p>
    <w:p w14:paraId="585AED6B" w14:textId="77777777" w:rsidR="002D6BBD" w:rsidRPr="002D6BBD" w:rsidRDefault="002D6BBD" w:rsidP="002D6BBD">
      <w:pPr>
        <w:suppressAutoHyphens/>
        <w:jc w:val="both"/>
        <w:rPr>
          <w:rFonts w:eastAsia="Noto Sans CJK SC"/>
          <w:kern w:val="2"/>
          <w:lang w:eastAsia="zh-CN" w:bidi="hi-IN"/>
        </w:rPr>
      </w:pPr>
    </w:p>
    <w:p w14:paraId="3352F57E" w14:textId="77777777" w:rsidR="002D6BBD" w:rsidRPr="002D6BBD" w:rsidRDefault="002D6BBD" w:rsidP="002D6BBD">
      <w:pPr>
        <w:suppressAutoHyphens/>
        <w:jc w:val="both"/>
        <w:rPr>
          <w:rFonts w:eastAsia="Noto Sans CJK SC"/>
          <w:i/>
          <w:iCs/>
          <w:kern w:val="2"/>
        </w:rPr>
      </w:pPr>
      <w:r>
        <w:rPr>
          <w:i/>
        </w:rPr>
        <w:t>(Se autoriza por la presente al Gobierno a definir y establecer, mediante reglamento, lo siguiente:</w:t>
      </w:r>
    </w:p>
    <w:p w14:paraId="10A0B187" w14:textId="77777777" w:rsidR="002D6BBD" w:rsidRPr="002D6BBD" w:rsidRDefault="002D6BBD" w:rsidP="002D6BBD">
      <w:pPr>
        <w:suppressAutoHyphens/>
        <w:jc w:val="both"/>
        <w:rPr>
          <w:rFonts w:eastAsia="Noto Sans CJK SC"/>
          <w:i/>
          <w:iCs/>
          <w:kern w:val="2"/>
          <w:lang w:eastAsia="zh-CN" w:bidi="hi-IN"/>
        </w:rPr>
      </w:pPr>
    </w:p>
    <w:p w14:paraId="455FABFB" w14:textId="7FC737D8" w:rsidR="002D6BBD" w:rsidRPr="00153F89" w:rsidRDefault="002D6BBD" w:rsidP="00153F89">
      <w:pPr>
        <w:jc w:val="both"/>
        <w:rPr>
          <w:b/>
        </w:rPr>
      </w:pPr>
      <w:r>
        <w:t>«a) las advertencias combinadas, las advertencias sanitarias y sus normas detalladas de uso, así como las normas detalladas para las unidades de envasado de los productos del tabaco para los consumidores y las unidades de envasado de cigarrillos electrónicos, envases de recarga, dispositivos electrónicos de imitación al acto de fumar, envases de recarga sin nicotina, cartuchos sin nicotina y sustitutos para fumar que contengan nicotina, el contenido y la forma de señales y marcas para la restricción del tabaquismo y las zonas designadas para fumar, así como aquellas destinadas al uso de cigarrillos electrónicos y dispositivos electrónicos de imitación al acto de fumar; además de otras condiciones de fabricación, distribución y control de los productos del tabaco, los cigarrillos electrónicos, los envases de recarga, los dispositivos electrónicos de imitación al acto de fumar, los envases de recarga sin nicotina y los sustitutos para fumar que contengan nicotina, sin que tales condiciones entren en el ámbito de aplicación de la Ley de impuestos especiales;».</w:t>
      </w:r>
    </w:p>
    <w:p w14:paraId="0D5D932B" w14:textId="77777777" w:rsidR="002D6BBD" w:rsidRDefault="002D6BBD"/>
    <w:p w14:paraId="255BC7D4" w14:textId="48DF91E1" w:rsidR="00DB125E" w:rsidRPr="00D55D42" w:rsidRDefault="00827692" w:rsidP="007E28B6">
      <w:pPr>
        <w:keepNext/>
        <w:keepLines/>
        <w:suppressAutoHyphens/>
        <w:jc w:val="center"/>
        <w:rPr>
          <w:rFonts w:eastAsia="Noto Sans CJK SC"/>
          <w:b/>
          <w:kern w:val="2"/>
        </w:rPr>
      </w:pPr>
      <w:r>
        <w:rPr>
          <w:b/>
        </w:rPr>
        <w:lastRenderedPageBreak/>
        <w:t>Artículo 4</w:t>
      </w:r>
    </w:p>
    <w:p w14:paraId="4D0DDFF7" w14:textId="77777777" w:rsidR="00DB125E" w:rsidRPr="007F65BB" w:rsidRDefault="00DB125E" w:rsidP="007E28B6">
      <w:pPr>
        <w:keepNext/>
        <w:keepLines/>
        <w:suppressAutoHyphens/>
        <w:jc w:val="both"/>
        <w:rPr>
          <w:rFonts w:eastAsia="Noto Sans CJK SC"/>
          <w:kern w:val="2"/>
          <w:lang w:eastAsia="zh-CN" w:bidi="hi-IN"/>
        </w:rPr>
      </w:pPr>
    </w:p>
    <w:p w14:paraId="2855D94E" w14:textId="77777777" w:rsidR="00DB125E" w:rsidRPr="00D55D42" w:rsidRDefault="00DB125E" w:rsidP="007E28B6">
      <w:pPr>
        <w:keepNext/>
        <w:keepLines/>
        <w:jc w:val="both"/>
      </w:pPr>
      <w:r>
        <w:t xml:space="preserve">En la Ley antitabaco se añade el apartado 4 </w:t>
      </w:r>
      <w:r>
        <w:rPr>
          <w:i/>
          <w:iCs/>
        </w:rPr>
        <w:t>bis</w:t>
      </w:r>
      <w:r>
        <w:t xml:space="preserve"> siguiente al artículo 10:</w:t>
      </w:r>
    </w:p>
    <w:p w14:paraId="007E3F42" w14:textId="77777777" w:rsidR="00DB125E" w:rsidRPr="00D55D42" w:rsidRDefault="00DB125E" w:rsidP="007E28B6">
      <w:pPr>
        <w:keepNext/>
        <w:keepLines/>
        <w:jc w:val="center"/>
      </w:pPr>
    </w:p>
    <w:p w14:paraId="37B8ADF9" w14:textId="59AF2AF0" w:rsidR="005777D3" w:rsidRDefault="00DB125E" w:rsidP="007E28B6">
      <w:pPr>
        <w:keepNext/>
        <w:keepLines/>
        <w:jc w:val="both"/>
      </w:pPr>
      <w:r>
        <w:t xml:space="preserve">«4 </w:t>
      </w:r>
      <w:r>
        <w:rPr>
          <w:i/>
          <w:iCs/>
        </w:rPr>
        <w:t>bis</w:t>
      </w:r>
      <w:r>
        <w:t>. En el caso de los envases de recarga sin nicotina, los cartuchos sin nicotina y los sustitutos para fumar que contengan nicotina que ya están en el mercado el 1 de septiembre de 2023, la notificación, tal como se define en el artículo 7/D, apartado 1, con arreglo al artículo 2 de la Ley [...] de 2023 por la que se modifica la Ley XLII de 1999 sobre la protección de los no fumadores y determinadas normas sobre el consumo y la distribución de los productos del tabaco y la Ley CXXXIV de 2012 sobre la supresión del tabaquismo juvenil y la venta al por menor de productos del tabaco,</w:t>
      </w:r>
    </w:p>
    <w:p w14:paraId="064D8A1E" w14:textId="4F3F8F5C" w:rsidR="00DB125E" w:rsidRDefault="005777D3" w:rsidP="005777D3">
      <w:pPr>
        <w:jc w:val="both"/>
      </w:pPr>
      <w:r>
        <w:t xml:space="preserve">  deberá efectuarse antes del 31 de enero de 2024.».</w:t>
      </w:r>
    </w:p>
    <w:p w14:paraId="717F87AE" w14:textId="77777777" w:rsidR="00E91F8B" w:rsidRDefault="00E91F8B" w:rsidP="005777D3">
      <w:pPr>
        <w:jc w:val="both"/>
      </w:pPr>
    </w:p>
    <w:p w14:paraId="44851160" w14:textId="00604E87" w:rsidR="00E91F8B" w:rsidRDefault="00DC56BA" w:rsidP="00E91F8B">
      <w:pPr>
        <w:jc w:val="center"/>
        <w:rPr>
          <w:b/>
        </w:rPr>
      </w:pPr>
      <w:r>
        <w:rPr>
          <w:b/>
        </w:rPr>
        <w:t>Artículo 5</w:t>
      </w:r>
    </w:p>
    <w:p w14:paraId="664F8A47" w14:textId="77777777" w:rsidR="00E91F8B" w:rsidRDefault="00E91F8B" w:rsidP="00E91F8B">
      <w:pPr>
        <w:jc w:val="center"/>
        <w:rPr>
          <w:b/>
        </w:rPr>
      </w:pPr>
    </w:p>
    <w:p w14:paraId="1478B73D" w14:textId="09EACD72" w:rsidR="00E91F8B" w:rsidRPr="00E91F8B" w:rsidRDefault="00E91F8B" w:rsidP="00E91F8B">
      <w:pPr>
        <w:jc w:val="both"/>
      </w:pPr>
      <w:r>
        <w:t>En la Ley antitabaco se inserta el artículo 8/B siguiente:</w:t>
      </w:r>
    </w:p>
    <w:p w14:paraId="67B84AC8" w14:textId="77777777" w:rsidR="00DB125E" w:rsidRPr="00E91F8B" w:rsidRDefault="00DB125E" w:rsidP="00DB125E">
      <w:pPr>
        <w:suppressAutoHyphens/>
        <w:jc w:val="both"/>
        <w:rPr>
          <w:rFonts w:eastAsia="Noto Sans CJK SC"/>
          <w:kern w:val="2"/>
          <w:lang w:eastAsia="zh-CN" w:bidi="hi-IN"/>
        </w:rPr>
      </w:pPr>
    </w:p>
    <w:p w14:paraId="084A7AE2" w14:textId="4761C864" w:rsidR="00E91F8B" w:rsidRDefault="00E91F8B" w:rsidP="00E91F8B">
      <w:pPr>
        <w:suppressAutoHyphens/>
        <w:jc w:val="both"/>
      </w:pPr>
      <w:r>
        <w:t xml:space="preserve">«Artículo 8/B Los siguientes artículos establecidos en la Ley... de 2023 por la que se modifica la Ley XLII de 1999 sobre la protección de los no fumadores y determinadas normas sobre el consumo y la distribución de los productos del tabaco y la Ley CXXXIV de 2012 sobre la supresión del tabaquismo juvenil y la venta al por menor de productos del tabaco, que se enumeran a continuación, es decir, el artículo 1, letras s), t) y z), del artículo 7/C, artículo 7/D, apartados 1, 3, 5 y 6. El artículo 7/E, apartados 1 a 6, el artículo 7/F, el artículo 7/G, apartados 1 y 2, el artículo 7/H, el artículo 8, apartado 5, letra a), y el artículo 10, apartado 4 </w:t>
      </w:r>
      <w:r>
        <w:rPr>
          <w:i/>
          <w:iCs/>
        </w:rPr>
        <w:t>bis</w:t>
      </w:r>
      <w:r>
        <w:t>, del presente proyecto de Ley, han sido objeto de notificación previa, tal como se establece en los artículos 5 a 7 de la Directiva (UE) 2015/1535 del Parlamento Europeo y del Consejo, de 9 de septiembre de 2015, por la que se establece un procedimiento de información en materia de reglamentaciones técnicas y de normas relativas a los servicios de la sociedad de la información.».</w:t>
      </w:r>
    </w:p>
    <w:p w14:paraId="1DD4D51B" w14:textId="77777777" w:rsidR="00F46F72" w:rsidRPr="00E91F8B" w:rsidRDefault="00F46F72" w:rsidP="00E91F8B">
      <w:pPr>
        <w:suppressAutoHyphens/>
        <w:jc w:val="both"/>
        <w:rPr>
          <w:rFonts w:eastAsia="Noto Sans CJK SC"/>
          <w:kern w:val="2"/>
        </w:rPr>
      </w:pPr>
    </w:p>
    <w:p w14:paraId="2419D499" w14:textId="0D517A46" w:rsidR="00DB125E" w:rsidRPr="00E5303B" w:rsidRDefault="00DC56BA" w:rsidP="00DB125E">
      <w:pPr>
        <w:suppressAutoHyphens/>
        <w:jc w:val="center"/>
        <w:rPr>
          <w:rFonts w:eastAsia="Noto Sans CJK SC"/>
          <w:b/>
          <w:bCs/>
          <w:kern w:val="2"/>
        </w:rPr>
      </w:pPr>
      <w:r>
        <w:rPr>
          <w:b/>
        </w:rPr>
        <w:t>Artículo 6</w:t>
      </w:r>
    </w:p>
    <w:p w14:paraId="0DFDC86D" w14:textId="77777777" w:rsidR="00DB125E" w:rsidRPr="00E5303B" w:rsidRDefault="00DB125E" w:rsidP="00DB125E">
      <w:pPr>
        <w:suppressAutoHyphens/>
        <w:jc w:val="center"/>
        <w:rPr>
          <w:rFonts w:eastAsia="Noto Sans CJK SC"/>
          <w:b/>
          <w:bCs/>
          <w:kern w:val="2"/>
          <w:lang w:eastAsia="zh-CN" w:bidi="hi-IN"/>
        </w:rPr>
      </w:pPr>
    </w:p>
    <w:p w14:paraId="5BFEC514" w14:textId="77777777" w:rsidR="00DB125E" w:rsidRPr="00220B1E" w:rsidRDefault="00DB125E" w:rsidP="00DB125E">
      <w:pPr>
        <w:suppressAutoHyphens/>
        <w:jc w:val="both"/>
        <w:rPr>
          <w:rFonts w:eastAsia="Noto Sans CJK SC"/>
          <w:kern w:val="2"/>
        </w:rPr>
      </w:pPr>
      <w:r>
        <w:t>En la Ley antitabaco:</w:t>
      </w:r>
    </w:p>
    <w:p w14:paraId="122223BC" w14:textId="072F979E" w:rsidR="00DB125E" w:rsidRPr="00330FEB" w:rsidRDefault="00153F89" w:rsidP="00DB125E">
      <w:pPr>
        <w:pStyle w:val="BodyText"/>
        <w:spacing w:after="0" w:line="240" w:lineRule="auto"/>
        <w:jc w:val="both"/>
        <w:rPr>
          <w:rFonts w:ascii="Times New Roman" w:hAnsi="Times New Roman" w:cs="Times New Roman"/>
        </w:rPr>
      </w:pPr>
      <w:r>
        <w:rPr>
          <w:rFonts w:ascii="Times New Roman" w:hAnsi="Times New Roman"/>
        </w:rPr>
        <w:t>a) en el artículo 7/C, las expresiones «cigarrillos electrónicos» se sustituyen por «cigarrillos electrónicos, envases de recarga, cartuchos, dispositivos electrónicos de imitación al acto de fumar, envases de recarga sin nicotina, cartuchos sin nicotina y sustitutos para fumar que contengan nicotina»;</w:t>
      </w:r>
    </w:p>
    <w:p w14:paraId="42C19F9D" w14:textId="47D845C4"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b) en el artículo 7/E, apartados 1 a 5, las expresiones «cigarrillos electrónicos y envases de recarga» se sustituyen por «cigarrillos electrónicos, envases de recarga, cartuchos, dispositivos electrónicos de imitación al acto de fumar, envases de recarga sin nicotina, cartuchos sin nicotina y sustitutos para fumar que contengan nicotina»;</w:t>
      </w:r>
    </w:p>
    <w:p w14:paraId="19152C58" w14:textId="4EF940FA"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c) en el artículo 7/E, apartado 6, las expresiones «cigarrillos electrónicos o envases de recarga» se sustituyen por las expresiones «cigarrillos electrónicos, envases de recarga, cartuchos, dispositivos electrónicos de imitación al acto de fumar, envases de recarga sin nicotina, cartuchos sin nicotina y sustitutos para fumar que contengan nicotina»;</w:t>
      </w:r>
    </w:p>
    <w:p w14:paraId="5C52EB6E" w14:textId="4B3E8951"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t>d) en el artículo 7/F, las expresiones «cigarrillos electrónicos y envases de recarga» se sustituyen por «cigarrillos electrónicos, envases de recarga, cartuchos, dispositivos electrónicos de imitación al acto de fumar, envases de recarga sin nicotina, cartuchos sin nicotina y sustitutos para fumar que contengan nicotina»;</w:t>
      </w:r>
    </w:p>
    <w:p w14:paraId="741ED564" w14:textId="3926C1BE" w:rsidR="00DB125E" w:rsidRPr="00D55D42" w:rsidRDefault="00153F89" w:rsidP="00DB125E">
      <w:pPr>
        <w:pStyle w:val="BodyText"/>
        <w:spacing w:after="0" w:line="240" w:lineRule="auto"/>
        <w:jc w:val="both"/>
        <w:rPr>
          <w:rFonts w:ascii="Times New Roman" w:hAnsi="Times New Roman" w:cs="Times New Roman"/>
        </w:rPr>
      </w:pPr>
      <w:r>
        <w:rPr>
          <w:rFonts w:ascii="Times New Roman" w:hAnsi="Times New Roman"/>
        </w:rPr>
        <w:lastRenderedPageBreak/>
        <w:t>e) en el artículo 7/G, apartado 1, las expresiones «cigarrillos electrónicos o envases de recarga» se sustituyen por «cigarrillos electrónicos, envases de recarga, cartuchos, dispositivos electrónicos de imitación al acto de fumar, envases de recarga sin nicotina, cartuchos sin nicotina y sustitutos para fumar que contengan nicotina»;</w:t>
      </w:r>
    </w:p>
    <w:p w14:paraId="5DED55E3" w14:textId="1EE35D48" w:rsidR="00DB125E" w:rsidRPr="00673F64" w:rsidRDefault="00153F89" w:rsidP="00DB125E">
      <w:pPr>
        <w:pStyle w:val="BodyText"/>
        <w:spacing w:after="0" w:line="240" w:lineRule="auto"/>
        <w:jc w:val="both"/>
      </w:pPr>
      <w:r>
        <w:rPr>
          <w:rFonts w:ascii="Times New Roman" w:hAnsi="Times New Roman"/>
        </w:rPr>
        <w:t>f) en el artículo 7/G, apartado 2, las expresiones «cigarrillos electrónicos y envases de recarga» se sustituyen por «cigarrillos electrónicos, envases de recarga, cartuchos, dispositivos electrónicos de imitación al acto de fumar, envases de recarga sin nicotina, cartuchos sin nicotina y sustitutos para fumar que contengan nicotina»;</w:t>
      </w:r>
    </w:p>
    <w:p w14:paraId="7504C957" w14:textId="137E6308" w:rsidR="00DB125E" w:rsidRPr="00673F64" w:rsidRDefault="00153F89" w:rsidP="00DB125E">
      <w:pPr>
        <w:pStyle w:val="BodyText"/>
        <w:spacing w:after="0" w:line="240" w:lineRule="auto"/>
        <w:jc w:val="both"/>
      </w:pPr>
      <w:r>
        <w:rPr>
          <w:rFonts w:ascii="Times New Roman" w:hAnsi="Times New Roman"/>
        </w:rPr>
        <w:t xml:space="preserve">g) en el artículo 7/H, las expresiones «cigarrillos electrónicos y dispositivos electrónicos de imitación al acto de fumar» se sustituyen por los términos «cigarrillos electrónicos, envases de recarga, cartuchos, dispositivos electrónicos de imitación al acto de fumar, envases de recarga sin nicotina, cartuchos sin nicotina y sustitutos para fumar que contengan nicotina».  </w:t>
      </w:r>
    </w:p>
    <w:p w14:paraId="7B117976" w14:textId="6C5DAC8A" w:rsidR="00AD4247" w:rsidRPr="00206271" w:rsidRDefault="00AD4247" w:rsidP="00DB125E">
      <w:pPr>
        <w:suppressAutoHyphens/>
        <w:jc w:val="both"/>
        <w:rPr>
          <w:rFonts w:eastAsia="Noto Sans CJK SC"/>
          <w:kern w:val="2"/>
        </w:rPr>
      </w:pPr>
    </w:p>
    <w:p w14:paraId="31D8C477" w14:textId="77777777" w:rsidR="00DB125E" w:rsidRDefault="00DB125E" w:rsidP="00DB125E">
      <w:pPr>
        <w:suppressAutoHyphens/>
        <w:jc w:val="both"/>
        <w:rPr>
          <w:rFonts w:eastAsia="Noto Sans CJK SC"/>
          <w:kern w:val="2"/>
          <w:lang w:eastAsia="zh-CN" w:bidi="hi-IN"/>
        </w:rPr>
      </w:pPr>
    </w:p>
    <w:p w14:paraId="63F5E34B" w14:textId="09CC9006" w:rsidR="00DB125E" w:rsidRPr="00D55D42" w:rsidRDefault="00DC56BA" w:rsidP="00DB125E">
      <w:pPr>
        <w:suppressAutoHyphens/>
        <w:jc w:val="center"/>
        <w:rPr>
          <w:rFonts w:eastAsia="Noto Sans CJK SC"/>
          <w:b/>
          <w:kern w:val="2"/>
        </w:rPr>
      </w:pPr>
      <w:r>
        <w:rPr>
          <w:b/>
        </w:rPr>
        <w:t>Artículo 7</w:t>
      </w:r>
    </w:p>
    <w:p w14:paraId="6B1D9AD2" w14:textId="77777777" w:rsidR="00DB125E" w:rsidRDefault="00DB125E" w:rsidP="00DB125E">
      <w:pPr>
        <w:suppressAutoHyphens/>
        <w:jc w:val="center"/>
        <w:rPr>
          <w:rFonts w:eastAsia="Noto Sans CJK SC"/>
          <w:kern w:val="2"/>
          <w:lang w:eastAsia="zh-CN" w:bidi="hi-IN"/>
        </w:rPr>
      </w:pPr>
    </w:p>
    <w:p w14:paraId="69C95DAD" w14:textId="00089198" w:rsidR="00DB125E" w:rsidRDefault="00DB125E" w:rsidP="00DB125E">
      <w:pPr>
        <w:suppressAutoHyphens/>
        <w:jc w:val="both"/>
        <w:rPr>
          <w:rFonts w:eastAsia="Noto Sans CJK SC"/>
          <w:kern w:val="2"/>
        </w:rPr>
      </w:pPr>
      <w:r>
        <w:t xml:space="preserve"> Queda derogado el artículo 7/I de la Ley antitabaco.</w:t>
      </w:r>
    </w:p>
    <w:p w14:paraId="63C6352E" w14:textId="441D5254" w:rsidR="00396C85" w:rsidRDefault="00396C85" w:rsidP="00DB125E">
      <w:pPr>
        <w:suppressAutoHyphens/>
        <w:jc w:val="both"/>
        <w:rPr>
          <w:rFonts w:eastAsia="Noto Sans CJK SC"/>
          <w:kern w:val="2"/>
          <w:lang w:eastAsia="zh-CN" w:bidi="hi-IN"/>
        </w:rPr>
      </w:pPr>
    </w:p>
    <w:p w14:paraId="33EC2E38" w14:textId="06B5DBAF" w:rsidR="00396C85" w:rsidRDefault="00396C85" w:rsidP="00DB125E">
      <w:pPr>
        <w:suppressAutoHyphens/>
        <w:jc w:val="both"/>
        <w:rPr>
          <w:rFonts w:eastAsia="Noto Sans CJK SC"/>
          <w:kern w:val="2"/>
          <w:lang w:eastAsia="zh-CN" w:bidi="hi-IN"/>
        </w:rPr>
      </w:pPr>
    </w:p>
    <w:p w14:paraId="09B98B0A" w14:textId="59AFB0A9" w:rsidR="00396C85" w:rsidRPr="00153F89" w:rsidRDefault="00396C85" w:rsidP="00153F89">
      <w:pPr>
        <w:suppressAutoHyphens/>
        <w:jc w:val="center"/>
        <w:rPr>
          <w:rFonts w:eastAsia="Noto Sans CJK SC"/>
          <w:b/>
          <w:kern w:val="2"/>
        </w:rPr>
      </w:pPr>
      <w:r>
        <w:rPr>
          <w:b/>
        </w:rPr>
        <w:t>2. Modificación de la Ley CXXXIV de 2012 sobre la supresión del tabaquismo juvenil y la venta al por menor de productos del tabaco</w:t>
      </w:r>
    </w:p>
    <w:p w14:paraId="1908A397" w14:textId="7B789F09" w:rsidR="00396C85" w:rsidRDefault="00396C85" w:rsidP="00DB125E">
      <w:pPr>
        <w:suppressAutoHyphens/>
        <w:jc w:val="both"/>
        <w:rPr>
          <w:rFonts w:eastAsia="Noto Sans CJK SC"/>
          <w:kern w:val="2"/>
          <w:lang w:eastAsia="zh-CN" w:bidi="hi-IN"/>
        </w:rPr>
      </w:pPr>
    </w:p>
    <w:p w14:paraId="4CC534DD" w14:textId="24BAC365" w:rsidR="006802D9" w:rsidRDefault="00DC56BA" w:rsidP="006802D9">
      <w:pPr>
        <w:suppressAutoHyphens/>
        <w:jc w:val="center"/>
        <w:rPr>
          <w:rFonts w:eastAsia="Noto Sans CJK SC"/>
          <w:b/>
          <w:kern w:val="2"/>
        </w:rPr>
      </w:pPr>
      <w:r>
        <w:rPr>
          <w:b/>
        </w:rPr>
        <w:t>Artículo 8</w:t>
      </w:r>
    </w:p>
    <w:p w14:paraId="0CFD6C4A" w14:textId="77777777" w:rsidR="006802D9" w:rsidRDefault="006802D9" w:rsidP="006802D9">
      <w:pPr>
        <w:suppressAutoHyphens/>
        <w:jc w:val="center"/>
      </w:pPr>
    </w:p>
    <w:p w14:paraId="2F519D6D" w14:textId="7C6EFEEE" w:rsidR="006802D9" w:rsidRDefault="006802D9" w:rsidP="006802D9">
      <w:pPr>
        <w:suppressAutoHyphens/>
        <w:jc w:val="both"/>
      </w:pPr>
      <w:r>
        <w:t>En la Ley CXXXIV de 2012 sobre la supresión del tabaquismo juvenil y la venta al por menor de productos del tabaco (en lo sucesivo: Ley de supresión del tabaquismo en menores de edad), en el artículo 28 se añade el apartado 4 siguiente:</w:t>
      </w:r>
    </w:p>
    <w:p w14:paraId="71301D22" w14:textId="77777777" w:rsidR="006802D9" w:rsidRDefault="006802D9" w:rsidP="006802D9">
      <w:pPr>
        <w:suppressAutoHyphens/>
        <w:jc w:val="both"/>
        <w:rPr>
          <w:rFonts w:eastAsia="Noto Sans CJK SC"/>
          <w:b/>
          <w:kern w:val="2"/>
          <w:lang w:eastAsia="zh-CN" w:bidi="hi-IN"/>
        </w:rPr>
      </w:pPr>
    </w:p>
    <w:p w14:paraId="5F246645" w14:textId="07BDD953" w:rsidR="006802D9" w:rsidRPr="00E91F8B" w:rsidRDefault="006802D9" w:rsidP="006802D9">
      <w:pPr>
        <w:suppressAutoHyphens/>
        <w:jc w:val="both"/>
        <w:rPr>
          <w:rFonts w:eastAsia="Noto Sans CJK SC"/>
          <w:kern w:val="2"/>
        </w:rPr>
      </w:pPr>
      <w:r>
        <w:t>«4. El proyecto de artículo 1, apartado 1, letra e), y artículo 3, apartado 2, letra e), tal y como viene establecido en la Ley... de 2023 por la que se modifica la Ley XLII de 1999 sobre la protección de los no fumadores y determinadas normas sobre el consumo y la distribución de los productos del tabaco y la Ley CXXXIV de 2012 sobre la supresión del tabaquismo juvenil y la venta al por menor de productos del tabaco, han sido objeto de notificación previa, tal como se establece en los artículos 5-7 de la Directiva (UE) 2015/1535 del Parlamento Europeo y del Consejo, de 9 de septiembre de 2015, por la que se establece un procedimiento de información en el ámbito de los reglamentos técnicos y de las normas relativas a los servicios de la sociedad de la información.».</w:t>
      </w:r>
    </w:p>
    <w:p w14:paraId="0CD8ED42" w14:textId="77777777" w:rsidR="006802D9" w:rsidRDefault="006802D9" w:rsidP="006802D9">
      <w:pPr>
        <w:suppressAutoHyphens/>
        <w:jc w:val="center"/>
        <w:rPr>
          <w:rFonts w:eastAsia="Noto Sans CJK SC"/>
          <w:b/>
          <w:kern w:val="2"/>
          <w:lang w:eastAsia="zh-CN" w:bidi="hi-IN"/>
        </w:rPr>
      </w:pPr>
    </w:p>
    <w:p w14:paraId="69112F5E" w14:textId="0F9E35C3" w:rsidR="006802D9" w:rsidRDefault="00DC56BA" w:rsidP="006802D9">
      <w:pPr>
        <w:suppressAutoHyphens/>
        <w:jc w:val="center"/>
        <w:rPr>
          <w:rFonts w:eastAsia="Noto Sans CJK SC"/>
          <w:b/>
          <w:kern w:val="2"/>
        </w:rPr>
      </w:pPr>
      <w:r>
        <w:rPr>
          <w:b/>
        </w:rPr>
        <w:t>Artículo 9</w:t>
      </w:r>
    </w:p>
    <w:p w14:paraId="2586615B" w14:textId="77777777" w:rsidR="006802D9" w:rsidRPr="006802D9" w:rsidRDefault="006802D9" w:rsidP="006802D9">
      <w:pPr>
        <w:suppressAutoHyphens/>
        <w:jc w:val="center"/>
        <w:rPr>
          <w:rFonts w:eastAsia="Noto Sans CJK SC"/>
          <w:b/>
          <w:kern w:val="2"/>
          <w:lang w:eastAsia="zh-CN" w:bidi="hi-IN"/>
        </w:rPr>
      </w:pPr>
    </w:p>
    <w:p w14:paraId="012E5D30" w14:textId="1946FFE6" w:rsidR="00396C85" w:rsidRDefault="00402174" w:rsidP="00153F89">
      <w:pPr>
        <w:jc w:val="both"/>
      </w:pPr>
      <w:r>
        <w:t xml:space="preserve">En el artículo 1, apartado 1, </w:t>
      </w:r>
      <w:r>
        <w:rPr>
          <w:i/>
        </w:rPr>
        <w:t>letra e)</w:t>
      </w:r>
      <w:r>
        <w:t xml:space="preserve"> y el artículo 3, apartado 2, letra </w:t>
      </w:r>
      <w:r>
        <w:rPr>
          <w:i/>
        </w:rPr>
        <w:t>e)</w:t>
      </w:r>
      <w:r>
        <w:t xml:space="preserve"> de la Ley de supresión del tabaquismo en menores de edad, los términos «envases de recarga sin nicotina» se sustituyen por «envases de recarga sin nicotina, cartuchos sin nicotina».</w:t>
      </w:r>
    </w:p>
    <w:p w14:paraId="5D7A0B89" w14:textId="77777777" w:rsidR="00396C85" w:rsidRDefault="00396C85" w:rsidP="00DB125E">
      <w:pPr>
        <w:suppressAutoHyphens/>
        <w:jc w:val="both"/>
        <w:rPr>
          <w:rFonts w:eastAsia="Noto Sans CJK SC"/>
          <w:kern w:val="2"/>
          <w:lang w:eastAsia="zh-CN" w:bidi="hi-IN"/>
        </w:rPr>
      </w:pPr>
    </w:p>
    <w:p w14:paraId="22C61ABF" w14:textId="24FCE190" w:rsidR="008848B7" w:rsidRDefault="008848B7" w:rsidP="00DB125E">
      <w:pPr>
        <w:suppressAutoHyphens/>
        <w:jc w:val="both"/>
        <w:rPr>
          <w:rFonts w:eastAsia="Noto Sans CJK SC"/>
          <w:kern w:val="2"/>
          <w:lang w:eastAsia="zh-CN" w:bidi="hi-IN"/>
        </w:rPr>
      </w:pPr>
    </w:p>
    <w:p w14:paraId="1466126E" w14:textId="15A9380C" w:rsidR="008848B7" w:rsidRPr="00153F89" w:rsidRDefault="005F4FA3" w:rsidP="00153F89">
      <w:pPr>
        <w:suppressAutoHyphens/>
        <w:jc w:val="center"/>
        <w:rPr>
          <w:rFonts w:eastAsia="Noto Sans CJK SC"/>
          <w:b/>
          <w:kern w:val="2"/>
        </w:rPr>
      </w:pPr>
      <w:r>
        <w:rPr>
          <w:b/>
        </w:rPr>
        <w:t>3. Disposiciones finales</w:t>
      </w:r>
    </w:p>
    <w:p w14:paraId="163CB994" w14:textId="30D9ABEE" w:rsidR="008848B7" w:rsidRDefault="008848B7" w:rsidP="00DB125E">
      <w:pPr>
        <w:suppressAutoHyphens/>
        <w:jc w:val="both"/>
        <w:rPr>
          <w:rFonts w:eastAsia="Noto Sans CJK SC"/>
          <w:kern w:val="2"/>
          <w:lang w:eastAsia="zh-CN" w:bidi="hi-IN"/>
        </w:rPr>
      </w:pPr>
    </w:p>
    <w:p w14:paraId="29A59FA1" w14:textId="53D3DD9D" w:rsidR="008246FC" w:rsidRDefault="00DC56BA" w:rsidP="008246FC">
      <w:pPr>
        <w:suppressAutoHyphens/>
        <w:jc w:val="center"/>
        <w:rPr>
          <w:rFonts w:eastAsia="Noto Sans CJK SC"/>
          <w:b/>
          <w:kern w:val="2"/>
        </w:rPr>
      </w:pPr>
      <w:r>
        <w:rPr>
          <w:b/>
        </w:rPr>
        <w:t>Artículo 10</w:t>
      </w:r>
    </w:p>
    <w:p w14:paraId="2974E0DE" w14:textId="77777777" w:rsidR="00741559" w:rsidRPr="008246FC" w:rsidRDefault="00741559" w:rsidP="008246FC">
      <w:pPr>
        <w:suppressAutoHyphens/>
        <w:jc w:val="center"/>
        <w:rPr>
          <w:rFonts w:eastAsia="Noto Sans CJK SC"/>
          <w:b/>
          <w:kern w:val="2"/>
          <w:lang w:eastAsia="zh-CN" w:bidi="hi-IN"/>
        </w:rPr>
      </w:pPr>
    </w:p>
    <w:p w14:paraId="478AF8B4" w14:textId="27448AA5" w:rsidR="008246FC" w:rsidRDefault="008246FC" w:rsidP="004049B2">
      <w:pPr>
        <w:pStyle w:val="ListParagraph"/>
        <w:suppressAutoHyphens/>
        <w:ind w:left="0"/>
        <w:jc w:val="both"/>
        <w:rPr>
          <w:rFonts w:eastAsia="Noto Sans CJK SC"/>
          <w:kern w:val="2"/>
        </w:rPr>
      </w:pPr>
      <w:r>
        <w:t>La presente Ley entrará en vigor el 1 de noviembre de 2023.</w:t>
      </w:r>
    </w:p>
    <w:p w14:paraId="6B8F11CF" w14:textId="77777777" w:rsidR="00020F6A" w:rsidRDefault="00020F6A" w:rsidP="004049B2">
      <w:pPr>
        <w:pStyle w:val="ListParagraph"/>
        <w:suppressAutoHyphens/>
        <w:ind w:left="0"/>
        <w:jc w:val="both"/>
        <w:rPr>
          <w:rFonts w:eastAsia="Noto Sans CJK SC"/>
          <w:kern w:val="2"/>
          <w:lang w:eastAsia="zh-CN" w:bidi="hi-IN"/>
        </w:rPr>
      </w:pPr>
    </w:p>
    <w:p w14:paraId="7FC9F906" w14:textId="02636919" w:rsidR="00704C1F" w:rsidRDefault="00704C1F"/>
    <w:p w14:paraId="315EA5DC" w14:textId="41BBEEA0" w:rsidR="00E91F8B" w:rsidRPr="00E91F8B" w:rsidRDefault="006802D9" w:rsidP="00E91F8B">
      <w:pPr>
        <w:jc w:val="center"/>
        <w:rPr>
          <w:b/>
        </w:rPr>
      </w:pPr>
      <w:r>
        <w:rPr>
          <w:b/>
        </w:rPr>
        <w:t>Artículo 11</w:t>
      </w:r>
    </w:p>
    <w:p w14:paraId="7BC9C63E" w14:textId="77777777" w:rsidR="00E91F8B" w:rsidRDefault="00E91F8B" w:rsidP="00E91F8B">
      <w:pPr>
        <w:jc w:val="center"/>
      </w:pPr>
    </w:p>
    <w:p w14:paraId="50C1AEE0" w14:textId="45A9E010" w:rsidR="00E91F8B" w:rsidRDefault="00E91F8B" w:rsidP="00E91F8B">
      <w:pPr>
        <w:jc w:val="both"/>
        <w:rPr>
          <w:rFonts w:eastAsia="Noto Sans CJK SC"/>
          <w:kern w:val="2"/>
        </w:rPr>
      </w:pPr>
      <w:r>
        <w:t>Se ha cumplido el requisito de notificación previa del presente proyecto de reglamentación, tal y como se estipula en los artículos del 5 al 7 de la Directiva (UE) 2015/1535 del Parlamento Europeo y del Consejo, de 9 de septiembre de 2015, por la que se establece un procedimiento de información en materia de reglamentaciones técnicas y de reglas relativas a los servicios de la sociedad de la información.</w:t>
      </w:r>
    </w:p>
    <w:p w14:paraId="34D6B5FF" w14:textId="77777777" w:rsidR="00704C1F" w:rsidRDefault="00704C1F"/>
    <w:sectPr w:rsidR="00704C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Noto Sans CJK SC">
    <w:charset w:val="00"/>
    <w:family w:val="auto"/>
    <w:pitch w:val="variable"/>
  </w:font>
  <w:font w:name="Lohit Devanagari">
    <w:charset w:val="00"/>
    <w:family w:val="auto"/>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E05"/>
    <w:multiLevelType w:val="hybridMultilevel"/>
    <w:tmpl w:val="B6D2390E"/>
    <w:lvl w:ilvl="0" w:tplc="040E000F">
      <w:start w:val="1"/>
      <w:numFmt w:val="decimal"/>
      <w:lvlText w:val="%1."/>
      <w:lvlJc w:val="left"/>
      <w:pPr>
        <w:ind w:left="720" w:hanging="360"/>
      </w:pPr>
      <w:rPr>
        <w:rFonts w:eastAsia="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3F54B9B"/>
    <w:multiLevelType w:val="hybridMultilevel"/>
    <w:tmpl w:val="9AD43B9C"/>
    <w:lvl w:ilvl="0" w:tplc="21BCA196">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 w15:restartNumberingAfterBreak="0">
    <w:nsid w:val="4E82103A"/>
    <w:multiLevelType w:val="hybridMultilevel"/>
    <w:tmpl w:val="2D6256B8"/>
    <w:lvl w:ilvl="0" w:tplc="07768FE0">
      <w:start w:val="1"/>
      <w:numFmt w:val="lowerLetter"/>
      <w:lvlText w:val="%1)"/>
      <w:lvlJc w:val="left"/>
      <w:pPr>
        <w:ind w:left="1065" w:hanging="705"/>
      </w:pPr>
      <w:rPr>
        <w:i/>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num w:numId="1" w16cid:durableId="1249535200">
    <w:abstractNumId w:val="1"/>
  </w:num>
  <w:num w:numId="2" w16cid:durableId="10395531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44076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A11"/>
    <w:rsid w:val="00003480"/>
    <w:rsid w:val="00020F6A"/>
    <w:rsid w:val="000622EF"/>
    <w:rsid w:val="000B2D67"/>
    <w:rsid w:val="000D2A11"/>
    <w:rsid w:val="001124F5"/>
    <w:rsid w:val="00153F89"/>
    <w:rsid w:val="00156D3E"/>
    <w:rsid w:val="00193FD6"/>
    <w:rsid w:val="001F588D"/>
    <w:rsid w:val="00237063"/>
    <w:rsid w:val="002D6BBD"/>
    <w:rsid w:val="00333428"/>
    <w:rsid w:val="00396C85"/>
    <w:rsid w:val="003A401D"/>
    <w:rsid w:val="00402174"/>
    <w:rsid w:val="004049B2"/>
    <w:rsid w:val="004947EA"/>
    <w:rsid w:val="00521434"/>
    <w:rsid w:val="00531A08"/>
    <w:rsid w:val="005777D3"/>
    <w:rsid w:val="00593AE9"/>
    <w:rsid w:val="005A2187"/>
    <w:rsid w:val="005C77CD"/>
    <w:rsid w:val="005F4FA3"/>
    <w:rsid w:val="00623454"/>
    <w:rsid w:val="006802D9"/>
    <w:rsid w:val="00704C1F"/>
    <w:rsid w:val="00741559"/>
    <w:rsid w:val="007A1FAA"/>
    <w:rsid w:val="007E28B6"/>
    <w:rsid w:val="008246FC"/>
    <w:rsid w:val="00827692"/>
    <w:rsid w:val="00835734"/>
    <w:rsid w:val="008848B7"/>
    <w:rsid w:val="008B7648"/>
    <w:rsid w:val="009002BA"/>
    <w:rsid w:val="00913058"/>
    <w:rsid w:val="009F216A"/>
    <w:rsid w:val="00AD4247"/>
    <w:rsid w:val="00AF7221"/>
    <w:rsid w:val="00B353AA"/>
    <w:rsid w:val="00B771CC"/>
    <w:rsid w:val="00C124B9"/>
    <w:rsid w:val="00C54A0E"/>
    <w:rsid w:val="00CC4E66"/>
    <w:rsid w:val="00D524FF"/>
    <w:rsid w:val="00DB125E"/>
    <w:rsid w:val="00DC56BA"/>
    <w:rsid w:val="00E54C14"/>
    <w:rsid w:val="00E91F8B"/>
    <w:rsid w:val="00F220C3"/>
    <w:rsid w:val="00F260A9"/>
    <w:rsid w:val="00F46F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9F0"/>
  <w15:docId w15:val="{A62FC256-44D0-4473-BEEF-349E02F50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5E"/>
    <w:pPr>
      <w:spacing w:after="0" w:line="240" w:lineRule="auto"/>
    </w:pPr>
    <w:rPr>
      <w:rFonts w:ascii="Times New Roman" w:eastAsia="Times New Roman" w:hAnsi="Times New Roman" w:cs="Times New Roman"/>
      <w:sz w:val="24"/>
      <w:szCs w:val="24"/>
      <w:lang w:eastAsia="hu-H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DB125E"/>
    <w:pPr>
      <w:suppressAutoHyphens/>
      <w:spacing w:after="140" w:line="276" w:lineRule="auto"/>
    </w:pPr>
    <w:rPr>
      <w:rFonts w:ascii="Liberation Serif" w:eastAsia="Noto Sans CJK SC" w:hAnsi="Liberation Serif" w:cs="Lohit Devanagari"/>
      <w:kern w:val="2"/>
      <w:lang w:eastAsia="zh-CN" w:bidi="hi-IN"/>
    </w:rPr>
  </w:style>
  <w:style w:type="character" w:customStyle="1" w:styleId="BodyTextChar">
    <w:name w:val="Body Text Char"/>
    <w:basedOn w:val="DefaultParagraphFont"/>
    <w:link w:val="BodyText"/>
    <w:rsid w:val="00DB125E"/>
    <w:rPr>
      <w:rFonts w:ascii="Liberation Serif" w:eastAsia="Noto Sans CJK SC" w:hAnsi="Liberation Serif" w:cs="Lohit Devanagari"/>
      <w:kern w:val="2"/>
      <w:sz w:val="24"/>
      <w:szCs w:val="24"/>
      <w:lang w:eastAsia="zh-CN" w:bidi="hi-IN"/>
    </w:rPr>
  </w:style>
  <w:style w:type="character" w:styleId="CommentReference">
    <w:name w:val="annotation reference"/>
    <w:uiPriority w:val="99"/>
    <w:unhideWhenUsed/>
    <w:rsid w:val="00DB125E"/>
    <w:rPr>
      <w:sz w:val="16"/>
      <w:szCs w:val="16"/>
    </w:rPr>
  </w:style>
  <w:style w:type="paragraph" w:styleId="CommentText">
    <w:name w:val="annotation text"/>
    <w:aliases w:val="Char,Comment Text Char"/>
    <w:basedOn w:val="Normal"/>
    <w:link w:val="CommentTextChar1"/>
    <w:uiPriority w:val="99"/>
    <w:unhideWhenUsed/>
    <w:qFormat/>
    <w:rsid w:val="00DB125E"/>
    <w:pPr>
      <w:spacing w:after="200"/>
    </w:pPr>
    <w:rPr>
      <w:rFonts w:ascii="Calibri" w:eastAsia="Calibri" w:hAnsi="Calibri"/>
      <w:sz w:val="20"/>
      <w:szCs w:val="20"/>
      <w:lang w:eastAsia="x-none"/>
    </w:rPr>
  </w:style>
  <w:style w:type="character" w:customStyle="1" w:styleId="CommentTextChar1">
    <w:name w:val="Comment Text Char1"/>
    <w:aliases w:val="Char Char,Comment Text Char Char"/>
    <w:basedOn w:val="DefaultParagraphFont"/>
    <w:link w:val="CommentText"/>
    <w:uiPriority w:val="99"/>
    <w:qFormat/>
    <w:rsid w:val="00DB125E"/>
    <w:rPr>
      <w:rFonts w:ascii="Calibri" w:eastAsia="Calibri" w:hAnsi="Calibri" w:cs="Times New Roman"/>
      <w:sz w:val="20"/>
      <w:szCs w:val="20"/>
      <w:lang w:val="es-ES" w:eastAsia="x-none"/>
    </w:rPr>
  </w:style>
  <w:style w:type="paragraph" w:styleId="BalloonText">
    <w:name w:val="Balloon Text"/>
    <w:basedOn w:val="Normal"/>
    <w:link w:val="BalloonTextChar"/>
    <w:uiPriority w:val="99"/>
    <w:semiHidden/>
    <w:unhideWhenUsed/>
    <w:rsid w:val="00DB12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125E"/>
    <w:rPr>
      <w:rFonts w:ascii="Segoe UI" w:eastAsia="Times New Roman" w:hAnsi="Segoe UI" w:cs="Segoe UI"/>
      <w:sz w:val="18"/>
      <w:szCs w:val="18"/>
      <w:lang w:eastAsia="hu-HU"/>
    </w:rPr>
  </w:style>
  <w:style w:type="paragraph" w:styleId="ListParagraph">
    <w:name w:val="List Paragraph"/>
    <w:basedOn w:val="Normal"/>
    <w:uiPriority w:val="34"/>
    <w:qFormat/>
    <w:rsid w:val="008246FC"/>
    <w:pPr>
      <w:ind w:left="720"/>
      <w:contextualSpacing/>
    </w:pPr>
  </w:style>
  <w:style w:type="character" w:styleId="Emphasis">
    <w:name w:val="Emphasis"/>
    <w:basedOn w:val="DefaultParagraphFont"/>
    <w:uiPriority w:val="20"/>
    <w:qFormat/>
    <w:rsid w:val="007A1FAA"/>
    <w:rPr>
      <w:i/>
      <w:iCs/>
    </w:rPr>
  </w:style>
  <w:style w:type="paragraph" w:styleId="CommentSubject">
    <w:name w:val="annotation subject"/>
    <w:basedOn w:val="CommentText"/>
    <w:next w:val="CommentText"/>
    <w:link w:val="CommentSubjectChar"/>
    <w:uiPriority w:val="99"/>
    <w:semiHidden/>
    <w:unhideWhenUsed/>
    <w:rsid w:val="002D6BBD"/>
    <w:pPr>
      <w:spacing w:after="0"/>
    </w:pPr>
    <w:rPr>
      <w:rFonts w:ascii="Times New Roman" w:eastAsia="Times New Roman" w:hAnsi="Times New Roman"/>
      <w:b/>
      <w:bCs/>
      <w:lang w:eastAsia="hu-HU"/>
    </w:rPr>
  </w:style>
  <w:style w:type="character" w:customStyle="1" w:styleId="CommentSubjectChar">
    <w:name w:val="Comment Subject Char"/>
    <w:basedOn w:val="CommentTextChar1"/>
    <w:link w:val="CommentSubject"/>
    <w:uiPriority w:val="99"/>
    <w:semiHidden/>
    <w:rsid w:val="002D6BBD"/>
    <w:rPr>
      <w:rFonts w:ascii="Times New Roman" w:eastAsia="Times New Roman" w:hAnsi="Times New Roman" w:cs="Times New Roman"/>
      <w:b/>
      <w:bCs/>
      <w:sz w:val="20"/>
      <w:szCs w:val="20"/>
      <w:lang w:val="es-ES"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39102">
      <w:bodyDiv w:val="1"/>
      <w:marLeft w:val="0"/>
      <w:marRight w:val="0"/>
      <w:marTop w:val="0"/>
      <w:marBottom w:val="0"/>
      <w:divBdr>
        <w:top w:val="none" w:sz="0" w:space="0" w:color="auto"/>
        <w:left w:val="none" w:sz="0" w:space="0" w:color="auto"/>
        <w:bottom w:val="none" w:sz="0" w:space="0" w:color="auto"/>
        <w:right w:val="none" w:sz="0" w:space="0" w:color="auto"/>
      </w:divBdr>
    </w:div>
    <w:div w:id="269245879">
      <w:bodyDiv w:val="1"/>
      <w:marLeft w:val="0"/>
      <w:marRight w:val="0"/>
      <w:marTop w:val="0"/>
      <w:marBottom w:val="0"/>
      <w:divBdr>
        <w:top w:val="none" w:sz="0" w:space="0" w:color="auto"/>
        <w:left w:val="none" w:sz="0" w:space="0" w:color="auto"/>
        <w:bottom w:val="none" w:sz="0" w:space="0" w:color="auto"/>
        <w:right w:val="none" w:sz="0" w:space="0" w:color="auto"/>
      </w:divBdr>
    </w:div>
    <w:div w:id="1238516932">
      <w:bodyDiv w:val="1"/>
      <w:marLeft w:val="0"/>
      <w:marRight w:val="0"/>
      <w:marTop w:val="0"/>
      <w:marBottom w:val="0"/>
      <w:divBdr>
        <w:top w:val="none" w:sz="0" w:space="0" w:color="auto"/>
        <w:left w:val="none" w:sz="0" w:space="0" w:color="auto"/>
        <w:bottom w:val="none" w:sz="0" w:space="0" w:color="auto"/>
        <w:right w:val="none" w:sz="0" w:space="0" w:color="auto"/>
      </w:divBdr>
    </w:div>
    <w:div w:id="177578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63DE22-5A29-45DC-B5E5-077A39BBC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1743</Words>
  <Characters>9936</Characters>
  <Application>Microsoft Office Word</Application>
  <DocSecurity>0</DocSecurity>
  <Lines>82</Lines>
  <Paragraphs>23</Paragraphs>
  <ScaleCrop>false</ScaleCrop>
  <HeadingPairs>
    <vt:vector size="2" baseType="variant">
      <vt:variant>
        <vt:lpstr>Cím</vt:lpstr>
      </vt:variant>
      <vt:variant>
        <vt:i4>1</vt:i4>
      </vt:variant>
    </vt:vector>
  </HeadingPairs>
  <TitlesOfParts>
    <vt:vector size="1" baseType="lpstr">
      <vt:lpstr/>
    </vt:vector>
  </TitlesOfParts>
  <Company>BM</Company>
  <LinksUpToDate>false</LinksUpToDate>
  <CharactersWithSpaces>11656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Nádasdy-Horváth Benedek dr.</dc:creator>
  <cp:keywords/>
  <dc:description/>
  <cp:lastModifiedBy>Liana Brili</cp:lastModifiedBy>
  <cp:revision>4</cp:revision>
  <cp:lastPrinted>2023-03-28T12:44:00Z</cp:lastPrinted>
  <dcterms:created xsi:type="dcterms:W3CDTF">2023-04-11T08:39:00Z</dcterms:created>
  <dcterms:modified xsi:type="dcterms:W3CDTF">2023-04-24T07:10:00Z</dcterms:modified>
</cp:coreProperties>
</file>