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4A299" w14:textId="27899202" w:rsidR="00C72F15" w:rsidRDefault="007B5DC8" w:rsidP="00C72F15">
      <w:pPr>
        <w:jc w:val="center"/>
        <w:rPr>
          <w:rFonts w:ascii="Courier New" w:hAnsi="Courier New"/>
          <w:sz w:val="20"/>
        </w:rPr>
      </w:pPr>
      <w:bookmarkStart w:id="0" w:name="_Hlk58612681"/>
      <w:r>
        <w:rPr>
          <w:rFonts w:ascii="Courier New" w:hAnsi="Courier New"/>
          <w:sz w:val="20"/>
        </w:rPr>
        <w:t>1. ------IND- 2021 0013 D-- FR</w:t>
      </w:r>
      <w:r w:rsidR="00C72F15">
        <w:rPr>
          <w:rFonts w:ascii="Courier New" w:hAnsi="Courier New"/>
          <w:sz w:val="20"/>
        </w:rPr>
        <w:t xml:space="preserve">- ------ 20210126 --- --- </w:t>
      </w:r>
      <w:bookmarkEnd w:id="0"/>
      <w:r w:rsidR="00C72F15">
        <w:rPr>
          <w:rFonts w:ascii="Courier New" w:hAnsi="Courier New"/>
          <w:sz w:val="20"/>
        </w:rPr>
        <w:t>PROJET</w:t>
      </w:r>
    </w:p>
    <w:p w14:paraId="61B72A04" w14:textId="77777777" w:rsidR="002B6ABF" w:rsidRPr="00774080" w:rsidRDefault="004B1EAC" w:rsidP="004E1D47">
      <w:pPr>
        <w:pStyle w:val="Heading1"/>
        <w:rPr>
          <w:sz w:val="30"/>
          <w:szCs w:val="30"/>
        </w:rPr>
      </w:pPr>
      <w:r>
        <w:rPr>
          <w:sz w:val="30"/>
          <w:szCs w:val="30"/>
        </w:rPr>
        <w:t>Projet de loi</w:t>
      </w:r>
    </w:p>
    <w:p w14:paraId="4AD3C5C7" w14:textId="77777777" w:rsidR="002B6ABF" w:rsidRPr="00774080" w:rsidRDefault="002B6ABF">
      <w:pPr>
        <w:pStyle w:val="Initiant"/>
        <w:rPr>
          <w:szCs w:val="26"/>
        </w:rPr>
      </w:pPr>
      <w:r>
        <w:t>du gouvernement fédéral</w:t>
      </w:r>
    </w:p>
    <w:p w14:paraId="39573378" w14:textId="2AB76FB7" w:rsidR="002B6ABF" w:rsidRPr="00774080" w:rsidRDefault="00C80BD3" w:rsidP="007965D0">
      <w:pPr>
        <w:pStyle w:val="VorblattBezeichnung"/>
        <w:jc w:val="center"/>
      </w:pPr>
      <w:r>
        <w:t>Projet de loi modifiant la loi sur la protection des animaux - Interdiction de tuer les poussins</w:t>
      </w:r>
    </w:p>
    <w:p w14:paraId="615E43B4" w14:textId="77777777" w:rsidR="004B1EAC" w:rsidRPr="00774080" w:rsidRDefault="00EF383E" w:rsidP="00EF383E">
      <w:pPr>
        <w:pStyle w:val="VorblattTitelProblemundZiel"/>
      </w:pPr>
      <w:r>
        <w:t>A. Problème et objectif</w:t>
      </w:r>
    </w:p>
    <w:p w14:paraId="78584AAC" w14:textId="77777777" w:rsidR="003C6535" w:rsidRPr="00774080" w:rsidRDefault="003C6535" w:rsidP="003C6535">
      <w:pPr>
        <w:pStyle w:val="Text"/>
      </w:pPr>
      <w:r>
        <w:t xml:space="preserve">Pour 2019, l'Office fédéral de la statistique fait état d’environ 45 millions de poussins dits «de ponte utilitaire» éclos. Les «poussins de ponte utilitaires» sont des poussins femelles qui sont utilisés comme poules </w:t>
      </w:r>
      <w:bookmarkStart w:id="1" w:name="_GoBack"/>
      <w:bookmarkEnd w:id="1"/>
      <w:r>
        <w:t>pondeuses après l'élevage et sont donc principalement issus de lignées de reproduction qui, contrairement aux races à double usage, sont élevées spécifiquement dans le but d’atteindre de hautes performances de ponte.</w:t>
      </w:r>
    </w:p>
    <w:p w14:paraId="6E35931B" w14:textId="77777777" w:rsidR="003C6535" w:rsidRPr="00774080" w:rsidRDefault="003C6535" w:rsidP="003C6535">
      <w:pPr>
        <w:pStyle w:val="Text"/>
      </w:pPr>
      <w:r>
        <w:t>Dans ces lignées de reproduction, environ 45 millions de poussins mâles éclosent en plus des 45 millions de poussins de ponte utilitaire. Ces poussins mâles sont triés par les producteurs pour des raisons économiques, car les coqs ne pondent pas d'œufs et les coqs de ces lignées de reproduction ne conviennent guère comme poulets de chair en raison de leurs faibles performances d'engraissement. C'est pourquoi la grande majorité des poussins mâles sont actuellement tués dans les couvoirs peu après leur éclosion. La mise à mort a généralement lieu par pénétration de fortes concentrations de dioxyde de carbone, moins souvent par broyage.</w:t>
      </w:r>
    </w:p>
    <w:p w14:paraId="18595EEF" w14:textId="77777777" w:rsidR="003C6535" w:rsidRPr="00774080" w:rsidRDefault="003C6535" w:rsidP="003C6535">
      <w:pPr>
        <w:pStyle w:val="Text"/>
      </w:pPr>
      <w:r>
        <w:t>La loi sur la protection des animaux stipule à l'article 1er, première phrase, que les animaux doivent être protégés: «Cette loi vise à protéger la vie et le bien-être des animaux, partant de la responsabilité de l'homme à leur égard en tant que créatures semblables.»</w:t>
      </w:r>
      <w:r>
        <w:br/>
        <w:t>La phrase 2 de l'article 1er de la loi sur la protection des animaux indique: «Nul ne peut infliger de la douleur, de la souffrance ou des lésions à un animal sans motif raisonnable.» À contrario, il découle de l'article 1er, phrase 2, que les animaux peuvent néanmoins être soumis à des douleurs, des souffrances ou des lésions que s'il existe un motif raisonnable de le faire. Dans ses arrêts du 13 juin 2019 (</w:t>
      </w:r>
      <w:proofErr w:type="spellStart"/>
      <w:r>
        <w:t>BVerwG</w:t>
      </w:r>
      <w:proofErr w:type="spellEnd"/>
      <w:r>
        <w:t xml:space="preserve"> 3 C 28.16, </w:t>
      </w:r>
      <w:proofErr w:type="spellStart"/>
      <w:r>
        <w:t>BVerwG</w:t>
      </w:r>
      <w:proofErr w:type="spellEnd"/>
      <w:r>
        <w:t xml:space="preserve"> 3 C 29.16), le Tribunal administratif fédéral a jugé que – à la lumière de l'objectif d'État de la protection des animaux intégré dans la Loi fondamentale allemande (article 20a de la Loi fondamentale) – l'intérêt économique pour des poules élevées spécifiquement dans le but d’atteindre de hautes performances de ponte ne constitue pas un motif raisonnable, au sens de l’article 1er, phrase 2, de la loi sur la protection des animaux, pour tuer des poussins mâles issus de ces lignées de reproduction. Toutefois, selon le Tribunal administratif fédéral, il est encore raisonnablement justifié de maintenir la pratique actuelle de mise à mort des poussins mâles pendant une période transitoire s'il est prévisible que des alternatives à la mise à mort des poussins, qui imposent une charge nettement moindre au couvoir que l'élevage des animaux, seront bientôt mises à disposition. </w:t>
      </w:r>
    </w:p>
    <w:p w14:paraId="379BAE7F" w14:textId="77777777" w:rsidR="003C6535" w:rsidRPr="00774080" w:rsidRDefault="003C6535" w:rsidP="00871FE7">
      <w:pPr>
        <w:spacing w:before="0" w:after="0"/>
      </w:pPr>
      <w:r>
        <w:t xml:space="preserve">Indépendamment des deux arrêts et des affaires judiciaires spécifiques, il existe depuis de nombreuses années une revendication politique pour que l'industrie avicole s'abstienne de tuer les poussins. D'une part, les projets de recherche sur l'utilisation des poulets à double usage ont été encouragés. Lors de l'élevage de poulets à double usage, la poule doit avoir une performance de ponte suffisante et le coq une performance d'engraissement et d'abattage acceptable, de sorte que les deux sexes atteignent une valeur économique. D'autre part, des projets de recherche, qui ont également été soutenus par des fonds publics, ont maintenant réussi à développer des méthodes pratiques permettant de </w:t>
      </w:r>
      <w:r>
        <w:lastRenderedPageBreak/>
        <w:t xml:space="preserve">déterminer le sexe des poussins avant même leur éclosion. Ainsi, les œufs dont les poussins mâles éclosent peuvent être triés, de sorte qu'il n'est pas nécessaire de tuer les poussins mâles. </w:t>
      </w:r>
    </w:p>
    <w:p w14:paraId="6A821666" w14:textId="77777777" w:rsidR="003C6535" w:rsidRPr="00774080" w:rsidRDefault="003C6535" w:rsidP="003C6535">
      <w:pPr>
        <w:pStyle w:val="Text"/>
      </w:pPr>
      <w:r>
        <w:t>Dans ce contexte, en particulier dans les arrêts du Tribunal administratif fédéral, et compte tenu de l'accord ciblé de la coalition gouvernementale dans le cadre de l’accord de coalition visant à mettre fin à l’abattage des poussins, l’abattage des poussins doit maintenant être expressément interdit. L'interdiction porte également sur les animaux de reproduction et d'élevage. Les animaux d'élevage sont utilisés pour la production d'animaux de multiplication et les animaux de multiplication sont utilisés pour la production de poussins d'utilisation. Selon les connaissances scientifiques actuelles, l'embryon de poulet n'est pas encore capable de ressentir la douleur avant le septième jour d'incubation. À partir du septième jour d'incubation, le début du développement de la sensation de douleur ne peut être exclu. Par conséquent, à partir du septième jour d'incubation, les interventions sur l'œuf de poule ou la fin de l’incubation qui sont effectuées pendant ou après l'application des procédures de détermination du sexe et qui entraînent la mort de l'embryon de la poule doivent être rejetées pour des raisons de bien-être animal. De tels actes doivent désormais être également interdits.</w:t>
      </w:r>
    </w:p>
    <w:p w14:paraId="1BA24636" w14:textId="77777777" w:rsidR="003C6535" w:rsidRPr="00774080" w:rsidRDefault="003C6535" w:rsidP="003C6535">
      <w:pPr>
        <w:pStyle w:val="VorblattTitelLsung"/>
      </w:pPr>
      <w:r>
        <w:t>B. Solution</w:t>
      </w:r>
    </w:p>
    <w:p w14:paraId="3B6C4276" w14:textId="77777777" w:rsidR="003C6535" w:rsidRPr="00774080" w:rsidRDefault="003C6535" w:rsidP="003C6535">
      <w:pPr>
        <w:pStyle w:val="Text"/>
      </w:pPr>
      <w:r>
        <w:t xml:space="preserve">Cette loi introduit dans la loi sur la protection des animaux une interdiction de tuer les poussins de poules du genre Gallus </w:t>
      </w:r>
      <w:proofErr w:type="spellStart"/>
      <w:r>
        <w:t>gallus</w:t>
      </w:r>
      <w:proofErr w:type="spellEnd"/>
      <w:r>
        <w:t xml:space="preserve">. L'interdiction porte également sur les animaux de reproduction et d'élevage. </w:t>
      </w:r>
    </w:p>
    <w:p w14:paraId="433E6F3A" w14:textId="77777777" w:rsidR="003C6535" w:rsidRPr="00774080" w:rsidRDefault="003C6535" w:rsidP="003C6535">
      <w:pPr>
        <w:pStyle w:val="Text"/>
      </w:pPr>
      <w:r>
        <w:t xml:space="preserve">L'interdiction des interventions sur un œuf de poule et la fin de l'incubation à partir du septième jour d'incubation, qui sont effectuées pendant ou après l'application de procédures de détermination du sexe dans l'œuf et qui entraînent la mort de l'embryon de la poule, est également incluse. </w:t>
      </w:r>
    </w:p>
    <w:p w14:paraId="4D3DCD0D" w14:textId="77777777" w:rsidR="003C6535" w:rsidRPr="00774080" w:rsidRDefault="003C6535" w:rsidP="003C6535">
      <w:pPr>
        <w:pStyle w:val="Text"/>
      </w:pPr>
      <w:r>
        <w:t xml:space="preserve">Toutefois, les deux interdictions n'entrent pas en vigueur immédiatement ou en même temps. Une entrée en vigueur échelonnée est prévue: L'interdiction de mise à mort des poussins de poule entrera en vigueur le 1er janvier 2022 et l'interdiction des interventions sur l’œuf de poule et d'interruption de l'incubation le 1er janvier 2024 seulement. Cela donnera au secteur le temps de s'adapter à la nouvelle situation juridique. </w:t>
      </w:r>
    </w:p>
    <w:p w14:paraId="56F0426A" w14:textId="77777777" w:rsidR="003C6535" w:rsidRPr="00774080" w:rsidRDefault="003C6535" w:rsidP="003C6535">
      <w:pPr>
        <w:pStyle w:val="VorblattTitelAlternativen"/>
      </w:pPr>
      <w:r>
        <w:t>C. Autres possibilités</w:t>
      </w:r>
    </w:p>
    <w:p w14:paraId="5A30BC6A" w14:textId="77777777" w:rsidR="003C6535" w:rsidRPr="00774080" w:rsidRDefault="003C6535" w:rsidP="003C6535">
      <w:pPr>
        <w:pStyle w:val="Text"/>
      </w:pPr>
      <w:r>
        <w:t>Renoncer à inclure les deux interdictions, ou simplement déclarer qu'il n'y a pas de motif raisonnable de tuer des poussins et causer la mort d'embryons de poulet, ne permettrait pas d'atteindre l'objectif d'empêcher la mise à mort de poussins ou d'embryons de poulet et de faire respecter efficacement cette interdiction. Il n'existe donc aucune alternative législative aussi appropriée. Les réglementations sont accompagnées de mesures visant à renforcer l'élevage et l'utilisation de races à double usage.</w:t>
      </w:r>
    </w:p>
    <w:p w14:paraId="1AB91B88" w14:textId="77777777" w:rsidR="003C6535" w:rsidRPr="00774080" w:rsidRDefault="003C6535" w:rsidP="003C6535">
      <w:pPr>
        <w:pStyle w:val="VorblattTitelHaushaltsausgabenohneErfllungsaufwand"/>
      </w:pPr>
      <w:r>
        <w:t>D. Dépenses budgétaires sans charges d’exécution</w:t>
      </w:r>
    </w:p>
    <w:p w14:paraId="4A61EEE5" w14:textId="77777777" w:rsidR="003C6535" w:rsidRPr="00774080" w:rsidRDefault="003C6535" w:rsidP="003C6535">
      <w:pPr>
        <w:pStyle w:val="Text"/>
      </w:pPr>
      <w:r>
        <w:t xml:space="preserve">Cette loi n'engendre pas de dépenses budgétaires dépourvues de charges d'exécution. </w:t>
      </w:r>
    </w:p>
    <w:p w14:paraId="2A16B3C4" w14:textId="77777777" w:rsidR="003C6535" w:rsidRPr="00774080" w:rsidRDefault="003C6535" w:rsidP="003C6535">
      <w:pPr>
        <w:pStyle w:val="VorblattTitelErfllungsaufwand"/>
      </w:pPr>
      <w:r>
        <w:lastRenderedPageBreak/>
        <w:t>E. Charges d’exécution</w:t>
      </w:r>
    </w:p>
    <w:p w14:paraId="43FB213F" w14:textId="77777777" w:rsidR="003C6535" w:rsidRPr="00774080" w:rsidRDefault="003C6535" w:rsidP="003C6535">
      <w:pPr>
        <w:pStyle w:val="VorblattTitelErfllungsaufwandBrgerinnenundBrger"/>
      </w:pPr>
      <w:r>
        <w:t>E.1 Charges d’exécution pour les citoyens</w:t>
      </w:r>
    </w:p>
    <w:p w14:paraId="14374CD3" w14:textId="77777777" w:rsidR="003C6535" w:rsidRPr="00774080" w:rsidRDefault="003C6535" w:rsidP="003C6535">
      <w:pPr>
        <w:pStyle w:val="Text"/>
      </w:pPr>
      <w:r>
        <w:t>La loi n’engendre aucune charge d’exécution supplémentaire pour les citoyens.</w:t>
      </w:r>
    </w:p>
    <w:p w14:paraId="288AF373" w14:textId="77777777" w:rsidR="003C6535" w:rsidRPr="00774080" w:rsidRDefault="003C6535" w:rsidP="003C6535">
      <w:pPr>
        <w:pStyle w:val="VorblattTitelErfllungsaufwandWirtschaft"/>
      </w:pPr>
      <w:r>
        <w:t>E.2 Charges d’exécution pour l’économie</w:t>
      </w:r>
    </w:p>
    <w:p w14:paraId="75AA507A" w14:textId="77777777" w:rsidR="003C6535" w:rsidRPr="00774080" w:rsidRDefault="003C6535" w:rsidP="003C6535">
      <w:pPr>
        <w:pStyle w:val="Text"/>
      </w:pPr>
      <w:r>
        <w:t xml:space="preserve">Pour l'économie, la loi entraînera des coûts de mise en conformité annuels d'environ 147,5 millions d'euros. </w:t>
      </w:r>
    </w:p>
    <w:p w14:paraId="21DE4006" w14:textId="77777777" w:rsidR="003C6535" w:rsidRPr="00774080" w:rsidRDefault="003C6535" w:rsidP="003C6535">
      <w:pPr>
        <w:pStyle w:val="VorblattTitelBrokratiekostenausInformationspflichten"/>
      </w:pPr>
      <w:r>
        <w:t>Coûts administratifs liés aux obligations d’information</w:t>
      </w:r>
    </w:p>
    <w:p w14:paraId="664AE8A4" w14:textId="77777777" w:rsidR="003C6535" w:rsidRPr="00774080" w:rsidRDefault="003C6535" w:rsidP="003C6535">
      <w:pPr>
        <w:pStyle w:val="Text"/>
      </w:pPr>
      <w:r>
        <w:t>Aucune.</w:t>
      </w:r>
    </w:p>
    <w:p w14:paraId="62CBB9D6" w14:textId="77777777" w:rsidR="003C6535" w:rsidRPr="00774080" w:rsidRDefault="003C6535" w:rsidP="003C6535">
      <w:pPr>
        <w:pStyle w:val="VorblattTitelErfllungsaufwandVerwaltung"/>
      </w:pPr>
      <w:r>
        <w:t>E.3 Charges d’exécution pour l’administration</w:t>
      </w:r>
    </w:p>
    <w:p w14:paraId="3CA533EA" w14:textId="77777777" w:rsidR="003C6535" w:rsidRPr="00774080" w:rsidRDefault="003C6535" w:rsidP="003C6535">
      <w:pPr>
        <w:pStyle w:val="Text"/>
      </w:pPr>
      <w:r>
        <w:t xml:space="preserve">Aucune modification des charges d’exécution pour l’administration n'est attendue. </w:t>
      </w:r>
    </w:p>
    <w:p w14:paraId="28C56470" w14:textId="77777777" w:rsidR="003C6535" w:rsidRPr="00774080" w:rsidRDefault="003C6535" w:rsidP="003C6535">
      <w:pPr>
        <w:pStyle w:val="VorblattTitelWeitereKosten"/>
      </w:pPr>
      <w:r>
        <w:t>F. Autres coûts</w:t>
      </w:r>
    </w:p>
    <w:p w14:paraId="37AADAA7" w14:textId="77777777" w:rsidR="00793A16" w:rsidRPr="00774080" w:rsidRDefault="00793A16" w:rsidP="003C6535">
      <w:pPr>
        <w:pStyle w:val="Text"/>
      </w:pPr>
      <w:r>
        <w:t>Suite à l’entrée en vigueur de cette loi, le prix des œufs au détail est susceptible d'augmenter, car l'industrie peut répercuter les coûts qu'elle encourt sur le consommateur final.</w:t>
      </w:r>
    </w:p>
    <w:p w14:paraId="30931AD3" w14:textId="77777777" w:rsidR="003C6535" w:rsidRPr="00774080" w:rsidRDefault="003C6535" w:rsidP="003C6535">
      <w:pPr>
        <w:pStyle w:val="Text"/>
      </w:pPr>
    </w:p>
    <w:p w14:paraId="1678E88C" w14:textId="77777777" w:rsidR="00571B26" w:rsidRPr="00774080" w:rsidRDefault="00571B26">
      <w:pPr>
        <w:sectPr w:rsidR="00571B26" w:rsidRPr="00774080" w:rsidSect="00955160">
          <w:headerReference w:type="default" r:id="rId8"/>
          <w:headerReference w:type="first" r:id="rId9"/>
          <w:pgSz w:w="11907" w:h="16839"/>
          <w:pgMar w:top="1134" w:right="1417" w:bottom="1134" w:left="1701" w:header="709" w:footer="709" w:gutter="0"/>
          <w:pgNumType w:start="1"/>
          <w:cols w:space="708"/>
          <w:titlePg/>
          <w:docGrid w:linePitch="360"/>
        </w:sectPr>
      </w:pPr>
    </w:p>
    <w:p w14:paraId="377DF8CF" w14:textId="77777777" w:rsidR="002B6ABF" w:rsidRPr="00774080" w:rsidRDefault="004B1EAC" w:rsidP="000D500B">
      <w:pPr>
        <w:pStyle w:val="Dokumentstatus"/>
        <w:jc w:val="center"/>
      </w:pPr>
      <w:r>
        <w:lastRenderedPageBreak/>
        <w:t>Projet de loi du gouvernement fédéral</w:t>
      </w:r>
    </w:p>
    <w:p w14:paraId="76BEEEA5" w14:textId="4C3BA99A" w:rsidR="002B6ABF" w:rsidRPr="00774080" w:rsidRDefault="004F1F90" w:rsidP="00144702">
      <w:pPr>
        <w:pStyle w:val="Bezeichnungnderungsdokument"/>
      </w:pPr>
      <w:r>
        <w:t>Projet de loi modifiant la loi sur la protection des animaux - Interdiction de tuer les poussins</w:t>
      </w:r>
      <w:r w:rsidR="00144702" w:rsidRPr="00774080">
        <w:rPr>
          <w:rStyle w:val="FootnoteReference"/>
        </w:rPr>
        <w:footnoteReference w:id="2"/>
      </w:r>
      <w:r w:rsidR="00144702" w:rsidRPr="00774080">
        <w:rPr>
          <w:rStyle w:val="FootnoteReference"/>
        </w:rPr>
        <w:t>)</w:t>
      </w:r>
      <w:r>
        <w:rPr>
          <w:rStyle w:val="FootnoteReference"/>
        </w:rPr>
        <w:t>)</w:t>
      </w:r>
    </w:p>
    <w:p w14:paraId="15D61ACB" w14:textId="77777777" w:rsidR="002B6ABF" w:rsidRPr="00774080" w:rsidRDefault="002B6ABF">
      <w:pPr>
        <w:pStyle w:val="Ausfertigungsdatumnderungsdokument"/>
      </w:pPr>
      <w:r>
        <w:t>du ...</w:t>
      </w:r>
    </w:p>
    <w:p w14:paraId="51CE921F" w14:textId="77777777" w:rsidR="002B6ABF" w:rsidRPr="00774080" w:rsidRDefault="002B6ABF" w:rsidP="00561226">
      <w:pPr>
        <w:pStyle w:val="EingangsformelStandardnderungsdokument"/>
      </w:pPr>
      <w:r>
        <w:t>Le Bundestag a adopté la loi suivante:</w:t>
      </w:r>
    </w:p>
    <w:p w14:paraId="7CC887D3" w14:textId="0801ECFC" w:rsidR="002B6ABF" w:rsidRPr="00774080" w:rsidRDefault="00DC4328" w:rsidP="00DC4328">
      <w:pPr>
        <w:pStyle w:val="ArtikelBezeichner"/>
        <w:numPr>
          <w:ilvl w:val="0"/>
          <w:numId w:val="0"/>
        </w:numPr>
      </w:pPr>
      <w:r>
        <w:t>Article premier</w:t>
      </w:r>
    </w:p>
    <w:p w14:paraId="340F9E51" w14:textId="77777777" w:rsidR="002B6ABF" w:rsidRPr="00774080" w:rsidRDefault="00561226">
      <w:pPr>
        <w:pStyle w:val="Artikelberschrift"/>
      </w:pPr>
      <w:r>
        <w:t>Modification de la loi sur la protection des animaux</w:t>
      </w:r>
    </w:p>
    <w:p w14:paraId="56395C38" w14:textId="0D3C753A" w:rsidR="00561226" w:rsidRPr="00774080" w:rsidRDefault="00263A3C" w:rsidP="00144702">
      <w:pPr>
        <w:pStyle w:val="JuristischerAbsatznichtnummeriert"/>
      </w:pPr>
      <w:r>
        <w:t>Après l’article 4b de la loi sur la protection des animaux, dans la version publiée le 18 mai 2006 (Journal officiel de la République fédérale d'Allemagne I, pp. 1206 et 1313), modifiée en dernier lieu par [...], est introduit l’article 4c suivant:</w:t>
      </w:r>
    </w:p>
    <w:p w14:paraId="7193C587" w14:textId="77777777" w:rsidR="002D2BC0" w:rsidRPr="00774080" w:rsidRDefault="002D2BC0" w:rsidP="001216CA">
      <w:pPr>
        <w:pStyle w:val="RevisionParagraphBezeichnermanuell"/>
        <w:ind w:left="425" w:hanging="75"/>
      </w:pPr>
      <w:r>
        <w:t>«Article 4c</w:t>
      </w:r>
    </w:p>
    <w:p w14:paraId="4D0DCF8B" w14:textId="6369DAD4" w:rsidR="006705B2" w:rsidRPr="00774080" w:rsidRDefault="006705B2" w:rsidP="006705B2">
      <w:pPr>
        <w:pStyle w:val="RevisionJuristischerAbsatz"/>
        <w:numPr>
          <w:ilvl w:val="2"/>
          <w:numId w:val="0"/>
        </w:numPr>
        <w:tabs>
          <w:tab w:val="left" w:pos="1275"/>
        </w:tabs>
        <w:ind w:left="425" w:firstLine="425"/>
      </w:pPr>
      <w:r>
        <w:t xml:space="preserve">Il est interdit de tuer les poussins de volailles domestiques de l'espèce Gallus </w:t>
      </w:r>
      <w:proofErr w:type="spellStart"/>
      <w:r>
        <w:t>gallus</w:t>
      </w:r>
      <w:proofErr w:type="spellEnd"/>
      <w:r>
        <w:t xml:space="preserve"> qui proviennent de lignées de reproduction destinées à la ponte. L'interdiction ne s'applique pas </w:t>
      </w:r>
    </w:p>
    <w:p w14:paraId="25DFD8F2" w14:textId="77777777" w:rsidR="006705B2" w:rsidRPr="00774080" w:rsidRDefault="006705B2" w:rsidP="00774080">
      <w:pPr>
        <w:pStyle w:val="RevisionNummerierungStufe1"/>
        <w:keepNext/>
        <w:tabs>
          <w:tab w:val="clear" w:pos="425"/>
          <w:tab w:val="num" w:pos="850"/>
        </w:tabs>
        <w:ind w:left="850"/>
      </w:pPr>
      <w:r>
        <w:t xml:space="preserve">dans le cas où une mise à mort de poussins </w:t>
      </w:r>
    </w:p>
    <w:p w14:paraId="17928067" w14:textId="77777777" w:rsidR="006705B2" w:rsidRPr="00774080" w:rsidRDefault="006705B2" w:rsidP="006705B2">
      <w:pPr>
        <w:pStyle w:val="RevisionNummerierungStufe2"/>
        <w:tabs>
          <w:tab w:val="clear" w:pos="850"/>
          <w:tab w:val="num" w:pos="1275"/>
        </w:tabs>
        <w:ind w:left="1275"/>
      </w:pPr>
      <w:r>
        <w:t>a été prescrite ou ordonnée conformément aux dispositions de police sanitaire, ou</w:t>
      </w:r>
    </w:p>
    <w:p w14:paraId="6A54A3A4" w14:textId="77777777" w:rsidR="006705B2" w:rsidRPr="00774080" w:rsidRDefault="006705B2" w:rsidP="006705B2">
      <w:pPr>
        <w:pStyle w:val="RevisionNummerierungStufe2"/>
        <w:tabs>
          <w:tab w:val="clear" w:pos="850"/>
          <w:tab w:val="num" w:pos="1275"/>
        </w:tabs>
        <w:ind w:left="1275"/>
      </w:pPr>
      <w:r>
        <w:t>est nécessaire dans des cas individuels pour des raisons de bien-être animal,</w:t>
      </w:r>
    </w:p>
    <w:p w14:paraId="4C16BB92" w14:textId="77777777" w:rsidR="006705B2" w:rsidRPr="00774080" w:rsidRDefault="006705B2" w:rsidP="006705B2">
      <w:pPr>
        <w:pStyle w:val="RevisionNummerierungStufe1"/>
        <w:tabs>
          <w:tab w:val="clear" w:pos="425"/>
          <w:tab w:val="num" w:pos="850"/>
        </w:tabs>
        <w:ind w:left="850"/>
      </w:pPr>
      <w:r>
        <w:t>pour des poussins qui n'ont pas encore éclos,</w:t>
      </w:r>
    </w:p>
    <w:p w14:paraId="1F26A695" w14:textId="77777777" w:rsidR="006705B2" w:rsidRPr="00774080" w:rsidRDefault="006705B2" w:rsidP="006705B2">
      <w:pPr>
        <w:pStyle w:val="RevisionNummerierungStufe1"/>
        <w:tabs>
          <w:tab w:val="clear" w:pos="425"/>
          <w:tab w:val="num" w:pos="850"/>
        </w:tabs>
        <w:ind w:left="850"/>
      </w:pPr>
      <w:r>
        <w:t>pour des coquelets selon l’article 1er, point 1, lettre a), du règlement (CE) n° 543/2008 de la Commission du 16 juin 2008, lequel contient des règlements d’exécution portant sur le règlement (CE) n° 1234/2007 du Conseil en ce qui concerne les normes de commercialisation pour la viande de volaille (JO CE L 157 du 17.6.2008, p. 46), modifié en dernier lieu par le règlement (UE) n° 519/2013 de la Commission du 21 février 2013 (JO UE L 158 du 10.6.2013, p. 74),</w:t>
      </w:r>
    </w:p>
    <w:p w14:paraId="28D1741A" w14:textId="77777777" w:rsidR="006705B2" w:rsidRPr="00774080" w:rsidRDefault="006705B2" w:rsidP="00774080">
      <w:pPr>
        <w:pStyle w:val="RevisionNummerierungStufe1"/>
        <w:keepNext/>
        <w:tabs>
          <w:tab w:val="clear" w:pos="425"/>
          <w:tab w:val="num" w:pos="850"/>
        </w:tabs>
        <w:ind w:left="850"/>
      </w:pPr>
      <w:r>
        <w:t xml:space="preserve">pour des poussins, </w:t>
      </w:r>
    </w:p>
    <w:p w14:paraId="065FD859" w14:textId="77777777" w:rsidR="006705B2" w:rsidRPr="00774080" w:rsidRDefault="006705B2" w:rsidP="00796FE3">
      <w:pPr>
        <w:pStyle w:val="RevisionNummerierungStufe3"/>
      </w:pPr>
      <w:r>
        <w:t>destinés à être utilisés dans le cadre d'expérimentations animales, ou</w:t>
      </w:r>
    </w:p>
    <w:p w14:paraId="25FB8C13" w14:textId="77777777" w:rsidR="006705B2" w:rsidRPr="00774080" w:rsidRDefault="006705B2" w:rsidP="00796FE3">
      <w:pPr>
        <w:pStyle w:val="RevisionNummerierungStufe3"/>
      </w:pPr>
      <w:r>
        <w:t>dont les tissus ou organes sont destinés à être utilisés à des fins scientifiques.»</w:t>
      </w:r>
    </w:p>
    <w:p w14:paraId="3E398227" w14:textId="3DB2B0D0" w:rsidR="00B74AA8" w:rsidRPr="00774080" w:rsidRDefault="00DC4328" w:rsidP="00DC4328">
      <w:pPr>
        <w:pStyle w:val="ArtikelBezeichner"/>
        <w:numPr>
          <w:ilvl w:val="0"/>
          <w:numId w:val="0"/>
        </w:numPr>
      </w:pPr>
      <w:r>
        <w:lastRenderedPageBreak/>
        <w:t>Article 2</w:t>
      </w:r>
    </w:p>
    <w:p w14:paraId="3F42F66C" w14:textId="77777777" w:rsidR="00B74AA8" w:rsidRPr="00774080" w:rsidRDefault="00B74AA8" w:rsidP="005911C7">
      <w:pPr>
        <w:pStyle w:val="Artikelberschrift"/>
      </w:pPr>
      <w:r>
        <w:t>Nouvelle modification de la loi sur la protection des animaux</w:t>
      </w:r>
    </w:p>
    <w:p w14:paraId="06F4686D" w14:textId="77777777" w:rsidR="00B74AA8" w:rsidRPr="00774080" w:rsidRDefault="00B74AA8" w:rsidP="00774080">
      <w:pPr>
        <w:pStyle w:val="JuristischerAbsatznichtnummeriert"/>
        <w:keepNext/>
      </w:pPr>
      <w:r>
        <w:t>La loi sur la protection des animaux, modifiée en dernier lieu par l'article premier de la présente loi, est modifiée comme suit:</w:t>
      </w:r>
    </w:p>
    <w:p w14:paraId="6956D33E" w14:textId="77777777" w:rsidR="00E35578" w:rsidRPr="00774080" w:rsidRDefault="00E35578" w:rsidP="00774080">
      <w:pPr>
        <w:pStyle w:val="NummerierungStufe1"/>
        <w:keepNext/>
      </w:pPr>
      <w:r>
        <w:t>L’article 4c est modifié comme suit:</w:t>
      </w:r>
    </w:p>
    <w:p w14:paraId="42F2F3D3" w14:textId="77777777" w:rsidR="00761C51" w:rsidRPr="00774080" w:rsidRDefault="00761C51" w:rsidP="00735C5B">
      <w:pPr>
        <w:pStyle w:val="NummerierungStufe2"/>
      </w:pPr>
      <w:r>
        <w:t>L'actuel texte devient le paragraphe 1.</w:t>
      </w:r>
    </w:p>
    <w:p w14:paraId="7D80BA9E" w14:textId="77777777" w:rsidR="00B74AA8" w:rsidRPr="00774080" w:rsidRDefault="00761C51" w:rsidP="00774080">
      <w:pPr>
        <w:pStyle w:val="NummerierungStufe2"/>
        <w:keepNext/>
      </w:pPr>
      <w:r>
        <w:t>Le paragraphe 2 suivant est ajouté:</w:t>
      </w:r>
    </w:p>
    <w:p w14:paraId="4E843EDA" w14:textId="77777777" w:rsidR="00F565A0" w:rsidRPr="00774080" w:rsidRDefault="00B74AA8" w:rsidP="001216CA">
      <w:pPr>
        <w:pStyle w:val="RevisionJuristischerAbsatzmanuell"/>
        <w:tabs>
          <w:tab w:val="clear" w:pos="850"/>
          <w:tab w:val="left" w:pos="1700"/>
        </w:tabs>
        <w:ind w:left="850" w:firstLine="350"/>
      </w:pPr>
      <w:r>
        <w:t>«(2) À partir du septième jour d'incubation, il est interdit, pendant ou après l'application de procédures de détermination du sexe dans l'œuf,</w:t>
      </w:r>
    </w:p>
    <w:p w14:paraId="426C09FC" w14:textId="77777777" w:rsidR="00F565A0" w:rsidRPr="00774080" w:rsidRDefault="00F565A0" w:rsidP="001216CA">
      <w:pPr>
        <w:pStyle w:val="RevisionJuristischerAbsatzmanuell"/>
        <w:numPr>
          <w:ilvl w:val="0"/>
          <w:numId w:val="1"/>
        </w:numPr>
        <w:tabs>
          <w:tab w:val="clear" w:pos="850"/>
          <w:tab w:val="left" w:pos="1700"/>
        </w:tabs>
        <w:ind w:left="850" w:firstLine="425"/>
      </w:pPr>
      <w:r>
        <w:t>d’effectuer une intervention sur un œuf de poule qui entraîne la mort de l'embryon de la poule, ou</w:t>
      </w:r>
    </w:p>
    <w:p w14:paraId="45C7EBC0" w14:textId="77777777" w:rsidR="00B74AA8" w:rsidRPr="00774080" w:rsidRDefault="00F316A3" w:rsidP="001216CA">
      <w:pPr>
        <w:pStyle w:val="RevisionJuristischerAbsatzmanuell"/>
        <w:numPr>
          <w:ilvl w:val="0"/>
          <w:numId w:val="1"/>
        </w:numPr>
        <w:tabs>
          <w:tab w:val="clear" w:pos="850"/>
          <w:tab w:val="left" w:pos="1700"/>
        </w:tabs>
        <w:ind w:left="850" w:firstLine="425"/>
      </w:pPr>
      <w:r>
        <w:t xml:space="preserve">d’interrompre le processus d'incubation, provoquant la mort de l'embryon de la poule.» </w:t>
      </w:r>
    </w:p>
    <w:p w14:paraId="21AC1179" w14:textId="77777777" w:rsidR="00903F6C" w:rsidRPr="00774080" w:rsidRDefault="00903F6C" w:rsidP="00774080">
      <w:pPr>
        <w:pStyle w:val="NummerierungStufe1"/>
        <w:keepNext/>
      </w:pPr>
      <w:r>
        <w:t>Le point 6a suivant est inséré après l'article 18, paragraphe 1, point 6:</w:t>
      </w:r>
    </w:p>
    <w:p w14:paraId="612717EF" w14:textId="77777777" w:rsidR="00E35578" w:rsidRPr="00774080" w:rsidRDefault="00903F6C" w:rsidP="001216CA">
      <w:pPr>
        <w:pStyle w:val="RevisionNummerierungStufe1manuell"/>
        <w:tabs>
          <w:tab w:val="clear" w:pos="425"/>
          <w:tab w:val="left" w:pos="925"/>
        </w:tabs>
        <w:ind w:left="925" w:hanging="500"/>
      </w:pPr>
      <w:r>
        <w:t>«6a. procède à une intervention ou une interruption mentionnée ici en violation de l'article 4c, paragraphe 2,».</w:t>
      </w:r>
    </w:p>
    <w:p w14:paraId="33CE28E1" w14:textId="7460DF8E" w:rsidR="002B6ABF" w:rsidRPr="00774080" w:rsidRDefault="00774080" w:rsidP="00774080">
      <w:pPr>
        <w:pStyle w:val="ArtikelBezeichner"/>
        <w:numPr>
          <w:ilvl w:val="0"/>
          <w:numId w:val="0"/>
        </w:numPr>
      </w:pPr>
      <w:r>
        <w:t>Article 3</w:t>
      </w:r>
    </w:p>
    <w:p w14:paraId="07031FA6" w14:textId="77777777" w:rsidR="002B6ABF" w:rsidRPr="00774080" w:rsidRDefault="002B6ABF">
      <w:pPr>
        <w:pStyle w:val="Artikelberschrift"/>
      </w:pPr>
      <w:r>
        <w:t>Entrée en vigueur</w:t>
      </w:r>
    </w:p>
    <w:p w14:paraId="1DE1E9F7" w14:textId="77777777" w:rsidR="00485DDD" w:rsidRPr="00774080" w:rsidRDefault="00485DDD" w:rsidP="00774080">
      <w:pPr>
        <w:pStyle w:val="JuristischerAbsatznummeriert"/>
        <w:numPr>
          <w:ilvl w:val="2"/>
          <w:numId w:val="28"/>
        </w:numPr>
      </w:pPr>
      <w:r>
        <w:t>La présente loi sauf le paragraphe 2 entre en vigueur le 1er janvier 2022.</w:t>
      </w:r>
    </w:p>
    <w:p w14:paraId="7ED96738" w14:textId="77777777" w:rsidR="00485DDD" w:rsidRPr="00774080" w:rsidRDefault="00485DDD" w:rsidP="00485DDD">
      <w:pPr>
        <w:pStyle w:val="JuristischerAbsatznummeriert"/>
      </w:pPr>
      <w:r>
        <w:t>L'article 2 entre en vigueur le 1er janvier 2024.</w:t>
      </w:r>
    </w:p>
    <w:p w14:paraId="7559BBE9" w14:textId="77777777" w:rsidR="00F6304A" w:rsidRPr="00774080" w:rsidRDefault="00F6304A" w:rsidP="009623BC"/>
    <w:p w14:paraId="0E8AE17E" w14:textId="77777777" w:rsidR="00C43356" w:rsidRPr="00774080" w:rsidRDefault="00C43356" w:rsidP="00C43356">
      <w:pPr>
        <w:sectPr w:rsidR="00C43356" w:rsidRPr="00774080" w:rsidSect="00955160">
          <w:pgSz w:w="11907" w:h="16839"/>
          <w:pgMar w:top="1134" w:right="1417" w:bottom="1134" w:left="1701" w:header="709" w:footer="709" w:gutter="0"/>
          <w:cols w:space="708"/>
          <w:docGrid w:linePitch="360"/>
        </w:sectPr>
      </w:pPr>
    </w:p>
    <w:p w14:paraId="00F95E64" w14:textId="77777777" w:rsidR="002B6ABF" w:rsidRPr="00774080" w:rsidRDefault="002B6ABF" w:rsidP="00606ED5">
      <w:pPr>
        <w:pStyle w:val="BegrndungTitel"/>
      </w:pPr>
      <w:r>
        <w:lastRenderedPageBreak/>
        <w:t>Exposé des motifs</w:t>
      </w:r>
    </w:p>
    <w:p w14:paraId="79A6DDF8" w14:textId="77777777" w:rsidR="002B6ABF" w:rsidRPr="00774080" w:rsidRDefault="002B6ABF" w:rsidP="00606ED5">
      <w:pPr>
        <w:pStyle w:val="BegrndungAllgemeinerTeil"/>
      </w:pPr>
      <w:r>
        <w:t>A. Partie générale</w:t>
      </w:r>
    </w:p>
    <w:p w14:paraId="119E636A" w14:textId="77777777" w:rsidR="002B6ABF" w:rsidRPr="00774080" w:rsidRDefault="002B6ABF" w:rsidP="00606ED5">
      <w:pPr>
        <w:pStyle w:val="berschriftrmischBegrndung"/>
      </w:pPr>
      <w:r>
        <w:t>Objectif et nécessité de la réglementation</w:t>
      </w:r>
    </w:p>
    <w:p w14:paraId="0458A351" w14:textId="77777777" w:rsidR="00C37492" w:rsidRPr="00774080" w:rsidRDefault="00795460" w:rsidP="00795460">
      <w:pPr>
        <w:pStyle w:val="Text"/>
      </w:pPr>
      <w:r>
        <w:t xml:space="preserve">Pour 2019, l'Office fédéral de la statistique fait état d’environ 45 millions de poussins dits «de ponte utilitaire» éclos. Les «poussins de ponte utilitaires» sont des poussins femelles qui sont utilisés comme poules pondeuses après l'élevage et sont donc principalement issus de lignées de reproduction qui, contrairement aux races à double usage, sont élevées spécifiquement dans le but d’atteindre de hautes performances de ponte. </w:t>
      </w:r>
    </w:p>
    <w:p w14:paraId="577E0AAE" w14:textId="77777777" w:rsidR="00795460" w:rsidRPr="00774080" w:rsidRDefault="00C37492" w:rsidP="00795460">
      <w:pPr>
        <w:pStyle w:val="Text"/>
      </w:pPr>
      <w:r>
        <w:t xml:space="preserve">Dans ces lignées de reproduction, environ 45 millions de poussins mâles éclosent en plus des 45 millions de poussins de ponte utilitaire. Ces poussins mâles sont rejetés par les producteurs pour des raisons économiques, car les poussins mâles deviennent des coqs qui ne pondent pas d'œufs. En outre, les coqs ont une performance d'engraissement inférieure à celle des poulets de chair. C'est pourquoi la grande majorité des poussins mâles sont actuellement tués dans les couvoirs peu après leur éclosion. La mise à mort a généralement lieu par pénétration de fortes concentrations de dioxyde de carbone. </w:t>
      </w:r>
    </w:p>
    <w:p w14:paraId="196C8E27" w14:textId="77777777" w:rsidR="00795460" w:rsidRPr="00774080" w:rsidRDefault="00C37492" w:rsidP="00795460">
      <w:pPr>
        <w:pStyle w:val="Text"/>
      </w:pPr>
      <w:r>
        <w:t xml:space="preserve">La loi sur la protection des animaux dispose à l'article 1er, première phrase, que les animaux doivent être protégés: «Cette loi vise à protéger la vie et le bien-être des animaux, par dérogation à la responsabilité de l'homme à leur égard en tant que créatures semblables.» </w:t>
      </w:r>
      <w:proofErr w:type="spellStart"/>
      <w:r>
        <w:t>A</w:t>
      </w:r>
      <w:proofErr w:type="spellEnd"/>
      <w:r>
        <w:t xml:space="preserve"> contrario, il découle de l'article 1er, deuxième phrase, que les animaux peuvent néanmoins être soumis à des douleurs, des souffrances ou des lésions que s'il existe un motif raisonnable de le faire. Dans ses arrêts du 13 juin 2019 (</w:t>
      </w:r>
      <w:proofErr w:type="spellStart"/>
      <w:r>
        <w:t>BVerwG</w:t>
      </w:r>
      <w:proofErr w:type="spellEnd"/>
      <w:r>
        <w:t xml:space="preserve"> 3 C 29.16, </w:t>
      </w:r>
      <w:proofErr w:type="spellStart"/>
      <w:r>
        <w:t>BVerwG</w:t>
      </w:r>
      <w:proofErr w:type="spellEnd"/>
      <w:r>
        <w:t xml:space="preserve"> 3 C 28.16), le Tribunal administratif fédéral a jugé que – à la lumière de l'objectif d'État de la protection des animaux intégré dans la Loi fondamentale allemande (article 20a de la Loi fondamentale) – l'abattage des poussins mâles n'est plus fondée en soi sur un motif raisonnable au sens de l'article 1er, deuxième phrase, de la loi sur la protection des animaux selon les valeurs actuelles. Le concept de motif raisonnable vise à équilibrer les intérêts juridiquement protégés des éleveurs d'animaux et les intérêts du bien-être des animaux. Le Tribunal administratif fédéral a estimé que, en prenant en considération les intérêts opposés, les intérêts de la protection des animaux l'emportaient sur l'intérêt économique des couvoirs à éviter les coûts de suivi des poussins mâles issus de lignées de ponte. Le fait que les poussins issus des lignées de ponte et des lignées à double usage soient nettement moins adaptés à l'engraissement que les poussins issus des lignées d'engraissement est le résultat d'un élevage essentiellement axé sur la rentabilité et d'une méthode de production basée sur celle-ci. L'abattage systématique des poussins mâles des lignées de ponte n'est pas compatible avec l'idée de base de la loi sur la protection des animaux, qui vise à assurer un équilibre entre le bien-être des animaux et les intérêts humains. Le concept de protection de la vie fondée sur l'éthique selon la loi sur la protection des animaux n'est pas seulement reporté pour ces animaux, il est complètement abandonné. Ces animaux seraient produits, sachant avec certitude qu'ils seraient immédiatement tués (voir </w:t>
      </w:r>
      <w:proofErr w:type="spellStart"/>
      <w:r>
        <w:t>BVerwG</w:t>
      </w:r>
      <w:proofErr w:type="spellEnd"/>
      <w:r>
        <w:t xml:space="preserve">, arrêts du 13 juin 2019 - 3 C 28/16, 3 C 29/16 -, </w:t>
      </w:r>
      <w:proofErr w:type="spellStart"/>
      <w:r>
        <w:t>juris</w:t>
      </w:r>
      <w:proofErr w:type="spellEnd"/>
      <w:r>
        <w:t>, considérant 26).</w:t>
      </w:r>
    </w:p>
    <w:p w14:paraId="749638F2" w14:textId="77777777" w:rsidR="00795460" w:rsidRPr="00774080" w:rsidRDefault="00795460" w:rsidP="00795460">
      <w:pPr>
        <w:pStyle w:val="Text"/>
      </w:pPr>
      <w:r>
        <w:t xml:space="preserve">Le concept de motif raisonnable visé à l'article 1er, deuxième phrase, de la loi sur la protection des animaux, ayant pour but de trouver un équilibre entre les intérêts juridiquement protégés des éleveurs d'animaux et les intérêts du bien-être des animaux, il ne faut cependant pas négliger la pratique antérieure et les intérêts spécifiques des éleveurs en cas de changement du mode d'exploitation. En outre, il est prévisible que dans un avenir proche, il serait possible de déterminer le sexe dans l'œuf et qu'il semblerait également possible d'améliorer les possibilités d'utiliser des poulets issus de lignées à </w:t>
      </w:r>
      <w:r>
        <w:lastRenderedPageBreak/>
        <w:t xml:space="preserve">double usage. Dans une telle situation, il ne serait pas approprié d'établir un équilibre des intérêts au sens de l'article 1er, phrase 2, de la loi sur la protection des animaux, d'interdire aux couvoirs de poursuivre l’abattage des poussins mâles sans une période transitoire qui leur permettrait d'attendre la possibilité concrète prévisible d'utiliser des méthodes de détermination du sexe dans l'œuf et, dans l'intervalle, également tout développement ultérieur de lignées à double usage. En l'absence d'une telle période de transition, les couvoirs seraient contraints de permettre d'abord, au prix de gros efforts, l'élevage des poussins mâles, puis probablement un peu plus tard, de mettre en place une méthode de détermination du sexe dans l'œuf ou de convertir leur exploitation à l'éclosion d'œufs provenant de lignées à double usage améliorées. La prévention de cette double conversion constitue un motif raisonnable, compte tenu des circonstances particulières, de poursuivre temporairement la pratique précédente. Si un motif raisonnable d’abattage des poussins mâles était refusé indépendamment du temps nécessaire à la reconversion des exploitations, les intérêts des éleveurs d'animaux dignes de protection ne pourraient pas être pris en compte de manière appropriée (voir </w:t>
      </w:r>
      <w:proofErr w:type="spellStart"/>
      <w:r>
        <w:t>BVerwG</w:t>
      </w:r>
      <w:proofErr w:type="spellEnd"/>
      <w:r>
        <w:t xml:space="preserve">, arrêts du 13 juin 2019 - 3 C 28/16, 3 C 29/16 -, </w:t>
      </w:r>
      <w:proofErr w:type="spellStart"/>
      <w:r>
        <w:t>juris</w:t>
      </w:r>
      <w:proofErr w:type="spellEnd"/>
      <w:r>
        <w:t>, considérants 28-31).</w:t>
      </w:r>
    </w:p>
    <w:p w14:paraId="42138065" w14:textId="77777777" w:rsidR="00C37492" w:rsidRPr="00774080" w:rsidRDefault="00C37492" w:rsidP="00795460">
      <w:pPr>
        <w:pStyle w:val="Text"/>
      </w:pPr>
      <w:r>
        <w:t xml:space="preserve">Indépendamment des deux arrêts et des affaires judiciaires spécifiques, il existe depuis de nombreuses années une revendication politique pour que l'industrie avicole s'abstienne de tuer les poussins. D'une part, les projets de recherche sur l'utilisation des poulets à double usage ont été encouragés. En outre, des projets de recherche, qui ont également été soutenus par des fonds publics, ont maintenant réussi à développer des méthodes pratiques permettant de déterminer le sexe des poussins avant même leur éclosion. Ainsi, les œufs dont les poussins mâles éclosent peuvent être triés, de sorte qu'il n'est pas nécessaire de tuer ces poussins. </w:t>
      </w:r>
    </w:p>
    <w:p w14:paraId="01316C80" w14:textId="77777777" w:rsidR="00D178D1" w:rsidRPr="00774080" w:rsidRDefault="00B74AA8" w:rsidP="00795460">
      <w:pPr>
        <w:pStyle w:val="Text"/>
      </w:pPr>
      <w:r>
        <w:t>Selon les connaissances scientifiques actuelles, l'embryon de poulet n'est pas encore capable de ressentir la douleur avant le septième jour d'incubation</w:t>
      </w:r>
      <w:r w:rsidR="00106CCC" w:rsidRPr="00774080">
        <w:rPr>
          <w:rStyle w:val="FootnoteReference"/>
        </w:rPr>
        <w:footnoteReference w:id="3"/>
      </w:r>
      <w:r>
        <w:t xml:space="preserve">. À partir du septième jour d'incubation, le début du développement de la sensation de douleur ne peut être exclu. Par conséquent, les interventions sur un œuf de poule à partir du septième jour d'incubation sur ou après l'application de méthodes de détermination du sexe dans l'œuf provoquant la mort de l'embryon de la poule, y compris l'interruption du processus d'incubation, sont interdites. Un embryon de poulet se développe dans l'œuf pendant l'incubation et éclot au bout de 20 à 21 jours. Selon les connaissances scientifiques actuelles, on suppose qu'un embryon de poulet n’est pas en mesure de ressentir la douleur avant le septième jour d'incubation. À partir d'un certain moment après le sixième jour d'incubation, l'embryon développe une sensation de douleur qui, selon l'état actuel des connaissances, est pleinement formée au bout du quinzième jour d'incubation. Par conséquent, pour des raisons de bien-être animal, il faut rejeter non seulement la mise à mort du poussin éclos, mais aussi, à partir du septième jour d'incubation, les interventions sur l'œuf de poule et l’interruption du processus d'incubation entraînant la mort de l'embryon de poule potentiellement sensible à la douleur. Plus le processus d'incubation a progressé à partir du septième jour d'incubation, plus on peut supposer que, sur le plan du bien-être animal, il y a peu, voire aucune différence significative entre le fait de provoquer la mort de l'embryon de poulet et celui de tuer le poussin éclos. La phase de développement embryonnaire jusqu'à l'éclosion du poussin de poulet est donc incluse dans le champ d'application réglementaire de l'amendement de la loi. Il faut éviter qu'une longue période de transition ne crée une incitation à investir d'abord dans les techniques de détermination du sexe à partir du septième jour d'incubation. </w:t>
      </w:r>
    </w:p>
    <w:p w14:paraId="601C1AC1" w14:textId="77777777" w:rsidR="002B6ABF" w:rsidRPr="00774080" w:rsidRDefault="00F62817" w:rsidP="00F62817">
      <w:pPr>
        <w:pStyle w:val="berschriftrmischBegrndung"/>
      </w:pPr>
      <w:r>
        <w:lastRenderedPageBreak/>
        <w:t xml:space="preserve">Contenu essentiel du projet </w:t>
      </w:r>
    </w:p>
    <w:p w14:paraId="313B370E" w14:textId="77777777" w:rsidR="00795460" w:rsidRPr="00774080" w:rsidRDefault="00795460" w:rsidP="00795460">
      <w:pPr>
        <w:pStyle w:val="Text"/>
      </w:pPr>
      <w:r>
        <w:t>Afin de sauvegarder les intérêts du bien-être des animaux, le présent projet de loi introduit l'interdiction de tuer les poussins de poulet dans la loi sur la protection des animaux. L'interdiction porte également sur les animaux de reproduction et d'élevage.</w:t>
      </w:r>
    </w:p>
    <w:p w14:paraId="47BBEA54" w14:textId="77777777" w:rsidR="00451BE0" w:rsidRPr="00774080" w:rsidRDefault="00451BE0" w:rsidP="00451BE0">
      <w:pPr>
        <w:pStyle w:val="Text"/>
      </w:pPr>
      <w:r>
        <w:t>L'interdiction des interventions sur un œuf de poule et la fin de l'incubation à partir du septième jour d'incubation, qui sont effectuées pendant ou après l'application de procédures de détermination du sexe dans l'œuf et qui entraînent la mort de l'embryon de la poule, est également incluse.</w:t>
      </w:r>
    </w:p>
    <w:p w14:paraId="0F1974FB" w14:textId="77777777" w:rsidR="00451BE0" w:rsidRPr="00774080" w:rsidRDefault="00451BE0" w:rsidP="00451BE0">
      <w:pPr>
        <w:pStyle w:val="Text"/>
      </w:pPr>
      <w:r>
        <w:t>Toutefois, les deux interdictions n'entrent pas en vigueur immédiatement ou en même temps. Une entrée en vigueur échelonnée est prévue: L'interdiction de tuer les poussins de poule entrera en vigueur le 1er janvier 2022 et l'interdiction des interventions sur l’œuf de poule et d'interruption de l'incubation le 1er janvier 2024. Cela donnera au secteur le temps de s'adapter à la nouvelle situation juridique.</w:t>
      </w:r>
    </w:p>
    <w:p w14:paraId="5EA97A34" w14:textId="77777777" w:rsidR="002B6ABF" w:rsidRPr="00774080" w:rsidRDefault="002B6ABF" w:rsidP="00606ED5">
      <w:pPr>
        <w:pStyle w:val="berschriftrmischBegrndung"/>
      </w:pPr>
      <w:r>
        <w:t>Alternatives</w:t>
      </w:r>
    </w:p>
    <w:p w14:paraId="26C1FF80" w14:textId="77777777" w:rsidR="00AE798D" w:rsidRPr="00774080" w:rsidRDefault="00795460" w:rsidP="00AE798D">
      <w:pPr>
        <w:pStyle w:val="Text"/>
      </w:pPr>
      <w:r>
        <w:t>Renoncer à inclure les deux interdictions, ou simplement déclarer qu'il n'y a pas de motif raisonnable de tuer des poussins et causer la mort d'embryons de poulet, ne permettrait pas d'atteindre l'objectif d'empêcher la mise à mort de poussins ou d'embryons de poulet et de faire respecter efficacement cette interdiction. Il n'existe donc aucune alternative législative aussi appropriée. Les réglementations sont accompagnées de mesures visant à renforcer l'élevage et l'utilisation de races à double usage.</w:t>
      </w:r>
    </w:p>
    <w:p w14:paraId="7B738679" w14:textId="77777777" w:rsidR="002B6ABF" w:rsidRPr="00774080" w:rsidRDefault="002B6ABF" w:rsidP="00AE798D">
      <w:pPr>
        <w:pStyle w:val="berschriftrmischBegrndung"/>
      </w:pPr>
      <w:r>
        <w:t>Compétence législative</w:t>
      </w:r>
    </w:p>
    <w:p w14:paraId="19FAB9E9" w14:textId="0C80DDD3" w:rsidR="00795460" w:rsidRPr="00774080" w:rsidRDefault="00795460" w:rsidP="00795460">
      <w:pPr>
        <w:pStyle w:val="Text"/>
      </w:pPr>
      <w:r>
        <w:t>La compétence législative de l’État fédéral pour les modifications contenues dans la loi découle de l'article 74, paragraphe 1, point 20 (protection des animaux, loi sur les denrées alimentaires, y compris les animaux utilisés pour leur production) de la Loi fondamentale allemande. La compétence législative de l’État fédéral pour les dispositions relatives aux amendes est fondée sur l'article 74, paragraphe 1, point 1, 2e cas de la Loi fondamentale allemande (droit pénal).</w:t>
      </w:r>
    </w:p>
    <w:p w14:paraId="42BACD20" w14:textId="77777777" w:rsidR="00795460" w:rsidRPr="00774080" w:rsidRDefault="00795460" w:rsidP="00795460">
      <w:pPr>
        <w:pStyle w:val="Text"/>
      </w:pPr>
      <w:r>
        <w:t>En l'espèce, une réglementation fédérale est nécessaire dans l'intérêt de l'État dans son ensemble afin de sauvegarder l'unité juridique et économique au sens de l'article 72, paragraphe 2, de la Loi fondamentale allemande, car la réglementation à adopter ici doit s'appliquer de la même manière à tous les animaux concernés qui sont utilisés pour la production de denrées alimentaires ainsi qu'à tous les opérateurs économiques sur le territoire fédéral, de sorte que les animaux concernés bénéficient de la même protection sur l'ensemble du territoire fédéral et que tous les opérateurs économiques sur le territoire fédéral soient soumis aux mêmes conditions et exigences pour leur activité à cet égard.</w:t>
      </w:r>
    </w:p>
    <w:p w14:paraId="135C2848" w14:textId="77777777" w:rsidR="002B6ABF" w:rsidRPr="00774080" w:rsidRDefault="002B6ABF" w:rsidP="00606ED5">
      <w:pPr>
        <w:pStyle w:val="berschriftrmischBegrndung"/>
      </w:pPr>
      <w:r>
        <w:t>Compatibilité avec la législation de l’Union européenne et les traités internationaux</w:t>
      </w:r>
    </w:p>
    <w:p w14:paraId="51821BF6" w14:textId="77777777" w:rsidR="00795460" w:rsidRPr="00774080" w:rsidRDefault="00795460" w:rsidP="00795460">
      <w:pPr>
        <w:pStyle w:val="Text"/>
      </w:pPr>
      <w:r>
        <w:t>Le projet de loi en cause est conforme à la législation de l'Union européenne et aux traités internationaux conclus par la République fédérale d'Allemagne.</w:t>
      </w:r>
    </w:p>
    <w:p w14:paraId="077782FD" w14:textId="77777777" w:rsidR="002B6ABF" w:rsidRPr="00774080" w:rsidRDefault="00795460" w:rsidP="00795460">
      <w:pPr>
        <w:pStyle w:val="Text"/>
      </w:pPr>
      <w:r>
        <w:t>En particulier, le projet de loi est conforme au règlement (CE) n° 1099/2009 du Conseil sur la protection des animaux au moment de leur mise à mort, car ce règlement réglemente la façon dont les animaux peuvent être mis à mort et non pas la question de savoir s'ils peuvent être tués. Par conséquent, la réglementation proposée ici ne relève pas du champ d'application du règlement (CE) n° 1099/2009.</w:t>
      </w:r>
    </w:p>
    <w:p w14:paraId="0EE8D67D" w14:textId="77777777" w:rsidR="002B6ABF" w:rsidRPr="00774080" w:rsidRDefault="002B6ABF" w:rsidP="00606ED5">
      <w:pPr>
        <w:pStyle w:val="berschriftrmischBegrndung"/>
      </w:pPr>
      <w:r>
        <w:lastRenderedPageBreak/>
        <w:t>Impact de la loi</w:t>
      </w:r>
    </w:p>
    <w:p w14:paraId="15794431" w14:textId="77777777" w:rsidR="002B6ABF" w:rsidRPr="00774080" w:rsidRDefault="002B6ABF" w:rsidP="002B6ABF">
      <w:pPr>
        <w:pStyle w:val="berschriftarabischBegrndung"/>
      </w:pPr>
      <w:r>
        <w:t>Simplification législative et administrative</w:t>
      </w:r>
    </w:p>
    <w:p w14:paraId="6839C9EA" w14:textId="77777777" w:rsidR="002B6ABF" w:rsidRPr="00774080" w:rsidRDefault="00151D1A" w:rsidP="00606ED5">
      <w:pPr>
        <w:pStyle w:val="Text"/>
      </w:pPr>
      <w:r>
        <w:t>Aucune réglementation n'est abrogée ou simplifiée.</w:t>
      </w:r>
    </w:p>
    <w:p w14:paraId="0C04061B" w14:textId="77777777" w:rsidR="002B6ABF" w:rsidRPr="00774080" w:rsidRDefault="002B6ABF" w:rsidP="00606ED5">
      <w:pPr>
        <w:pStyle w:val="berschriftarabischBegrndung"/>
      </w:pPr>
      <w:r>
        <w:t>Stratégie de développement durable</w:t>
      </w:r>
    </w:p>
    <w:p w14:paraId="116AE319" w14:textId="77777777" w:rsidR="00BA72BF" w:rsidRPr="00774080" w:rsidRDefault="007768AF" w:rsidP="00BA72BF">
      <w:pPr>
        <w:pStyle w:val="Text"/>
      </w:pPr>
      <w:r>
        <w:t xml:space="preserve">Les réglementations de ce projet de loi sont durables au sens de la stratégie allemande de développement durable, car elles servent le bien-être des animaux et donc une agriculture durable. Le projet de loi vise à mettre fin à l'abattage des poussins qui sont triés pour des intérêts économiques. </w:t>
      </w:r>
    </w:p>
    <w:p w14:paraId="4C96ECC7" w14:textId="77777777" w:rsidR="007768AF" w:rsidRPr="00774080" w:rsidRDefault="007768AF" w:rsidP="007768AF">
      <w:pPr>
        <w:pStyle w:val="Text"/>
      </w:pPr>
      <w:r>
        <w:t>Le projet est donc conforme aux principes d'un développement plus durable en ce qui concerne le respect du bien-être des animaux d'élevage et l'amélioration de l'</w:t>
      </w:r>
      <w:r>
        <w:rPr>
          <w:rStyle w:val="acopre"/>
        </w:rPr>
        <w:t>éthique nutritionnelle</w:t>
      </w:r>
      <w:r>
        <w:t xml:space="preserve"> de la société, tant en termes de production que de commerce des denrées alimentaires. En particulier, la réalisation de l'objectif de développement durable n° 2 «Éliminer la faim, assurer la sécurité alimentaire, améliorer la nutrition et promouvoir une agriculture durable» est donc encouragée par la réglementation. En outre, il est tenu compte du principe de développement durable n° 4 «Renforcer la gestion durable», en particulier le point 4c) «une agriculture et une pêche durables doivent être productives, compétitives et socialement et écologiquement rationnelles, et en particulier [...] préserver les exigences en matière d'élevage respectueux des animaux [...]».</w:t>
      </w:r>
    </w:p>
    <w:p w14:paraId="55067F0F" w14:textId="77777777" w:rsidR="002B6ABF" w:rsidRPr="00774080" w:rsidRDefault="002B6ABF" w:rsidP="002B6ABF">
      <w:pPr>
        <w:pStyle w:val="berschriftarabischBegrndung"/>
      </w:pPr>
      <w:r>
        <w:t>Dépenses budgétaires sans charges d’exécution</w:t>
      </w:r>
    </w:p>
    <w:p w14:paraId="75454A72" w14:textId="77777777" w:rsidR="002B6ABF" w:rsidRPr="00774080" w:rsidRDefault="00151D1A" w:rsidP="00606ED5">
      <w:pPr>
        <w:pStyle w:val="Text"/>
      </w:pPr>
      <w:r>
        <w:t>Ce projet n'engendre pas de dépenses budgétaires dépourvues de charges d'exécution.</w:t>
      </w:r>
    </w:p>
    <w:p w14:paraId="7E45FC1C" w14:textId="77777777" w:rsidR="00A75A00" w:rsidRPr="00774080" w:rsidRDefault="002B6ABF" w:rsidP="00A75A00">
      <w:pPr>
        <w:pStyle w:val="berschriftarabischBegrndung"/>
      </w:pPr>
      <w:r>
        <w:t>Charges d’exécution</w:t>
      </w:r>
    </w:p>
    <w:p w14:paraId="5DE5B262" w14:textId="77777777" w:rsidR="00A75A00" w:rsidRPr="00774080" w:rsidRDefault="00A75A00" w:rsidP="00275036">
      <w:pPr>
        <w:pStyle w:val="berschriftrmischBegrndung"/>
        <w:numPr>
          <w:ilvl w:val="0"/>
          <w:numId w:val="0"/>
        </w:numPr>
      </w:pPr>
      <w:r>
        <w:t>4.1. Charges d’exécution pour les citoyens</w:t>
      </w:r>
    </w:p>
    <w:p w14:paraId="4FF94F50" w14:textId="77777777" w:rsidR="00A75A00" w:rsidRPr="00774080" w:rsidRDefault="00A75A00" w:rsidP="00A75A00">
      <w:pPr>
        <w:pStyle w:val="Text"/>
      </w:pPr>
      <w:r>
        <w:t>Aucune charge d'exécution n'incombera aux citoyens.</w:t>
      </w:r>
    </w:p>
    <w:p w14:paraId="2A64979D" w14:textId="77777777" w:rsidR="00A75A00" w:rsidRPr="00774080" w:rsidRDefault="00A75A00" w:rsidP="00774080">
      <w:pPr>
        <w:pStyle w:val="Text"/>
        <w:keepNext/>
        <w:rPr>
          <w:b/>
        </w:rPr>
      </w:pPr>
      <w:r>
        <w:rPr>
          <w:b/>
        </w:rPr>
        <w:t xml:space="preserve">4.2. Charges d’exécution pour le secteur économique </w:t>
      </w:r>
    </w:p>
    <w:p w14:paraId="70193CEC" w14:textId="77777777" w:rsidR="002B6ABF" w:rsidRPr="00774080" w:rsidRDefault="00D84EE7" w:rsidP="00606ED5">
      <w:pPr>
        <w:pStyle w:val="Text"/>
      </w:pPr>
      <w:r>
        <w:t>Le projet de loi n’engendre aucune charge d’exécution pour le secteur économique. Aucune modification des charges d’exécution pour les citoyennes et citoyens et pour l’administration n'est attendue. L'estimation des charges d’exécution est basée sur les calculs de l'Office fédéral de la statistique. Les données sur le nombre de cas utilisées et le temps passé sont basées sur des recherches sur l’internet, des données de l'Office fédéral de la statistique et des entretiens téléphoniques.</w:t>
      </w:r>
    </w:p>
    <w:p w14:paraId="1343103D" w14:textId="77777777" w:rsidR="00D84EE7" w:rsidRPr="00774080" w:rsidRDefault="00D84EE7" w:rsidP="00606ED5">
      <w:pPr>
        <w:pStyle w:val="Text"/>
      </w:pPr>
      <w:r>
        <w:t>En raison de l'interdiction de la mise à mort des poussins, le projet de loi entraîne des charges d’exécution annuelles pour l'industrie d'environ 147,5 millions d'euros.</w:t>
      </w:r>
    </w:p>
    <w:p w14:paraId="0ED2BA39" w14:textId="77777777" w:rsidR="00BF62F0" w:rsidRPr="00774080" w:rsidRDefault="00BF62F0" w:rsidP="00BF62F0">
      <w:pPr>
        <w:pStyle w:val="Text"/>
      </w:pPr>
      <w:r>
        <w:t>L'impact sur les charges d’exécution annuelles dépend de la procédure spécifique choisie par les couvoirs respectifs comme alternative à la mise à mort des poussins. L'utilisation d'une méthode de détermination du sexe dans l’œuf en tant que service, c'est-à-dire soumise à des procédures d'autorisation, entraîne une augmentation des coûts pour le commerce alimentaire et pour les entreprises de transformation. Comme il n'est pas encore possible de déterminer le montant exact des droits de licence, le prix supplémentaire par œuf en coquille</w:t>
      </w:r>
      <w:r w:rsidRPr="00774080">
        <w:rPr>
          <w:rStyle w:val="FootnoteReference"/>
        </w:rPr>
        <w:footnoteReference w:id="4"/>
      </w:r>
      <w:r w:rsidRPr="00774080">
        <w:rPr>
          <w:rStyle w:val="FootnoteReference"/>
        </w:rPr>
        <w:t>)</w:t>
      </w:r>
      <w:r>
        <w:rPr>
          <w:rStyle w:val="FootnoteReference"/>
        </w:rPr>
        <w:t>)</w:t>
      </w:r>
      <w:r>
        <w:t xml:space="preserve"> estimé par l'un des fournisseurs de la méthode précédente est utilisé comme valeur approximative. Le nombre d'œufs produits moyennant le paiement des droits de licence représente le nombre de cas. </w:t>
      </w:r>
    </w:p>
    <w:p w14:paraId="453EC9D0" w14:textId="77777777" w:rsidR="00CC02F5" w:rsidRPr="00774080" w:rsidRDefault="00BF62F0" w:rsidP="00CC02F5">
      <w:pPr>
        <w:pStyle w:val="Text"/>
      </w:pPr>
      <w:r>
        <w:lastRenderedPageBreak/>
        <w:t>Le coût supplémentaire par œuf provenant d'une exploitation utilisant une méthode de détermination du sexe dans l'œuf à couver est estimé à un à trois cents par œuf en coquille</w:t>
      </w:r>
      <w:r w:rsidR="00DF31C3" w:rsidRPr="00774080">
        <w:rPr>
          <w:rStyle w:val="FootnoteReference"/>
        </w:rPr>
        <w:footnoteReference w:id="5"/>
      </w:r>
      <w:r w:rsidR="00DF31C3" w:rsidRPr="00774080">
        <w:rPr>
          <w:rStyle w:val="FootnoteReference"/>
        </w:rPr>
        <w:t>)</w:t>
      </w:r>
      <w:r>
        <w:rPr>
          <w:rStyle w:val="FootnoteReference"/>
        </w:rPr>
        <w:t>)</w:t>
      </w:r>
      <w:r>
        <w:t>. Dans sa forme actuelle, cette méthode est orientée vers le commerce, car les droits de licence sont pris en charge par lesdites stations de conditionnement. Les coûts de la logistique sont déjà inclus dans le calcul du prestataire de services.</w:t>
      </w:r>
    </w:p>
    <w:p w14:paraId="14D117BE" w14:textId="77777777" w:rsidR="001E35CB" w:rsidRPr="00774080" w:rsidRDefault="00BF62F0" w:rsidP="00BF62F0">
      <w:pPr>
        <w:pStyle w:val="Text"/>
      </w:pPr>
      <w:r>
        <w:t>En 2019, environ 15 milliards d'œufs au total ont été produits en Allemagne</w:t>
      </w:r>
      <w:r w:rsidR="00A436AD" w:rsidRPr="00774080">
        <w:rPr>
          <w:rStyle w:val="FootnoteReference"/>
        </w:rPr>
        <w:footnoteReference w:id="6"/>
      </w:r>
      <w:r w:rsidR="00A436AD" w:rsidRPr="00774080">
        <w:rPr>
          <w:rStyle w:val="FootnoteReference"/>
        </w:rPr>
        <w:t>)</w:t>
      </w:r>
      <w:r>
        <w:rPr>
          <w:rStyle w:val="FootnoteReference"/>
        </w:rPr>
        <w:t>)</w:t>
      </w:r>
      <w:r>
        <w:t>. Sur ce total, environ 12 milliards d'œufs ont été produits pour la consommation intérieure, déduction faite des exportations</w:t>
      </w:r>
      <w:r w:rsidR="00A436AD" w:rsidRPr="00774080">
        <w:rPr>
          <w:rStyle w:val="FootnoteReference"/>
        </w:rPr>
        <w:footnoteReference w:id="7"/>
      </w:r>
      <w:r w:rsidR="00A436AD" w:rsidRPr="00774080">
        <w:rPr>
          <w:rStyle w:val="FootnoteReference"/>
        </w:rPr>
        <w:t>)</w:t>
      </w:r>
      <w:r>
        <w:rPr>
          <w:rStyle w:val="FootnoteReference"/>
        </w:rPr>
        <w:t>)</w:t>
      </w:r>
      <w:r>
        <w:t xml:space="preserve">. </w:t>
      </w:r>
    </w:p>
    <w:p w14:paraId="34888C12" w14:textId="77777777" w:rsidR="00CC02F5" w:rsidRPr="00774080" w:rsidRDefault="00CC02F5" w:rsidP="00CC02F5">
      <w:r>
        <w:t>Il est important de garder à l'esprit qu'en 2019, la procédure de détermination du sexe a été effectuée sur environ 3 millions d'ovules. En outre, environ 2,25 millions de coqs sont actuellement élevés. Ces 5,25 millions d'œufs doivent être déduits.</w:t>
      </w:r>
    </w:p>
    <w:p w14:paraId="75726348" w14:textId="77777777" w:rsidR="00BF62F0" w:rsidRPr="00774080" w:rsidRDefault="00DF31C3" w:rsidP="00BF62F0">
      <w:pPr>
        <w:pStyle w:val="Text"/>
      </w:pPr>
      <w:r>
        <w:t>Il reste donc environ 12 milliards d'œufs pour lesquels on peut supposer des ventes au commerce ou à l'industrie alimentaire. Si tous les couvoirs devaient se convertir à la méthode susmentionnée, on peut s'attendre à un coût annuel de mise en conformité compris entre 120 millions d'euros (12 milliards d'euros * 0,01 euro) et 360 millions d'euros (12 milliards d'euros * 0,03 euro) en raison des droits de licence. Pour l'estimation indiquée ci-dessus, la valeur moyenne, soit 0,02 euro, est utilisée.</w:t>
      </w:r>
    </w:p>
    <w:p w14:paraId="4057ABB4" w14:textId="77777777" w:rsidR="00BF62F0" w:rsidRPr="00774080" w:rsidRDefault="00BF62F0" w:rsidP="00BF62F0">
      <w:pPr>
        <w:pStyle w:val="Text"/>
      </w:pPr>
      <w:r>
        <w:t>Cette estimation est basée sur l'hypothèse que les droits de licence facturés par le fournisseur peuvent être complètement déduits du coût supplémentaire par œuf obtenu ci-dessus. En outre, la charge supplémentaire finale dépend de la structure des prix de la procédure d'autorisation envisagée.</w:t>
      </w:r>
    </w:p>
    <w:p w14:paraId="7E62FD9E" w14:textId="77777777" w:rsidR="00CC02F5" w:rsidRPr="00774080" w:rsidRDefault="00CC02F5" w:rsidP="00CC02F5">
      <w:pPr>
        <w:rPr>
          <w:rStyle w:val="acopre"/>
        </w:rPr>
      </w:pPr>
      <w:r>
        <w:t>En comparaison, l'allègement des charges annuelles incombant aux exploitations agricoles s'élève à 92,4 millions d'euros (12 milliards d'œufs * 0,0077 euro). Les recettes, y compris les économies réalisées grâce à une procédure de détermination du sexe, ont été calculées à 0,0077 euro par œuf à couver</w:t>
      </w:r>
      <w:r w:rsidRPr="00774080">
        <w:rPr>
          <w:rStyle w:val="FootnoteReference"/>
        </w:rPr>
        <w:footnoteReference w:id="8"/>
      </w:r>
      <w:r w:rsidRPr="00774080">
        <w:rPr>
          <w:rStyle w:val="FootnoteReference"/>
        </w:rPr>
        <w:t>)</w:t>
      </w:r>
      <w:r>
        <w:rPr>
          <w:rStyle w:val="FootnoteReference"/>
        </w:rPr>
        <w:t>)</w:t>
      </w:r>
      <w:r>
        <w:t xml:space="preserve">. Cela inclut des économies pour le personnel qui trie manuellement les poussins </w:t>
      </w:r>
      <w:r>
        <w:rPr>
          <w:rStyle w:val="acopre"/>
        </w:rPr>
        <w:t xml:space="preserve">immédiatement après l'éclosion et des économies dues à la réduction de la capacité de </w:t>
      </w:r>
      <w:proofErr w:type="spellStart"/>
      <w:r>
        <w:rPr>
          <w:rStyle w:val="acopre"/>
        </w:rPr>
        <w:t>prééclosion</w:t>
      </w:r>
      <w:proofErr w:type="spellEnd"/>
      <w:r>
        <w:rPr>
          <w:rStyle w:val="acopre"/>
        </w:rPr>
        <w:t xml:space="preserve"> et des coûts énergétiques dans l'unité de </w:t>
      </w:r>
      <w:proofErr w:type="spellStart"/>
      <w:r>
        <w:rPr>
          <w:rStyle w:val="acopre"/>
        </w:rPr>
        <w:t>prééclosion</w:t>
      </w:r>
      <w:proofErr w:type="spellEnd"/>
      <w:r>
        <w:t>.</w:t>
      </w:r>
    </w:p>
    <w:p w14:paraId="36A87F73" w14:textId="77777777" w:rsidR="00CC02F5" w:rsidRPr="00774080" w:rsidRDefault="00CC02F5" w:rsidP="00CC02F5">
      <w:pPr>
        <w:rPr>
          <w:rFonts w:eastAsia="Times New Roman"/>
          <w:color w:val="000000"/>
        </w:rPr>
      </w:pPr>
      <w:r>
        <w:t xml:space="preserve">Pour environ 12 milliards d'œufs, les coûts annuels de mise en conformité dus aux droits de licence moins les dégrèvements devraient se situer entre </w:t>
      </w:r>
      <w:r>
        <w:rPr>
          <w:color w:val="000000"/>
        </w:rPr>
        <w:t>27,6 </w:t>
      </w:r>
      <w:r>
        <w:t>millions d'euros (12</w:t>
      </w:r>
      <w:r>
        <w:rPr>
          <w:color w:val="000000"/>
        </w:rPr>
        <w:t> </w:t>
      </w:r>
      <w:r>
        <w:t>milliards * (0,01-0,0077</w:t>
      </w:r>
      <w:r>
        <w:rPr>
          <w:color w:val="000000"/>
        </w:rPr>
        <w:t> </w:t>
      </w:r>
      <w:r>
        <w:t>euro)) et 267,5</w:t>
      </w:r>
      <w:r>
        <w:rPr>
          <w:color w:val="000000"/>
        </w:rPr>
        <w:t> millions d’</w:t>
      </w:r>
      <w:r>
        <w:t>euros (12</w:t>
      </w:r>
      <w:r>
        <w:rPr>
          <w:color w:val="000000"/>
        </w:rPr>
        <w:t> </w:t>
      </w:r>
      <w:r>
        <w:t>milliards * (0,03 -0,0077</w:t>
      </w:r>
      <w:r>
        <w:rPr>
          <w:color w:val="000000"/>
        </w:rPr>
        <w:t> </w:t>
      </w:r>
      <w:r>
        <w:t>euro)). L'estimation avec la valeur moyenne (0,02 - 0,0077</w:t>
      </w:r>
      <w:r>
        <w:rPr>
          <w:color w:val="000000"/>
        </w:rPr>
        <w:t> </w:t>
      </w:r>
      <w:r>
        <w:t xml:space="preserve">euros) donne un coût de mise en conformité annuel de </w:t>
      </w:r>
      <w:r>
        <w:rPr>
          <w:color w:val="000000"/>
        </w:rPr>
        <w:t>147,5 millions d'euros</w:t>
      </w:r>
      <w:r>
        <w:t>.</w:t>
      </w:r>
    </w:p>
    <w:p w14:paraId="792E2BBA" w14:textId="77777777" w:rsidR="00CC02F5" w:rsidRPr="00774080" w:rsidRDefault="00CC02F5" w:rsidP="00CC02F5">
      <w:pPr>
        <w:rPr>
          <w:rFonts w:eastAsia="Times New Roman"/>
        </w:rPr>
      </w:pPr>
      <w:r>
        <w:t>Les établissements qui traitent et transforment des denrées alimentaires d'origine animale et les mettent sur le marché doivent être agréés par l'autorité compétente, avec des exceptions définies. Actuellement, 2436 stations d'emballage d'œufs sont enregistrées et publiées dans la base de données en Allemagne.</w:t>
      </w:r>
      <w:r w:rsidRPr="00774080">
        <w:rPr>
          <w:rStyle w:val="FootnoteReference"/>
        </w:rPr>
        <w:footnoteReference w:id="9"/>
      </w:r>
      <w:r w:rsidRPr="00774080">
        <w:rPr>
          <w:rStyle w:val="FootnoteReference"/>
          <w:vertAlign w:val="baseline"/>
        </w:rPr>
        <w:t>)</w:t>
      </w:r>
      <w:r>
        <w:rPr>
          <w:rStyle w:val="FootnoteReference"/>
          <w:vertAlign w:val="baseline"/>
        </w:rPr>
        <w:t>)</w:t>
      </w:r>
      <w:r>
        <w:t xml:space="preserve">. Par conséquent, les charges d’exécution annuelles supplémentaires moyennes de mise en conformité par entreprise s'élève à environ 60 600 euros. </w:t>
      </w:r>
    </w:p>
    <w:p w14:paraId="7B506D50" w14:textId="77777777" w:rsidR="00CC02F5" w:rsidRPr="00774080" w:rsidRDefault="00CC02F5" w:rsidP="00CC02F5">
      <w:r>
        <w:lastRenderedPageBreak/>
        <w:t xml:space="preserve">Étant donné que la mise en œuvre du projet de réglementation entraîne des coûts externes permanents, l'examen de l'adéquation et du caractère raisonnable sur le plan économique pour un centre d'emballage moyen (souvent des </w:t>
      </w:r>
      <w:r>
        <w:rPr>
          <w:rStyle w:val="highlight"/>
        </w:rPr>
        <w:t>petites</w:t>
      </w:r>
      <w:r>
        <w:t xml:space="preserve"> et moyennes entreprises) revêt une importance particulière. À cet égard également, il convient toutefois de souligner que des augmentations raisonnables des coûts ne rendent pas le respect de la réglementation économiquement déraisonnable, car les coûts encourus sont répercutés sur les consommateurs dans la chaîne de production, quelle que soit la taille de l'entreprise. Une dérogation pour les </w:t>
      </w:r>
      <w:r>
        <w:rPr>
          <w:rStyle w:val="highlight"/>
        </w:rPr>
        <w:t>petites</w:t>
      </w:r>
      <w:r>
        <w:t xml:space="preserve"> et moyennes entreprises n'est pas prévue, car l'objectif de la réglementation visant à mettre fin à la mise à mort des poussins d'un jour ne peut être atteint qu'en incluant également ces entreprises.</w:t>
      </w:r>
    </w:p>
    <w:p w14:paraId="577E81E2" w14:textId="77777777" w:rsidR="00CC02F5" w:rsidRPr="00774080" w:rsidRDefault="00CC02F5" w:rsidP="00CC02F5">
      <w:pPr>
        <w:pStyle w:val="Text"/>
      </w:pPr>
      <w:r>
        <w:t>Au sens de la règle du «one in, one out» du gouvernement fédéral, les charges d'exécution annuelles du secteur économique représentent un «In» de 147,5 millions d’euros dans le présent projet de réglementation. Dans l'état actuel des choses, seule une partie des coûts peut être compensée par les réglementations d'allégement du BMEL issues de cette période législative. D'autres possibilités de compensation sont à l'étude.</w:t>
      </w:r>
    </w:p>
    <w:p w14:paraId="431719E0" w14:textId="77777777" w:rsidR="00CC02F5" w:rsidRPr="00774080" w:rsidRDefault="00CC02F5" w:rsidP="00774080">
      <w:pPr>
        <w:pStyle w:val="Text"/>
        <w:keepNext/>
        <w:rPr>
          <w:b/>
        </w:rPr>
      </w:pPr>
      <w:r>
        <w:rPr>
          <w:b/>
        </w:rPr>
        <w:t>4.3. Charges d’exécution pour l’administration</w:t>
      </w:r>
    </w:p>
    <w:p w14:paraId="68487DAA" w14:textId="77777777" w:rsidR="00CC02F5" w:rsidRPr="00774080" w:rsidRDefault="00CC02F5" w:rsidP="00CC02F5">
      <w:r>
        <w:t xml:space="preserve">Aucune modification des charges d’exécution pour l’administration n'est attendue. Les couvoirs sont soumis à des contrôles réguliers conformément à l'article 9 du règlement (CE) n° 617/2008 de la Commission du 27 juin 2008 portant modalités d'application du règlement (CE) n° 1234/2007 du Conseil en ce qui concerne les normes de commercialisation pour les œufs à couver et les poussins de volailles de basse-cour (JO L 168 du 28.6.2008, p. 5). Les contrôles annuels concrets résultent d'une analyse des risques. En outre, des inspections d'exploitation sont déjà effectuées en vertu des dispositions de la loi sur le bien-être des animaux, car certaines exploitations tuent des poussins de coqs. Par conséquent, aucun contrôle supplémentaire n'est prévu dans le cadre de la mise en œuvre de ce projet de réglementation. La charge de contrôle visant à déterminer qu'une activité n'est plus exercée est estimée être égale aux charges actuelles. </w:t>
      </w:r>
    </w:p>
    <w:p w14:paraId="4009D40D" w14:textId="77777777" w:rsidR="002B6ABF" w:rsidRPr="00774080" w:rsidRDefault="002B6ABF" w:rsidP="00606ED5">
      <w:pPr>
        <w:pStyle w:val="berschriftarabischBegrndung"/>
      </w:pPr>
      <w:r>
        <w:t>Autres coûts</w:t>
      </w:r>
    </w:p>
    <w:p w14:paraId="5418C2C6" w14:textId="77777777" w:rsidR="00CC02F5" w:rsidRPr="00774080" w:rsidRDefault="00CC02F5" w:rsidP="00CC02F5">
      <w:pPr>
        <w:pStyle w:val="Text"/>
      </w:pPr>
      <w:r>
        <w:t>Il faut partir du principe que l'industrie répercutera au moins une partie des coûts sur les consommateurs, de sorte que les règles proposées pourraient avoir un impact sur les prix unitaires allant jusqu'à 10 centimes par paquet de 6 œufs.</w:t>
      </w:r>
    </w:p>
    <w:p w14:paraId="54F50DC8" w14:textId="77777777" w:rsidR="002B6ABF" w:rsidRPr="00774080" w:rsidRDefault="002B6ABF" w:rsidP="00606ED5">
      <w:pPr>
        <w:pStyle w:val="berschriftarabischBegrndung"/>
      </w:pPr>
      <w:r>
        <w:t>Autre impact de la loi</w:t>
      </w:r>
    </w:p>
    <w:p w14:paraId="581E820E" w14:textId="77777777" w:rsidR="002B6ABF" w:rsidRPr="00774080" w:rsidRDefault="00A436AD" w:rsidP="00606ED5">
      <w:pPr>
        <w:pStyle w:val="Text"/>
      </w:pPr>
      <w:r>
        <w:t xml:space="preserve">Il n'y a pas lieu de s'attendre à un impact sur la promotion de l'égalité entre les femmes et les hommes, étant donné que la loi ne contient aucune réglementation qui influe sur la situation de vie spécifique des femmes et des hommes. </w:t>
      </w:r>
    </w:p>
    <w:p w14:paraId="2570291B" w14:textId="77777777" w:rsidR="002B6ABF" w:rsidRPr="00774080" w:rsidRDefault="002B6ABF" w:rsidP="00606ED5">
      <w:pPr>
        <w:pStyle w:val="berschriftrmischBegrndung"/>
      </w:pPr>
      <w:r>
        <w:t>Limitation dans le temps et évaluation</w:t>
      </w:r>
    </w:p>
    <w:p w14:paraId="5AE5B85D" w14:textId="77777777" w:rsidR="002B6ABF" w:rsidRPr="00774080" w:rsidRDefault="00795460" w:rsidP="00606ED5">
      <w:pPr>
        <w:pStyle w:val="Text"/>
      </w:pPr>
      <w:r>
        <w:t>Aucune limitation dans le temps n’est prévue.</w:t>
      </w:r>
    </w:p>
    <w:p w14:paraId="39DEB388" w14:textId="77777777" w:rsidR="00A436AD" w:rsidRPr="00774080" w:rsidRDefault="00A436AD" w:rsidP="00606ED5">
      <w:pPr>
        <w:pStyle w:val="Text"/>
      </w:pPr>
      <w:r>
        <w:t>La présente loi sera évaluée au plus tard le 1er janvier 2027. L'objectif est de vérifier si l'objectif de la loi visant à empêcher la mise à mort des poussins de poule a été atteint. L'indicateur d'évaluation est la détection des infractions lors des contrôles effectués par les pays. Les données des pays doivent être utilisées comme base de données.</w:t>
      </w:r>
    </w:p>
    <w:p w14:paraId="2F9A49E4" w14:textId="77777777" w:rsidR="00261248" w:rsidRPr="00774080" w:rsidRDefault="002B6ABF" w:rsidP="00774080">
      <w:pPr>
        <w:pStyle w:val="BegrndungBesondererTeil"/>
      </w:pPr>
      <w:r>
        <w:lastRenderedPageBreak/>
        <w:t>B. Partie spécifique</w:t>
      </w:r>
    </w:p>
    <w:p w14:paraId="4D116F5E" w14:textId="160625C3" w:rsidR="00261248" w:rsidRPr="00774080" w:rsidRDefault="00261248" w:rsidP="00261248">
      <w:pPr>
        <w:pStyle w:val="VerweisBegrndung"/>
      </w:pPr>
      <w:r>
        <w:t>Concernant l’</w:t>
      </w:r>
      <w:r>
        <w:rPr>
          <w:rStyle w:val="Binnenverweis"/>
        </w:rPr>
        <w:t>article premier</w:t>
      </w:r>
      <w:r>
        <w:t xml:space="preserve"> (Modification de la loi sur la protection des animaux)</w:t>
      </w:r>
    </w:p>
    <w:p w14:paraId="30EA4430" w14:textId="77777777" w:rsidR="00261248" w:rsidRPr="00774080" w:rsidRDefault="00261248" w:rsidP="00261248">
      <w:pPr>
        <w:pStyle w:val="Text"/>
      </w:pPr>
      <w:r>
        <w:t>L'article 4c, première phrase, prévoit l'interdiction de tuer les poussins de poule. Cette interdiction s'applique sur la base des arrêts du Tribunal administratif fédéral, affaire 3 C 28.16 et affaire 3 C 29.16, et compte tenu de l'accord ciblé de la coalition gouvernementale dans le cadre de l’accord de coalition visant à «mettre fin à l'abattage des poussins d'un jour», a été inclus dans la loi. Une interdiction est nécessaire pour prévenir efficacement la mise à mort des poussins et pour en assurer le respect. Cette interdiction entre en vigueur le 1</w:t>
      </w:r>
      <w:r>
        <w:rPr>
          <w:vertAlign w:val="superscript"/>
        </w:rPr>
        <w:t>er</w:t>
      </w:r>
      <w:r>
        <w:t xml:space="preserve"> janvier 2022.</w:t>
      </w:r>
    </w:p>
    <w:p w14:paraId="2646B384" w14:textId="77777777" w:rsidR="007A388E" w:rsidRPr="00774080" w:rsidRDefault="00FF67B0" w:rsidP="00871FE7">
      <w:pPr>
        <w:pStyle w:val="PlainText"/>
        <w:jc w:val="both"/>
      </w:pPr>
      <w:r>
        <w:rPr>
          <w:rFonts w:ascii="Arial" w:hAnsi="Arial"/>
        </w:rPr>
        <w:t>L'interdiction porte sur tous les poulets issus de lignées de reproduction destinées à la ponte. Cela inclut les animaux de reproduction et d'élevage. L'interdiction porte sur l'abattage des poussins mâles et femelles. La mise à mort systématique des poussins mâles dans les couvoirs ainsi que la mise à mort des poussins mâles ou femelles dans les exploitations d'élevage et de reproduction entrent dans le champ d'application de la réglementation. L'interdiction est étendue aux poussins produits à des fins de reproduction et de multiplication, car, dans le système de production de l'aviculture, la mise à mort des poussins femelles et mâles se produit également dans les établissements de reproduction et de multiplication lorsque les poussins de poule ou les poussins de coq d'une certaine lignée ne peuvent être utilisés pour la reproduction. Il convient également d'empêcher cette action au stade de l'élevage et de la reproduction, qui est contraire au bien-être des animaux.</w:t>
      </w:r>
    </w:p>
    <w:p w14:paraId="01618CC6" w14:textId="77777777" w:rsidR="00261248" w:rsidRPr="00774080" w:rsidRDefault="00261248" w:rsidP="00261248">
      <w:pPr>
        <w:pStyle w:val="Text"/>
      </w:pPr>
      <w:r>
        <w:t xml:space="preserve">L'interdiction de l'abattage des poussins ne porte pas atteinte aux droits fondamentaux, notamment au droit fondamental à la liberté professionnelle prévu à l'article 12 de la loi fondamentale allemande, des exploitants de couvoirs et des éleveurs. L'exploitation d'un couvoir ou d'un élevage est une activité protégée par la liberté professionnelle; l'exercice de la profession peut toutefois être réglementé par la loi ou sur la base d'une loi (article 12, paragraphe 1, deuxième phrase de la loi fondamentale allemande). L'interdiction de la mise à mort des poussins dans ce projet de loi ne constitue pas une ingérence injustifiable dans la liberté des exploitants de couvoirs ou des éleveurs d'exercer leur profession, puisque l'exercice de l'activité, notamment l'éclosion des œufs, reste autorisé. Le couvoir est également libre de décider si les œufs provenant de la ponte, de l'engraissement ou des lignées à double usage sont éclos dans son exploitation. En outre, on peut supposer qu'en alternative à la mise à mort des poussins, outre l'utilisation de poulets à double usage et l'élevage et l'engraissement des poussins mâles, les méthodes de détermination du sexe dans l'œuf seront utilisables en pratique et disponibles sur le marché d'ici le 1er janvier 2022. </w:t>
      </w:r>
    </w:p>
    <w:p w14:paraId="166235CA" w14:textId="77777777" w:rsidR="00261248" w:rsidRPr="00774080" w:rsidRDefault="00261248" w:rsidP="00261248">
      <w:pPr>
        <w:pStyle w:val="Text"/>
      </w:pPr>
      <w:r>
        <w:t>Pour la période entre 2008 et 2020, l’État fédéral a affecté environ huit millions d'euros à la promotion de toutes les alternatives, dont environ six millions et demi d'euros pour le développement de méthodes de détermination du sexe dans l’œuf.</w:t>
      </w:r>
    </w:p>
    <w:p w14:paraId="50B64027" w14:textId="77777777" w:rsidR="00261248" w:rsidRPr="00774080" w:rsidRDefault="00261248" w:rsidP="00261248">
      <w:pPr>
        <w:pStyle w:val="Text"/>
      </w:pPr>
      <w:r>
        <w:t xml:space="preserve">Le financement de l’État fédéral a permis de mettre au point des méthodes pouvant être utilisées pour déterminer avec un très haut degré de précision le sexe des poussins se développant dans l'œuf . Différentes méthodes de détermination, basées sur des principes technologiques différents, permettent de déterminer avec certitude le sexe du poussin. En plus des approches </w:t>
      </w:r>
      <w:proofErr w:type="spellStart"/>
      <w:r>
        <w:t>endocrinologiques</w:t>
      </w:r>
      <w:proofErr w:type="spellEnd"/>
      <w:r>
        <w:t xml:space="preserve"> et spectroscopiques, des méthodes d'analyse génétique et le sexage dans l’œuf à l’état embryonnaire selon les couleurs ont également été reconnues comme des méthodes.</w:t>
      </w:r>
    </w:p>
    <w:p w14:paraId="7AC7FF3B" w14:textId="77777777" w:rsidR="00261248" w:rsidRPr="00774080" w:rsidRDefault="00261248" w:rsidP="00261248">
      <w:pPr>
        <w:pStyle w:val="Text"/>
      </w:pPr>
      <w:r>
        <w:t xml:space="preserve">En principe, toutes ces méthodes sont adaptées à une utilisation généralisée dans les couvoirs en Allemagne et certaines sont déjà utilisées dans la pratique. Les entreprises poursuivent actuellement l'optimisation des processus des technologies correspondantes dans leur propre intérêt. </w:t>
      </w:r>
    </w:p>
    <w:p w14:paraId="65976188" w14:textId="77777777" w:rsidR="000E691B" w:rsidRPr="00774080" w:rsidRDefault="007438BC" w:rsidP="00A1181A">
      <w:pPr>
        <w:pStyle w:val="Text"/>
      </w:pPr>
      <w:r>
        <w:lastRenderedPageBreak/>
        <w:t xml:space="preserve">Depuis les arrêts du Tribunal administratif fédéral de juin 2019 précités, les procédures de détermination du sexe dans l’œuf ont évolué. </w:t>
      </w:r>
    </w:p>
    <w:p w14:paraId="7B859C35" w14:textId="77777777" w:rsidR="000E691B" w:rsidRPr="00774080" w:rsidRDefault="00351C68" w:rsidP="000E691B">
      <w:pPr>
        <w:pStyle w:val="Text"/>
      </w:pPr>
      <w:r>
        <w:t xml:space="preserve">En principe, les procédures de détermination du sexe peuvent être mises en œuvre dans les couvoirs eux-mêmes ou la détermination du sexe peut être proposée comme un service. L'utilisation d'un service est particulièrement adaptée aux couvoirs qui stockent un certain nombre d'œufs à couver pour lesquels l'installation de la technique de détermination du sexe n'est pas économiquement viable. Cela garantit ainsi qu'une procédure de détermination du sexe peut être effectuée dans l'œuf à couver, indépendamment du volume de production et de la génétique. </w:t>
      </w:r>
    </w:p>
    <w:p w14:paraId="4FC69C7B" w14:textId="77777777" w:rsidR="007C3950" w:rsidRPr="00774080" w:rsidRDefault="007C3950" w:rsidP="007C3950">
      <w:pPr>
        <w:pStyle w:val="Text"/>
      </w:pPr>
      <w:r>
        <w:t xml:space="preserve">La détermination du sexe des poussins en cours de développement pendant qu'ils sont encore dans l'œuf permet d'empêcher par la suite le développement et l'éclosion d'un poussin mâle. Pour cela, il convient d'apporter des changements dans les processus d'incubation. Contrairement aux autres alternatives, la détermination du sexe nécessite peu d'ajustement des étapes de production en amont et en aval. Les procédures de détermination du sexe permettent de réaliser des économies dans les couvoirs, d'autant plus importantes que le sexage est effectué plus tôt dans l'œuf. En triant les œufs dont vont éclore des poussins mâles, la capacité de couvaison est libérée. Grâce à la détermination du sexe dans l'œuf, les couvoirs n'ont besoin que d'un tiers de leur capacité, car dans le cadre des méthodes proposant la détermination du sexe comme un service, l'incubation restante a lieu dans des centres dits de sexage. En outre, la détermination du sexe des poussins vivants, leur mise à mort et leur recyclage n'entraînent aucun coût. </w:t>
      </w:r>
    </w:p>
    <w:p w14:paraId="116E0503" w14:textId="77777777" w:rsidR="000E691B" w:rsidRPr="00774080" w:rsidRDefault="000E691B" w:rsidP="000E691B">
      <w:pPr>
        <w:pStyle w:val="Text"/>
      </w:pPr>
      <w:r>
        <w:t>L'interdiction de tuer les poussins est sans préjudice de la lutte contre les maladies animales et de la mise à mort d'urgence des animaux éclos malades ou blessés, conformément aux exigences du bien-être animal. De même, l'interdiction ne doit pas s'appliquer aux poussins qui n’ont pas encore éclos et aux coquelets. Le terme de coquelet correspond au terme utilisé à l'article 1, point 1, lettre a, du règlement (CE) n° 543/2008 de la Commission du 16 juin 2008 portant modalités d'application du règlement (CE) n° 1234/2007 du Conseil en ce qui concerne les normes de commercialisation pour la viande de volaille. Selon cette définition, un coquelet est un animal dont le poids de carcasse est inférieur à 650 grammes (mesuré sans abats, tête et pattes) ou un animal pesant entre 650 et 750 grammes si l'âge d'abattage n’excède pas 28 jours. Les expérimentations animales sont également incluses dans la dérogation, car l'interdiction vise la mise à mort systématique des poussins et des embryons dans la production d'œufs, alors que les essais à orientation scientifique sur des poussins ou des embryons ne doivent pas être couverts.</w:t>
      </w:r>
    </w:p>
    <w:p w14:paraId="44C2EDE6" w14:textId="77777777" w:rsidR="00261248" w:rsidRPr="00774080" w:rsidRDefault="000E691B" w:rsidP="00871FE7">
      <w:pPr>
        <w:pStyle w:val="PlainText"/>
        <w:jc w:val="both"/>
      </w:pPr>
      <w:r>
        <w:rPr>
          <w:rFonts w:ascii="Arial" w:hAnsi="Arial"/>
          <w:szCs w:val="22"/>
        </w:rPr>
        <w:t>En plus des méthodes de détermination du sexe dans l'œuf, les alternatives à la mise à mort comprennent l'élevage de coqs frères ou l'utilisation de poulets à double usage. L'élevage et l'utilisation de races à double usage seront particulièrement soutenus et encouragés par le gouvernement fédéral dans les années à venir. Les mesures appropriées à cet effet seront examinées dans le cadre de conseils du réseau de compétences pour l'élevage des animaux mis en place par le ministère fédéral de l'alimentation et de l'agriculture.</w:t>
      </w:r>
    </w:p>
    <w:p w14:paraId="052D7809" w14:textId="0338CF53" w:rsidR="009623BC" w:rsidRPr="00774080" w:rsidRDefault="009623BC" w:rsidP="009623BC">
      <w:pPr>
        <w:pStyle w:val="VerweisBegrndung"/>
      </w:pPr>
      <w:r>
        <w:t xml:space="preserve">Concernant </w:t>
      </w:r>
      <w:r>
        <w:rPr>
          <w:rStyle w:val="Binnenverweis"/>
        </w:rPr>
        <w:t>l'article 2</w:t>
      </w:r>
      <w:r>
        <w:t xml:space="preserve"> (Autre modification de la loi sur la protection des animaux)</w:t>
      </w:r>
    </w:p>
    <w:p w14:paraId="3C629ED4" w14:textId="1A8DDE58" w:rsidR="00C47526" w:rsidRPr="00774080" w:rsidRDefault="00C47526" w:rsidP="00C47526">
      <w:pPr>
        <w:pStyle w:val="VerweisBegrndung"/>
      </w:pPr>
      <w:r>
        <w:t xml:space="preserve">Concernant le </w:t>
      </w:r>
      <w:r>
        <w:rPr>
          <w:rStyle w:val="Binnenverweis"/>
        </w:rPr>
        <w:t>point 1</w:t>
      </w:r>
    </w:p>
    <w:p w14:paraId="2E73EF47" w14:textId="7C550B49" w:rsidR="009623BC" w:rsidRPr="00774080" w:rsidRDefault="009623BC" w:rsidP="009623BC">
      <w:pPr>
        <w:pStyle w:val="VerweisBegrndung"/>
      </w:pPr>
      <w:r>
        <w:t xml:space="preserve">Concernant la </w:t>
      </w:r>
      <w:r>
        <w:rPr>
          <w:rStyle w:val="Binnenverweis"/>
        </w:rPr>
        <w:t>lettre a</w:t>
      </w:r>
    </w:p>
    <w:p w14:paraId="30AF3C7A" w14:textId="77777777" w:rsidR="009623BC" w:rsidRPr="00774080" w:rsidRDefault="00E20922" w:rsidP="002536AC">
      <w:pPr>
        <w:pStyle w:val="Text"/>
      </w:pPr>
      <w:r>
        <w:t>L'interdiction visée à l’article 4c est étendue en faisant une segmentation par paragraphes, c'est pourquoi une désignation de paragraphe est insérée sur le plan rédactionnel.</w:t>
      </w:r>
    </w:p>
    <w:p w14:paraId="4DAFEB50" w14:textId="3EB46BC3" w:rsidR="009623BC" w:rsidRPr="00774080" w:rsidRDefault="009623BC" w:rsidP="009623BC">
      <w:pPr>
        <w:pStyle w:val="VerweisBegrndung"/>
        <w:rPr>
          <w:rStyle w:val="Binnenverweis"/>
        </w:rPr>
      </w:pPr>
      <w:r>
        <w:t xml:space="preserve">Concernant la </w:t>
      </w:r>
      <w:r>
        <w:rPr>
          <w:rStyle w:val="Binnenverweis"/>
        </w:rPr>
        <w:t>lettre b</w:t>
      </w:r>
    </w:p>
    <w:p w14:paraId="70E3317A" w14:textId="77777777" w:rsidR="009623BC" w:rsidRPr="00774080" w:rsidRDefault="009623BC" w:rsidP="009623BC">
      <w:pPr>
        <w:pStyle w:val="Text"/>
      </w:pPr>
      <w:r>
        <w:t xml:space="preserve">L'article 4c, paragraphe 2 interdit, à partir du septième jour d'incubation, toute intervention sur un œuf de poule ou toute interruption du processus d'incubation provoquant la mort de </w:t>
      </w:r>
      <w:r>
        <w:lastRenderedPageBreak/>
        <w:t>l'embryon de la poule, pendant ou après l'application des procédures de détermination du sexe dans l’œuf. La formulation des points 1 et 2 vise à couvrir la mise à mort délibérée ou non de l'embryon de poulet pendant ou après l'application d'une méthode de détermination du sexe dans l'œuf. Le septième jour est une date décisive, car c’est à partir de ce jour que l’on ne peut exclure, en l'état actuel des connaissances, que l’embryon de poulet commence à développer la sensation de douleur.</w:t>
      </w:r>
    </w:p>
    <w:p w14:paraId="56EE1838" w14:textId="77777777" w:rsidR="00BF203A" w:rsidRPr="00774080" w:rsidRDefault="0029532E" w:rsidP="003555E9">
      <w:pPr>
        <w:pStyle w:val="CommentText"/>
      </w:pPr>
      <w:r>
        <w:rPr>
          <w:sz w:val="22"/>
          <w:szCs w:val="22"/>
        </w:rPr>
        <w:t>L'interdiction d'effectuer, à partir du septième jour d'incubation pendant ou après l'application des méthodes de détermination du sexe dans l’œuf, une intervention sur un œuf de poule ou une interruption d'un processus d'incubation entraînant la mort de l'embryon de poule ne constitue pas une entrave injustifiable à la liberté d'exercer un métier ou une profession d'entreprises développant des techniques de détermination dans l’œuf. La poursuite d'activités, en particulier l'amélioration des méthodes existantes de détermination du sexe ou la recherche et le développement de méthodes de détermination du sexe, menées avant le 7e jour d'incubation, reste inchangée.</w:t>
      </w:r>
    </w:p>
    <w:p w14:paraId="072402C6" w14:textId="77777777" w:rsidR="009623BC" w:rsidRPr="00774080" w:rsidRDefault="009623BC" w:rsidP="009623BC">
      <w:pPr>
        <w:pStyle w:val="Text"/>
      </w:pPr>
      <w:r>
        <w:t xml:space="preserve">Pour les embryons d’animaux pour lesquels la sensation de douleur se développe continuellement, c'est-à-dire pour les embryons de poulet à partir d'un moment situé après le sixième jour d'incubation, la protection de l'objectif d'État de protection des animaux selon l'article 20a de la loi fondamentale s'applique également avant l'éclosion ou la naissance. D'ici à la fin 2023, des méthodes permettant de déterminer le sexe d'un embryon de poulet avant le septième jour d'incubation doivent être prêtes à l'emploi et applicables. Il faut éviter qu'une longue période de transition ne crée une incitation à investir d'abord dans les techniques de détermination du sexe à partir du septième jour d'incubation. </w:t>
      </w:r>
    </w:p>
    <w:p w14:paraId="0B8B2506" w14:textId="2B737270" w:rsidR="009623BC" w:rsidRPr="00774080" w:rsidRDefault="009623BC" w:rsidP="009623BC">
      <w:pPr>
        <w:pStyle w:val="VerweisBegrndung"/>
      </w:pPr>
      <w:r>
        <w:t xml:space="preserve">Concernant le </w:t>
      </w:r>
      <w:r>
        <w:rPr>
          <w:rStyle w:val="Binnenverweis"/>
        </w:rPr>
        <w:t>point 2</w:t>
      </w:r>
    </w:p>
    <w:p w14:paraId="74180868" w14:textId="77777777" w:rsidR="009623BC" w:rsidRPr="00774080" w:rsidRDefault="009623BC" w:rsidP="009623BC">
      <w:pPr>
        <w:pStyle w:val="Text"/>
      </w:pPr>
      <w:r>
        <w:t>L'article 18, paragraphe 1, point 6a, prévoit une infraction administrative pour les violations de l'interdiction prévue à l'article 4c, paragraphe 2.</w:t>
      </w:r>
    </w:p>
    <w:p w14:paraId="59076495" w14:textId="273F277D" w:rsidR="00261248" w:rsidRPr="00774080" w:rsidRDefault="00261248" w:rsidP="00261248">
      <w:pPr>
        <w:pStyle w:val="VerweisBegrndung"/>
      </w:pPr>
      <w:r>
        <w:t>Concernant l’</w:t>
      </w:r>
      <w:r>
        <w:rPr>
          <w:rStyle w:val="Binnenverweis"/>
        </w:rPr>
        <w:t>article 3</w:t>
      </w:r>
      <w:r>
        <w:t xml:space="preserve"> (entrée en vigueur)</w:t>
      </w:r>
    </w:p>
    <w:p w14:paraId="0BAA8A10" w14:textId="77777777" w:rsidR="00E20922" w:rsidRPr="00774080" w:rsidRDefault="000E691B" w:rsidP="002536AC">
      <w:r>
        <w:t xml:space="preserve">L’article 3 réglemente l’entrée en vigueur de la loi. </w:t>
      </w:r>
    </w:p>
    <w:p w14:paraId="287F4ACD" w14:textId="3050158A" w:rsidR="00C47526" w:rsidRPr="00774080" w:rsidRDefault="00C47526" w:rsidP="00C47526">
      <w:pPr>
        <w:pStyle w:val="VerweisBegrndung"/>
      </w:pPr>
      <w:r>
        <w:t xml:space="preserve">Concernant le </w:t>
      </w:r>
      <w:r>
        <w:rPr>
          <w:rStyle w:val="Binnenverweis"/>
        </w:rPr>
        <w:t>paragraphe 1</w:t>
      </w:r>
    </w:p>
    <w:p w14:paraId="36655CC9" w14:textId="77777777" w:rsidR="002536AC" w:rsidRPr="00774080" w:rsidRDefault="00E20922" w:rsidP="002536AC">
      <w:r>
        <w:t xml:space="preserve">L'article 1 doit entrer en vigueur le 1er janvier 2022. Afin de réduire rapidement le nombre de poussins tués et compte tenu des progrès techniques déjà réalisés, un court laps de temps avant l'interdiction de la mise à mort des poussins est jugé approprié. L'état de la technique suggère que les alternatives peuvent être établies d'ici fin 2021. </w:t>
      </w:r>
    </w:p>
    <w:p w14:paraId="69A55B57" w14:textId="77777777" w:rsidR="002536AC" w:rsidRPr="00774080" w:rsidRDefault="002536AC" w:rsidP="002536AC">
      <w:r>
        <w:t>On peut raisonnablement s'attendre à ce que les opérateurs économiques concernés apportent les changements nécessaires à leurs modes de fonctionnement dans la période comprise entre la promulgation et l'entrée en vigueur. Suite aux arrêts du Tribunal administratif fédéral et au développement de méthodes alternatives, la pratique actuelle consistant à tuer les poussins ne peut plus être poursuivie pour des raisons de bien-être animal.</w:t>
      </w:r>
    </w:p>
    <w:p w14:paraId="07AE0E06" w14:textId="51A48719" w:rsidR="00C47526" w:rsidRPr="00774080" w:rsidRDefault="00C47526" w:rsidP="00C47526">
      <w:pPr>
        <w:pStyle w:val="VerweisBegrndung"/>
      </w:pPr>
      <w:r>
        <w:t xml:space="preserve">Concernant le </w:t>
      </w:r>
      <w:r>
        <w:rPr>
          <w:rStyle w:val="Binnenverweis"/>
        </w:rPr>
        <w:t>paragraphe 2</w:t>
      </w:r>
    </w:p>
    <w:p w14:paraId="3B5CA17F" w14:textId="77777777" w:rsidR="00E20922" w:rsidRPr="00774080" w:rsidRDefault="00E20922" w:rsidP="002536AC">
      <w:r>
        <w:t>L'article 2 doit entrer en vigueur le 1er janvier 2024.</w:t>
      </w:r>
    </w:p>
    <w:p w14:paraId="6BAC4A25" w14:textId="77777777" w:rsidR="002B6ABF" w:rsidRPr="00774080" w:rsidRDefault="002536AC" w:rsidP="00C47526">
      <w:r>
        <w:t xml:space="preserve">Étant donné que la détermination du sexe dans l'œuf peut entraîner la mise à mort ultérieure des embryons de poulet qui se révèlent être des mâles, la réglementation envisagée à l'article 4c, paragraphe 2 signifie qu'à l'avenir, seules les procédures qui déterminent le sexe de l'embryon de poulet avant le septième jour d'incubation pourront être utilisées. Cette exigence n'est pas actuellement satisfaite par les procédures de détermination du sexe, mais doit être possible d'ici la fin 2023. Par conséquent, l'article 4c, paragraphe 2 ne </w:t>
      </w:r>
      <w:r>
        <w:lastRenderedPageBreak/>
        <w:t xml:space="preserve">doit pas entrer en vigueur avant le 1er janvier 2024. Ainsi, les méthodes de détermination du sexe après le sixième jour d'incubation ne sont autorisées que comme technologies de transition jusqu'à cette date. </w:t>
      </w:r>
    </w:p>
    <w:sectPr w:rsidR="002B6ABF" w:rsidRPr="00774080" w:rsidSect="0095516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B51D4" w14:textId="77777777" w:rsidR="008677D1" w:rsidRDefault="008677D1" w:rsidP="005D1540">
      <w:pPr>
        <w:spacing w:before="0" w:after="0"/>
      </w:pPr>
      <w:r>
        <w:separator/>
      </w:r>
    </w:p>
    <w:p w14:paraId="5FDEEF15" w14:textId="77777777" w:rsidR="008677D1" w:rsidRDefault="008677D1"/>
    <w:p w14:paraId="0686D3E5" w14:textId="77777777" w:rsidR="008677D1" w:rsidRDefault="008677D1" w:rsidP="000D500B"/>
  </w:endnote>
  <w:endnote w:type="continuationSeparator" w:id="0">
    <w:p w14:paraId="0DD44105" w14:textId="77777777" w:rsidR="008677D1" w:rsidRDefault="008677D1" w:rsidP="005D1540">
      <w:pPr>
        <w:spacing w:before="0" w:after="0"/>
      </w:pPr>
      <w:r>
        <w:continuationSeparator/>
      </w:r>
    </w:p>
    <w:p w14:paraId="22CF0BCC" w14:textId="77777777" w:rsidR="008677D1" w:rsidRDefault="008677D1"/>
    <w:p w14:paraId="7C0466AD" w14:textId="77777777" w:rsidR="008677D1" w:rsidRDefault="008677D1" w:rsidP="000D500B"/>
  </w:endnote>
  <w:endnote w:type="continuationNotice" w:id="1">
    <w:p w14:paraId="74E158F9" w14:textId="77777777" w:rsidR="008677D1" w:rsidRDefault="008677D1">
      <w:pPr>
        <w:spacing w:before="0" w:after="0"/>
      </w:pPr>
    </w:p>
    <w:p w14:paraId="041F2EAA" w14:textId="77777777" w:rsidR="008677D1" w:rsidRDefault="008677D1"/>
    <w:p w14:paraId="3B4DD9F1" w14:textId="77777777" w:rsidR="008677D1" w:rsidRDefault="008677D1" w:rsidP="000D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3FBDF" w14:textId="77777777" w:rsidR="008677D1" w:rsidRDefault="008677D1" w:rsidP="005D1540">
      <w:pPr>
        <w:spacing w:before="0" w:after="0"/>
      </w:pPr>
      <w:r>
        <w:separator/>
      </w:r>
    </w:p>
  </w:footnote>
  <w:footnote w:type="continuationSeparator" w:id="0">
    <w:p w14:paraId="4CB44D2E" w14:textId="77777777" w:rsidR="008677D1" w:rsidRDefault="008677D1" w:rsidP="005D1540">
      <w:pPr>
        <w:spacing w:before="0" w:after="0"/>
      </w:pPr>
      <w:r>
        <w:continuationSeparator/>
      </w:r>
    </w:p>
  </w:footnote>
  <w:footnote w:type="continuationNotice" w:id="1">
    <w:p w14:paraId="27534043" w14:textId="77777777" w:rsidR="008677D1" w:rsidRDefault="008677D1">
      <w:pPr>
        <w:spacing w:before="0" w:after="0"/>
      </w:pPr>
    </w:p>
    <w:p w14:paraId="3FD5071B" w14:textId="77777777" w:rsidR="008677D1" w:rsidRDefault="008677D1"/>
    <w:p w14:paraId="6A7E7C8F" w14:textId="77777777" w:rsidR="008677D1" w:rsidRDefault="008677D1" w:rsidP="000D500B"/>
  </w:footnote>
  <w:footnote w:id="2">
    <w:p w14:paraId="12B47A76" w14:textId="77777777" w:rsidR="00144702" w:rsidRPr="00DC4328" w:rsidRDefault="00144702" w:rsidP="00DC4328">
      <w:pPr>
        <w:pStyle w:val="FootnoteText"/>
        <w:rPr>
          <w:szCs w:val="18"/>
        </w:rPr>
      </w:pPr>
      <w:r>
        <w:rPr>
          <w:rStyle w:val="FootnoteReference"/>
          <w:szCs w:val="18"/>
        </w:rPr>
        <w:footnoteRef/>
      </w:r>
      <w:r>
        <w:rPr>
          <w:rStyle w:val="FootnoteReference"/>
          <w:szCs w:val="18"/>
          <w:vertAlign w:val="baseline"/>
        </w:rPr>
        <w:t>)</w:t>
      </w:r>
      <w:r>
        <w:tab/>
        <w:t>Notifié conformément à la directive (UE) 2015/1535 du Parlement européen et du Conseil du 9 septembre 2015 prévoyant une procédure d’information dans le domaine des réglementations techniques et des règles relatives aux services de la société de l’information (JO L 241 du 17.9.2015, p. 1).</w:t>
      </w:r>
    </w:p>
  </w:footnote>
  <w:footnote w:id="3">
    <w:p w14:paraId="69D49864" w14:textId="26696907" w:rsidR="00106CCC" w:rsidRPr="00DC4328" w:rsidRDefault="00106CCC" w:rsidP="00DC4328">
      <w:pPr>
        <w:pStyle w:val="NormalWeb"/>
        <w:spacing w:before="0" w:beforeAutospacing="0" w:after="0" w:afterAutospacing="0"/>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szCs w:val="18"/>
        </w:rPr>
        <w:t>)</w:t>
      </w:r>
      <w:r>
        <w:rPr>
          <w:rFonts w:ascii="Arial" w:hAnsi="Arial"/>
          <w:sz w:val="18"/>
          <w:szCs w:val="18"/>
        </w:rPr>
        <w:tab/>
      </w:r>
      <w:proofErr w:type="spellStart"/>
      <w:r>
        <w:rPr>
          <w:rFonts w:ascii="Arial" w:hAnsi="Arial"/>
          <w:sz w:val="18"/>
          <w:szCs w:val="18"/>
        </w:rPr>
        <w:t>Bartels</w:t>
      </w:r>
      <w:proofErr w:type="spellEnd"/>
      <w:r>
        <w:rPr>
          <w:rFonts w:ascii="Arial" w:hAnsi="Arial"/>
          <w:sz w:val="18"/>
          <w:szCs w:val="18"/>
        </w:rPr>
        <w:t xml:space="preserve">, Thomas / </w:t>
      </w:r>
      <w:proofErr w:type="spellStart"/>
      <w:r>
        <w:rPr>
          <w:rFonts w:ascii="Arial" w:hAnsi="Arial"/>
          <w:sz w:val="18"/>
          <w:szCs w:val="18"/>
        </w:rPr>
        <w:t>Wilk</w:t>
      </w:r>
      <w:proofErr w:type="spellEnd"/>
      <w:r>
        <w:rPr>
          <w:rFonts w:ascii="Arial" w:hAnsi="Arial"/>
          <w:sz w:val="18"/>
          <w:szCs w:val="18"/>
        </w:rPr>
        <w:t xml:space="preserve">, Inga / </w:t>
      </w:r>
      <w:proofErr w:type="spellStart"/>
      <w:r>
        <w:rPr>
          <w:rFonts w:ascii="Arial" w:hAnsi="Arial"/>
          <w:sz w:val="18"/>
          <w:szCs w:val="18"/>
        </w:rPr>
        <w:t>Schrader</w:t>
      </w:r>
      <w:proofErr w:type="spellEnd"/>
      <w:r>
        <w:rPr>
          <w:rFonts w:ascii="Arial" w:hAnsi="Arial"/>
          <w:sz w:val="18"/>
          <w:szCs w:val="18"/>
        </w:rPr>
        <w:t xml:space="preserve">, Lars: Développement de la nociception et de la perception de la douleur chez les embryons de poulet. [Avis du FLI]. Greifswald - Ile de </w:t>
      </w:r>
      <w:proofErr w:type="spellStart"/>
      <w:r>
        <w:rPr>
          <w:rFonts w:ascii="Arial" w:hAnsi="Arial"/>
          <w:sz w:val="18"/>
          <w:szCs w:val="18"/>
        </w:rPr>
        <w:t>Riems</w:t>
      </w:r>
      <w:proofErr w:type="spellEnd"/>
      <w:r>
        <w:rPr>
          <w:rFonts w:ascii="Arial" w:hAnsi="Arial"/>
          <w:sz w:val="18"/>
          <w:szCs w:val="18"/>
        </w:rPr>
        <w:t xml:space="preserve"> 2020. Institut Friedrich-</w:t>
      </w:r>
      <w:proofErr w:type="spellStart"/>
      <w:r>
        <w:rPr>
          <w:rFonts w:ascii="Arial" w:hAnsi="Arial"/>
          <w:sz w:val="18"/>
          <w:szCs w:val="18"/>
        </w:rPr>
        <w:t>Loeffler</w:t>
      </w:r>
      <w:proofErr w:type="spellEnd"/>
      <w:r>
        <w:rPr>
          <w:rStyle w:val="oa-notelocationcorp-meta"/>
          <w:rFonts w:ascii="Arial" w:hAnsi="Arial"/>
          <w:sz w:val="18"/>
          <w:szCs w:val="18"/>
        </w:rPr>
        <w:t>, Institut pour le bien-être et l'élevage des animaux</w:t>
      </w:r>
      <w:r>
        <w:rPr>
          <w:rFonts w:ascii="Arial" w:hAnsi="Arial"/>
          <w:sz w:val="18"/>
          <w:szCs w:val="18"/>
        </w:rPr>
        <w:t>.</w:t>
      </w:r>
    </w:p>
  </w:footnote>
  <w:footnote w:id="4">
    <w:p w14:paraId="1BE723D3" w14:textId="77777777"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t>https</w:t>
      </w:r>
      <w:r>
        <w:rPr>
          <w:szCs w:val="18"/>
          <w:u w:val="single"/>
        </w:rPr>
        <w:t>:</w:t>
      </w:r>
      <w:r>
        <w:t>//www.seleggt.de/wp-content/uploads/2018/04/SELEGGT_FAQs_D.pdf.</w:t>
      </w:r>
    </w:p>
  </w:footnote>
  <w:footnote w:id="5">
    <w:p w14:paraId="0D5613EC" w14:textId="77777777" w:rsidR="00B35BD4" w:rsidRPr="007B5DC8" w:rsidRDefault="00B35BD4" w:rsidP="00DC4328">
      <w:pPr>
        <w:pStyle w:val="FootnoteText"/>
        <w:rPr>
          <w:szCs w:val="18"/>
          <w:lang w:val="sv-SE"/>
        </w:rPr>
      </w:pPr>
      <w:r>
        <w:rPr>
          <w:rStyle w:val="FootnoteReference"/>
          <w:szCs w:val="18"/>
        </w:rPr>
        <w:footnoteRef/>
      </w:r>
      <w:r>
        <w:rPr>
          <w:rStyle w:val="FootnoteReference"/>
          <w:szCs w:val="18"/>
          <w:vertAlign w:val="baseline"/>
        </w:rPr>
        <w:t>)</w:t>
      </w:r>
      <w:r>
        <w:tab/>
        <w:t xml:space="preserve">Von der </w:t>
      </w:r>
      <w:proofErr w:type="spellStart"/>
      <w:r>
        <w:t>Crone</w:t>
      </w:r>
      <w:proofErr w:type="spellEnd"/>
      <w:r>
        <w:t xml:space="preserve">, Caspar &amp; Gault, Matthias &amp; </w:t>
      </w:r>
      <w:proofErr w:type="spellStart"/>
      <w:r>
        <w:t>Mau</w:t>
      </w:r>
      <w:proofErr w:type="spellEnd"/>
      <w:r>
        <w:t xml:space="preserve">, Markus &amp; Lang, Horst. (2020). </w:t>
      </w:r>
      <w:proofErr w:type="spellStart"/>
      <w:r>
        <w:t>Gazdaság</w:t>
      </w:r>
      <w:proofErr w:type="spellEnd"/>
      <w:r>
        <w:t xml:space="preserve"> &amp; </w:t>
      </w:r>
      <w:proofErr w:type="spellStart"/>
      <w:r>
        <w:t>Társadalom</w:t>
      </w:r>
      <w:proofErr w:type="spellEnd"/>
      <w:r>
        <w:t xml:space="preserve"> - Journal of </w:t>
      </w:r>
      <w:proofErr w:type="spellStart"/>
      <w:r>
        <w:t>Economy</w:t>
      </w:r>
      <w:proofErr w:type="spellEnd"/>
      <w:r>
        <w:t xml:space="preserve"> &amp; Society - 11. ÉVFOLYAM 2018. 3–4. SZÁM Suppression progressive de la procédure de mise à mort des poussins mâles - Mise en œuvre et possibilités, critères et normes pour l'élevage biologique et conventionnel. </w:t>
      </w:r>
      <w:r w:rsidRPr="007B5DC8">
        <w:rPr>
          <w:lang w:val="sv-SE"/>
        </w:rPr>
        <w:t>11. ÉVFOLYAM. 108. 10.21637/GT.2018.3-4.07.</w:t>
      </w:r>
    </w:p>
  </w:footnote>
  <w:footnote w:id="6">
    <w:p w14:paraId="3A46F60A" w14:textId="77777777" w:rsidR="00B35BD4" w:rsidRPr="007B5DC8" w:rsidRDefault="00B35BD4" w:rsidP="00DC4328">
      <w:pPr>
        <w:pStyle w:val="FootnoteText"/>
        <w:rPr>
          <w:szCs w:val="18"/>
          <w:lang w:val="sv-SE"/>
        </w:rPr>
      </w:pPr>
      <w:r>
        <w:rPr>
          <w:rStyle w:val="FootnoteReference"/>
          <w:szCs w:val="18"/>
        </w:rPr>
        <w:footnoteRef/>
      </w:r>
      <w:r w:rsidRPr="007B5DC8">
        <w:rPr>
          <w:rStyle w:val="FootnoteReference"/>
          <w:szCs w:val="18"/>
          <w:vertAlign w:val="baseline"/>
          <w:lang w:val="sv-SE"/>
        </w:rPr>
        <w:t>)</w:t>
      </w:r>
      <w:r w:rsidRPr="007B5DC8">
        <w:rPr>
          <w:lang w:val="sv-SE"/>
        </w:rPr>
        <w:tab/>
        <w:t>https://www.bmel-statistik.de/fileadmin/daten/DFB-0100200-2019.pdf, S.3.</w:t>
      </w:r>
    </w:p>
  </w:footnote>
  <w:footnote w:id="7">
    <w:p w14:paraId="4F59A50A" w14:textId="77777777" w:rsidR="00B35BD4" w:rsidRPr="007B5DC8" w:rsidRDefault="00B35BD4" w:rsidP="00DC4328">
      <w:pPr>
        <w:pStyle w:val="FootnoteText"/>
        <w:rPr>
          <w:szCs w:val="18"/>
          <w:lang w:val="sv-SE"/>
        </w:rPr>
      </w:pPr>
      <w:r>
        <w:rPr>
          <w:rStyle w:val="FootnoteReference"/>
          <w:szCs w:val="18"/>
        </w:rPr>
        <w:footnoteRef/>
      </w:r>
      <w:r w:rsidRPr="007B5DC8">
        <w:rPr>
          <w:rStyle w:val="FootnoteReference"/>
          <w:szCs w:val="18"/>
          <w:vertAlign w:val="baseline"/>
          <w:lang w:val="sv-SE"/>
        </w:rPr>
        <w:t>)</w:t>
      </w:r>
      <w:r w:rsidRPr="007B5DC8">
        <w:rPr>
          <w:lang w:val="sv-SE"/>
        </w:rPr>
        <w:tab/>
        <w:t>https://www.bmel-statistik.de/fileadmin/daten/DFB-0100200-2019.pdf, S.3.</w:t>
      </w:r>
    </w:p>
  </w:footnote>
  <w:footnote w:id="8">
    <w:p w14:paraId="3D1D4E72" w14:textId="77777777" w:rsidR="00CC02F5" w:rsidRPr="00DC4328" w:rsidRDefault="00CC02F5" w:rsidP="00DC4328">
      <w:pPr>
        <w:pStyle w:val="FootnoteText"/>
        <w:rPr>
          <w:szCs w:val="18"/>
        </w:rPr>
      </w:pPr>
      <w:r>
        <w:rPr>
          <w:rStyle w:val="FootnoteReference"/>
          <w:szCs w:val="18"/>
        </w:rPr>
        <w:footnoteRef/>
      </w:r>
      <w:r>
        <w:rPr>
          <w:rStyle w:val="FootnoteReference"/>
          <w:szCs w:val="18"/>
          <w:vertAlign w:val="baseline"/>
        </w:rPr>
        <w:t>)</w:t>
      </w:r>
      <w:r>
        <w:tab/>
        <w:t xml:space="preserve">Déclaration de l'Institut de Thünen 2017 (répercussions sur une seule exploitation d'une méthode spectroscopique pour la détermination du sexe des œufs de poule fécondés). </w:t>
      </w:r>
    </w:p>
  </w:footnote>
  <w:footnote w:id="9">
    <w:p w14:paraId="28572EC7" w14:textId="77777777" w:rsidR="00CC02F5" w:rsidRPr="00DC4328" w:rsidRDefault="00CC02F5" w:rsidP="00DC4328">
      <w:pPr>
        <w:pStyle w:val="PlainText"/>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szCs w:val="18"/>
        </w:rPr>
        <w:t>)</w:t>
      </w:r>
      <w:r>
        <w:rPr>
          <w:rFonts w:ascii="Arial" w:hAnsi="Arial"/>
          <w:sz w:val="18"/>
          <w:szCs w:val="18"/>
        </w:rPr>
        <w:tab/>
        <w:t>http://apps2.bvl.bund.de/bltu.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D9839" w14:textId="5493E58F" w:rsidR="00B35BD4" w:rsidRPr="00955160" w:rsidRDefault="00955160" w:rsidP="00955160">
    <w:pPr>
      <w:pStyle w:val="Header"/>
    </w:pPr>
    <w:r>
      <w:tab/>
      <w:t xml:space="preserve">- </w:t>
    </w:r>
    <w:r>
      <w:fldChar w:fldCharType="begin"/>
    </w:r>
    <w:r>
      <w:instrText xml:space="preserve"> PAGE  \* MERGEFORMAT </w:instrText>
    </w:r>
    <w:r>
      <w:fldChar w:fldCharType="separate"/>
    </w:r>
    <w:r w:rsidR="007B5DC8">
      <w:rPr>
        <w:noProof/>
      </w:rPr>
      <w:t>2</w:t>
    </w:r>
    <w:r>
      <w:fldChar w:fldCharType="end"/>
    </w:r>
    <w:r>
      <w:t xml:space="preserve"> -</w:t>
    </w:r>
    <w:r>
      <w:tab/>
    </w:r>
    <w:r>
      <w:rPr>
        <w:sz w:val="18"/>
      </w:rPr>
      <w:t>Version: 06.01.2021 09h47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5B2D9" w14:textId="00A64B91" w:rsidR="00B35BD4" w:rsidRPr="00955160" w:rsidRDefault="00955160" w:rsidP="00DC4328">
    <w:pPr>
      <w:pStyle w:val="Header"/>
      <w:jc w:val="right"/>
    </w:pPr>
    <w:r>
      <w:rPr>
        <w:sz w:val="18"/>
      </w:rPr>
      <w:t>Version: 06.01.2021 09h47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0027A2F"/>
    <w:multiLevelType w:val="hybridMultilevel"/>
    <w:tmpl w:val="C5862952"/>
    <w:lvl w:ilvl="0" w:tplc="0407000F">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0C8A6BDA"/>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1"/>
  </w:num>
  <w:num w:numId="2">
    <w:abstractNumId w:val="5"/>
  </w:num>
  <w:num w:numId="3">
    <w:abstractNumId w:val="18"/>
  </w:num>
  <w:num w:numId="4">
    <w:abstractNumId w:val="25"/>
  </w:num>
  <w:num w:numId="5">
    <w:abstractNumId w:val="17"/>
  </w:num>
  <w:num w:numId="6">
    <w:abstractNumId w:val="3"/>
  </w:num>
  <w:num w:numId="7">
    <w:abstractNumId w:val="10"/>
  </w:num>
  <w:num w:numId="8">
    <w:abstractNumId w:val="0"/>
  </w:num>
  <w:num w:numId="9">
    <w:abstractNumId w:val="24"/>
  </w:num>
  <w:num w:numId="10">
    <w:abstractNumId w:val="12"/>
  </w:num>
  <w:num w:numId="11">
    <w:abstractNumId w:val="20"/>
  </w:num>
  <w:num w:numId="12">
    <w:abstractNumId w:val="2"/>
  </w:num>
  <w:num w:numId="13">
    <w:abstractNumId w:val="16"/>
  </w:num>
  <w:num w:numId="14">
    <w:abstractNumId w:val="7"/>
  </w:num>
  <w:num w:numId="15">
    <w:abstractNumId w:val="6"/>
  </w:num>
  <w:num w:numId="16">
    <w:abstractNumId w:val="15"/>
  </w:num>
  <w:num w:numId="17">
    <w:abstractNumId w:val="21"/>
  </w:num>
  <w:num w:numId="18">
    <w:abstractNumId w:val="8"/>
  </w:num>
  <w:num w:numId="19">
    <w:abstractNumId w:val="13"/>
  </w:num>
  <w:num w:numId="20">
    <w:abstractNumId w:val="1"/>
  </w:num>
  <w:num w:numId="21">
    <w:abstractNumId w:val="14"/>
  </w:num>
  <w:num w:numId="22">
    <w:abstractNumId w:val="4"/>
  </w:num>
  <w:num w:numId="23">
    <w:abstractNumId w:val="23"/>
  </w:num>
  <w:num w:numId="24">
    <w:abstractNumId w:val="22"/>
  </w:num>
  <w:num w:numId="25">
    <w:abstractNumId w:val="9"/>
  </w:num>
  <w:num w:numId="26">
    <w:abstractNumId w:val="1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fehlsHistorie_BefehlsZähler" w:val="2"/>
    <w:docVar w:name="BefehlsKontext_SpeichernOOXML_Maximum" w:val="221ms"/>
    <w:docVar w:name="BefehlsKontext_SpeichernOOXML_Schnitt" w:val="221ms"/>
    <w:docVar w:name="DQCDateTime" w:val="05.01.2021 14:12:42"/>
    <w:docVar w:name="DQCHighlighting" w:val="100"/>
    <w:docVar w:name="DQCPart_Begruendung" w:val="0"/>
    <w:docVar w:name="DQCPart_Dokument" w:val="0"/>
    <w:docVar w:name="DQCPart_Regelungsteil" w:val="0"/>
    <w:docVar w:name="DQCPart_Vorblatt" w:val="0"/>
    <w:docVar w:name="DQCResult_Aenderungsbefehl" w:val="0;1"/>
    <w:docVar w:name="DQCResult_Binnenverweise" w:val="0;0"/>
    <w:docVar w:name="DQCResult_Citations" w:val="0;0"/>
    <w:docVar w:name="DQCResult_EinzelneRegelungsteile" w:val="1;3"/>
    <w:docVar w:name="DQCResult_EmbeddedObjects" w:val="0;0"/>
    <w:docVar w:name="DQCResult_Gliederung" w:val="4;0"/>
    <w:docVar w:name="DQCResult_Marker" w:val="0;0"/>
    <w:docVar w:name="DQCResult_Metadata" w:val="0;0"/>
    <w:docVar w:name="DQCResult_ModifiedCharFormat" w:val="0;3"/>
    <w:docVar w:name="DQCResult_ModifiedMargins" w:val="2;0"/>
    <w:docVar w:name="DQCResult_ModifiedNumbering" w:val="3;0"/>
    <w:docVar w:name="DQCResult_StructureCheck" w:val="0;0"/>
    <w:docVar w:name="DQCResult_SuperfluousWhitespace" w:val="5;0"/>
    <w:docVar w:name="DQCResult_TermsAndDiction" w:val="0;1"/>
    <w:docVar w:name="DQCResult_Verweise" w:val="0;0"/>
    <w:docVar w:name="DQCWithWarnings" w:val="1"/>
    <w:docVar w:name="EN_DocFileDateTimeAtOpen" w:val="06.01.2021 09:47:05"/>
    <w:docVar w:name="eNorm_Property_Save_Classification" w:val=" "/>
    <w:docVar w:name="eNorm_Property_Save_Created using" w:val="LW 5.4, Build 20200526"/>
    <w:docVar w:name="eNorm_Property_Save_eNorm-Version Erstellung" w:val="4.1.5, Bundesregierung, [20200526]"/>
    <w:docVar w:name="eNorm_Property_Save_eNorm-Version letzte Bearbeitung" w:val="4.1.5 Bundesregierung [20200526]"/>
    <w:docVar w:name="eNorm_Property_Save_eNorm-Version letzte DQP" w:val="4.1.5, Bundesregierung, [20200526]"/>
    <w:docVar w:name="eNorm_Property_Save_eNorm-Version vorherige Bearbeitung" w:val="4.1.5 Bundesregierung [20200526]"/>
    <w:docVar w:name="eNorm_Property_Save_Kategorie" w:val="AENDER/ARTGES"/>
    <w:docVar w:name="eNorm_Property_Save_Last edited using" w:val="LW 5.4, Build 20200526"/>
    <w:docVar w:name="eNorm_Property_Save_Version" w:val="4.1.4.0"/>
    <w:docVar w:name="eNorm_Template_Save" w:val="AENDER.dotm"/>
    <w:docVar w:name="eNorm_Variable_Save_BMJ" w:val="True"/>
    <w:docVar w:name="eNorm_Variable_Save_CUSTOMER" w:val="8"/>
    <w:docVar w:name="eNorm_Variable_Save_LW_DocType" w:val="AENDER"/>
    <w:docVar w:name="eNorm_Variable_Save_LWCons_Langue" w:val="DE"/>
    <w:docVar w:name="eNV_1956463BA01D4BF4B7FCB32ABCB79A91" w:val="Artikel 1"/>
    <w:docVar w:name="eNV_1956463BA01D4BF4B7FCB32ABCB79A91_Struct" w:val="Artikel 1;6;Struktur:1;CheckSums:-1;eNV_1956463BA01D4BF4B7FCB32ABCB79A91_1@@2"/>
    <w:docVar w:name="eNV_1A835861DC804640B7C4E5FDB9A8BCC9" w:val="Artikel 2"/>
    <w:docVar w:name="eNV_1A835861DC804640B7C4E5FDB9A8BCC9_Struct" w:val="Artikel 2;6;Struktur:2;CheckSums:-1;eNV_1A835861DC804640B7C4E5FDB9A8BCC9_1@@2"/>
    <w:docVar w:name="eNV_4325967B1F3246748D5D5AEB13055FC4_Struct" w:val="Artikel 1 Nummer 3;6;Struktur:1/0/3;CheckSums:-1/-1/-1;eNV_4325967B1F3246748D5D5AEB13055FC4_1@@2"/>
    <w:docVar w:name="eNV_59D6734847AE440D9452C864BF45BAE5_Struct" w:val="Artikel 1 Nummer 2 Buchstabe a;6;Struktur:1/0/2/1;CheckSums:-1/-1/-1/-1;eNV_59D6734847AE440D9452C864BF45BAE5_1@@2"/>
    <w:docVar w:name="eNV_5B97843B51EF475A87493A8A2BD72D0F" w:val="Absatz 2"/>
    <w:docVar w:name="eNV_5B97843B51EF475A87493A8A2BD72D0F_Struct" w:val="Artikel 3 Absatz 2;6;Struktur:3/2;CheckSums:-1/-1;eNV_5B97843B51EF475A87493A8A2BD72D0F_1@@2"/>
    <w:docVar w:name="eNV_6F646989D6C440D587DEAE854A7F0E75" w:val="Buchstabe b"/>
    <w:docVar w:name="eNV_6F646989D6C440D587DEAE854A7F0E75_Struct" w:val="Artikel 2 Nummer 1 Buchstabe b;6;Struktur:2/0/1/2;CheckSums:-1/-1/-1/-1;eNV_6F646989D6C440D587DEAE854A7F0E75_1@@2"/>
    <w:docVar w:name="eNV_7F5829AFA2604517866D51B856CCAD43_Struct" w:val="Artikel 1 Nummer 2;6;Struktur:1/0/2;CheckSums:-1/-1/-1;eNV_7F5829AFA2604517866D51B856CCAD43_1@@2"/>
    <w:docVar w:name="eNV_8AD56271B6E247A1A853A360D76099E9_Struct" w:val="Artikel 1 Nummer 2 Buchstabe b;6;Struktur:1/0/2/2;CheckSums:-1/-1/-1/-1;eNV_8AD56271B6E247A1A853A360D76099E9_1@@2"/>
    <w:docVar w:name="eNV_8B15A0CDE7F447B3AF7F24D16DF10B22_Struct" w:val="Artikel 1 Nummer 1;6;Struktur:1/0/1;CheckSums:-1/-1/-1;eNV_8B15A0CDE7F447B3AF7F24D16DF10B22_1@@2"/>
    <w:docVar w:name="eNV_ABDE3140379247D784499221B58061C8_Struct" w:val="Artikel 1 Nummer 2;6;Struktur:1/0/2;CheckSums:-1/-1/-1;eNV_ABDE3140379247D784499221B58061C8_1@@2"/>
    <w:docVar w:name="eNV_BA8AFCDD63D24939AD4DF617B879A263" w:val="Buchstabe a"/>
    <w:docVar w:name="eNV_BA8AFCDD63D24939AD4DF617B879A263_Struct" w:val="Artikel 2 Nummer 1 Buchstabe a;6;Struktur:2/0/1/1;CheckSums:-1/-1/-1/-1;eNV_BA8AFCDD63D24939AD4DF617B879A263_1@@2"/>
    <w:docVar w:name="eNV_D758C0E230D34A27AFC34C098A7F2532" w:val="Absatz 1"/>
    <w:docVar w:name="eNV_D758C0E230D34A27AFC34C098A7F2532_Struct" w:val="Artikel 3 Absatz 1;6;Struktur:3/1;CheckSums:-1/-1;eNV_D758C0E230D34A27AFC34C098A7F2532_1@@2"/>
    <w:docVar w:name="eNV_DED250CE468E43A7B211B78ECD93E01A_Struct" w:val="Artikel 2 Nummer 2;6;Struktur:2/0/2;CheckSums:-1/-1/-1;eNV_DED250CE468E43A7B211B78ECD93E01A_1@@2"/>
    <w:docVar w:name="eNV_E4F21131AAF4463F8020D827DC7930DE" w:val="Artikel 3"/>
    <w:docVar w:name="eNV_E4F21131AAF4463F8020D827DC7930DE_Struct" w:val="Artikel 3;6;Struktur:3;CheckSums:-1;eNV_E4F21131AAF4463F8020D827DC7930DE_1@@2"/>
    <w:docVar w:name="eNV_ED2F2D54BCBE4F2AB902D963DD596EA8" w:val="Nummer 1"/>
    <w:docVar w:name="eNV_ED2F2D54BCBE4F2AB902D963DD596EA8_Struct" w:val="Artikel 2 Nummer 1;6;Struktur:2/0/1;CheckSums:-1/-1/-1;eNV_ED2F2D54BCBE4F2AB902D963DD596EA8_1@@2"/>
    <w:docVar w:name="eNV_F90E7B57E71542ECBDF319E48025521F" w:val="Nummer 3"/>
    <w:docVar w:name="eNV_F90E7B57E71542ECBDF319E48025521F_Struct" w:val="Artikel 2 Nummer 3;6;Struktur:2/0/3;CheckSums:-1/-1/-1;eNV_F90E7B57E71542ECBDF319E48025521F_1@@2"/>
  </w:docVars>
  <w:rsids>
    <w:rsidRoot w:val="002B6ABF"/>
    <w:rsid w:val="00000F75"/>
    <w:rsid w:val="00002FF8"/>
    <w:rsid w:val="00004292"/>
    <w:rsid w:val="00007C3B"/>
    <w:rsid w:val="00013ED2"/>
    <w:rsid w:val="00014894"/>
    <w:rsid w:val="00020B4D"/>
    <w:rsid w:val="00022783"/>
    <w:rsid w:val="00023D3D"/>
    <w:rsid w:val="00037E0A"/>
    <w:rsid w:val="00041370"/>
    <w:rsid w:val="000503BB"/>
    <w:rsid w:val="00052049"/>
    <w:rsid w:val="00054BFF"/>
    <w:rsid w:val="00061CC5"/>
    <w:rsid w:val="00077A2E"/>
    <w:rsid w:val="00081A31"/>
    <w:rsid w:val="00084533"/>
    <w:rsid w:val="000849CD"/>
    <w:rsid w:val="0008599A"/>
    <w:rsid w:val="00092734"/>
    <w:rsid w:val="00096EE6"/>
    <w:rsid w:val="00097C27"/>
    <w:rsid w:val="000A09E4"/>
    <w:rsid w:val="000A2210"/>
    <w:rsid w:val="000A6689"/>
    <w:rsid w:val="000A6FED"/>
    <w:rsid w:val="000B45BA"/>
    <w:rsid w:val="000D04A8"/>
    <w:rsid w:val="000D1395"/>
    <w:rsid w:val="000D3078"/>
    <w:rsid w:val="000D500B"/>
    <w:rsid w:val="000D6757"/>
    <w:rsid w:val="000E149E"/>
    <w:rsid w:val="000E691B"/>
    <w:rsid w:val="00106CCC"/>
    <w:rsid w:val="00107247"/>
    <w:rsid w:val="001205F9"/>
    <w:rsid w:val="001216CA"/>
    <w:rsid w:val="00122351"/>
    <w:rsid w:val="00135F5B"/>
    <w:rsid w:val="00142FDA"/>
    <w:rsid w:val="00144702"/>
    <w:rsid w:val="00146A8C"/>
    <w:rsid w:val="00151D17"/>
    <w:rsid w:val="00151D1A"/>
    <w:rsid w:val="0015210A"/>
    <w:rsid w:val="00153D3F"/>
    <w:rsid w:val="00157DBF"/>
    <w:rsid w:val="00162F1A"/>
    <w:rsid w:val="00164BDC"/>
    <w:rsid w:val="0016605B"/>
    <w:rsid w:val="001762AA"/>
    <w:rsid w:val="00177641"/>
    <w:rsid w:val="00182835"/>
    <w:rsid w:val="00190D44"/>
    <w:rsid w:val="001A750D"/>
    <w:rsid w:val="001B0915"/>
    <w:rsid w:val="001B1CA1"/>
    <w:rsid w:val="001B4D9E"/>
    <w:rsid w:val="001B5C2D"/>
    <w:rsid w:val="001B7CB5"/>
    <w:rsid w:val="001B7F16"/>
    <w:rsid w:val="001C1489"/>
    <w:rsid w:val="001D001A"/>
    <w:rsid w:val="001D01E4"/>
    <w:rsid w:val="001D1AA9"/>
    <w:rsid w:val="001D2960"/>
    <w:rsid w:val="001D5CEA"/>
    <w:rsid w:val="001D6AF3"/>
    <w:rsid w:val="001E2965"/>
    <w:rsid w:val="001E35CB"/>
    <w:rsid w:val="001E723E"/>
    <w:rsid w:val="001F0861"/>
    <w:rsid w:val="001F23F6"/>
    <w:rsid w:val="001F2C35"/>
    <w:rsid w:val="001F5645"/>
    <w:rsid w:val="0020069A"/>
    <w:rsid w:val="002029F8"/>
    <w:rsid w:val="0020671E"/>
    <w:rsid w:val="002143EF"/>
    <w:rsid w:val="00216D5A"/>
    <w:rsid w:val="00217379"/>
    <w:rsid w:val="002206BD"/>
    <w:rsid w:val="00234F57"/>
    <w:rsid w:val="002357B6"/>
    <w:rsid w:val="0024108E"/>
    <w:rsid w:val="00242023"/>
    <w:rsid w:val="00246169"/>
    <w:rsid w:val="00250713"/>
    <w:rsid w:val="00252223"/>
    <w:rsid w:val="002536AC"/>
    <w:rsid w:val="00256D94"/>
    <w:rsid w:val="00261248"/>
    <w:rsid w:val="00261F90"/>
    <w:rsid w:val="00263A3C"/>
    <w:rsid w:val="002659D4"/>
    <w:rsid w:val="00270762"/>
    <w:rsid w:val="0027388F"/>
    <w:rsid w:val="00274BB8"/>
    <w:rsid w:val="00275036"/>
    <w:rsid w:val="00276B29"/>
    <w:rsid w:val="00276D53"/>
    <w:rsid w:val="00283C1C"/>
    <w:rsid w:val="00284279"/>
    <w:rsid w:val="00285F8A"/>
    <w:rsid w:val="00293B75"/>
    <w:rsid w:val="002947EA"/>
    <w:rsid w:val="0029532E"/>
    <w:rsid w:val="00297555"/>
    <w:rsid w:val="002977C4"/>
    <w:rsid w:val="002A6BF4"/>
    <w:rsid w:val="002B09C6"/>
    <w:rsid w:val="002B27A8"/>
    <w:rsid w:val="002B2F89"/>
    <w:rsid w:val="002B5DA5"/>
    <w:rsid w:val="002B62F5"/>
    <w:rsid w:val="002B6ABF"/>
    <w:rsid w:val="002C3D24"/>
    <w:rsid w:val="002C74F4"/>
    <w:rsid w:val="002D023A"/>
    <w:rsid w:val="002D07F8"/>
    <w:rsid w:val="002D2BC0"/>
    <w:rsid w:val="002D5600"/>
    <w:rsid w:val="002D6C46"/>
    <w:rsid w:val="002E2CE6"/>
    <w:rsid w:val="002E489E"/>
    <w:rsid w:val="002F0B62"/>
    <w:rsid w:val="002F3800"/>
    <w:rsid w:val="002F60FB"/>
    <w:rsid w:val="00300B1B"/>
    <w:rsid w:val="003020DF"/>
    <w:rsid w:val="00304384"/>
    <w:rsid w:val="00304D58"/>
    <w:rsid w:val="00310097"/>
    <w:rsid w:val="00313E82"/>
    <w:rsid w:val="00321A38"/>
    <w:rsid w:val="00327DC3"/>
    <w:rsid w:val="00331D5E"/>
    <w:rsid w:val="00332190"/>
    <w:rsid w:val="0033244A"/>
    <w:rsid w:val="00335C3A"/>
    <w:rsid w:val="00346282"/>
    <w:rsid w:val="00351C68"/>
    <w:rsid w:val="003555E9"/>
    <w:rsid w:val="003662FD"/>
    <w:rsid w:val="00373723"/>
    <w:rsid w:val="00373744"/>
    <w:rsid w:val="00374761"/>
    <w:rsid w:val="00374A13"/>
    <w:rsid w:val="00387B35"/>
    <w:rsid w:val="00395427"/>
    <w:rsid w:val="00395C59"/>
    <w:rsid w:val="00395C7A"/>
    <w:rsid w:val="0039651A"/>
    <w:rsid w:val="00396772"/>
    <w:rsid w:val="003A261F"/>
    <w:rsid w:val="003A6909"/>
    <w:rsid w:val="003B40FD"/>
    <w:rsid w:val="003B7EF1"/>
    <w:rsid w:val="003C19FF"/>
    <w:rsid w:val="003C24B0"/>
    <w:rsid w:val="003C3445"/>
    <w:rsid w:val="003C6535"/>
    <w:rsid w:val="003D5789"/>
    <w:rsid w:val="003E306B"/>
    <w:rsid w:val="003E36B3"/>
    <w:rsid w:val="003E45E0"/>
    <w:rsid w:val="003E53DB"/>
    <w:rsid w:val="003F1D83"/>
    <w:rsid w:val="003F1EF0"/>
    <w:rsid w:val="00404E6F"/>
    <w:rsid w:val="00405E64"/>
    <w:rsid w:val="00407077"/>
    <w:rsid w:val="00417DC8"/>
    <w:rsid w:val="004217CC"/>
    <w:rsid w:val="0042278E"/>
    <w:rsid w:val="004237AB"/>
    <w:rsid w:val="00426E85"/>
    <w:rsid w:val="004312C4"/>
    <w:rsid w:val="00434445"/>
    <w:rsid w:val="00444039"/>
    <w:rsid w:val="00447CDC"/>
    <w:rsid w:val="00450104"/>
    <w:rsid w:val="004518C9"/>
    <w:rsid w:val="004519E9"/>
    <w:rsid w:val="00451BE0"/>
    <w:rsid w:val="00454302"/>
    <w:rsid w:val="00457FE5"/>
    <w:rsid w:val="00463762"/>
    <w:rsid w:val="00467DF7"/>
    <w:rsid w:val="00471FBA"/>
    <w:rsid w:val="00473B25"/>
    <w:rsid w:val="004773C2"/>
    <w:rsid w:val="004818AC"/>
    <w:rsid w:val="00482CED"/>
    <w:rsid w:val="00485133"/>
    <w:rsid w:val="00485340"/>
    <w:rsid w:val="00485DDD"/>
    <w:rsid w:val="004918C0"/>
    <w:rsid w:val="004A0120"/>
    <w:rsid w:val="004A0326"/>
    <w:rsid w:val="004B1389"/>
    <w:rsid w:val="004B1EAC"/>
    <w:rsid w:val="004B3CC7"/>
    <w:rsid w:val="004C60CD"/>
    <w:rsid w:val="004D05A5"/>
    <w:rsid w:val="004D2693"/>
    <w:rsid w:val="004E0AF9"/>
    <w:rsid w:val="004E0CF6"/>
    <w:rsid w:val="004E1D47"/>
    <w:rsid w:val="004E778B"/>
    <w:rsid w:val="004F1F90"/>
    <w:rsid w:val="004F4501"/>
    <w:rsid w:val="004F60D2"/>
    <w:rsid w:val="0050449F"/>
    <w:rsid w:val="0051743F"/>
    <w:rsid w:val="00517CD9"/>
    <w:rsid w:val="00517FB4"/>
    <w:rsid w:val="0052736D"/>
    <w:rsid w:val="00531BE9"/>
    <w:rsid w:val="0053368C"/>
    <w:rsid w:val="005350A8"/>
    <w:rsid w:val="005376B9"/>
    <w:rsid w:val="005405EB"/>
    <w:rsid w:val="00542D8B"/>
    <w:rsid w:val="00553EE5"/>
    <w:rsid w:val="00556F37"/>
    <w:rsid w:val="00560036"/>
    <w:rsid w:val="0056104F"/>
    <w:rsid w:val="00561226"/>
    <w:rsid w:val="00566DE3"/>
    <w:rsid w:val="00567F08"/>
    <w:rsid w:val="0057146A"/>
    <w:rsid w:val="00571B26"/>
    <w:rsid w:val="00571BB2"/>
    <w:rsid w:val="00590454"/>
    <w:rsid w:val="005911C7"/>
    <w:rsid w:val="00592EEE"/>
    <w:rsid w:val="00596E74"/>
    <w:rsid w:val="005979CF"/>
    <w:rsid w:val="005A2297"/>
    <w:rsid w:val="005A30F7"/>
    <w:rsid w:val="005A366E"/>
    <w:rsid w:val="005B0D2B"/>
    <w:rsid w:val="005B197E"/>
    <w:rsid w:val="005C319C"/>
    <w:rsid w:val="005C55FE"/>
    <w:rsid w:val="005C6E31"/>
    <w:rsid w:val="005C7F4B"/>
    <w:rsid w:val="005D1540"/>
    <w:rsid w:val="005D3F64"/>
    <w:rsid w:val="005D5772"/>
    <w:rsid w:val="005E0168"/>
    <w:rsid w:val="005E65A6"/>
    <w:rsid w:val="005E66F0"/>
    <w:rsid w:val="005F42F0"/>
    <w:rsid w:val="00600E9A"/>
    <w:rsid w:val="00604D26"/>
    <w:rsid w:val="00605AC9"/>
    <w:rsid w:val="00606ED5"/>
    <w:rsid w:val="00611C8E"/>
    <w:rsid w:val="006234C4"/>
    <w:rsid w:val="00627F4E"/>
    <w:rsid w:val="0063009B"/>
    <w:rsid w:val="0063152D"/>
    <w:rsid w:val="00632681"/>
    <w:rsid w:val="00632ADE"/>
    <w:rsid w:val="00652332"/>
    <w:rsid w:val="006705B2"/>
    <w:rsid w:val="00670A91"/>
    <w:rsid w:val="0067588D"/>
    <w:rsid w:val="00682004"/>
    <w:rsid w:val="00685AA7"/>
    <w:rsid w:val="00691114"/>
    <w:rsid w:val="00694272"/>
    <w:rsid w:val="00694525"/>
    <w:rsid w:val="0069507F"/>
    <w:rsid w:val="006B4C97"/>
    <w:rsid w:val="006C14AA"/>
    <w:rsid w:val="006C6C83"/>
    <w:rsid w:val="006D5F55"/>
    <w:rsid w:val="006D7DE4"/>
    <w:rsid w:val="006E1E84"/>
    <w:rsid w:val="006E71E8"/>
    <w:rsid w:val="006E77ED"/>
    <w:rsid w:val="006F3192"/>
    <w:rsid w:val="006F435C"/>
    <w:rsid w:val="006F6F3F"/>
    <w:rsid w:val="00700013"/>
    <w:rsid w:val="0070074D"/>
    <w:rsid w:val="0070358B"/>
    <w:rsid w:val="00704CEC"/>
    <w:rsid w:val="007135D3"/>
    <w:rsid w:val="007216F6"/>
    <w:rsid w:val="007225D5"/>
    <w:rsid w:val="00722DC4"/>
    <w:rsid w:val="00726D55"/>
    <w:rsid w:val="00726EAA"/>
    <w:rsid w:val="00730C92"/>
    <w:rsid w:val="00730EBA"/>
    <w:rsid w:val="00732F81"/>
    <w:rsid w:val="00734159"/>
    <w:rsid w:val="00735C5B"/>
    <w:rsid w:val="00740C48"/>
    <w:rsid w:val="00741274"/>
    <w:rsid w:val="007438BC"/>
    <w:rsid w:val="007457A2"/>
    <w:rsid w:val="00746662"/>
    <w:rsid w:val="00747449"/>
    <w:rsid w:val="00757B0D"/>
    <w:rsid w:val="00761C51"/>
    <w:rsid w:val="00765627"/>
    <w:rsid w:val="00766F51"/>
    <w:rsid w:val="0077041D"/>
    <w:rsid w:val="00770ECA"/>
    <w:rsid w:val="00774080"/>
    <w:rsid w:val="00775F7F"/>
    <w:rsid w:val="007768AF"/>
    <w:rsid w:val="00776AA5"/>
    <w:rsid w:val="00780143"/>
    <w:rsid w:val="0078163F"/>
    <w:rsid w:val="007832EC"/>
    <w:rsid w:val="00786E59"/>
    <w:rsid w:val="00792B6D"/>
    <w:rsid w:val="00792EA3"/>
    <w:rsid w:val="00793A16"/>
    <w:rsid w:val="007948E7"/>
    <w:rsid w:val="00795460"/>
    <w:rsid w:val="007965D0"/>
    <w:rsid w:val="00796FE3"/>
    <w:rsid w:val="007A388E"/>
    <w:rsid w:val="007A3AB4"/>
    <w:rsid w:val="007B5DC8"/>
    <w:rsid w:val="007C0494"/>
    <w:rsid w:val="007C3950"/>
    <w:rsid w:val="007D19A1"/>
    <w:rsid w:val="007D6EFD"/>
    <w:rsid w:val="007E2300"/>
    <w:rsid w:val="007E2F88"/>
    <w:rsid w:val="007F0282"/>
    <w:rsid w:val="007F7194"/>
    <w:rsid w:val="008003C0"/>
    <w:rsid w:val="008006E0"/>
    <w:rsid w:val="008017D3"/>
    <w:rsid w:val="00803B8C"/>
    <w:rsid w:val="0080470A"/>
    <w:rsid w:val="00811183"/>
    <w:rsid w:val="00817793"/>
    <w:rsid w:val="008236E0"/>
    <w:rsid w:val="008347F3"/>
    <w:rsid w:val="00834BD9"/>
    <w:rsid w:val="00837160"/>
    <w:rsid w:val="00841F16"/>
    <w:rsid w:val="00842701"/>
    <w:rsid w:val="00842829"/>
    <w:rsid w:val="00843799"/>
    <w:rsid w:val="0084380E"/>
    <w:rsid w:val="0084652A"/>
    <w:rsid w:val="00850A9F"/>
    <w:rsid w:val="00851EE9"/>
    <w:rsid w:val="00854AD6"/>
    <w:rsid w:val="00865405"/>
    <w:rsid w:val="008677D1"/>
    <w:rsid w:val="00871FE7"/>
    <w:rsid w:val="00873D53"/>
    <w:rsid w:val="00876E9D"/>
    <w:rsid w:val="008A3128"/>
    <w:rsid w:val="008B2B4B"/>
    <w:rsid w:val="008C1508"/>
    <w:rsid w:val="008C5C07"/>
    <w:rsid w:val="008D3415"/>
    <w:rsid w:val="008F459A"/>
    <w:rsid w:val="008F6B15"/>
    <w:rsid w:val="00902C21"/>
    <w:rsid w:val="00903084"/>
    <w:rsid w:val="00903260"/>
    <w:rsid w:val="00903498"/>
    <w:rsid w:val="00903F6C"/>
    <w:rsid w:val="0090794F"/>
    <w:rsid w:val="00912B2A"/>
    <w:rsid w:val="00916717"/>
    <w:rsid w:val="00917A86"/>
    <w:rsid w:val="0092011F"/>
    <w:rsid w:val="00921404"/>
    <w:rsid w:val="00926AB1"/>
    <w:rsid w:val="00927E6B"/>
    <w:rsid w:val="00934CCA"/>
    <w:rsid w:val="00941D08"/>
    <w:rsid w:val="00942B9C"/>
    <w:rsid w:val="00945475"/>
    <w:rsid w:val="009465FD"/>
    <w:rsid w:val="00946989"/>
    <w:rsid w:val="00947D48"/>
    <w:rsid w:val="0095343D"/>
    <w:rsid w:val="00954AF9"/>
    <w:rsid w:val="00955160"/>
    <w:rsid w:val="009623BC"/>
    <w:rsid w:val="00966D42"/>
    <w:rsid w:val="00967433"/>
    <w:rsid w:val="009679E6"/>
    <w:rsid w:val="009731E3"/>
    <w:rsid w:val="0098201F"/>
    <w:rsid w:val="009825F9"/>
    <w:rsid w:val="00983F12"/>
    <w:rsid w:val="00984304"/>
    <w:rsid w:val="0098574F"/>
    <w:rsid w:val="0098689C"/>
    <w:rsid w:val="0099375B"/>
    <w:rsid w:val="0099472B"/>
    <w:rsid w:val="00995604"/>
    <w:rsid w:val="009A0CF8"/>
    <w:rsid w:val="009A0E7B"/>
    <w:rsid w:val="009A17A4"/>
    <w:rsid w:val="009B26B3"/>
    <w:rsid w:val="009B541F"/>
    <w:rsid w:val="009C04C2"/>
    <w:rsid w:val="009C2031"/>
    <w:rsid w:val="009C5B02"/>
    <w:rsid w:val="009C6007"/>
    <w:rsid w:val="009D070D"/>
    <w:rsid w:val="009D080D"/>
    <w:rsid w:val="009D32B1"/>
    <w:rsid w:val="009D4590"/>
    <w:rsid w:val="009D75EF"/>
    <w:rsid w:val="009E15C6"/>
    <w:rsid w:val="009E3FF4"/>
    <w:rsid w:val="009F3112"/>
    <w:rsid w:val="00A008F1"/>
    <w:rsid w:val="00A04F4E"/>
    <w:rsid w:val="00A10826"/>
    <w:rsid w:val="00A1181A"/>
    <w:rsid w:val="00A11B54"/>
    <w:rsid w:val="00A11BCD"/>
    <w:rsid w:val="00A130A0"/>
    <w:rsid w:val="00A133BA"/>
    <w:rsid w:val="00A147E3"/>
    <w:rsid w:val="00A236FE"/>
    <w:rsid w:val="00A25A31"/>
    <w:rsid w:val="00A3144F"/>
    <w:rsid w:val="00A36874"/>
    <w:rsid w:val="00A414D1"/>
    <w:rsid w:val="00A436AD"/>
    <w:rsid w:val="00A45A9D"/>
    <w:rsid w:val="00A464AC"/>
    <w:rsid w:val="00A51C3B"/>
    <w:rsid w:val="00A5296D"/>
    <w:rsid w:val="00A5407D"/>
    <w:rsid w:val="00A57B26"/>
    <w:rsid w:val="00A62D6C"/>
    <w:rsid w:val="00A667AF"/>
    <w:rsid w:val="00A67211"/>
    <w:rsid w:val="00A679F2"/>
    <w:rsid w:val="00A75A00"/>
    <w:rsid w:val="00A77042"/>
    <w:rsid w:val="00A8021C"/>
    <w:rsid w:val="00A84296"/>
    <w:rsid w:val="00A9324D"/>
    <w:rsid w:val="00A97D83"/>
    <w:rsid w:val="00AA1500"/>
    <w:rsid w:val="00AA174A"/>
    <w:rsid w:val="00AA5ECA"/>
    <w:rsid w:val="00AB1A09"/>
    <w:rsid w:val="00AB36D9"/>
    <w:rsid w:val="00AB63D6"/>
    <w:rsid w:val="00AC061D"/>
    <w:rsid w:val="00AD02B2"/>
    <w:rsid w:val="00AD1364"/>
    <w:rsid w:val="00AD4D3D"/>
    <w:rsid w:val="00AD68D8"/>
    <w:rsid w:val="00AE633B"/>
    <w:rsid w:val="00AE7967"/>
    <w:rsid w:val="00AE798D"/>
    <w:rsid w:val="00B0316D"/>
    <w:rsid w:val="00B043E4"/>
    <w:rsid w:val="00B05098"/>
    <w:rsid w:val="00B13AD3"/>
    <w:rsid w:val="00B17085"/>
    <w:rsid w:val="00B2425E"/>
    <w:rsid w:val="00B2572B"/>
    <w:rsid w:val="00B30904"/>
    <w:rsid w:val="00B33D63"/>
    <w:rsid w:val="00B35BD4"/>
    <w:rsid w:val="00B52DF7"/>
    <w:rsid w:val="00B609B4"/>
    <w:rsid w:val="00B619B4"/>
    <w:rsid w:val="00B63AC9"/>
    <w:rsid w:val="00B63EF8"/>
    <w:rsid w:val="00B66407"/>
    <w:rsid w:val="00B673B4"/>
    <w:rsid w:val="00B702CE"/>
    <w:rsid w:val="00B7117D"/>
    <w:rsid w:val="00B74AA8"/>
    <w:rsid w:val="00B75523"/>
    <w:rsid w:val="00B7598A"/>
    <w:rsid w:val="00B778B2"/>
    <w:rsid w:val="00B80D14"/>
    <w:rsid w:val="00B82899"/>
    <w:rsid w:val="00B85CFB"/>
    <w:rsid w:val="00B87012"/>
    <w:rsid w:val="00B947AF"/>
    <w:rsid w:val="00BA72BF"/>
    <w:rsid w:val="00BB0A58"/>
    <w:rsid w:val="00BB1400"/>
    <w:rsid w:val="00BB734B"/>
    <w:rsid w:val="00BC2675"/>
    <w:rsid w:val="00BE5A02"/>
    <w:rsid w:val="00BF0879"/>
    <w:rsid w:val="00BF203A"/>
    <w:rsid w:val="00BF3387"/>
    <w:rsid w:val="00BF3AE7"/>
    <w:rsid w:val="00BF48C8"/>
    <w:rsid w:val="00BF50AA"/>
    <w:rsid w:val="00BF62F0"/>
    <w:rsid w:val="00C0136C"/>
    <w:rsid w:val="00C1116E"/>
    <w:rsid w:val="00C1128B"/>
    <w:rsid w:val="00C130D8"/>
    <w:rsid w:val="00C224CB"/>
    <w:rsid w:val="00C23946"/>
    <w:rsid w:val="00C23C43"/>
    <w:rsid w:val="00C315B9"/>
    <w:rsid w:val="00C32A29"/>
    <w:rsid w:val="00C34B8A"/>
    <w:rsid w:val="00C360CC"/>
    <w:rsid w:val="00C37492"/>
    <w:rsid w:val="00C41227"/>
    <w:rsid w:val="00C429E7"/>
    <w:rsid w:val="00C43356"/>
    <w:rsid w:val="00C46691"/>
    <w:rsid w:val="00C46C86"/>
    <w:rsid w:val="00C47526"/>
    <w:rsid w:val="00C5219C"/>
    <w:rsid w:val="00C55ABB"/>
    <w:rsid w:val="00C6040F"/>
    <w:rsid w:val="00C62039"/>
    <w:rsid w:val="00C72F15"/>
    <w:rsid w:val="00C76698"/>
    <w:rsid w:val="00C80BD3"/>
    <w:rsid w:val="00C81478"/>
    <w:rsid w:val="00C8233E"/>
    <w:rsid w:val="00C82540"/>
    <w:rsid w:val="00C91318"/>
    <w:rsid w:val="00C92109"/>
    <w:rsid w:val="00C969CF"/>
    <w:rsid w:val="00C96A51"/>
    <w:rsid w:val="00CA1431"/>
    <w:rsid w:val="00CA1C2B"/>
    <w:rsid w:val="00CA4CCB"/>
    <w:rsid w:val="00CB0ECF"/>
    <w:rsid w:val="00CB38FD"/>
    <w:rsid w:val="00CB51A2"/>
    <w:rsid w:val="00CB55CB"/>
    <w:rsid w:val="00CB7D49"/>
    <w:rsid w:val="00CC02F5"/>
    <w:rsid w:val="00CC0443"/>
    <w:rsid w:val="00CD27FF"/>
    <w:rsid w:val="00CD7C4C"/>
    <w:rsid w:val="00CE1757"/>
    <w:rsid w:val="00CF1349"/>
    <w:rsid w:val="00CF5D30"/>
    <w:rsid w:val="00D02079"/>
    <w:rsid w:val="00D0342A"/>
    <w:rsid w:val="00D034D3"/>
    <w:rsid w:val="00D10747"/>
    <w:rsid w:val="00D138C4"/>
    <w:rsid w:val="00D13AD3"/>
    <w:rsid w:val="00D172CF"/>
    <w:rsid w:val="00D178D1"/>
    <w:rsid w:val="00D2364F"/>
    <w:rsid w:val="00D2773C"/>
    <w:rsid w:val="00D34057"/>
    <w:rsid w:val="00D3581D"/>
    <w:rsid w:val="00D411AE"/>
    <w:rsid w:val="00D4249C"/>
    <w:rsid w:val="00D431C9"/>
    <w:rsid w:val="00D43967"/>
    <w:rsid w:val="00D43DFD"/>
    <w:rsid w:val="00D5660A"/>
    <w:rsid w:val="00D67A68"/>
    <w:rsid w:val="00D71FF4"/>
    <w:rsid w:val="00D7263A"/>
    <w:rsid w:val="00D74413"/>
    <w:rsid w:val="00D7479E"/>
    <w:rsid w:val="00D776F5"/>
    <w:rsid w:val="00D77A2B"/>
    <w:rsid w:val="00D82A9F"/>
    <w:rsid w:val="00D82D69"/>
    <w:rsid w:val="00D84913"/>
    <w:rsid w:val="00D84EE7"/>
    <w:rsid w:val="00D909F9"/>
    <w:rsid w:val="00D90D22"/>
    <w:rsid w:val="00D92F03"/>
    <w:rsid w:val="00D94408"/>
    <w:rsid w:val="00D95C21"/>
    <w:rsid w:val="00DA07C6"/>
    <w:rsid w:val="00DA5B5A"/>
    <w:rsid w:val="00DA74C4"/>
    <w:rsid w:val="00DA7D9B"/>
    <w:rsid w:val="00DB2A6B"/>
    <w:rsid w:val="00DB2E86"/>
    <w:rsid w:val="00DB304A"/>
    <w:rsid w:val="00DB4A50"/>
    <w:rsid w:val="00DB5B0A"/>
    <w:rsid w:val="00DC35BD"/>
    <w:rsid w:val="00DC4328"/>
    <w:rsid w:val="00DC4EC8"/>
    <w:rsid w:val="00DD2370"/>
    <w:rsid w:val="00DE4CC3"/>
    <w:rsid w:val="00DE7BEF"/>
    <w:rsid w:val="00DF1912"/>
    <w:rsid w:val="00DF31C3"/>
    <w:rsid w:val="00DF77AF"/>
    <w:rsid w:val="00DF7C70"/>
    <w:rsid w:val="00E05B14"/>
    <w:rsid w:val="00E11559"/>
    <w:rsid w:val="00E12749"/>
    <w:rsid w:val="00E1428F"/>
    <w:rsid w:val="00E142B8"/>
    <w:rsid w:val="00E14C3F"/>
    <w:rsid w:val="00E20922"/>
    <w:rsid w:val="00E21B8C"/>
    <w:rsid w:val="00E2285E"/>
    <w:rsid w:val="00E3065D"/>
    <w:rsid w:val="00E3109D"/>
    <w:rsid w:val="00E34AA9"/>
    <w:rsid w:val="00E35578"/>
    <w:rsid w:val="00E36A9B"/>
    <w:rsid w:val="00E50124"/>
    <w:rsid w:val="00E517A0"/>
    <w:rsid w:val="00E567BC"/>
    <w:rsid w:val="00E5799D"/>
    <w:rsid w:val="00E67E8E"/>
    <w:rsid w:val="00E75E7B"/>
    <w:rsid w:val="00E767B6"/>
    <w:rsid w:val="00E7745E"/>
    <w:rsid w:val="00E82FAC"/>
    <w:rsid w:val="00E854CC"/>
    <w:rsid w:val="00E92544"/>
    <w:rsid w:val="00E92A16"/>
    <w:rsid w:val="00E94391"/>
    <w:rsid w:val="00E9495A"/>
    <w:rsid w:val="00E977FC"/>
    <w:rsid w:val="00EB1F49"/>
    <w:rsid w:val="00EB2E77"/>
    <w:rsid w:val="00EB5CFA"/>
    <w:rsid w:val="00EC5337"/>
    <w:rsid w:val="00EC6692"/>
    <w:rsid w:val="00ED31F4"/>
    <w:rsid w:val="00ED7938"/>
    <w:rsid w:val="00EE3ECA"/>
    <w:rsid w:val="00EE70E2"/>
    <w:rsid w:val="00EF31E7"/>
    <w:rsid w:val="00EF383E"/>
    <w:rsid w:val="00EF70C8"/>
    <w:rsid w:val="00F00494"/>
    <w:rsid w:val="00F02560"/>
    <w:rsid w:val="00F17415"/>
    <w:rsid w:val="00F20407"/>
    <w:rsid w:val="00F2075B"/>
    <w:rsid w:val="00F25F4E"/>
    <w:rsid w:val="00F300E8"/>
    <w:rsid w:val="00F31119"/>
    <w:rsid w:val="00F31605"/>
    <w:rsid w:val="00F316A3"/>
    <w:rsid w:val="00F344CD"/>
    <w:rsid w:val="00F35A0B"/>
    <w:rsid w:val="00F4024D"/>
    <w:rsid w:val="00F43247"/>
    <w:rsid w:val="00F46BAD"/>
    <w:rsid w:val="00F527DD"/>
    <w:rsid w:val="00F555D7"/>
    <w:rsid w:val="00F55EF3"/>
    <w:rsid w:val="00F565A0"/>
    <w:rsid w:val="00F5689C"/>
    <w:rsid w:val="00F62817"/>
    <w:rsid w:val="00F6304A"/>
    <w:rsid w:val="00F6351F"/>
    <w:rsid w:val="00F66F86"/>
    <w:rsid w:val="00F67969"/>
    <w:rsid w:val="00F70F40"/>
    <w:rsid w:val="00F72785"/>
    <w:rsid w:val="00F74AB8"/>
    <w:rsid w:val="00F825AD"/>
    <w:rsid w:val="00F856CC"/>
    <w:rsid w:val="00F92062"/>
    <w:rsid w:val="00FA04A9"/>
    <w:rsid w:val="00FA3F4C"/>
    <w:rsid w:val="00FA423E"/>
    <w:rsid w:val="00FA73C7"/>
    <w:rsid w:val="00FA7890"/>
    <w:rsid w:val="00FA7E81"/>
    <w:rsid w:val="00FB1591"/>
    <w:rsid w:val="00FC3434"/>
    <w:rsid w:val="00FC4EB8"/>
    <w:rsid w:val="00FD2CAF"/>
    <w:rsid w:val="00FD4E11"/>
    <w:rsid w:val="00FE1CE0"/>
    <w:rsid w:val="00FE388D"/>
    <w:rsid w:val="00FF13B0"/>
    <w:rsid w:val="00FF5F7A"/>
    <w:rsid w:val="00FF67B0"/>
    <w:rsid w:val="00FF7ADF"/>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87601"/>
  <w15:docId w15:val="{01081B5B-631E-4729-9995-3A2DA2F7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2"/>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2"/>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2"/>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2"/>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6ABF"/>
    <w:rPr>
      <w:color w:val="0000FF"/>
      <w:u w:val="single"/>
    </w:rPr>
  </w:style>
  <w:style w:type="character" w:styleId="CommentReference">
    <w:name w:val="annotation reference"/>
    <w:basedOn w:val="DefaultParagraphFont"/>
    <w:uiPriority w:val="99"/>
    <w:semiHidden/>
    <w:unhideWhenUsed/>
    <w:rsid w:val="00BB0A58"/>
    <w:rPr>
      <w:sz w:val="16"/>
      <w:szCs w:val="16"/>
    </w:rPr>
  </w:style>
  <w:style w:type="paragraph" w:styleId="CommentText">
    <w:name w:val="annotation text"/>
    <w:basedOn w:val="Normal"/>
    <w:link w:val="CommentTextChar"/>
    <w:uiPriority w:val="99"/>
    <w:unhideWhenUsed/>
    <w:rsid w:val="00BB0A58"/>
    <w:rPr>
      <w:sz w:val="20"/>
      <w:szCs w:val="20"/>
    </w:rPr>
  </w:style>
  <w:style w:type="character" w:customStyle="1" w:styleId="CommentTextChar">
    <w:name w:val="Comment Text Char"/>
    <w:basedOn w:val="DefaultParagraphFont"/>
    <w:link w:val="CommentText"/>
    <w:uiPriority w:val="99"/>
    <w:rsid w:val="00BB0A5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B0A58"/>
    <w:rPr>
      <w:b/>
      <w:bCs/>
    </w:rPr>
  </w:style>
  <w:style w:type="character" w:customStyle="1" w:styleId="CommentSubjectChar">
    <w:name w:val="Comment Subject Char"/>
    <w:basedOn w:val="CommentTextChar"/>
    <w:link w:val="CommentSubject"/>
    <w:uiPriority w:val="99"/>
    <w:semiHidden/>
    <w:rsid w:val="00BB0A58"/>
    <w:rPr>
      <w:rFonts w:ascii="Arial" w:hAnsi="Arial" w:cs="Arial"/>
      <w:b/>
      <w:bCs/>
      <w:sz w:val="20"/>
      <w:szCs w:val="20"/>
    </w:rPr>
  </w:style>
  <w:style w:type="paragraph" w:styleId="BalloonText">
    <w:name w:val="Balloon Text"/>
    <w:basedOn w:val="Normal"/>
    <w:link w:val="BalloonTextChar"/>
    <w:uiPriority w:val="99"/>
    <w:semiHidden/>
    <w:unhideWhenUsed/>
    <w:rsid w:val="00E9254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44"/>
    <w:rPr>
      <w:rFonts w:ascii="Segoe UI" w:hAnsi="Segoe UI" w:cs="Segoe UI"/>
      <w:sz w:val="18"/>
      <w:szCs w:val="18"/>
    </w:rPr>
  </w:style>
  <w:style w:type="paragraph" w:styleId="Revision">
    <w:name w:val="Revision"/>
    <w:hidden/>
    <w:uiPriority w:val="99"/>
    <w:semiHidden/>
    <w:rsid w:val="004312C4"/>
    <w:pPr>
      <w:spacing w:after="0" w:line="240" w:lineRule="auto"/>
    </w:pPr>
    <w:rPr>
      <w:rFonts w:ascii="Arial" w:hAnsi="Arial" w:cs="Arial"/>
    </w:rPr>
  </w:style>
  <w:style w:type="character" w:customStyle="1" w:styleId="acopre">
    <w:name w:val="acopre"/>
    <w:basedOn w:val="DefaultParagraphFont"/>
    <w:rsid w:val="00084533"/>
  </w:style>
  <w:style w:type="character" w:styleId="Emphasis">
    <w:name w:val="Emphasis"/>
    <w:basedOn w:val="DefaultParagraphFont"/>
    <w:uiPriority w:val="20"/>
    <w:qFormat/>
    <w:rsid w:val="00084533"/>
    <w:rPr>
      <w:i/>
      <w:iCs/>
    </w:rPr>
  </w:style>
  <w:style w:type="character" w:customStyle="1" w:styleId="target">
    <w:name w:val="target"/>
    <w:basedOn w:val="DefaultParagraphFont"/>
    <w:rsid w:val="00CB51A2"/>
  </w:style>
  <w:style w:type="character" w:customStyle="1" w:styleId="highlight">
    <w:name w:val="highlight"/>
    <w:basedOn w:val="DefaultParagraphFont"/>
    <w:rsid w:val="007768AF"/>
  </w:style>
  <w:style w:type="paragraph" w:styleId="PlainText">
    <w:name w:val="Plain Text"/>
    <w:basedOn w:val="Normal"/>
    <w:link w:val="PlainTextChar"/>
    <w:uiPriority w:val="99"/>
    <w:unhideWhenUsed/>
    <w:rsid w:val="00AE798D"/>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rsid w:val="00AE798D"/>
    <w:rPr>
      <w:rFonts w:ascii="Calibri" w:hAnsi="Calibri"/>
      <w:szCs w:val="21"/>
    </w:rPr>
  </w:style>
  <w:style w:type="paragraph" w:customStyle="1" w:styleId="Default">
    <w:name w:val="Default"/>
    <w:rsid w:val="0048513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3065D"/>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oa-notelocationcorp-meta">
    <w:name w:val="oa-notelocationcorp-meta"/>
    <w:basedOn w:val="DefaultParagraphFont"/>
    <w:rsid w:val="00E3065D"/>
  </w:style>
  <w:style w:type="paragraph" w:styleId="ListParagraph">
    <w:name w:val="List Paragraph"/>
    <w:basedOn w:val="Normal"/>
    <w:uiPriority w:val="34"/>
    <w:qFormat/>
    <w:rsid w:val="00EF383E"/>
    <w:pPr>
      <w:ind w:left="720"/>
      <w:contextualSpacing/>
    </w:p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8"/>
      </w:numPr>
      <w:spacing w:before="60" w:after="60"/>
    </w:pPr>
    <w:rPr>
      <w:sz w:val="18"/>
    </w:rPr>
  </w:style>
  <w:style w:type="paragraph" w:customStyle="1" w:styleId="TabelleListe">
    <w:name w:val="Tabelle Liste"/>
    <w:basedOn w:val="Normal"/>
    <w:rsid w:val="00A147E3"/>
    <w:pPr>
      <w:numPr>
        <w:numId w:val="9"/>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7"/>
      </w:numPr>
      <w:tabs>
        <w:tab w:val="left" w:pos="0"/>
      </w:tabs>
    </w:pPr>
  </w:style>
  <w:style w:type="paragraph" w:customStyle="1" w:styleId="ListeFolgeabsatzStufe1">
    <w:name w:val="Liste Folgeabsatz (Stufe 1)"/>
    <w:basedOn w:val="Normal"/>
    <w:rsid w:val="00A147E3"/>
    <w:pPr>
      <w:numPr>
        <w:ilvl w:val="1"/>
        <w:numId w:val="7"/>
      </w:numPr>
    </w:pPr>
  </w:style>
  <w:style w:type="paragraph" w:customStyle="1" w:styleId="ListeStufe2">
    <w:name w:val="Liste (Stufe 2)"/>
    <w:basedOn w:val="Normal"/>
    <w:rsid w:val="00A147E3"/>
    <w:pPr>
      <w:numPr>
        <w:ilvl w:val="2"/>
        <w:numId w:val="7"/>
      </w:numPr>
    </w:pPr>
  </w:style>
  <w:style w:type="paragraph" w:customStyle="1" w:styleId="ListeFolgeabsatzStufe2">
    <w:name w:val="Liste Folgeabsatz (Stufe 2)"/>
    <w:basedOn w:val="Normal"/>
    <w:rsid w:val="00A147E3"/>
    <w:pPr>
      <w:numPr>
        <w:ilvl w:val="3"/>
        <w:numId w:val="7"/>
      </w:numPr>
    </w:pPr>
  </w:style>
  <w:style w:type="paragraph" w:customStyle="1" w:styleId="ListeStufe3">
    <w:name w:val="Liste (Stufe 3)"/>
    <w:basedOn w:val="Normal"/>
    <w:rsid w:val="00A147E3"/>
    <w:pPr>
      <w:numPr>
        <w:ilvl w:val="4"/>
        <w:numId w:val="7"/>
      </w:numPr>
    </w:pPr>
  </w:style>
  <w:style w:type="paragraph" w:customStyle="1" w:styleId="ListeFolgeabsatzStufe3">
    <w:name w:val="Liste Folgeabsatz (Stufe 3)"/>
    <w:basedOn w:val="Normal"/>
    <w:rsid w:val="00A147E3"/>
    <w:pPr>
      <w:numPr>
        <w:ilvl w:val="5"/>
        <w:numId w:val="7"/>
      </w:numPr>
    </w:pPr>
  </w:style>
  <w:style w:type="paragraph" w:customStyle="1" w:styleId="ListeStufe4">
    <w:name w:val="Liste (Stufe 4)"/>
    <w:basedOn w:val="Normal"/>
    <w:rsid w:val="00A147E3"/>
    <w:pPr>
      <w:numPr>
        <w:ilvl w:val="6"/>
        <w:numId w:val="7"/>
      </w:numPr>
    </w:pPr>
  </w:style>
  <w:style w:type="paragraph" w:customStyle="1" w:styleId="ListeFolgeabsatzStufe4">
    <w:name w:val="Liste Folgeabsatz (Stufe 4)"/>
    <w:basedOn w:val="Normal"/>
    <w:rsid w:val="00A147E3"/>
    <w:pPr>
      <w:numPr>
        <w:ilvl w:val="7"/>
        <w:numId w:val="7"/>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2"/>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4"/>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5"/>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6"/>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2"/>
      </w:numPr>
      <w:outlineLvl w:val="5"/>
    </w:pPr>
  </w:style>
  <w:style w:type="paragraph" w:customStyle="1" w:styleId="NummerierungStufe2">
    <w:name w:val="Nummerierung (Stufe 2)"/>
    <w:basedOn w:val="Normal"/>
    <w:rsid w:val="00A147E3"/>
    <w:pPr>
      <w:numPr>
        <w:ilvl w:val="4"/>
        <w:numId w:val="22"/>
      </w:numPr>
    </w:pPr>
  </w:style>
  <w:style w:type="paragraph" w:customStyle="1" w:styleId="NummerierungStufe3">
    <w:name w:val="Nummerierung (Stufe 3)"/>
    <w:basedOn w:val="Normal"/>
    <w:rsid w:val="00A147E3"/>
    <w:pPr>
      <w:numPr>
        <w:ilvl w:val="5"/>
        <w:numId w:val="22"/>
      </w:numPr>
    </w:pPr>
  </w:style>
  <w:style w:type="paragraph" w:customStyle="1" w:styleId="NummerierungStufe4">
    <w:name w:val="Nummerierung (Stufe 4)"/>
    <w:basedOn w:val="Normal"/>
    <w:rsid w:val="00A147E3"/>
    <w:pPr>
      <w:numPr>
        <w:ilvl w:val="6"/>
        <w:numId w:val="22"/>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0"/>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1"/>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3"/>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2"/>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2"/>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4"/>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5"/>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4"/>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5"/>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4"/>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5"/>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4"/>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5"/>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4"/>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5"/>
      </w:numPr>
      <w:spacing w:after="240"/>
      <w:jc w:val="center"/>
      <w:outlineLvl w:val="2"/>
    </w:pPr>
  </w:style>
  <w:style w:type="paragraph" w:customStyle="1" w:styleId="TitelBezeichner">
    <w:name w:val="Titel Bezeichner"/>
    <w:basedOn w:val="Normal"/>
    <w:next w:val="Titelberschrift"/>
    <w:rsid w:val="00A147E3"/>
    <w:pPr>
      <w:keepNext/>
      <w:numPr>
        <w:ilvl w:val="5"/>
        <w:numId w:val="24"/>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5"/>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4"/>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5"/>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26"/>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26"/>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3"/>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3"/>
      </w:numPr>
    </w:pPr>
    <w:rPr>
      <w:color w:val="800000"/>
    </w:rPr>
  </w:style>
  <w:style w:type="paragraph" w:customStyle="1" w:styleId="RevisionNummerierungStufe2">
    <w:name w:val="Revision Nummerierung (Stufe 2)"/>
    <w:basedOn w:val="Normal"/>
    <w:rsid w:val="00A147E3"/>
    <w:pPr>
      <w:numPr>
        <w:ilvl w:val="4"/>
        <w:numId w:val="13"/>
      </w:numPr>
    </w:pPr>
    <w:rPr>
      <w:color w:val="800000"/>
    </w:rPr>
  </w:style>
  <w:style w:type="paragraph" w:customStyle="1" w:styleId="RevisionNummerierungStufe3">
    <w:name w:val="Revision Nummerierung (Stufe 3)"/>
    <w:basedOn w:val="Normal"/>
    <w:rsid w:val="00A147E3"/>
    <w:pPr>
      <w:numPr>
        <w:ilvl w:val="5"/>
        <w:numId w:val="13"/>
      </w:numPr>
    </w:pPr>
    <w:rPr>
      <w:color w:val="800000"/>
    </w:rPr>
  </w:style>
  <w:style w:type="paragraph" w:customStyle="1" w:styleId="RevisionNummerierungStufe4">
    <w:name w:val="Revision Nummerierung (Stufe 4)"/>
    <w:basedOn w:val="Normal"/>
    <w:rsid w:val="00A147E3"/>
    <w:pPr>
      <w:numPr>
        <w:ilvl w:val="6"/>
        <w:numId w:val="13"/>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3"/>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3"/>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0"/>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4"/>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4"/>
      </w:numPr>
    </w:pPr>
    <w:rPr>
      <w:color w:val="800000"/>
    </w:rPr>
  </w:style>
  <w:style w:type="paragraph" w:customStyle="1" w:styleId="RevisionListeStufe2">
    <w:name w:val="Revision Liste (Stufe 2)"/>
    <w:basedOn w:val="Normal"/>
    <w:rsid w:val="00A147E3"/>
    <w:pPr>
      <w:numPr>
        <w:ilvl w:val="2"/>
        <w:numId w:val="14"/>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4"/>
      </w:numPr>
    </w:pPr>
    <w:rPr>
      <w:color w:val="800000"/>
    </w:rPr>
  </w:style>
  <w:style w:type="paragraph" w:customStyle="1" w:styleId="RevisionListeStufe3">
    <w:name w:val="Revision Liste (Stufe 3)"/>
    <w:basedOn w:val="Normal"/>
    <w:rsid w:val="00A147E3"/>
    <w:pPr>
      <w:numPr>
        <w:ilvl w:val="4"/>
        <w:numId w:val="14"/>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4"/>
      </w:numPr>
    </w:pPr>
    <w:rPr>
      <w:color w:val="800000"/>
    </w:rPr>
  </w:style>
  <w:style w:type="paragraph" w:customStyle="1" w:styleId="RevisionListeStufe4">
    <w:name w:val="Revision Liste (Stufe 4)"/>
    <w:basedOn w:val="Normal"/>
    <w:rsid w:val="00A147E3"/>
    <w:pPr>
      <w:numPr>
        <w:ilvl w:val="6"/>
        <w:numId w:val="14"/>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4"/>
      </w:numPr>
    </w:pPr>
    <w:rPr>
      <w:color w:val="800000"/>
    </w:rPr>
  </w:style>
  <w:style w:type="paragraph" w:customStyle="1" w:styleId="RevisionAufzhlungStufe1">
    <w:name w:val="Revision Aufzählung (Stufe 1)"/>
    <w:basedOn w:val="Normal"/>
    <w:rsid w:val="00A147E3"/>
    <w:pPr>
      <w:numPr>
        <w:numId w:val="15"/>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16"/>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17"/>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18"/>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19"/>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1"/>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2"/>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188090">
      <w:bodyDiv w:val="1"/>
      <w:marLeft w:val="0"/>
      <w:marRight w:val="0"/>
      <w:marTop w:val="0"/>
      <w:marBottom w:val="0"/>
      <w:divBdr>
        <w:top w:val="none" w:sz="0" w:space="0" w:color="auto"/>
        <w:left w:val="none" w:sz="0" w:space="0" w:color="auto"/>
        <w:bottom w:val="none" w:sz="0" w:space="0" w:color="auto"/>
        <w:right w:val="none" w:sz="0" w:space="0" w:color="auto"/>
      </w:divBdr>
    </w:div>
    <w:div w:id="1617176805">
      <w:bodyDiv w:val="1"/>
      <w:marLeft w:val="0"/>
      <w:marRight w:val="0"/>
      <w:marTop w:val="0"/>
      <w:marBottom w:val="0"/>
      <w:divBdr>
        <w:top w:val="none" w:sz="0" w:space="0" w:color="auto"/>
        <w:left w:val="none" w:sz="0" w:space="0" w:color="auto"/>
        <w:bottom w:val="none" w:sz="0" w:space="0" w:color="auto"/>
        <w:right w:val="none" w:sz="0" w:space="0" w:color="auto"/>
      </w:divBdr>
      <w:divsChild>
        <w:div w:id="1326934773">
          <w:marLeft w:val="0"/>
          <w:marRight w:val="0"/>
          <w:marTop w:val="0"/>
          <w:marBottom w:val="0"/>
          <w:divBdr>
            <w:top w:val="none" w:sz="0" w:space="0" w:color="auto"/>
            <w:left w:val="none" w:sz="0" w:space="0" w:color="auto"/>
            <w:bottom w:val="none" w:sz="0" w:space="0" w:color="auto"/>
            <w:right w:val="none" w:sz="0" w:space="0" w:color="auto"/>
          </w:divBdr>
        </w:div>
      </w:divsChild>
    </w:div>
    <w:div w:id="1835149098">
      <w:bodyDiv w:val="1"/>
      <w:marLeft w:val="0"/>
      <w:marRight w:val="0"/>
      <w:marTop w:val="0"/>
      <w:marBottom w:val="0"/>
      <w:divBdr>
        <w:top w:val="none" w:sz="0" w:space="0" w:color="auto"/>
        <w:left w:val="none" w:sz="0" w:space="0" w:color="auto"/>
        <w:bottom w:val="none" w:sz="0" w:space="0" w:color="auto"/>
        <w:right w:val="none" w:sz="0" w:space="0" w:color="auto"/>
      </w:divBdr>
    </w:div>
    <w:div w:id="19672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1AC72-C6D9-4A96-A721-98CCC21C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6309</Words>
  <Characters>35966</Characters>
  <Application>Microsoft Office Word</Application>
  <DocSecurity>0</DocSecurity>
  <Lines>299</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Schäfer, Dr. Simone</dc:creator>
  <cp:keywords/>
  <dc:description/>
  <cp:lastModifiedBy>Ke, Tingting</cp:lastModifiedBy>
  <cp:revision>7</cp:revision>
  <cp:lastPrinted>2021-01-05T15:59:00Z</cp:lastPrinted>
  <dcterms:created xsi:type="dcterms:W3CDTF">2021-01-12T20:09:00Z</dcterms:created>
  <dcterms:modified xsi:type="dcterms:W3CDTF">2021-01-27T02:35:00Z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06.01.2021  9:47 Uhr</vt:lpwstr>
  </property>
  <property fmtid="{D5CDD505-2E9C-101B-9397-08002B2CF9AE}" pid="4" name="DQP-Ergebnis für Version 4">
    <vt:lpwstr>15 Fehler, 8 Warnungen</vt:lpwstr>
  </property>
  <property fmtid="{D5CDD505-2E9C-101B-9397-08002B2CF9AE}" pid="5" name="Meta_Bezeichnung">
    <vt:lpwstr>Gesetz zur Änderung des Tierschutzgesetzes – Verbot des Kükentötens</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Artikelgesetz</vt:lpwstr>
  </property>
  <property fmtid="{D5CDD505-2E9C-101B-9397-08002B2CF9AE}" pid="9" name="Meta_Federführung">
    <vt:lpwstr/>
  </property>
  <property fmtid="{D5CDD505-2E9C-101B-9397-08002B2CF9AE}" pid="10"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11" name="Meta_Umsetzung von EU-Recht_2">
    <vt:lpwstr>Bl. L 241 vom 17.9.2015, S. 1).</vt:lpwstr>
  </property>
  <property fmtid="{D5CDD505-2E9C-101B-9397-08002B2CF9AE}" pid="12" name="Meta_Anlagen">
    <vt:lpwstr/>
  </property>
</Properties>
</file>