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6ED45F09" w:rsidR="00210603" w:rsidRPr="008F3636" w:rsidRDefault="00210603">
      <w:pPr>
        <w:pStyle w:val="Bezeichnungnderungsdokument"/>
      </w:pPr>
      <w:bookmarkStart w:id="0" w:name="DQCIER01FD9B0B438EFF4297AEDD79676430967C"/>
      <w:r>
        <w:t>Loi modifiant la Loi sur la Protection des Animaux - Interdiction de tuer les poussins</w:t>
      </w:r>
      <w:r>
        <w:rPr>
          <w:rStyle w:val="FootnoteReference"/>
        </w:rPr>
        <w:footnoteReference w:customMarkFollows="1" w:id="1"/>
        <w:t>*</w:t>
      </w:r>
      <w:bookmarkEnd w:id="0"/>
    </w:p>
    <w:p w14:paraId="53C127F9" w14:textId="3021B62C" w:rsidR="00210603" w:rsidRPr="008F3636" w:rsidRDefault="00D82BF8">
      <w:pPr>
        <w:pStyle w:val="Ausfertigungsdatumnderungsdokument"/>
      </w:pPr>
      <w:r>
        <w:t>Date : 18/06/2021</w:t>
      </w:r>
    </w:p>
    <w:p w14:paraId="342766C1" w14:textId="77777777" w:rsidR="00210603" w:rsidRPr="008F3636" w:rsidRDefault="00210603">
      <w:pPr>
        <w:pStyle w:val="EingangsformelStandardnderungsdokument"/>
      </w:pPr>
      <w:r>
        <w:t>Le Bundestag a adopté la loi suivante:</w:t>
      </w:r>
    </w:p>
    <w:p w14:paraId="669DD825" w14:textId="1FD82554" w:rsidR="00210603" w:rsidRPr="008F3636" w:rsidRDefault="006472BA" w:rsidP="006472BA">
      <w:pPr>
        <w:pStyle w:val="ArtikelBezeichner"/>
        <w:numPr>
          <w:ilvl w:val="0"/>
          <w:numId w:val="0"/>
        </w:numPr>
      </w:pPr>
      <w:r>
        <w:t xml:space="preserve"> Article premier</w:t>
      </w:r>
    </w:p>
    <w:p w14:paraId="507A0212" w14:textId="77777777" w:rsidR="00210603" w:rsidRPr="008F3636" w:rsidRDefault="00210603" w:rsidP="00210603">
      <w:pPr>
        <w:pStyle w:val="Artikelberschrift"/>
      </w:pPr>
      <w:r>
        <w:t>Modification de la loi sur la protection des animaux</w:t>
      </w:r>
    </w:p>
    <w:p w14:paraId="73AE4554" w14:textId="1FE42EC2" w:rsidR="00210603" w:rsidRPr="008F3636" w:rsidRDefault="00D82BF8" w:rsidP="008702FE">
      <w:pPr>
        <w:pStyle w:val="JuristischerAbsatznichtnummeriert"/>
      </w:pPr>
      <w:r>
        <w:t>Après l’article 4b de la Loi sur la Protection des Animaux, dans la version publiée le 18 mai 2006 (Journal Officiel de la République fédérale d'Allemagne I, pp. 1206 et 1313), modifiée en dernier lieu par [...], est introduit l’article 4c suivant :</w:t>
      </w:r>
    </w:p>
    <w:p w14:paraId="5B49F37B" w14:textId="1991F508" w:rsidR="008702FE" w:rsidRPr="008F3636" w:rsidRDefault="00210603" w:rsidP="008702FE">
      <w:pPr>
        <w:pStyle w:val="NummerierungStufe1"/>
      </w:pPr>
      <w:r>
        <w:t>Après l’article 4b, l’article 4c suivant est inséré :</w:t>
      </w:r>
    </w:p>
    <w:p w14:paraId="2710725B" w14:textId="77777777" w:rsidR="008702FE" w:rsidRPr="008F3636" w:rsidRDefault="008702FE" w:rsidP="0057660F">
      <w:pPr>
        <w:pStyle w:val="RevisionParagraphBezeichnermanuell"/>
        <w:ind w:left="425" w:hanging="75"/>
        <w:rPr>
          <w:color w:val="auto"/>
        </w:rPr>
      </w:pPr>
      <w:r>
        <w:rPr>
          <w:color w:val="auto"/>
        </w:rPr>
        <w:t>«Article 4c</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Il est interdit de tuer les poussins des poulets domestiques </w:t>
      </w:r>
      <w:r>
        <w:rPr>
          <w:i/>
          <w:color w:val="auto"/>
        </w:rPr>
        <w:t>Gallus gallus</w:t>
      </w:r>
      <w:r>
        <w:rPr>
          <w:color w:val="auto"/>
        </w:rPr>
        <w:t>.</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L'interdiction ne s'applique pas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proofErr w:type="gramStart"/>
      <w:r>
        <w:rPr>
          <w:color w:val="auto"/>
        </w:rPr>
        <w:t>dans</w:t>
      </w:r>
      <w:proofErr w:type="gramEnd"/>
      <w:r>
        <w:rPr>
          <w:color w:val="auto"/>
        </w:rPr>
        <w:t xml:space="preserve"> le cas où une mise à mort de poussins</w:t>
      </w:r>
    </w:p>
    <w:p w14:paraId="1E90D06D" w14:textId="21B30DF3" w:rsidR="0057660F" w:rsidRPr="008F3636" w:rsidRDefault="008702FE" w:rsidP="0057660F">
      <w:pPr>
        <w:pStyle w:val="RevisionNummerierungStufe2"/>
        <w:numPr>
          <w:ilvl w:val="4"/>
          <w:numId w:val="1"/>
        </w:numPr>
        <w:tabs>
          <w:tab w:val="clear" w:pos="850"/>
          <w:tab w:val="left" w:pos="1275"/>
        </w:tabs>
        <w:ind w:left="1275"/>
        <w:rPr>
          <w:color w:val="auto"/>
        </w:rPr>
      </w:pPr>
      <w:proofErr w:type="gramStart"/>
      <w:r>
        <w:rPr>
          <w:color w:val="auto"/>
        </w:rPr>
        <w:t>a</w:t>
      </w:r>
      <w:proofErr w:type="gramEnd"/>
      <w:r>
        <w:rPr>
          <w:color w:val="auto"/>
        </w:rPr>
        <w:t xml:space="preserve"> été prescrite ou ordonnée conformément aux dispositions de police sanitaire, ou </w:t>
      </w:r>
    </w:p>
    <w:p w14:paraId="0214B258" w14:textId="1F7D2212" w:rsidR="008702FE" w:rsidRPr="008F3636" w:rsidRDefault="008702FE" w:rsidP="0057660F">
      <w:pPr>
        <w:pStyle w:val="RevisionNummerierungStufe2"/>
        <w:numPr>
          <w:ilvl w:val="4"/>
          <w:numId w:val="1"/>
        </w:numPr>
        <w:tabs>
          <w:tab w:val="clear" w:pos="850"/>
          <w:tab w:val="left" w:pos="1275"/>
        </w:tabs>
        <w:ind w:left="1275"/>
        <w:rPr>
          <w:color w:val="auto"/>
        </w:rPr>
      </w:pPr>
      <w:proofErr w:type="gramStart"/>
      <w:r>
        <w:rPr>
          <w:color w:val="auto"/>
        </w:rPr>
        <w:t>est</w:t>
      </w:r>
      <w:proofErr w:type="gramEnd"/>
      <w:r>
        <w:rPr>
          <w:color w:val="auto"/>
        </w:rPr>
        <w:t xml:space="preserve"> nécessaire dans des cas individuels pour des raisons de bien-être animal,</w:t>
      </w:r>
    </w:p>
    <w:p w14:paraId="6F0A7D68" w14:textId="77777777" w:rsidR="008702FE" w:rsidRPr="008F3636" w:rsidRDefault="008702FE" w:rsidP="0057660F">
      <w:pPr>
        <w:pStyle w:val="RevisionNummerierungStufe1"/>
        <w:tabs>
          <w:tab w:val="clear" w:pos="425"/>
          <w:tab w:val="left" w:pos="850"/>
        </w:tabs>
        <w:ind w:left="850"/>
        <w:rPr>
          <w:color w:val="auto"/>
        </w:rPr>
      </w:pPr>
      <w:proofErr w:type="gramStart"/>
      <w:r>
        <w:rPr>
          <w:color w:val="auto"/>
        </w:rPr>
        <w:t>pour</w:t>
      </w:r>
      <w:proofErr w:type="gramEnd"/>
      <w:r>
        <w:rPr>
          <w:color w:val="auto"/>
        </w:rPr>
        <w:t xml:space="preserve"> des poussins qui n'ont pas encore éclos,</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pour des poussins selon l’article 1er, point 1, lettre a), du règlement (CE) n° 543/2008 de la Commission du 16 juin 2008, lequel contient des règlements d’exécution portant sur le Règlement (CE) n° 1234/2007 du Conseil en ce qui concerne les normes de commercialisation pour la viande de volaille (JO CE L 157 du 17/6/2008, p. 46 ; JO L 8 du 13/1/2009, p. 33), modifié en dernier lieu par le Règlement (UE) n° 519/2013 de la Commission du 21 février 2013 (JO UE L 158 du 10/6/2013, p. 74) ; destinés à être utilisés dans le cadre d'expérimentations animales, ou</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proofErr w:type="gramStart"/>
      <w:r>
        <w:rPr>
          <w:color w:val="auto"/>
        </w:rPr>
        <w:t>dont</w:t>
      </w:r>
      <w:proofErr w:type="gramEnd"/>
      <w:r>
        <w:rPr>
          <w:color w:val="auto"/>
        </w:rPr>
        <w:t xml:space="preserve"> les tissus ou organes sont destinés à être utilisés à des fins scientifiques.»</w:t>
      </w:r>
    </w:p>
    <w:p w14:paraId="634C741C" w14:textId="6ABDE2D5" w:rsidR="0057660F" w:rsidRPr="008F3636" w:rsidRDefault="0057660F" w:rsidP="0057660F">
      <w:pPr>
        <w:pStyle w:val="RevisionNummerierungStufe2"/>
        <w:tabs>
          <w:tab w:val="clear" w:pos="850"/>
          <w:tab w:val="left" w:pos="1275"/>
        </w:tabs>
        <w:ind w:left="1275"/>
        <w:rPr>
          <w:color w:val="auto"/>
        </w:rPr>
      </w:pPr>
      <w:r>
        <w:rPr>
          <w:color w:val="auto"/>
        </w:rPr>
        <w:t xml:space="preserve"> </w:t>
      </w:r>
    </w:p>
    <w:p w14:paraId="0F71F758" w14:textId="093221EF" w:rsidR="008702FE" w:rsidRPr="008F3636" w:rsidRDefault="008702FE" w:rsidP="0057660F">
      <w:pPr>
        <w:pStyle w:val="RevisionNummerierungStufe2"/>
        <w:tabs>
          <w:tab w:val="clear" w:pos="850"/>
          <w:tab w:val="left" w:pos="1275"/>
        </w:tabs>
        <w:ind w:left="1275"/>
        <w:rPr>
          <w:color w:val="auto"/>
        </w:rPr>
      </w:pPr>
    </w:p>
    <w:p w14:paraId="6F2DA584" w14:textId="77777777" w:rsidR="007F2840" w:rsidRPr="008F3636" w:rsidRDefault="008702FE" w:rsidP="007F2840">
      <w:pPr>
        <w:pStyle w:val="NummerierungStufe1"/>
      </w:pPr>
      <w:r>
        <w:t xml:space="preserve">Le paragraphe 6a suivant est inséré après l’article 21(6) :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lastRenderedPageBreak/>
        <w:t>« (6a)</w:t>
      </w:r>
      <w:r>
        <w:rPr>
          <w:color w:val="auto"/>
        </w:rPr>
        <w:tab/>
        <w:t>Au plus tard le 31 mars 2023, le Ministère Fédéral fait rapport au Comité Technique compétent du Bundestag allemand sur l’état d’avancement des procédures et des méthodes de détermination du genre dans les œufs de poulet avant le septième jour d’incubation. »</w:t>
      </w:r>
    </w:p>
    <w:p w14:paraId="5C2F15BA" w14:textId="2CA90014" w:rsidR="00210603" w:rsidRPr="008F3636" w:rsidRDefault="006472BA" w:rsidP="006472BA">
      <w:pPr>
        <w:pStyle w:val="ArtikelBezeichner"/>
        <w:numPr>
          <w:ilvl w:val="0"/>
          <w:numId w:val="0"/>
        </w:numPr>
      </w:pPr>
      <w:r>
        <w:t xml:space="preserve"> Article 2</w:t>
      </w:r>
    </w:p>
    <w:p w14:paraId="156157A4" w14:textId="77777777" w:rsidR="00210603" w:rsidRPr="008F3636" w:rsidRDefault="00210603" w:rsidP="00210603">
      <w:pPr>
        <w:pStyle w:val="Artikelberschrift"/>
      </w:pPr>
      <w:r>
        <w:t>Nouvelle modification de la loi sur la protection des animaux</w:t>
      </w:r>
    </w:p>
    <w:p w14:paraId="526BFB9B" w14:textId="77777777" w:rsidR="00210603" w:rsidRPr="008F3636" w:rsidRDefault="00210603" w:rsidP="00210603">
      <w:pPr>
        <w:pStyle w:val="JuristischerAbsatznichtnummeriert"/>
      </w:pPr>
      <w:r>
        <w:t>La Loi sur la Protection des Animaux, modifiée en dernier lieu par l'Article premier de la présente Loi, est modifiée comme suit :</w:t>
      </w:r>
    </w:p>
    <w:p w14:paraId="13A038A9" w14:textId="77777777" w:rsidR="00210603" w:rsidRPr="008F3636" w:rsidRDefault="00210603" w:rsidP="00210603">
      <w:pPr>
        <w:pStyle w:val="NummerierungStufe1"/>
      </w:pPr>
      <w:r>
        <w:t>Le paragraphe 2 suivant est ajouté :</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 (2) À partir du septième jour d'incubation, il est interdit, pendant ou après l'application de procédures de détermination du genre dans l'œuf,</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proofErr w:type="gramStart"/>
      <w:r>
        <w:rPr>
          <w:color w:val="auto"/>
        </w:rPr>
        <w:t>d’effectuer</w:t>
      </w:r>
      <w:proofErr w:type="gramEnd"/>
      <w:r>
        <w:rPr>
          <w:color w:val="auto"/>
        </w:rPr>
        <w:t xml:space="preserve"> une intervention sur un œuf de poule qui entraîne la mort de l'embryon de la poule, ou</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proofErr w:type="gramStart"/>
      <w:r>
        <w:rPr>
          <w:color w:val="auto"/>
        </w:rPr>
        <w:t>d’interrompre</w:t>
      </w:r>
      <w:proofErr w:type="gramEnd"/>
      <w:r>
        <w:rPr>
          <w:color w:val="auto"/>
        </w:rPr>
        <w:t xml:space="preserve"> le processus d'incubation, provoquant la mort de l'embryon de la poule.» </w:t>
      </w:r>
      <w:bookmarkEnd w:id="2"/>
    </w:p>
    <w:p w14:paraId="08F9A311" w14:textId="77777777" w:rsidR="00210603" w:rsidRPr="008F3636" w:rsidRDefault="00210603" w:rsidP="00210603">
      <w:pPr>
        <w:pStyle w:val="NummerierungStufe1"/>
      </w:pPr>
      <w:r>
        <w:t>Le point 6a suivant est inséré après l'article 18, paragraphe 1, point 6:</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 6a. procède à une intervention ou une interruption mentionnée ici en violation de l'article 4c, paragraphe 2, ».</w:t>
      </w:r>
    </w:p>
    <w:p w14:paraId="286D6156" w14:textId="6100012A" w:rsidR="00210603" w:rsidRPr="008F3636" w:rsidRDefault="006472BA" w:rsidP="006472BA">
      <w:pPr>
        <w:pStyle w:val="ArtikelBezeichner"/>
        <w:numPr>
          <w:ilvl w:val="0"/>
          <w:numId w:val="0"/>
        </w:numPr>
      </w:pPr>
      <w:r>
        <w:t xml:space="preserve"> Article 3</w:t>
      </w:r>
    </w:p>
    <w:p w14:paraId="073BD85E" w14:textId="77777777" w:rsidR="00210603" w:rsidRPr="008F3636" w:rsidRDefault="00210603" w:rsidP="00210603">
      <w:pPr>
        <w:pStyle w:val="Artikelberschrift"/>
      </w:pPr>
      <w:r>
        <w:t>Entrée en vigueur</w:t>
      </w:r>
    </w:p>
    <w:p w14:paraId="1DE84380" w14:textId="77777777" w:rsidR="00210603" w:rsidRPr="008F3636" w:rsidRDefault="00210603" w:rsidP="00210603">
      <w:pPr>
        <w:pStyle w:val="JuristischerAbsatznummeriert"/>
      </w:pPr>
      <w:r>
        <w:t>La présente loi sauf le paragraphe 2 entre en vigueur le 1er janvier 2022.</w:t>
      </w:r>
    </w:p>
    <w:p w14:paraId="3580D455" w14:textId="1CF2D3A7" w:rsidR="00190889" w:rsidRPr="008F3636" w:rsidRDefault="00210603" w:rsidP="00190889">
      <w:pPr>
        <w:pStyle w:val="JuristischerAbsatznummeriert"/>
      </w:pPr>
      <w:r>
        <w:t>L'article 2 entre en vigueur le 1er janvier 2024.</w:t>
      </w:r>
    </w:p>
    <w:p w14:paraId="4403118E" w14:textId="1F40954D" w:rsidR="00924AB6" w:rsidRPr="008F3636" w:rsidRDefault="00924AB6" w:rsidP="00924AB6">
      <w:pPr>
        <w:pStyle w:val="Schlussformel"/>
      </w:pPr>
      <w:r>
        <w:t>Les droits du Bundesrat en vertu de la Constitution sont préservés. La Loi susmentionnée est exécutée par la présente. Il est publié au Journal Officiel Fédéral.</w:t>
      </w:r>
    </w:p>
    <w:p w14:paraId="2B3492EE" w14:textId="4D3AB096" w:rsidR="00924AB6" w:rsidRPr="008F3636" w:rsidRDefault="00D662E3" w:rsidP="00924AB6">
      <w:pPr>
        <w:pStyle w:val="OrtDatum"/>
      </w:pPr>
      <w:r>
        <w:t>Berlin, le 18 juin 2021</w:t>
      </w:r>
    </w:p>
    <w:p w14:paraId="1B1EC85F" w14:textId="35FCF300" w:rsidR="00514DBE" w:rsidRPr="008F3636" w:rsidRDefault="00514DBE" w:rsidP="00514DBE">
      <w:pPr>
        <w:pStyle w:val="Organisation"/>
      </w:pPr>
      <w:r>
        <w:t>Le Président Fédéral</w:t>
      </w:r>
    </w:p>
    <w:p w14:paraId="06F9A2C8" w14:textId="7E32030D" w:rsidR="00514DBE" w:rsidRPr="008F3636" w:rsidRDefault="00514DBE" w:rsidP="00514DBE">
      <w:pPr>
        <w:pStyle w:val="Person"/>
      </w:pPr>
      <w:r>
        <w:t>Steinmeier</w:t>
      </w:r>
    </w:p>
    <w:p w14:paraId="31E683F6" w14:textId="483EB897" w:rsidR="00514DBE" w:rsidRPr="008F3636" w:rsidRDefault="00514DBE" w:rsidP="00514DBE">
      <w:pPr>
        <w:pStyle w:val="Organisation"/>
      </w:pPr>
      <w:r>
        <w:t>Le Chancelier Fédéral</w:t>
      </w:r>
    </w:p>
    <w:p w14:paraId="73613BC5" w14:textId="536B1DD6" w:rsidR="00514DBE" w:rsidRPr="008F3636" w:rsidRDefault="00514DBE" w:rsidP="00514DBE">
      <w:pPr>
        <w:pStyle w:val="Person"/>
      </w:pPr>
      <w:r>
        <w:t>Dr. Angela Merkel</w:t>
      </w:r>
    </w:p>
    <w:p w14:paraId="743EF8BD" w14:textId="19D05DBB" w:rsidR="00514DBE" w:rsidRPr="008F3636" w:rsidRDefault="00514DBE" w:rsidP="00514DBE">
      <w:pPr>
        <w:pStyle w:val="Organisation"/>
      </w:pPr>
      <w:r>
        <w:t>Le Ministre Fédéral de la Nutrition et de l’Agriculture</w:t>
      </w:r>
    </w:p>
    <w:p w14:paraId="0330CC42" w14:textId="1FA8E5E7" w:rsidR="009931D4" w:rsidRPr="008F3636" w:rsidRDefault="00514DBE" w:rsidP="00AE4515">
      <w:pPr>
        <w:pStyle w:val="Person"/>
      </w:pPr>
      <w:r>
        <w:t>Julia Klöckner</w:t>
      </w:r>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99C1" w14:textId="77777777" w:rsidR="00AB0FF0" w:rsidRDefault="00AB0FF0" w:rsidP="00F53181">
      <w:pPr>
        <w:spacing w:before="0" w:after="0"/>
      </w:pPr>
      <w:r>
        <w:separator/>
      </w:r>
    </w:p>
  </w:endnote>
  <w:endnote w:type="continuationSeparator" w:id="0">
    <w:p w14:paraId="464A8B85" w14:textId="77777777" w:rsidR="00AB0FF0" w:rsidRDefault="00AB0FF0"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EBFC" w14:textId="77777777" w:rsidR="00AB0FF0" w:rsidRDefault="00AB0FF0" w:rsidP="00F53181">
      <w:pPr>
        <w:spacing w:before="0" w:after="0"/>
      </w:pPr>
      <w:r>
        <w:separator/>
      </w:r>
    </w:p>
  </w:footnote>
  <w:footnote w:type="continuationSeparator" w:id="0">
    <w:p w14:paraId="449AA16B" w14:textId="77777777" w:rsidR="00AB0FF0" w:rsidRDefault="00AB0FF0" w:rsidP="00F53181">
      <w:pPr>
        <w:spacing w:before="0" w:after="0"/>
      </w:pPr>
      <w:r>
        <w:continuationSeparator/>
      </w:r>
    </w:p>
  </w:footnote>
  <w:footnote w:id="1">
    <w:p w14:paraId="3C81BF35" w14:textId="706537F8" w:rsidR="0057660F" w:rsidRDefault="0057660F" w:rsidP="00AE4515">
      <w:pPr>
        <w:pStyle w:val="FootnoteText"/>
      </w:pPr>
      <w:r>
        <w:rPr>
          <w:rStyle w:val="FootnoteReference"/>
          <w:sz w:val="20"/>
        </w:rPr>
        <w:t>*</w:t>
      </w:r>
      <w:r>
        <w:tab/>
        <w:t xml:space="preserve">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t xml:space="preserve">- </w:t>
    </w:r>
    <w:r>
      <w:fldChar w:fldCharType="begin"/>
    </w:r>
    <w:r>
      <w:instrText xml:space="preserve"> PAGE  \* MERGEFORMAT </w:instrText>
    </w:r>
    <w:r>
      <w:fldChar w:fldCharType="separate"/>
    </w:r>
    <w:r w:rsidR="00895D00">
      <w:t>2</w:t>
    </w:r>
    <w:r>
      <w:fldChar w:fldCharType="end"/>
    </w:r>
    <w:r>
      <w:t xml:space="preserve"> -</w:t>
    </w:r>
    <w:r>
      <w:tab/>
      <w:t>Version:</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42846"/>
    <w:rsid w:val="00564A59"/>
    <w:rsid w:val="0057660F"/>
    <w:rsid w:val="00594A08"/>
    <w:rsid w:val="005A37CF"/>
    <w:rsid w:val="005B55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83977"/>
    <w:rsid w:val="00A94018"/>
    <w:rsid w:val="00AB0FF0"/>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 w:val="00FD0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3</TotalTime>
  <Pages>1</Pages>
  <Words>464</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8</cp:revision>
  <dcterms:created xsi:type="dcterms:W3CDTF">2021-07-14T08:47:00Z</dcterms:created>
  <dcterms:modified xsi:type="dcterms:W3CDTF">2021-09-06T13:22:00Z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