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UDKAST DATERET 24. april 2023</w:t>
      </w:r>
    </w:p>
    <w:p w14:paraId="47AEB7CF" w14:textId="77777777" w:rsidR="00A61365" w:rsidRDefault="00A61365">
      <w:pPr>
        <w:rPr>
          <w:b/>
        </w:rPr>
      </w:pPr>
    </w:p>
    <w:p w14:paraId="6180DDA9" w14:textId="710E2BAE" w:rsidR="00812A71" w:rsidRDefault="00DE2DBE">
      <w:r>
        <w:rPr>
          <w:b/>
        </w:rPr>
        <w:t>Dekret af... om ændring af fyrværkeridekretet i forbindelse med gennemførelsen af Benelux-beslutningen om indførelse af et pyropas og andre ændringer</w:t>
      </w:r>
    </w:p>
    <w:p w14:paraId="72D47658" w14:textId="77777777" w:rsidR="004550E6" w:rsidRDefault="004550E6"/>
    <w:p w14:paraId="27C48DC3" w14:textId="1F17E5B8" w:rsidR="00812A71" w:rsidRDefault="00DE2DBE">
      <w:r>
        <w:t> </w:t>
      </w:r>
    </w:p>
    <w:p w14:paraId="29AE9671" w14:textId="77777777" w:rsidR="001B02F2" w:rsidRDefault="00DE2DBE">
      <w:r>
        <w:t>Efter henstilling fra statssekretæren for infrastruktur og vandforvaltning i nr. Ien/BSK, det centrale departement for administrative og retlige anliggender</w:t>
      </w:r>
    </w:p>
    <w:p w14:paraId="35B52BA7" w14:textId="77777777" w:rsidR="001B02F2" w:rsidRDefault="00DE2DBE">
      <w:r>
        <w:t>Under henvisning til miljøforvaltningslovens artikel 9.2.2.1, stk. 1 og 2, og artikel 9.5.8, stk. 3, 4 og 6</w:t>
      </w:r>
    </w:p>
    <w:p w14:paraId="0BFE77BB" w14:textId="150868C7" w:rsidR="001B02F2" w:rsidRDefault="00DE2DBE">
      <w:r>
        <w:t>Efter udtalelse fra statsrådets rådgivende afdeling (udtalelse af</w:t>
      </w:r>
      <w:r w:rsidR="00DB317A">
        <w:t xml:space="preserve">            </w:t>
      </w:r>
      <w:r>
        <w:t>, nr. )</w:t>
      </w:r>
    </w:p>
    <w:p w14:paraId="6870CA70" w14:textId="3C44008C" w:rsidR="00812A71" w:rsidRDefault="00DE2DBE">
      <w:r>
        <w:t>Under hensyntagen til den detaljerede rapport fra statssekretæren for infrastruktur og vandforvaltning af, nr. IenW/BSK-, det centrale departement for administrative og retlige anliggender</w:t>
      </w:r>
    </w:p>
    <w:p w14:paraId="4A13238C" w14:textId="77777777" w:rsidR="00812A71" w:rsidRDefault="00DE2DBE">
      <w:r>
        <w:t> </w:t>
      </w:r>
    </w:p>
    <w:p w14:paraId="5B478B2C" w14:textId="77777777" w:rsidR="00812A71" w:rsidRDefault="00DE2DBE">
      <w:r>
        <w:t>— har godkendt og dekreterer hermed følgende:</w:t>
      </w:r>
    </w:p>
    <w:p w14:paraId="62B3049A" w14:textId="77777777" w:rsidR="00812A71" w:rsidRDefault="00DE2DBE">
      <w:r>
        <w:t> </w:t>
      </w:r>
    </w:p>
    <w:p w14:paraId="08C47E30" w14:textId="147069F8" w:rsidR="00812A71" w:rsidRDefault="006F7252">
      <w:pPr>
        <w:rPr>
          <w:b/>
          <w:bCs/>
        </w:rPr>
      </w:pPr>
      <w:bookmarkStart w:id="0" w:name="_Hlk124949658"/>
      <w:r>
        <w:rPr>
          <w:b/>
        </w:rPr>
        <w:t>ARTIKEL I</w:t>
      </w:r>
    </w:p>
    <w:p w14:paraId="379E0185" w14:textId="43AD2E86" w:rsidR="006F7252" w:rsidRDefault="006F7252">
      <w:pPr>
        <w:rPr>
          <w:b/>
          <w:bCs/>
        </w:rPr>
      </w:pPr>
    </w:p>
    <w:p w14:paraId="65DE9109" w14:textId="514A9AD2" w:rsidR="006F7252" w:rsidRPr="006F7252" w:rsidRDefault="006F7252">
      <w:r>
        <w:t>I fyrværkeridekretet [Vuurwerkbesluit] foretages følgende ændringer:</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I alfabetisk orden indsættes i artikel 1.1.1, stk. 1, følgende definitioner:</w:t>
      </w:r>
    </w:p>
    <w:p w14:paraId="0714850A" w14:textId="6A9B9B8B" w:rsidR="00A00841" w:rsidRPr="00DF3AEC" w:rsidRDefault="00A00841" w:rsidP="00864C9A">
      <w:r>
        <w:t>pyropas: kontroldokument, som er udstedt af den kompetente myndighed i Belgien, Luxembourg eller Nederlandene, og som gør det muligt for indehaveren at godtgøre, at pyrotekniske artikler i kategori F3 og F4, pyrotekniske artikler til teaterbrug i kategori T2 og andre pyrotekniske artikler i kategori P2 kan leveres til dem</w:t>
      </w:r>
    </w:p>
    <w:p w14:paraId="02589494" w14:textId="44710ED4" w:rsidR="006722D9" w:rsidRPr="00DF3AEC" w:rsidRDefault="006722D9" w:rsidP="00864C9A">
      <w:r>
        <w:t>pyropasregister: det register, der er omhandlet i artikel 9.5.8, stk. 1, i miljøforvaltningsloven</w:t>
      </w:r>
    </w:p>
    <w:p w14:paraId="5F9CB859" w14:textId="063BB3E5" w:rsidR="001D30A8" w:rsidRPr="00DF3AEC" w:rsidRDefault="00031518" w:rsidP="00317EB5">
      <w:r>
        <w:t xml:space="preserve">ansvarlig person: person med specialviden, fyrværker eller fyrværkerioperatør, der er udpeget af en </w:t>
      </w:r>
      <w:bookmarkStart w:id="1" w:name="_Hlk130044621"/>
      <w:r>
        <w:t xml:space="preserve">juridisk person med ret til at anvende, opbevare eller tilgængeliggøre pyrotekniske artikler på markedet </w:t>
      </w:r>
      <w:bookmarkEnd w:id="1"/>
      <w:r>
        <w:t>og til at håndtere eller anvende pyrotekniske artikler på vegne af den juridiske person</w:t>
      </w:r>
    </w:p>
    <w:p w14:paraId="317A0783" w14:textId="73E49B15" w:rsidR="001D30A8" w:rsidRPr="00DF3AEC" w:rsidRDefault="001D30A8" w:rsidP="00317EB5">
      <w:r>
        <w:t xml:space="preserve">fyrværker: person, </w:t>
      </w:r>
      <w:bookmarkStart w:id="2" w:name="_Hlk124078821"/>
      <w:r>
        <w:t>som er registreret i det register over fyrværkerivirksomheder, der er omhandlet i dekretet om arbejdsvilkårs artikel 4.9, stk. 2</w:t>
      </w:r>
      <w:bookmarkEnd w:id="2"/>
    </w:p>
    <w:p w14:paraId="710EEB49" w14:textId="241E6D0A" w:rsidR="00031518" w:rsidRDefault="001D30A8" w:rsidP="00317EB5">
      <w:r>
        <w:t xml:space="preserve">fyrværkerioperatør: person, som er registreret i registret over fyrværkerivirksomheder, jf. artikel 4.9, stk. 1, i dekretet om arbejdsvilkår.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I artikel 1.1.3 indsættes et stykke, der affattes som følger:</w:t>
      </w:r>
    </w:p>
    <w:p w14:paraId="6207D1B7" w14:textId="2B1CFD2E" w:rsidR="00603A66" w:rsidRDefault="00603A66" w:rsidP="00864C9A">
      <w:r>
        <w:lastRenderedPageBreak/>
        <w:t>3. Kapitel 4 finder også anvendelse på pyrotekniske artikler i kategori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I artikel 1.2.5, stk. 2, ændres "et registreringsbevis eller et fragtbrev som omhandlet i artikel 20 og 29 i lov om vejgodstransport" til "et fragtbrev som omhandlet i artikel 2.13 i lov om vejgodstransport".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I artikel 3B.1 tilføjes et stykke, der affattes som følger:</w:t>
      </w:r>
    </w:p>
    <w:p w14:paraId="649EF529" w14:textId="77777777" w:rsidR="002B6FA7" w:rsidRDefault="002B6FA7" w:rsidP="002B6FA7">
      <w:r>
        <w:t xml:space="preserve">7. Brugstilladelsen er gyldig i fem år.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I artikel 3B.6 tilføjes et stykke, der affattes som følger:</w:t>
      </w:r>
    </w:p>
    <w:p w14:paraId="1CDB343A" w14:textId="0F48CA81" w:rsidR="00895E5E" w:rsidRDefault="0054451D" w:rsidP="00864C9A">
      <w:r>
        <w:t>6. Ændringer af de oplysninger, der er nævnt i stk. 1, litra a), skal straks meddeles vores minister.</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Efter kapitel 3B indsættes følgende kapitel:</w:t>
      </w:r>
    </w:p>
    <w:p w14:paraId="4CEFE234" w14:textId="29C5BC09" w:rsidR="000F702A" w:rsidRDefault="000F702A" w:rsidP="00864C9A"/>
    <w:p w14:paraId="21CB6243" w14:textId="17276665" w:rsidR="000F702A" w:rsidRPr="002304E9" w:rsidRDefault="004B4934">
      <w:pPr>
        <w:rPr>
          <w:b/>
          <w:bCs/>
        </w:rPr>
      </w:pPr>
      <w:r>
        <w:rPr>
          <w:b/>
        </w:rPr>
        <w:t>Kapitel 4. Pyropas</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Artikel 4.1</w:t>
      </w:r>
    </w:p>
    <w:p w14:paraId="57E5750B" w14:textId="28D6C40F" w:rsidR="004B4934" w:rsidRPr="009A55B4" w:rsidRDefault="003F1E3A" w:rsidP="004B4934">
      <w:pPr>
        <w:pStyle w:val="ListParagraph"/>
        <w:numPr>
          <w:ilvl w:val="0"/>
          <w:numId w:val="26"/>
        </w:numPr>
      </w:pPr>
      <w:r>
        <w:t>Erhvervsdrivende må kun gøre professionelt fyrværkeri, pyrotekniske artikler til teaterbrug og pyrotekniske artikler i kategori P2 tilgængelige på markedet for personer med specialviden mod forelæggelse af et kontroldokument og identitetsdokument.</w:t>
      </w:r>
    </w:p>
    <w:p w14:paraId="7E9230A5" w14:textId="530D3733" w:rsidR="00AB2AC7" w:rsidRPr="009A55B4" w:rsidRDefault="00AB2AC7" w:rsidP="004B4934">
      <w:pPr>
        <w:pStyle w:val="ListParagraph"/>
        <w:numPr>
          <w:ilvl w:val="0"/>
          <w:numId w:val="26"/>
        </w:numPr>
      </w:pPr>
      <w:r>
        <w:t xml:space="preserve">Hvis en fysisk person handler på vegne af en juridisk person, der er berettiget til at anvende, opbevare eller gøre pyrotekniske artikler tilgængelige på markedet, må de pågældende pyrotekniske artikler desuden kun udleveres mod forelæggelse af kontroldokumentet og identitetsdokumentet for den person, som denne juridiske person har udpeget. </w:t>
      </w:r>
    </w:p>
    <w:p w14:paraId="31B600EA" w14:textId="7B16AA02" w:rsidR="00C532E8" w:rsidRDefault="008E1C92" w:rsidP="004B4934">
      <w:pPr>
        <w:pStyle w:val="ListParagraph"/>
        <w:numPr>
          <w:ilvl w:val="0"/>
          <w:numId w:val="26"/>
        </w:numPr>
      </w:pPr>
      <w:r>
        <w:t xml:space="preserve">For personer med specialviden eller ansvarlige personer, der er udpeget som sådanne i henhold til lovgivningen i Belgien, Luxembourg eller Nederlandene, med undtagelse af personer med specialviden som omhandlet i artikel 1.1.2a, stk. 1, litra c)-f), udgør pyropasset det kontroldokument, der er omhandlet i stk. 1. </w:t>
      </w:r>
    </w:p>
    <w:p w14:paraId="6F2C5157" w14:textId="1E4A15D5" w:rsidR="00C532E8" w:rsidRDefault="00C532E8" w:rsidP="004B4934">
      <w:pPr>
        <w:pStyle w:val="ListParagraph"/>
        <w:numPr>
          <w:ilvl w:val="0"/>
          <w:numId w:val="26"/>
        </w:numPr>
      </w:pPr>
      <w:r>
        <w:t xml:space="preserve">Indehavere af pyropas, der er godkendt til fyrværkeri i kategori F3 eller F4, anses også for at være godkendt til kategori F2-fyrværkeri, der ikke er bestemt til privat brug. </w:t>
      </w:r>
    </w:p>
    <w:p w14:paraId="3BA1F50D" w14:textId="3F881A76" w:rsidR="000850FB" w:rsidRPr="009A55B4" w:rsidRDefault="00C532E8" w:rsidP="004B4934">
      <w:pPr>
        <w:pStyle w:val="ListParagraph"/>
        <w:numPr>
          <w:ilvl w:val="0"/>
          <w:numId w:val="26"/>
        </w:numPr>
      </w:pPr>
      <w:r>
        <w:t xml:space="preserve">Pyropasindehavere, der er godkendt til pyrotekniske artikler til at anvende pyrotekniske artikler i kategori T2, anses også for at være godkendt til pyrotekniske artikler i kategori T1. </w:t>
      </w:r>
    </w:p>
    <w:p w14:paraId="790DA6F6" w14:textId="07CEEADF" w:rsidR="008E1C92" w:rsidRPr="009A55B4" w:rsidRDefault="00C41727" w:rsidP="004B4934">
      <w:pPr>
        <w:pStyle w:val="ListParagraph"/>
        <w:numPr>
          <w:ilvl w:val="0"/>
          <w:numId w:val="26"/>
        </w:numPr>
      </w:pPr>
      <w:r>
        <w:t>Ved kontrol af pyropasset skal erhvervsdrivende også søge i pyropasregistret for at kontrollere pyropassets gyldighed.</w:t>
      </w:r>
    </w:p>
    <w:p w14:paraId="5A80755F" w14:textId="37B504C7" w:rsidR="00BB309A" w:rsidRPr="009A55B4" w:rsidRDefault="00BB309A" w:rsidP="004B4934">
      <w:pPr>
        <w:pStyle w:val="ListParagraph"/>
        <w:numPr>
          <w:ilvl w:val="0"/>
          <w:numId w:val="26"/>
        </w:numPr>
      </w:pPr>
      <w:r>
        <w:t xml:space="preserve">For personer med specialviden, der ikke er udpeget som sådan i Belgien, Luxembourg eller Nederlandene, består kontroldokumentet af et skriftligt bevis for den tilladelse, som er givet til en person i en EU-medlemsstat, der ikke er en del af Benelux, jf. artikel 1.1.2a, stk. 2. </w:t>
      </w:r>
    </w:p>
    <w:p w14:paraId="401495BD" w14:textId="09A5EDDF" w:rsidR="00F57FFC" w:rsidRDefault="003A36BF" w:rsidP="004B4934">
      <w:pPr>
        <w:pStyle w:val="ListParagraph"/>
        <w:numPr>
          <w:ilvl w:val="0"/>
          <w:numId w:val="26"/>
        </w:numPr>
      </w:pPr>
      <w:r>
        <w:lastRenderedPageBreak/>
        <w:t xml:space="preserve">Erhvervsdrivende, </w:t>
      </w:r>
      <w:r>
        <w:rPr>
          <w:color w:val="auto"/>
        </w:rPr>
        <w:t>der leverer fyrværkeri som omhandlet i første</w:t>
      </w:r>
      <w:r>
        <w:t xml:space="preserve"> stykke, skal i syv år opbevare en kopi af kontroldokumentet i regnskaberne sammen med den relevante faktura og det pågældende transportdokument, jf. bilag 1 til forskriften om landtransport af farlige stoffer, som er den nederlandske oversættelse af bilag A og B til ADR og de ledsagende bilag. </w:t>
      </w:r>
    </w:p>
    <w:bookmarkEnd w:id="3"/>
    <w:p w14:paraId="77CCAB3D" w14:textId="6C5EE37D" w:rsidR="000D187A" w:rsidRPr="00F57FFC" w:rsidRDefault="000D187A" w:rsidP="000D187A"/>
    <w:p w14:paraId="0F4A2607" w14:textId="6E2FEC3B" w:rsidR="007542A2" w:rsidRDefault="007542A2" w:rsidP="000D187A">
      <w:pPr>
        <w:rPr>
          <w:b/>
          <w:bCs/>
        </w:rPr>
      </w:pPr>
      <w:r>
        <w:rPr>
          <w:b/>
        </w:rPr>
        <w:t>Artikel 4.2</w:t>
      </w:r>
    </w:p>
    <w:p w14:paraId="6C9263C0" w14:textId="2F392ECE" w:rsidR="00E32087" w:rsidRDefault="002F342A" w:rsidP="00C03B50">
      <w:pPr>
        <w:pStyle w:val="ListParagraph"/>
        <w:numPr>
          <w:ilvl w:val="0"/>
          <w:numId w:val="28"/>
        </w:numPr>
      </w:pPr>
      <w:r>
        <w:t>Følgende fysiske personer er berettiget til et pyropas:</w:t>
      </w:r>
    </w:p>
    <w:p w14:paraId="7E1D1169" w14:textId="0C382BF9" w:rsidR="002E68CD" w:rsidRPr="00DF3AEC" w:rsidRDefault="002E68CD" w:rsidP="00B35E9F">
      <w:pPr>
        <w:pStyle w:val="ListParagraph"/>
        <w:numPr>
          <w:ilvl w:val="1"/>
          <w:numId w:val="28"/>
        </w:numPr>
      </w:pPr>
      <w:r>
        <w:t>en person, der har specialviden som omhandlet i artikel 1.1.2a, stk. 1, litra a), og som også er fyrværker</w:t>
      </w:r>
    </w:p>
    <w:p w14:paraId="6D94DC98" w14:textId="09CB35A6" w:rsidR="002E68CD" w:rsidRPr="00DF3AEC" w:rsidRDefault="002E68CD" w:rsidP="002E68CD">
      <w:pPr>
        <w:pStyle w:val="ListParagraph"/>
        <w:numPr>
          <w:ilvl w:val="1"/>
          <w:numId w:val="28"/>
        </w:numPr>
      </w:pPr>
      <w:r>
        <w:t>en person med specialviden som omhandlet i artikel 1.1.2a, stk. 1, litra b), som også er fyrværkerioperatør</w:t>
      </w:r>
    </w:p>
    <w:p w14:paraId="53D5CF3C" w14:textId="24BCD38A" w:rsidR="00BC356D" w:rsidRPr="00DF3AEC" w:rsidRDefault="00B35E9F" w:rsidP="002E68CD">
      <w:pPr>
        <w:pStyle w:val="ListParagraph"/>
        <w:numPr>
          <w:ilvl w:val="1"/>
          <w:numId w:val="28"/>
        </w:numPr>
      </w:pPr>
      <w:r>
        <w:t xml:space="preserve">en ansvarlig person </w:t>
      </w:r>
    </w:p>
    <w:p w14:paraId="56DE35FC" w14:textId="1FE5C43F" w:rsidR="006A7277" w:rsidRPr="00DF3AEC" w:rsidRDefault="0076622F" w:rsidP="002E68CD">
      <w:pPr>
        <w:pStyle w:val="ListParagraph"/>
        <w:numPr>
          <w:ilvl w:val="1"/>
          <w:numId w:val="28"/>
        </w:numPr>
      </w:pPr>
      <w:r>
        <w:t xml:space="preserve">en person med specialviden om pyrotekniske artikler i kategori P2. </w:t>
      </w:r>
    </w:p>
    <w:p w14:paraId="6C382F70" w14:textId="2769EB19" w:rsidR="0007311B" w:rsidRPr="00DF3AEC" w:rsidRDefault="0007311B" w:rsidP="002D1271">
      <w:pPr>
        <w:pStyle w:val="ListParagraph"/>
        <w:numPr>
          <w:ilvl w:val="0"/>
          <w:numId w:val="28"/>
        </w:numPr>
      </w:pPr>
      <w:r>
        <w:t xml:space="preserve">Ansøgningen om et pyropas for en ansvarlig person indgives til vores minister af indehaveren af en brugstilladelse sammen med den ansvarlige person. </w:t>
      </w:r>
    </w:p>
    <w:p w14:paraId="4BDACCD8" w14:textId="6400775F" w:rsidR="00BA12A9" w:rsidRPr="00734FD2" w:rsidRDefault="00C57360" w:rsidP="00D73B55">
      <w:pPr>
        <w:pStyle w:val="ListParagraph"/>
        <w:numPr>
          <w:ilvl w:val="0"/>
          <w:numId w:val="28"/>
        </w:numPr>
      </w:pPr>
      <w:r>
        <w:t xml:space="preserve">Modellen for pyropasset, kravene til ansøgningen og ansøgningsproceduren, som fastlagt ved ministerielt dekret, finder anvendelse. </w:t>
      </w:r>
    </w:p>
    <w:p w14:paraId="702AC5EF" w14:textId="77777777" w:rsidR="004F1E43" w:rsidRDefault="00C15C66" w:rsidP="00C03B50">
      <w:pPr>
        <w:pStyle w:val="ListParagraph"/>
        <w:numPr>
          <w:ilvl w:val="0"/>
          <w:numId w:val="28"/>
        </w:numPr>
      </w:pPr>
      <w:r>
        <w:t xml:space="preserve">Fyrværkernes og fyrværkerioperatørernes pyropas udløber, når deres registrering i registret over fyrværkere eller registret over fyrværkerioperatører udløber. </w:t>
      </w:r>
    </w:p>
    <w:p w14:paraId="2A5184CC" w14:textId="0ED72ECA" w:rsidR="0076622F" w:rsidRPr="00734FD2" w:rsidRDefault="009632C8" w:rsidP="00C03B50">
      <w:pPr>
        <w:pStyle w:val="ListParagraph"/>
        <w:numPr>
          <w:ilvl w:val="0"/>
          <w:numId w:val="28"/>
        </w:numPr>
      </w:pPr>
      <w:r>
        <w:t>Pyropassets gyldighedsperiode er gyldighedsperioden for registreringen som fyrværker eller fyrværkerioperatør, medmindre en miljøgodkendelse som omhandlet i artikel 1.1.2a, stk. 1, litra a), eller brugstilladelsen har en kortere gyldighedsperiode.</w:t>
      </w:r>
    </w:p>
    <w:p w14:paraId="0DE9BD15" w14:textId="7E5A88AF" w:rsidR="00C03B50" w:rsidRDefault="00866364" w:rsidP="008709B6">
      <w:pPr>
        <w:pStyle w:val="ListParagraph"/>
        <w:numPr>
          <w:ilvl w:val="0"/>
          <w:numId w:val="28"/>
        </w:numPr>
      </w:pPr>
      <w:r>
        <w:t xml:space="preserve">Vores minister tilbagekalder pyropasset, hvis den person, til hvem pyropasset er udstedt: </w:t>
      </w:r>
    </w:p>
    <w:p w14:paraId="2ED244AD" w14:textId="215639E0" w:rsidR="00C03B50" w:rsidRDefault="00C03B50" w:rsidP="006D6DD1">
      <w:pPr>
        <w:pStyle w:val="ListParagraph"/>
        <w:numPr>
          <w:ilvl w:val="1"/>
          <w:numId w:val="28"/>
        </w:numPr>
      </w:pPr>
      <w:r>
        <w:t xml:space="preserve">ikke længere opfylder kravene til en person med specialviden, jf. artikel 1.1.2a, eller ikke længere af en person med specialviden er udpeget til at håndtere eller anvende fyrværkeri på denne persons vegne </w:t>
      </w:r>
    </w:p>
    <w:p w14:paraId="26A5E645" w14:textId="7F810F0C" w:rsidR="00C03B50" w:rsidRDefault="00C03B50" w:rsidP="006D6DD1">
      <w:pPr>
        <w:pStyle w:val="ListParagraph"/>
        <w:numPr>
          <w:ilvl w:val="1"/>
          <w:numId w:val="28"/>
        </w:numPr>
      </w:pPr>
      <w:r>
        <w:t>har misbrugt pyropasset.</w:t>
      </w:r>
    </w:p>
    <w:p w14:paraId="7A9A9F1A" w14:textId="622A6EF4" w:rsidR="00C03B50" w:rsidRDefault="00C03B50" w:rsidP="00C03B50">
      <w:pPr>
        <w:pStyle w:val="ListParagraph"/>
        <w:numPr>
          <w:ilvl w:val="0"/>
          <w:numId w:val="28"/>
        </w:numPr>
      </w:pPr>
      <w:r>
        <w:t>Misbrug som omhandlet i stk. 6, litra b), omfatter:</w:t>
      </w:r>
    </w:p>
    <w:p w14:paraId="09E47B8D" w14:textId="1241E2ED" w:rsidR="00C03B50" w:rsidRDefault="00C03B50" w:rsidP="00C03B50">
      <w:pPr>
        <w:pStyle w:val="ListParagraph"/>
        <w:numPr>
          <w:ilvl w:val="1"/>
          <w:numId w:val="28"/>
        </w:numPr>
      </w:pPr>
      <w:r>
        <w:t>tilgængeliggørelse på markedet af fyrværkeri i kategori F3 og F4, pyrotekniske artikler i teaterkategori T2 og andre pyrotekniske artikler i kategori P2 for en person, der ikke har specialviden</w:t>
      </w:r>
    </w:p>
    <w:p w14:paraId="51CEFB2A" w14:textId="12860C5F" w:rsidR="00C03B50" w:rsidRDefault="00C03B50" w:rsidP="00450E58">
      <w:pPr>
        <w:pStyle w:val="ListParagraph"/>
        <w:numPr>
          <w:ilvl w:val="1"/>
          <w:numId w:val="28"/>
        </w:numPr>
      </w:pPr>
      <w:r>
        <w:t>opbevaring heraf på et ikke godkendt sted.</w:t>
      </w:r>
    </w:p>
    <w:p w14:paraId="3B9564DD" w14:textId="17356908" w:rsidR="00C41727" w:rsidRPr="00C41727" w:rsidRDefault="00C41727" w:rsidP="009A55B4">
      <w:pPr>
        <w:pStyle w:val="ListParagraph"/>
        <w:numPr>
          <w:ilvl w:val="0"/>
          <w:numId w:val="28"/>
        </w:numPr>
      </w:pPr>
      <w:r>
        <w:t>Ministeren skal i registret angive, om pyropasset er inddraget eller er udløbet.</w:t>
      </w:r>
    </w:p>
    <w:p w14:paraId="7E2D75FF" w14:textId="77777777" w:rsidR="00BA12A9" w:rsidRPr="00C41727" w:rsidRDefault="00BA12A9" w:rsidP="000D187A"/>
    <w:p w14:paraId="7D32A34D" w14:textId="71E8F1B3" w:rsidR="00F90681" w:rsidRPr="009A55B4" w:rsidRDefault="00F90681" w:rsidP="000D187A">
      <w:pPr>
        <w:rPr>
          <w:b/>
          <w:bCs/>
        </w:rPr>
      </w:pPr>
      <w:r>
        <w:rPr>
          <w:b/>
        </w:rPr>
        <w:t>Artikel 4.3</w:t>
      </w:r>
    </w:p>
    <w:p w14:paraId="108D4D5A" w14:textId="5BC28F8A" w:rsidR="00F90681" w:rsidRPr="009A55B4" w:rsidRDefault="00F90681" w:rsidP="000D187A">
      <w:r>
        <w:t>Følgende oplysninger og dokumenter skal indføres i pyropasregistret:</w:t>
      </w:r>
    </w:p>
    <w:p w14:paraId="5209896F" w14:textId="08B555D1" w:rsidR="00A42410" w:rsidRPr="009A55B4" w:rsidRDefault="0096601D" w:rsidP="00A42410">
      <w:pPr>
        <w:pStyle w:val="ListParagraph"/>
        <w:numPr>
          <w:ilvl w:val="0"/>
          <w:numId w:val="51"/>
        </w:numPr>
      </w:pPr>
      <w:r>
        <w:t>en kopi af pyropasset</w:t>
      </w:r>
    </w:p>
    <w:p w14:paraId="6DDD51EE" w14:textId="6EAB093F" w:rsidR="00972741" w:rsidRPr="009A55B4" w:rsidRDefault="0083099A" w:rsidP="00A42410">
      <w:pPr>
        <w:pStyle w:val="ListParagraph"/>
        <w:numPr>
          <w:ilvl w:val="0"/>
          <w:numId w:val="51"/>
        </w:numPr>
      </w:pPr>
      <w:r>
        <w:t>bevis for, at ansøgeren er udpeget som en person med specialviden om pyrotekniske artikler i kategori P2 eller</w:t>
      </w:r>
    </w:p>
    <w:p w14:paraId="08498957" w14:textId="23B692FD" w:rsidR="00A42410" w:rsidRPr="009A55B4" w:rsidRDefault="0083099A" w:rsidP="00A42410">
      <w:pPr>
        <w:pStyle w:val="ListParagraph"/>
        <w:numPr>
          <w:ilvl w:val="0"/>
          <w:numId w:val="51"/>
        </w:numPr>
      </w:pPr>
      <w:r>
        <w:t>bevis for, at ansøgeren er registreret som fyrværkerioperatør eller -bruger og</w:t>
      </w:r>
    </w:p>
    <w:p w14:paraId="7052A3C4" w14:textId="43D7FCA7" w:rsidR="00972741" w:rsidRPr="009A55B4" w:rsidRDefault="0083099A" w:rsidP="00972741">
      <w:pPr>
        <w:pStyle w:val="ListParagraph"/>
        <w:numPr>
          <w:ilvl w:val="0"/>
          <w:numId w:val="51"/>
        </w:numPr>
      </w:pPr>
      <w:r>
        <w:t>hvis det er relevant, en kopi af brugstilladelsen eller miljøgodkendelsen, jf. artikel 1.1.2a, stk. 1, litra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Artikel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Ministeren sikrer, at de oplysninger og dokumenter, der er indført i pyropasregistret, straks stilles til rådighed for de myndigheder, som oplysningerne og dokumenterne er tilgængelige for i henhold til artikel 4.5, stk. 1 og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lastRenderedPageBreak/>
        <w:t xml:space="preserve">Artikel 4.5 </w:t>
      </w:r>
    </w:p>
    <w:p w14:paraId="0C7D3561" w14:textId="63C5A020" w:rsidR="00A83423" w:rsidRDefault="008A135A" w:rsidP="00B35E9F">
      <w:pPr>
        <w:pStyle w:val="ListParagraph"/>
        <w:numPr>
          <w:ilvl w:val="0"/>
          <w:numId w:val="31"/>
        </w:numPr>
      </w:pPr>
      <w:r>
        <w:t>De oplysninger og dokumenter, der indgår i pyropasregistret, skal være tilgængelige for de kompetente myndigheder i Belgien, Luxembourg og Nederlandene, der er ansvarlige for at overvåge overholdelsen af reglerne for pyrotekniske artikler og for at håndhæve disse regler.</w:t>
      </w:r>
    </w:p>
    <w:p w14:paraId="4CD86864" w14:textId="2603B817" w:rsidR="00A83423" w:rsidRDefault="008A135A" w:rsidP="0024295E">
      <w:pPr>
        <w:pStyle w:val="ListParagraph"/>
        <w:numPr>
          <w:ilvl w:val="0"/>
          <w:numId w:val="31"/>
        </w:numPr>
      </w:pPr>
      <w:r>
        <w:t>De oplysninger og dokumenter, der er indført i pyropasregistret, skal være tilgængelige for de erhvervsdrivende, der er omhandlet i artikel 4.1, stk. 1, for at de kan kontrollere gyldigheden af kontroldokumenterne og pyropasset.</w:t>
      </w:r>
    </w:p>
    <w:p w14:paraId="13A7FA7F" w14:textId="1E079461" w:rsidR="00A83423" w:rsidRDefault="008A135A" w:rsidP="00A83423">
      <w:pPr>
        <w:pStyle w:val="ListParagraph"/>
        <w:numPr>
          <w:ilvl w:val="0"/>
          <w:numId w:val="31"/>
        </w:numPr>
      </w:pPr>
      <w:r>
        <w:t xml:space="preserve">Adgang til pyropasregistret kræver e-genkendelse eller anden elektronisk autentifikation, der fastlægges af registeradministrationen. </w:t>
      </w:r>
    </w:p>
    <w:p w14:paraId="5548DEA6" w14:textId="77777777" w:rsidR="00B8205D" w:rsidRDefault="008A135A" w:rsidP="00A83423">
      <w:pPr>
        <w:pStyle w:val="ListParagraph"/>
        <w:numPr>
          <w:ilvl w:val="0"/>
          <w:numId w:val="31"/>
        </w:numPr>
      </w:pPr>
      <w:r>
        <w:t xml:space="preserve">Adgang til pyropasregistret er begrænset til ansatte i de i stk. 1 og 2 omhandlede myndigheder og virksomheder, som er direkte involveret i udførelsen af det pågældende organs retlige opgave eller den pågældende virksomheds arbejde, med henblik på salg af pyrotekniske artikler, og som er godkendt af denne myndighed eller virksomhed. </w:t>
      </w:r>
    </w:p>
    <w:p w14:paraId="4CDEBD4E" w14:textId="4DBA1CD8" w:rsidR="00B8205D" w:rsidRDefault="00C72CE5" w:rsidP="00A83423">
      <w:pPr>
        <w:pStyle w:val="ListParagraph"/>
        <w:numPr>
          <w:ilvl w:val="0"/>
          <w:numId w:val="31"/>
        </w:numPr>
      </w:pPr>
      <w:r>
        <w:t>De nærmere regler, der fastsættes ved ministeriel bekendtgørelse, finder anvendelse på indlæsning og søgning af data og optegnelser i pyropasregistret af dem, der har adgang til dette system, herunder e-genkendelse med det krævede niveau af pålidelighed.</w:t>
      </w:r>
      <w:r>
        <w:rPr>
          <w:b/>
        </w:rPr>
        <w:t xml:space="preserve"> </w:t>
      </w:r>
      <w:r>
        <w:rPr>
          <w:b/>
        </w:rPr>
        <w:br/>
      </w:r>
    </w:p>
    <w:p w14:paraId="3627E4CF" w14:textId="641AF07A" w:rsidR="00164C4F" w:rsidRDefault="008A135A" w:rsidP="00B8205D">
      <w:r>
        <w:rPr>
          <w:b/>
        </w:rPr>
        <w:t xml:space="preserve">Artikel 4.6 </w:t>
      </w:r>
      <w:r>
        <w:rPr>
          <w:b/>
        </w:rPr>
        <w:br/>
      </w:r>
      <w:r>
        <w:t xml:space="preserve">De data og dokumenter, der indføres i pyropasregistret, skal opbevares i 12 år. </w:t>
      </w:r>
    </w:p>
    <w:p w14:paraId="1C231879" w14:textId="77777777" w:rsidR="007F6D5D" w:rsidRDefault="007F6D5D" w:rsidP="0022132D"/>
    <w:p w14:paraId="55F68ADA" w14:textId="46A2A4D2" w:rsidR="00510B4B" w:rsidRDefault="008A135A" w:rsidP="0022132D">
      <w:pPr>
        <w:rPr>
          <w:b/>
          <w:bCs/>
        </w:rPr>
      </w:pPr>
      <w:r>
        <w:br/>
      </w:r>
      <w:r>
        <w:rPr>
          <w:b/>
        </w:rPr>
        <w:t>Artikel II Overgangsbestemmelse</w:t>
      </w:r>
    </w:p>
    <w:p w14:paraId="144AE3D4" w14:textId="1812F051" w:rsidR="001A647B" w:rsidRDefault="001A647B" w:rsidP="0022132D">
      <w:pPr>
        <w:rPr>
          <w:b/>
          <w:bCs/>
        </w:rPr>
      </w:pPr>
    </w:p>
    <w:p w14:paraId="299A2506" w14:textId="30EE6ECC" w:rsidR="001A647B" w:rsidRDefault="001A647B" w:rsidP="0022132D">
      <w:r>
        <w:t>Med forbehold af bestemmelserne i artikel 3B.1, stk. 6, mister de brugstilladelser, der i forvejen er udstedt på tidspunktet for dette dekrets ikrafttræden, deres gyldighed fra den 1. januar 2025.</w:t>
      </w:r>
    </w:p>
    <w:p w14:paraId="461D4DA5" w14:textId="6D387BFE" w:rsidR="001A647B" w:rsidRDefault="001A647B" w:rsidP="0022132D"/>
    <w:p w14:paraId="01073440" w14:textId="72BC960E" w:rsidR="00510B4B" w:rsidRDefault="001A647B" w:rsidP="0022132D">
      <w:pPr>
        <w:rPr>
          <w:b/>
          <w:bCs/>
        </w:rPr>
      </w:pPr>
      <w:r>
        <w:rPr>
          <w:b/>
        </w:rPr>
        <w:t>Artikel III</w:t>
      </w:r>
    </w:p>
    <w:p w14:paraId="4126569C" w14:textId="77777777" w:rsidR="001A647B" w:rsidRDefault="001A647B" w:rsidP="0022132D">
      <w:pPr>
        <w:rPr>
          <w:b/>
          <w:bCs/>
        </w:rPr>
      </w:pPr>
    </w:p>
    <w:p w14:paraId="2CA2AEBF" w14:textId="785F24DD" w:rsidR="00510B4B" w:rsidRPr="00510B4B" w:rsidRDefault="00510B4B" w:rsidP="0022132D">
      <w:r>
        <w:t xml:space="preserve">Dette dekret træder i kraft på et ved kongeligt dekret fastsat tidspunkt, der kan være forskelligt for de enkelte artikler eller dele heraf. </w:t>
      </w:r>
    </w:p>
    <w:p w14:paraId="550DE960" w14:textId="77777777" w:rsidR="00812A71" w:rsidRDefault="00DE2DBE">
      <w:r>
        <w:t> </w:t>
      </w:r>
    </w:p>
    <w:p w14:paraId="11BEDBA6" w14:textId="77777777" w:rsidR="00812A71" w:rsidRDefault="00DE2DBE">
      <w:r>
        <w:t>Jeg påbyder hermed, at dette dekret og dets begrundelse offentliggøres i Nederlandenes lovtidende.</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STATSSEKRETÆREN FOR INFRASTRUKTUR OG VANDFORVALTNING,</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BEGRUNDELSE</w:t>
      </w:r>
    </w:p>
    <w:p w14:paraId="25FB4EDE" w14:textId="350D65BA" w:rsidR="00865EEC" w:rsidRDefault="00865EEC">
      <w:pPr>
        <w:rPr>
          <w:b/>
          <w:bCs/>
        </w:rPr>
      </w:pPr>
    </w:p>
    <w:p w14:paraId="5E046A8F" w14:textId="37E54663" w:rsidR="00865EEC" w:rsidRDefault="00865EEC">
      <w:pPr>
        <w:rPr>
          <w:b/>
          <w:bCs/>
        </w:rPr>
      </w:pPr>
      <w:r>
        <w:rPr>
          <w:b/>
        </w:rPr>
        <w:t>Generelt</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Indledning</w:t>
      </w:r>
    </w:p>
    <w:p w14:paraId="2B349D7E" w14:textId="77777777" w:rsidR="00E021AD" w:rsidRDefault="00E021AD" w:rsidP="002701E5"/>
    <w:p w14:paraId="297BEA88" w14:textId="7A565559" w:rsidR="00E021AD" w:rsidRDefault="0022132D">
      <w:r>
        <w:t>Formålet med dette dekret er at gennemføre en Benelux-beslutning</w:t>
      </w:r>
      <w:r w:rsidR="002701E5" w:rsidRPr="00183C54">
        <w:rPr>
          <w:rStyle w:val="FootnoteReference"/>
        </w:rPr>
        <w:footnoteReference w:id="2"/>
      </w:r>
      <w:r>
        <w:t xml:space="preserve"> på fyrværkeriområdet i fyrværkeridekretet. Dette dekret implementerer yderligere pyropasregistret som bebudet i begrundelsen til lovforslaget om ændring af visse love fra ministeriet for infrastruktur og vandforvaltning (den kollektive lov om IenW af 2021).</w:t>
      </w:r>
      <w:r>
        <w:rPr>
          <w:rStyle w:val="FootnoteReference"/>
        </w:rPr>
        <w:footnoteReference w:id="3"/>
      </w:r>
      <w:r>
        <w:t xml:space="preserve"> Oprettelsen af pyropasregistret er omfattet af miljøforvaltningslovens artikel 9.5.8 (i det følgende benævnt: Wm). Dette vil blive uddybet i dette dekret. De tekniske detaljer vedrørende registret og ansøgningsprocessen vil fremgå ved ministeriel bekendtgørelse. Grundlaget for dette dekret er fyrværkeridekretet i dets affattelse efter ikrafttrædelsen af miljøloven og efter den ændring af fyrværkeridekretet, som træder i kraft samtidig med miljøloven (Nederlandenes lovtidende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Gennemførelseslovgivning</w:t>
      </w:r>
    </w:p>
    <w:p w14:paraId="5F25AEAD" w14:textId="77777777" w:rsidR="000734E3" w:rsidRPr="000734E3" w:rsidRDefault="000734E3" w:rsidP="000734E3">
      <w:pPr>
        <w:pStyle w:val="ListParagraph"/>
        <w:rPr>
          <w:b/>
          <w:bCs/>
        </w:rPr>
      </w:pPr>
    </w:p>
    <w:p w14:paraId="3E0499A7" w14:textId="5D131EB0" w:rsidR="007F40A5" w:rsidRDefault="007F40A5" w:rsidP="00E021AD">
      <w:r>
        <w:t>På grundlag af direktiv 2013/29/EU</w:t>
      </w:r>
      <w:r>
        <w:rPr>
          <w:rStyle w:val="FootnoteReference"/>
        </w:rPr>
        <w:footnoteReference w:id="4"/>
      </w:r>
      <w:r>
        <w:t xml:space="preserve"> (i det følgende benævnt: det pyrotekniske direktiv) må visse pyrotekniske artikler gøres tilgængelige på markedet for personer med specialviden. Den 7. december 2020 blev der undertegnet en Benelux-beslutning med det formål at indføre et ensartet kontroldokument, således at en person, der ønsker at købe de pågældende pyrotekniske artikler, kan bevise, at vedkommende har den nødvendige specialviden i en grænseoverskridende sammenhæng. Indførelsen af pyropasset som ensartet kontroldokument i Benelux-landene kan gøre det lettere for en sælger af sådanne pyrotekniske artikler i et Benelux-land at kontrollere et dokument for ægthed og gyldighed. Dette fjerner en hindring for det indre markeds funktion. Desuden kan dette instrument yde et væsentligt bidrag til at bekæmpe ulovlig handel og forebygge skade på personer og materiel. Benelux-landene ønsker at gå i spidsen inden for EU med henblik på at etablere en ordning, der i sidste ende skal gælde for personer, der er bemyndiget som personer med specialviden i andre EU-medlemsstater. </w:t>
      </w:r>
    </w:p>
    <w:p w14:paraId="39FD9BF4" w14:textId="5154AA32" w:rsidR="00FA2E81" w:rsidRDefault="00FA2E81" w:rsidP="00E021AD"/>
    <w:p w14:paraId="0EC72B35" w14:textId="77BA0E63" w:rsidR="00FA2E81" w:rsidRDefault="00C22BC4" w:rsidP="00E021AD">
      <w:r>
        <w:t>Benelux-beslutningen er begrænset med hensyn til anvendelsesområde og genstand. Benelux-beslutningen har ikke til formål at harmonisere de materielle krav, som de respektive Benelux-lande måtte stille for at bemyndige en person med specialviden.</w:t>
      </w:r>
      <w:r w:rsidR="00FA2E81">
        <w:rPr>
          <w:rStyle w:val="FootnoteReference"/>
        </w:rPr>
        <w:footnoteReference w:id="5"/>
      </w:r>
      <w:r>
        <w:t xml:space="preserve"> Benelux-beslutningen ændrer heller ikke de nuværende — europæiske eller nederlandske — forbud mod at tilgængeliggøre visse pyrotekniske artikler for offentligheden. Benelux-beslutningen indeholder heller ingen regler om håndtering og/eller anvendelse af pyrotekniske artikler efter købet.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Principperne i forslaget</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Uhensigtsmæssig brug af pyrotekniske artikler af personer, der ikke er autoriseret til at gøre det, er et vedholdende problem, der resulterer i talrige tilskadekomne og materielle skader hvert år. Visse typer tungere pyrotekniske artikler må kun gøres tilgængelige på markedet for personer med specialviden. Selv om den person, der ønsker at købe sådanne produkter i en grænseoverskridende sammenhæng, kan fremlægge et dokument fra et andet land for at bevise det, er sælgeren ikke i stand til at vurdere dokumentets ægthed eller gyldighed tilstrækkeligt. Indførelsen af pyropasset som et ensartet kontroldokument kan afhjælpe dette for personer, der i et andet Benelux-land er godkendt som personer med specialviden. Dette gør det muligt at synliggøre de lovlige handelsstrømme, således at det ulovlige salg af professionelt fyrværkeri kan reduceres mere effektivt. Desuden bidrager det til et velfungerende indre marked for professionelle fyrværkeriarrangører, der ønsker at levere deres tjenesteydelser i et andet land.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Denne ændring af fyrværkeridekretet fastsætter de tilfælde, hvor kontrol af dokumenter skal finde sted på grundlag af pyropasset, pligten til at kontrollere det og grundene til inddragelse. Derudover arbejdes der også videre på tilgængeligheden af pyropasregistret.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Dette forslag forpligter erhvervsdrivende (fabrikanter, importører og distributører), der tilggængeliggør professionelt fyrværkeri, pyrotekniske artikler til teaterbrug og pyrotekniske artikler i kategori P2 på markedet, til at kontrollere, om køberen er berettiget til at købe disse pyrotekniske artikler. For personer, der i henhold til Benelux-landenes lovgivning er udpeget som en person med specialviden eller en ansvarlig person, skal denne kontrol foretages på grundlag af pyropasset. Den erhvervsdrivende er derefter i stand til at kontrollere gyldigheden af pyropasset i det system, der er oprettet til formålet. Desuden er den erhvervsdrivende forpligtet til at opbevare en kopi af pyropasset og fakturaen i sine regnskaber. Pyropasset kan trækkes tilbage, når udpegelsen som en person med specialviden eller ansvarlig person ikke længere er gyldig eller i tilfælde af misbrug.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Desuden benyttes lejligheden til at knytte en gyldighedsperiode til brugstilladelsen, og visse mindre udeladelser afhjælpes. Dette diskuteres mere detaljeret artikel for artikel i de forklarende bemærkninger.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Forholdet til højere lov</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Europæisk ret</w:t>
      </w:r>
    </w:p>
    <w:p w14:paraId="15B82FB7" w14:textId="459F957D" w:rsidR="00AC6B62" w:rsidRDefault="00CF7C1C" w:rsidP="00AC6B62">
      <w:pPr>
        <w:spacing w:line="240" w:lineRule="auto"/>
      </w:pPr>
      <w:r>
        <w:t xml:space="preserve">Pyrotekniske artikler er i vid udstrækning reguleret af det pyrotekniske direktiv. I henhold til direktivets artikel 5 træffer medlemsstaterne de nødvendige foranstaltninger for at sikre, at pyrotekniske artikler kun gøres tilgængelige på markedet, hvis de opfylder kravene i direktivet. Direktivets artikel 6 definerer fyrværkeri i kategori F4, pyrotekniske artikler til teaterbrug i kategori T2 og andre pyrotekniske artikler i kategori P2 som udelukkende beregnet til brug for personer med specialviden, og fastsætter, at medlemsstaterne skal underrette Europa-Kommissionen om de procedurer, hvorunder de identificerer og bemyndiger personer med specialviden. Det pyrotekniske direktivs artikel 7, stk. 3, fastlægger, at de nævnte artikler kun må gøres tilgængelige på markedet af fabrikanter, importører eller distributører for personer med specialviden. I henhold til det pyrotekniske direktivs artikel 4, stk. 2, kan en medlemsstat træffe foranstaltninger med henblik på at forbyde eller begrænse visse pyrotekniske artikler. I Nederlandene er det således fuldstændig forbudt at gøre pyrotekniske artikler i kategori T1, fyrværkeri i kategori F3 og visse varer i kategori F2 tilgængelige på markedet for personer, der ikke har specialviden.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Retsgrundlaget for Benelux-beslutningen er artikel 6, stk. 2, litra a), i traktaten om oprettelse af Benelux-unionen og artikel 1, litra b), i protokollen af 29. april 1969 om </w:t>
      </w:r>
      <w:r>
        <w:lastRenderedPageBreak/>
        <w:t xml:space="preserve">ophævelse af kontrollen og formaliteterne ved Benelux-landenes indre grænser og om afskaffelse af hindringer for den frie bevægelighed. På grundlag af disse bestemmelser kan ministerudvalget træffe beslutninger med henblik på at samordne lovene i de tre Benelux-lande for at fjerne visse hindringer. Benelux-beslutningen tager primært sigte på et velfungerende indre marked for pyrotekniske artikler. Dette gør salget af pyrotekniske artikler lettere for personer med den nødvendige specialviden. Desuden bidrager Benelux-beslutningen også til bekæmpelse af ulovlig handel og forebyggelse af skade på personer og materiel, hvor Benelux-unionen ønsker at indtage en ledende rolle.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Forholdet til de nationale bestemmelser</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Pyrotekniske artikler er i nederlandsk lovgivning primært reguleret ved fyrværkeridekretet. Artikel 9.2.2.1, stk. 1 og 2, i Wm udgør hovedgrundlaget for fyrværkeridekretet. Gennemførelsen af pyropasregistret kræver imidlertid i forbindelse med behandling af personoplysninger et konkret grundlag, som er blevet etableret til dette formål i artikel 9.5.8 i Wm. Dette dekret er derfor baseret på både artikel 9.2.2.1, stk. 1 og 2, og artikel 9.5.8, stk. 3 og 4, i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Fyrværkeridekretets artikel 1.1.2a, stk. 1, udpeger personer med specialviden. I henhold til artikel 1.1.2a, stk. 2, skal en person med specialviden også udpeges som sådan i forbindelse med fyrværkeri og pyrotekniske artikler til teaterbrug i en anden EU-medlemsstat.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I praksis består den største gruppe af personer med specialviden af indehavere af en brugstilladelse (artikel 1.1.2a, stk. 1, litra b)). I lyset af artikel 3B.1, stk. 6, kan indehaveren af en ansøgning imidlertid både være en juridisk person og en fysisk person, hvorimod pyropasset kun kan udleveres til en fysisk person i henhold til Benelux-beslutningen. Benelux-beslutningen omfatter imidlertid også figuren en "ansvarlig person". En person, der er udpeget af en juridisk person med ret til at opbevare eller gøre pyrotekniske artikler tilgængelige på markedet for at anvende pyrotekniske artikler på vegne af den juridiske person.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Den person, der faktisk tænder fyrværkeriet, er normalt ikke den samme (hverken juridisk eller på anden måde) som indehaveren af en brugstilladelse. Til at affyre professionelt fyrværkeri kræves uddannelse og registrering på grundlag af regler fra dekretet om arbejdsvilkår. For at opnå en brugstilladelse skal ansøgerne bl.a. fremlægge en kopi af en gyldig optagelse i registret over fyrværkere som omhandlet i artikel 4.9, stk. 1, i dekretet om arbejdsvilkår, udstedt til den person, der udfører de aktiviteter, som tilladelsen vedrører, og vedrørende disse aktiviteter. Derudover er der også fyrværkere (artikel 4.9, stk. 2, i dekretet om arbejdsvilkår), som udfører arbejde bestående i salg, forarbejdning eller tilgængeliggørelse af forbrugerfyrværkeri, professionelt fyrværkeri eller pyrotekniske artikler til teaterbrug. Sådanne personer betegnes som "ansvarlig person".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På grundlag af dekretet om arbejdsvilkår og som nærmere beskrevet i forskriften om arbejdsvilkår reguleres det, hvem der har adgang til registret over fyrværkere og fyrværkerioperatører. I henhold til artikel 1.5o, litra c), i dekretet om arbejdsvilkår kan registrene konsulteres af andre personer, der er direkte berørt (ud over bl.a. kunden eller kundens bemyndigede repræsentant) med hensyn til registrering eller suspension af en person. Det fremgår af begrundelsen til denne afgørelse, at dette f.eks. kan omfatte offentlige myndigheder, der træffer afgørelser på grundlag af fyrværkeridekretet. Dette er relevant for kontrollen af, om registreringen af en fyrværkerioperatør eller fyrværker er gyldig i forbindelse med pyropasset.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Modellen for pyropasset og de mere tekniske detaljer som fastsat i retsgrundlaget fastsættes ved ministeriel bekendtgørelse.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lastRenderedPageBreak/>
        <w:t>6. Konsekvenser (bortset fra finansielle konsekvenser)</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Indvirkning på den lovgivningsmæssige byrde</w:t>
      </w:r>
    </w:p>
    <w:p w14:paraId="6914D7FF" w14:textId="28F21F0E" w:rsidR="00936355" w:rsidRDefault="00C43025" w:rsidP="00AE0502">
      <w:pPr>
        <w:keepNext/>
        <w:keepLines/>
        <w:spacing w:line="240" w:lineRule="auto"/>
      </w:pPr>
      <w:r>
        <w:t xml:space="preserve">Denne ændring af fyrværkeridekretet har lovgivningsmæssige konsekvenser for flere parter i fyrværkerisektoren. Dette gælder for erhvervsdrivende og personer, der skal ansøge om pyropas. </w:t>
      </w:r>
      <w:r>
        <w:rPr>
          <w:color w:val="auto"/>
          <w:shd w:val="clear" w:color="auto" w:fill="FFFFFF"/>
        </w:rPr>
        <w:t>Ved beregningen af den administrative byrde anvendes den nationale metode til beregning af reguleringsmæssig byrde på 50 EUR pr. time i omkostninger.</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Erhvervsdrivende vil snart skulle anmode om pyropas ved salg af visse pyrotekniske artikler, kontrollere gyldighed heraf i pyropasregistret og opbevare dokumentation herfor i deres regnskaber. På nuværende tidspunkt er sådanne parter også forpligtet til at kontrollere, om den person, der køber pyrotekniske artikler, er en person med specialviden. Som følge heraf er konsekvenserne af at indføre pyropas for disse parter små, og kontrollen vil endda blive lettet. De erhvervsdrivende bliver dog nødt til tage de nye forpligtelser til efterretning. Til dette formål tildeles ca. en time pr. erhvervsdrivende. Desuden er de erhvervsdrivende forpligtet til at opbevare oplysninger i deres registre, hvortil der regnes fem minutter pr. operation pr. erhvervsdrivende. Der er omkring 10 markedsdeltagere, der er aktive i Holland. Det betyder, at den lovgivningsmæssige byrde i forbindelse med disse ændringer er næsten nul for denne målgruppe.</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For personer med specialviden eller ansvarlige personer betyder ændringen af fyrværkeridekretet, at de på grundlag af pyropasset skal kunne godtgøre, at de er godkendt som sådan. De skal ansøge om et pyropas. Dette udgør en supplerende handling for disse parter, selv om der ikke stilles nye uddannelseskrav eller andre krav. Som følge heraf er konsekvenserne for denne målgruppe blevet holdt så begrænsede som muligt. Der tildeles to timer til at notere sig forpligtelsen og ansøgningen om pyropas og indsamle de nødvendige data. Det er i øjeblikket vanskeligt at vurdere, hvor mange personer der skal ansøge om et pyropas. Dette forventes at være mellem 50 og 150 personer. Det betyder, at den reguleringsmæssige byrde i forbindelse med disse ændringer for denne målgruppe som helhed kan anslås til i alt 5 000 EUR til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Dette dekret knytter en gyldighedsperiode til brugstilladelsen. Det betyder, at der skal ansøges om brugstilladelse igen efter udløb af gyldighedsperioden. På nuværende tidspunkt er der omkring 75 indehavere af en brugstilladelse. Til ansøgningen om brugstilladelse, herunder den krævede adfærdskodeks (i det følgende benævnt: VOG), er beregnet til to timer. Der opkræves ingen gebyrer for ansøgningen om selve tilladelsen. Det betyder, at den samlede reguleringsmæssige byrde for denne målgruppe anslås til ca.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Effektivitet og virkning</w:t>
      </w:r>
    </w:p>
    <w:p w14:paraId="2BE5AB6D" w14:textId="0BC0329B" w:rsidR="008D009E" w:rsidRDefault="008D009E" w:rsidP="00C43025">
      <w:pPr>
        <w:spacing w:line="240" w:lineRule="auto"/>
      </w:pPr>
      <w:r>
        <w:t>Da pyropassystemet kun introduceres i Benelux, vil dets effektivitet og virkning i første omgang være begrænset Introduktionen spiller imidlertid en vigtig rolle i forsøget, og resultaterne overvåges fra EU. Målet for Benelux-landene er, at pyropasset rulles ud inden for Den Europæiske Union.</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Konsekvenser for privatlivets fred</w:t>
      </w:r>
    </w:p>
    <w:p w14:paraId="57A10400" w14:textId="10864A2A" w:rsidR="00CA1DB1" w:rsidRDefault="00252E79" w:rsidP="00C43025">
      <w:pPr>
        <w:spacing w:line="240" w:lineRule="auto"/>
      </w:pPr>
      <w:r>
        <w:t xml:space="preserve">Dette dekret fører til behandling af personoplysninger. Lovforslaget om oprettelse af pyropasregistret er det primære grundlag herfor. Som led heri er der udarbejdet en konsekvensanalyse vedrørende databeskyttelse, og den nederlandske databeskyttelsesmyndighed har anmodet om en udtalelse. Der er ikke fremsat bemærkninger hertil.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Der er udarbejdet en ny DPIA til dette ændringsforslag. Ministeren for infrastruktur og vandforvaltning (IenW) er den dataansvarlige. Med henblik på dette dekret forventes en række databehandlingsaktiviteter, nemlig ansøgning om pyropas, vurdering heraf og udstedelse af pyropas. De nødvendige oplysninger opbevares i pyropasregistret som </w:t>
      </w:r>
      <w:r>
        <w:lastRenderedPageBreak/>
        <w:t xml:space="preserve">krævet i Benelux-beslutningen. Hvis en erhvervsdrivende sælger pyrotekniske artikler i kategori F3, F4, T2 eller P2, er denne sælger forpligtet til at kontrollere pyropasset og identitetsdokumentet og til at søge i pyropasregistret. Desuden skal den erhvervsdrivende opbevare visse dokumenter, jf. artikel 4.1, stk. 8, i sine regnskaber. Endelig behandles personoplysninger f.eks., når organer, der er ansvarlige for at overvåge overholdelsen af reglerne for pyrotekniske artikler og håndhæve disse regler, får adgang til registret. Der er taget hensyn til proportionalitetsprincippet og nærhedsprincippet både i forbindelse med Benelux-beslutningen og i forbindelse med den aktuelle gennemførelse. I forbindelse med alle behandlingsaktiviteter behandles der ikke flere personoplysninger end nødvendigt, og de behandles heller ikke ud over til det formål, hvortil de blev indhentet (formålsbindende), undtagen i forbindelse med overvågning af overholdelsen </w:t>
      </w:r>
      <w:bookmarkStart w:id="4" w:name="_Hlk125126125"/>
      <w:r>
        <w:t>af reglerne for pyrotekniske artikler og de relevante myndigheders håndhævelse af disse regler.</w:t>
      </w:r>
      <w:bookmarkEnd w:id="4"/>
      <w:r>
        <w:t xml:space="preserve"> Sidstnævnte er f.eks. relevant, når anklagemyndigheden (i det følgende benævnt: OM) tilgår registret.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Oplysningerne må ikke opbevares i længere tid end nødvendigt. De registre og data, der indføres i pyropasregistret, skal opbevares i 12 år. Dette er i overensstemmelse med den maksimale forældelsesfrist for lovbrud vedrørende fyrværkeri.</w:t>
      </w:r>
    </w:p>
    <w:p w14:paraId="7D003D62" w14:textId="413391F3" w:rsidR="00CA1DB1" w:rsidRDefault="00447582" w:rsidP="00447582">
      <w:pPr>
        <w:spacing w:line="240" w:lineRule="auto"/>
        <w:rPr>
          <w:color w:val="auto"/>
        </w:rPr>
      </w:pPr>
      <w:r>
        <w:t xml:space="preserve">De erhvervsdrivende skal opbevare en kopi af kontroldokumentet i regnskaberne sammen med den pågældende faktura og i givet fald det pågældende transportdokument i syv år. </w:t>
      </w:r>
      <w:r>
        <w:rPr>
          <w:color w:val="auto"/>
        </w:rPr>
        <w:t>Dette er i overensstemmelse med den nationale opbevaringsperiode for registreringer.</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Udstedelse af pyropas samt implementering og forvaltning af pyropasregistret skal udføres efter instruks fra en organisation, der skal fastlægges. Der skal indgås se nødvendige aftaler, såsom en behandlingsaftale, med henblik herpå.</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Fuldbyrdelse &amp; håndhævelse</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Pyropasregistret bør oprettes og administreres. Denne beføjelse er tildelt ministeren for IenW i dette dekret. </w:t>
      </w:r>
      <w:r>
        <w:rPr>
          <w:highlight w:val="yellow"/>
        </w:rPr>
        <w:t>Skal specificeres</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Reglerne om fyrværkeri håndhæves både i henhold til forvaltnings- og strafferetten. Forvaltningsretligt kan der pålægges en bøde på grundlag af Wm eller som administrativ sanktion. Miljø- og transportinspektoratet (ILT) fører tilsyn med sikkerheden og kvaliteten af det fyrværkeri, der markedsføres af virksomheder. ILT er tilsynsmyndighed for transport af farlige stoffer, herunder fyrværkeri, i henhold til transportlovgivningen, og for virksomheders import og eksport af fyrværkeri i henhold til fyrværkeridekretet. ILT udsteder også brugstilladelser. Udkastet til dekret blev forelagt ILT den xx med henblik på en retssag om håndhævelsesmuligheder, praktisk gennemførlighed og sikring mod svig. Dekretet er blevet vurderet af ILT som.</w:t>
      </w:r>
      <w:r>
        <w:rPr>
          <w:highlight w:val="yellow"/>
        </w:rPr>
        <w:t>… PM HUF-test.</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Forskellige overtrædelser af fyrværkeridekretet kan straffes efter loven om økonomiske lovovertrædelser, som håndhæves af politiet og anklagemyndigheden. Dette gælder f.eks. salg af professionelt fyrværkeri til privatpersoner. Den kollektive lov om IenW af 2021 ændrer loven om økonomiske lovovertrædelser til også at håndhæve artikel 9.5.8, stk. 6. I tilfælde af en lovovertrædelse er straffen højst seks år, samfundstjeneste eller bøde i femte kategori (i øjeblikket 90 000 EUR). Udkastet til dekret er forelagt anklagemyndigheden den </w:t>
      </w:r>
      <w:r>
        <w:rPr>
          <w:highlight w:val="yellow"/>
        </w:rPr>
        <w:t>xx</w:t>
      </w:r>
      <w:r>
        <w:t xml:space="preserve">. </w:t>
      </w:r>
      <w:r>
        <w:rPr>
          <w:highlight w:val="yellow"/>
        </w:rPr>
        <w:t>HUF-test skal specificeres</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Finansielle virkninger</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I henhold til artikel 9.5.8, stk. 5, i Wm er det muligt at opkræve en takst for at anvende pyropasset. Der på nuværende tidspunkt ingen bestemmelse herom her, hvorfor de finansielle konsekvenser for sektoren er meget begrænsede. Der kræves ikke gebyr for brugstilladelsen, hvilket betyder, at indførelsen af en gyldighedsperiode ikke medfører højere omkostninger.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lastRenderedPageBreak/>
        <w:t>Rådgivning og høring</w:t>
      </w:r>
    </w:p>
    <w:p w14:paraId="1D22CCE9" w14:textId="3285AF09" w:rsidR="00D4395F" w:rsidRDefault="006B5035" w:rsidP="00FF6FF4">
      <w:pPr>
        <w:keepNext/>
        <w:keepLines/>
        <w:spacing w:line="240" w:lineRule="auto"/>
      </w:pPr>
      <w:r>
        <w:t>Flere parter er blevet hørt i forbindelse med udarbejdelsen af dette dekret. OM's og ILT's præstationsstests er allerede blevet diskuteret ovenfor. Et indledende udkast er også blevet drøftet med repræsentanter for VEN (den nederlandske sammenslutning for festfyrværkeri), BPN (det nederlandske pyrotekniske forbund) og Stichting VuurwerkCheck. Som følge heraf er det i dekretet fastsat, at indehavere af pyropas, der er godkendt til fyrværkeri i kategori F3 eller F4, også anses for at være godkendt til kategori F2-fyrværkeri, der ikke er bestemt til privat brug. Det er også fastsat, at indehavere af et pyropas, der er godkendt til pyrotekniske artikler til anvendelse af pyrotekniske artikler i kategori T2, også anses for at være godkendt til pyrotekniske artikler til teaterbrug i kategori T1. Sektoren har tilkendegivet, at den anser det for vigtigt at tackle den ulovlige handel med fyrværkeri, men er i tvivl om pyropassets effektivitet mod ulovlige handelsstrømme, da det kun indføres i Benelux. Pyropasset er et værktøj, der er en del af en bredere pakke af foranstaltninger til at reducere lovovertrædelser i forbindelse med professionelt fyrværkeri. Det er Benelux' ønske, at pyropasset rulles ud i Den Europæiske Union. Industrien har anført, at indførelsen af pyropas betragtes som en forøgelse af den administrative byrde, fordi den anser pyropasset for at være en gentagelse af anmeldelsen i henhold til artikel 1.4.1 i fyrværkeridekretet. Den administrative byrde er, som forklaret i punkt 6 i begrundelsen, blevet holdt så begrænset som muligt. Pyropasset gør det lettere for erhvervsdrivende at kontrollere, om en køber har de nødvendige tilladelser. Desuden er der ingen overlapning med det rapporteringssystem, der er omhandlet i fyrværkeridekretets artikel 1.4.1, da formålet med rapporteringssystemet ikke direkte kan sammenlignes med formålet med pyropasset. Rapporteringssystemet henviser til kortlægningen af grænseoverskridende produktstrømme, mens pyropasset vedrører salgstransaktioner.</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På grund af den meget begrænsede indvirkning på den lovgivningsmæssige byrde er der ikke foretaget nogen SMV-test.</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Der er anmodet om en udtalelse fra den nederlandske databeskyttelsesmyndighed den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Der er afholdt en internethøring om dette dekret. På grundlag af artikel 21.6, stk. 4 er udkastet til dekret også på forhånd blevet offentliggjort i Nederlandenes statstidende for at give alle mulighed for at underrette vores minister skriftligt inden for en periode på fire uger. I dette tilfælde kan internethøring udelades. </w:t>
      </w:r>
    </w:p>
    <w:p w14:paraId="62852144" w14:textId="72BDE637" w:rsidR="00027B61" w:rsidRDefault="00027B61" w:rsidP="006B5035">
      <w:pPr>
        <w:spacing w:line="240" w:lineRule="auto"/>
      </w:pPr>
      <w:r>
        <w:rPr>
          <w:highlight w:val="yellow"/>
        </w:rPr>
        <w:t>Kommentarer fra PM-internethøring og præpublikation.</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Desuden blev udkastet til dekret den </w:t>
      </w:r>
      <w:r>
        <w:rPr>
          <w:highlight w:val="yellow"/>
        </w:rPr>
        <w:t xml:space="preserve">x </w:t>
      </w:r>
      <w:r>
        <w:t xml:space="preserve">forelagt første og andet kammer i forbindelse med den lovpligtige forelæggelse (artikel 21.6, stk. 4, i Wm). </w:t>
      </w:r>
      <w:r>
        <w:rPr>
          <w:highlight w:val="yellow"/>
        </w:rPr>
        <w:t>Vedhæftning af PM-input.</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Evaluering</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Dette dekret og pyropassets funktion evalueres efter tre år. Dette er også vigtigt for at kunne afgøre, om dette system fungerer inden for Benelux, og for at give input til en eventuel indførelse på europæisk plan.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Overgangsbestemmelser og ikrafttræden</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Det er ønskeligt med overgangsbestemmelser med hensyn til brugstilladelsens gyldighedsperiode for at forhindre, at tidligere udstedte licenser pludselig har mistet deres gyldighed. Med henblik herpå er der fastsat en overgangsperiode på ét år. Denne periode giver sektoren og tildelingsmyndigheden tilstrækkelig tid til at behandle en ansøgning.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I henhold til Benelux-beslutningens artikel 7, stk. 2, skal Benelux-landene sætte de nødvendige love og administrative bestemmelser i kraft til efterkommelse af bestemmelserne i denne Benelux-beslutning senest tre år efter Benelux-beslutningens </w:t>
      </w:r>
      <w:r>
        <w:lastRenderedPageBreak/>
        <w:t xml:space="preserve">ikrafttræden. Benelux-beslutningen trådte i kraft den 7. december 2020, hvilket betyder, at gennemførelsen af denne Benelux-beslutning skal være afsluttet den 7. december 2023. Dette dekret træder i kraft ved kongeligt dekret med det formål at bringe denne ændring i kraft den 1. januar 2024. Ikrafttræden den 1. januar 2024 er ønskelig på grund af den dertil knyttede ændring af dekretet om arbejdsvilkår (Nederlandenes lovtidende 2019, 471), som også træder i kraft på denne dato. </w:t>
      </w:r>
      <w:r>
        <w:rPr>
          <w:highlight w:val="yellow"/>
        </w:rPr>
        <w:t>Yderligere PM-overgangsbestemmelser, hvis det er nødvendigt.</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Bemærkninger til de enkelte artikler</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Artikel I, del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I denne bestemmelse tilføjes en række definitioner til fyrværkeridekretets artikel 1.1.1, stk. 1. Begrebet ansvarlig person følger af Benelux-beslutningen. For Nederlandene anføres det ud over en person med specialviden mere specifikt, at dette kan være en fyrværker eller fyrværkerioperatør, der er udpeget af en juridisk enhed, som har ret til at opbevare eller gøre pyrotekniske artikler tilgængelige på markedet (ofte indehaveren af brugstilladelsen). Begreberne fyrværker og fyrværkerioperatør er knyttet til systemet i dekretet om arbejdsvilkår, som regulerer registreringen af disse erhverv. Dette sikrer, at der er tale om en person, der har fagligt kendskab til de pågældende fyrværkeriartikler, og som har modtaget uddannelse til dette formål.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Artikel I, litra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Artikel 1.1.3 indeholder anvendelsesområdet for fyrværkeridekretet. Ved ændringen af fyrværkeridekretet af 20. juni 2022 (Nederlandenes lovtidende 2022, 291) er dette blevet udvidet til også at omfatte pyrotekniske artikler i kategori P1 og P2, der anvendes som fyrværkeri eller åbenbart tilsigtes anvendt som fyrværkeri. Med denne aktuelle ændring er det nødvendigt at supplere dette, fordi salg af P2 ikke er tilladt uden kontrol af kontroldokumenterne, selv om denne artikel ikke anvendes eller er bestemt til at blive anvendt som fyrværkeri. Udvidelsen af anvendelsesområdet til dette punkt finder imidlertid kun anvendelse på det nye kapitel 4 i fyrværkeridekretet.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Artikel I, del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Der er gjort brug af lejligheden til at rette en henvisning til en nu udgået lov. I artikel 1.2.5, stk. 2, henvises der til bestemmelserne i loven om vejgodstransport. Denne lov udløb imidlertid den 1. maj 2009 og blev erstattet. Den tidligere artikel 20 i lov om vejgodstransport, som i korthed omfattede registreringspligten og det ledsagende registreringsbevis, blev ophævet. Forbuddet i artikel 29 mod at udføre transport uden udfærdigelse af et fragtbrev er indholdsmæssigt blevet erstattet af artikel 2.13 i lov om vejgodstransport. Artikel 1.2.5, stk. 2, er blevet ændret i overensstemmelse hermed.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Artikel I, del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Brugstilladelsen gives på nuværende tidspunkt for en ubestemt periode. Gennemførelsen af denne Benelux-beslutning har vist, at dette ikke længere er ønskeligt. Med en gyldighedsperiode på fem år af brugstilladelsen er det nødvendigt inden for fem år at kontrollere, om ansøgeren (stadig) opfylder alle kravene, såsom en VOG. Dette bidrager til overvågning og håndhævelse af brugstilladelsen.</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Artikel I, del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Efter kapitel 3B indsættes et nyt kapitel i fyrværkeridekretet med de vigtigste bestemmelser om pyropasset.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Artikel 4.1</w:t>
      </w:r>
    </w:p>
    <w:p w14:paraId="6D216F10" w14:textId="000E4BB8" w:rsidR="0026407F" w:rsidRPr="0026407F" w:rsidRDefault="0026407F" w:rsidP="00975E08">
      <w:pPr>
        <w:spacing w:line="240" w:lineRule="auto"/>
      </w:pPr>
      <w:r>
        <w:t xml:space="preserve">Artikel 4.1, stk. 1, forbyder erhvervsdrivende at gøre de pyrotekniske artikler, der er specificeret i nævnte stykke, tilgængelige på markedet uden at kontrollere dokumenter </w:t>
      </w:r>
      <w:r>
        <w:lastRenderedPageBreak/>
        <w:t xml:space="preserve">fra personer med specialviden. Stk. 2 fastslår, at når pyrotekniske artikler leveres, og en fysisk person handler på vegne af en juridisk person, skal den ansvarlige persons kontroldokument og identitetsdokument kontrolleres. Stk. 3 regulerer, hvilke personer med specialviden eller ansvarlige personer der skal dokumentere dette med et pyropas. Kravene i det pyrotekniske direktiv og dermed i Benelux-beslutningen finder ikke anvendelse på pyrotekniske artikler til ikkekommerciel brug af væbnede styrker, politi eller brandvæsen i henhold til national ret. Derfor behøver disse grupper heller ikke at anmode om et pyropas (artikel 1.1.2a, stk. 1, underafsnit c-f). Modellen for pyropasset er fastlagt i Benelux-beslutningen, og kun visse kategorier af pyrotekniske artikler er medtaget. I Nederlandene er fyrværkeri i kategori F2, der ikke er bestemt til privat brug, og pyrotekniske artikler til teaterbrug i kategori T1 imidlertid også forbeholdt personer med specialviden. Det fastsættes derfor i stk. 4, at personer, der er godkendt til fyrværkeri i kategori F3 eller F4, også er godkendt til fyrværkeri i kategori F2, og i stk. 5, at personer, der er godkendt til pyrotekniske artikler til teaterbrug i kategori T2, også er godkendt til pyrotekniske artikler til teaterbrug i kategori T1. Ellers ville dette føre til den situation, at en person med specialviden f.eks. skal vise sit pyropas med henblik på en salgstransaktion for pyrotekniske artikler i kategori T2 og et andet dokument, der beviser, at vedkommende er en person med specialviden til artikler i kategori T1. Dette anses for uønsket. I stk. 8 fastsættes det, hvilke dokumenter de erhvervsdrivende skal opbevare, og hvor længe de skal opbevares. I tilfælde, hvor der finder transport sted, skal det relevante transportdokument opbevares. På grundlag af Benelux-beslutningen er det nødvendigt at overholde de frister, der er fastsat i national ret. I Nederlandene skal virksomhedernes regnskaber opbevares i syv år. Dette indgår i dette dekret.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Artikel 4.2</w:t>
      </w:r>
    </w:p>
    <w:p w14:paraId="2012168C" w14:textId="7E3C8FCA" w:rsidR="000C0E6D" w:rsidRPr="000C0E6D" w:rsidRDefault="00453DDC" w:rsidP="000C0E6D">
      <w:pPr>
        <w:pStyle w:val="CommentText"/>
        <w:rPr>
          <w:sz w:val="18"/>
          <w:szCs w:val="18"/>
        </w:rPr>
      </w:pPr>
      <w:r>
        <w:rPr>
          <w:sz w:val="18"/>
        </w:rPr>
        <w:t>Denne artikel indeholder en liste over de personer, der er berettiget til et pyropas i Nederlandene. Det er vigtigt at definere, hvem der kan ansøge om pyropas, selv om dette ikke er direkte reguleret ved Benelux-beslutningen. Det er i Benelux-sammenhæng aftalt, at personer med specialviden skal ansøge om pyropas i det land, hvor de i henhold til gældende lovgivning er udpeget som en person med specialviden. Det fremgår imidlertid af begrundelsen til Benelux-beslutningen, at pyropasset altid er et personligt dokument. Derfor fastslås det i denne artikel, at kun fysiske personer er berettiget til et pyropas. Benelux-beslutningen regulerer også P2-artikler. På grundlag af artikel 3 i forskriften om andre pyrotekniske artikler udpeges der personer med specialviden, som kan anvende pyrotekniske artikler i kategori P2 på grund af deres funktion. Disse personer er også berettiget til et pyropas.</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Stk. 2 bestemmer specifikt, at ansøgningen om et pyropas for en ansvarlig person skal indgives sammen med indehaveren af en brugstilladelse. På denne måde kan det sikres, at både indehaveren af brugstilladelsen og den ansvarlige person accepterer ansøgningen.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Pyropasset skal også have en gyldighedsperiode angivet på pyropasset. Benelux-beslutningen regulerer ikke denne gyldighedsperiode. På grund af forbindelsen til registreringen som fyrværker eller fyrværkerioperatør er det blevet besluttet at tilpasse sig gyldighedsperioden for registreringen. Når det er udløbet, skal der ansøges om et nyt pyropas efter højst fem år. Pyropassets gyldighedsperiode kan dog være kortere, afhængigt af om brugstilladelsen eller miljøgodkendelsen er kortere end registreringen. Dette sikrer, at registret er opdateret.</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En række mere tekniske og proceduremæssige aspekter vil blive uddybet ved ministeriel bekendtgørelse. F.eks. er modellen for pyropasset, som det også er anført i bilaget til Benelux-beslutningen, fastsat ved ministeriel bekendtgørelse.</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Pyropassystemet kan kun fungere korrekt, hvis der er mulighed for at trække pyropasset tilbage. Stk. 6 og 7 præciserer de omstændigheder, hvorunder dette er tilfældet. Disse omstændigheder er gennemførelsen af Benelux-beslutningen.</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lastRenderedPageBreak/>
        <w:t>Artikel 4.3</w:t>
      </w:r>
    </w:p>
    <w:p w14:paraId="2D850221" w14:textId="7AF0A3A5" w:rsidR="004A650F" w:rsidRPr="0045450C" w:rsidRDefault="004A650F" w:rsidP="00E910E4">
      <w:pPr>
        <w:keepNext/>
        <w:keepLines/>
        <w:spacing w:line="240" w:lineRule="auto"/>
      </w:pPr>
      <w:r>
        <w:t xml:space="preserve">Denne artikel angiver, hvilke dokumenter der er gemt i pyropasregistret. I den forbindelse lagres der ikke flere oplysninger end nødvendigt for at foretage kontrollen.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Artikel 4.4</w:t>
      </w:r>
      <w:r>
        <w:rPr>
          <w:b/>
          <w:i/>
        </w:rPr>
        <w:br/>
      </w:r>
      <w:r>
        <w:t xml:space="preserve">De parter, der har adgang til pyropasregistret, bør i praksis straks have de nødvendige oplysninger til rådighed fra registret for at kunne opfylde deres forpligtelser. Derfor fastsættes det i denne artikel, at vores minister skal sikre, at data og dokumenter i pyropasregistret straks stilles til rådighed.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Artikel 4.5</w:t>
      </w:r>
    </w:p>
    <w:p w14:paraId="2E43070D" w14:textId="2C1D619E" w:rsidR="005D21FE" w:rsidRDefault="008B1DFC" w:rsidP="00975E08">
      <w:pPr>
        <w:spacing w:line="240" w:lineRule="auto"/>
      </w:pPr>
      <w:r>
        <w:t xml:space="preserve">I denne artikel fastsættes det, hvem oplysningerne og dokumenterne i pyropasregistret er tilgængelige for. Først og fremmest er det vigtigt, at de håndhævende myndigheder inden for pyrotekniske artikler har adgang til registret. I praksis er der tale om ILT og den offentlige anklagemyndighed. Disse er udpeget i stk. 1. Desuden bør erhvervsdrivende have adgang, når de gør artikler tilgængelige på markedet, men kun med henblik på at kontrollere pyropassets gyldighed. De vil følgelig ikke få adgang til flere personoplysninger end nødvendigt.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Artikel 4.6</w:t>
      </w:r>
    </w:p>
    <w:p w14:paraId="4759D869" w14:textId="43FA3E6D" w:rsidR="008B1DFC" w:rsidRPr="00414847" w:rsidRDefault="008B1DFC" w:rsidP="00975E08">
      <w:pPr>
        <w:spacing w:line="240" w:lineRule="auto"/>
      </w:pPr>
      <w:r>
        <w:t>I denne artikel fastsættes opbevaringsperioden for dataene i pyropasregistret til 12 år. Personoplysninger må ikke opbevares længere end nødvendigt. I betragtning af den maksimale forældelsesfrist for lovbrud vedrørende fyrværkeri er opbevaringsperioden knyttet til denne.</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Artikel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De brugstilladelser, der allerede er udstedt inden dette dekrets ikrafttræden, er udstedt på ubestemt tid. Fristen den 1. januar 2025 er valgt som gyldighedsperiode for de nuværende brugstilladelser. Denne etårige periode giver både ansøgere og ministeren for IenW som tildelingsmyndighed tilstrækkelig tid til at indgive og vurdere en ansøgning.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Artikel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Dette dekret træder i kraft på et ved kongeligt dekret fastsat tidspunkt, der kan være forskelligt for de enkelte artikler eller dele heraf. Som forklaret i begrundelsens generelle afsnit skal Benelux-beslutningen gennemføres den 7. december 2023. Målet er at opnå bedst mulig tilpasning hertil gennem ikrafttræden den 1. januar 2024. Det er ikke ønskeligt med ikrafttrædelse tidligere end den 1. januar 2024 på grund af ikrafttrædelsen af ændringen af dekretet om arbejdsvilkår (Nederlandenes lovtidende 2019, 471), som har konsekvenser for dette dekret. 1. januar er også et fast tidspunkt for et generelt administrativt dekret (eller en ændring heraf) som omhandlet i bemærkning 4.17 til forskrifterne. I henhold til artikel 21.6, stk. 5, i Wm skal dette dekret efter sin vedtagelse fremsendes til de to kamre, og det træder i kraft tidligst fire uger efter udstedelsen af det Nederlandenes lovtidende, hvor det er offentliggjort.</w:t>
      </w:r>
    </w:p>
    <w:p w14:paraId="0EE9ECA0" w14:textId="3F277537" w:rsidR="007F3C60" w:rsidRDefault="007F3C60" w:rsidP="005D21FE">
      <w:pPr>
        <w:spacing w:line="240" w:lineRule="auto"/>
      </w:pPr>
    </w:p>
    <w:p w14:paraId="154545D8" w14:textId="1A317E4E" w:rsidR="007F3C60" w:rsidRDefault="007F3C60" w:rsidP="007F3C60">
      <w:r>
        <w:t>STATSSEKRETÆREN FOR INFRASTRUKTUR OG VANDFORVALTNING,</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9B64" w14:textId="77777777" w:rsidR="005531B8" w:rsidRDefault="005531B8">
      <w:pPr>
        <w:spacing w:line="240" w:lineRule="auto"/>
      </w:pPr>
      <w:r>
        <w:separator/>
      </w:r>
    </w:p>
  </w:endnote>
  <w:endnote w:type="continuationSeparator" w:id="0">
    <w:p w14:paraId="744D2FA2" w14:textId="77777777" w:rsidR="005531B8" w:rsidRDefault="005531B8">
      <w:pPr>
        <w:spacing w:line="240" w:lineRule="auto"/>
      </w:pPr>
      <w:r>
        <w:continuationSeparator/>
      </w:r>
    </w:p>
  </w:endnote>
  <w:endnote w:type="continuationNotice" w:id="1">
    <w:p w14:paraId="5E28948E" w14:textId="77777777" w:rsidR="005531B8" w:rsidRDefault="00553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CE8F" w14:textId="77777777" w:rsidR="005531B8" w:rsidRDefault="005531B8">
      <w:pPr>
        <w:spacing w:line="240" w:lineRule="auto"/>
      </w:pPr>
      <w:r>
        <w:separator/>
      </w:r>
    </w:p>
  </w:footnote>
  <w:footnote w:type="continuationSeparator" w:id="0">
    <w:p w14:paraId="214F0FF7" w14:textId="77777777" w:rsidR="005531B8" w:rsidRDefault="005531B8">
      <w:pPr>
        <w:spacing w:line="240" w:lineRule="auto"/>
      </w:pPr>
      <w:r>
        <w:continuationSeparator/>
      </w:r>
    </w:p>
  </w:footnote>
  <w:footnote w:type="continuationNotice" w:id="1">
    <w:p w14:paraId="149C179C" w14:textId="77777777" w:rsidR="005531B8" w:rsidRDefault="005531B8">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t xml:space="preserve"> </w:t>
      </w:r>
      <w:r>
        <w:rPr>
          <w:sz w:val="16"/>
        </w:rPr>
        <w:t xml:space="preserve">Ministerudvalget for Den Økonomiske Union Benelux' beslutning om indførelse af et pyropas — M(2020) 14 (Benelux-tidende 2021, nr. 1), ændret ved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Parlamentdokumenter II </w:t>
      </w:r>
      <w:r>
        <w:rPr>
          <w:sz w:val="16"/>
        </w:rPr>
        <w:t>2022-2023, 36268, nr. 3, s.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Europa-Parlamentets og Rådets direktiv 2013/29/EU af 12. juni 2013 om harmonisering af medlemsstaternes love om tilgængeliggørelse på markedet af pyrotekniske artikler (EUT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Der tilstræbes dog mere konvergens gennem henstilling M(2020) 15 fra Ministerudvalget for Den Økonomiske Union Benelux om kravene til specialviden i forbindelse med håndtering og/eller anvendelse af pyrotekniske artikler.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vi,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ved Guds nåde,</w:t>
                          </w:r>
                          <w:r>
                            <w:rPr>
                              <w:rFonts w:ascii="Arial" w:hAnsi="Arial"/>
                              <w:smallCaps/>
                              <w:color w:val="auto"/>
                              <w:sz w:val="52"/>
                            </w:rPr>
                            <w:br/>
                            <w:t>Konge af, prins af Nassau-Oranje, osv. osv.</w:t>
                          </w:r>
                          <w:r>
                            <w:rPr>
                              <w:rFonts w:ascii="Arial" w:hAnsi="Arial"/>
                              <w:smallCaps/>
                            </w:rPr>
                            <w:t xml:space="preserve"> —</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vi, </w:t>
                    </w:r>
                    <w:r>
                      <w:rPr>
                        <w:smallCaps/>
                        <w:color w:val="D78632"/>
                        <w:sz w:val="128"/>
                        <w:rFonts w:ascii="Arial" w:hAnsi="Arial"/>
                      </w:rPr>
                      <w:t xml:space="preserve">W</w:t>
                    </w:r>
                    <w:r>
                      <w:rPr>
                        <w:smallCaps/>
                        <w:color w:val="auto"/>
                        <w:sz w:val="52"/>
                        <w:rFonts w:ascii="Arial" w:hAnsi="Arial"/>
                      </w:rPr>
                      <w:t xml:space="preserve">illem </w:t>
                    </w:r>
                    <w:r>
                      <w:rPr>
                        <w:smallCaps/>
                        <w:color w:val="D78632"/>
                        <w:sz w:val="128"/>
                        <w:rFonts w:ascii="Arial" w:hAnsi="Arial"/>
                      </w:rPr>
                      <w:t xml:space="preserve">A</w:t>
                    </w:r>
                    <w:r>
                      <w:rPr>
                        <w:smallCaps/>
                        <w:color w:val="auto"/>
                        <w:sz w:val="52"/>
                        <w:rFonts w:ascii="Arial" w:hAnsi="Arial"/>
                      </w:rPr>
                      <w:t xml:space="preserve">lexander,</w:t>
                    </w:r>
                    <w:r>
                      <w:rPr>
                        <w:smallCaps/>
                        <w:color w:val="auto"/>
                        <w:sz w:val="52"/>
                        <w:rFonts w:ascii="Arial" w:hAnsi="Arial"/>
                      </w:rPr>
                      <w:br/>
                    </w:r>
                    <w:r>
                      <w:rPr>
                        <w:smallCaps/>
                        <w:color w:val="auto"/>
                        <w:sz w:val="52"/>
                        <w:rFonts w:ascii="Arial" w:hAnsi="Arial"/>
                      </w:rPr>
                      <w:t xml:space="preserve">ved Guds nåde,</w:t>
                    </w:r>
                    <w:r>
                      <w:rPr>
                        <w:smallCaps/>
                        <w:color w:val="auto"/>
                        <w:sz w:val="52"/>
                        <w:rFonts w:ascii="Arial" w:hAnsi="Arial"/>
                      </w:rPr>
                      <w:br/>
                    </w:r>
                    <w:r>
                      <w:rPr>
                        <w:smallCaps/>
                        <w:color w:val="auto"/>
                        <w:sz w:val="52"/>
                        <w:rFonts w:ascii="Arial" w:hAnsi="Arial"/>
                      </w:rPr>
                      <w:t xml:space="preserve">Konge af, prins af Nassau-Oranje, osv. osv.</w:t>
                    </w:r>
                    <w:r>
                      <w:rPr>
                        <w:smallCaps/>
                        <w:rFonts w:ascii="Arial" w:hAnsi="Arial"/>
                      </w:rPr>
                      <w:t xml:space="preserve"> —</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31B8"/>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317A"/>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da-DK"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6081</Words>
  <Characters>34665</Characters>
  <Application>Microsoft Office Word</Application>
  <DocSecurity>0</DocSecurity>
  <Lines>288</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2023-05-11T12:50:00Z</dcterms:modified>
</cp:coreProperties>
</file>