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CHAPITRE 4:</w:t>
      </w:r>
      <w:r>
        <w:rPr>
          <w:sz w:val="22"/>
        </w:rPr>
        <w:t xml:space="preserve"> </w:t>
      </w:r>
      <w:r>
        <w:rPr>
          <w:sz w:val="22"/>
        </w:rPr>
        <w:t xml:space="preserve">Accessibilité des moyens de transport</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Lorsqu’un service de taxi est offert par le biais de réservations téléphoniques, ce service doit étendre les moyens de demande aux nouvelles technologies, aux applications, à Internet, aux messages écrits, aux télécopies ou à des moyens similaires afin que tous les utilisateurs, y compris ceux qui ont des déficiences auditives, puissent demander le service de façon autonome.</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Lorsque le service «taxi à la demande» dispose d’un site internet, il doit être accessible, au moins au niveau AA des règles WCAG 2.1.</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La location d’un taxi accessible aux personnes à mobilité réduite par téléphone, internet ou par une application mobile ne peut faire l’objet d’aucun supplément de demande anticipée.</w:t>
      </w:r>
      <w:r>
        <w:rPr>
          <w:sz w:val="22"/>
        </w:rPr>
        <w:t xml:space="preserve"> </w:t>
      </w:r>
      <w:r>
        <w:rPr>
          <w:sz w:val="22"/>
        </w:rPr>
        <w:t xml:space="preserve">La carte d’invalidité sert de preuve au cas où la preuve de l’invalidité serait demandée.</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CHAPITRE 5:</w:t>
      </w:r>
      <w:r>
        <w:rPr>
          <w:sz w:val="22"/>
        </w:rPr>
        <w:t xml:space="preserve"> </w:t>
      </w:r>
      <w:r>
        <w:rPr>
          <w:sz w:val="22"/>
        </w:rPr>
        <w:t xml:space="preserve">Accessibilité des produits</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Article 116</w:t>
      </w:r>
      <w:r>
        <w:rPr>
          <w:sz w:val="22"/>
        </w:rPr>
        <w:tab/>
      </w:r>
      <w:r>
        <w:rPr>
          <w:sz w:val="22"/>
        </w:rPr>
        <w:t xml:space="preserve">Produits de consommation</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Un produit est considéré comme accessible lorsqu’il remplit les conditions suivantes:</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Il dispose d’une étiquette accessible adaptée à ses caractéristiques, ce qui lui permet d’être identifié, avec son nom et les informations les plus pertinentes.</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Sa conception suit des critères de conception universels, avec des conditions d’utilisation et des conditions de sécurité appropriées pour tout utilisateur.</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Des informations, instructions ou prospectus complémentaires peuvent être consultés via Internet, les applications sur des appareils et l’utilisation de nouvelles technologies, avec un contenu accessible répondant aux conditions énoncées aux points 25 et 26 de l’annexe 5a.</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Les entreprises qui commercialisent un produit sont responsables de veiller à ce que les conditions d’accès qui s’y appliquent soient remplies.</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Les produits pharmaceutiques et les produits dangereux doivent comporter des éléments et des systèmes d’information permettant aux personnes malvoyantes ou malentendantes et malvoyantes d’avoir accès aux informations suivantes:</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L’identification du nom du produit sur l’emballage au moyen du braille et de l’iconographie.</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La date de péremption sur l’emballage au moyen du braille et de l’iconographie ou d’autres moyens alternatifs qui présentent les mêmes caractéristiques.</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Les principales caractéristiques du produit, telles que sa composition et sa conservation, entre autres, au moyen d’une consultation audio via Internet ou par d’autres moyens que permettent les nouvelles technologies avec la même efficacité, à la demande d’associations pour les personnes ayant une déficience visuelle.</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Les chaînes de supermarchés et les entreprises ayant des établissements alimentaires ou mixtes, dans tous les endroits où elles disposent d’un local de plus de 250 m² de surface utile à usage public, à la demande d’une personne malvoyante ou d’un de ses proches, doivent garantir les conditions suivantes:</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Au moins un des établissements de la localité procède à l’étiquetage en braille des dénominations et des dates de péremption sur les produits périssables ou les produits susceptibles pouvoir être confondus, au moyen d’imprimantes ou de systèmes permettant un tel étiquetage en braille, dans l’établissement lui-même.</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Les produits vendus en ligne et livrés à domicile sont également étiquetés en braille comme indiqué précédemment au point ci-dessus.</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La communication commerciale effectuée via Internet ou par d’autres moyens fournit des informations, dans un format accessible, indiquant quels locaux offrent la possibilité d’étiqueter les produits en braille.</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Dans les communes de plus de 50 000 habitants, chaque quartier est considéré comme une zone territoriale différente et est assimilé à une localité aux fins de l’application du point précédent.</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L’administration de la Generalitat doit progressivement élaborer des instructions techniques qui intègrent les nouvelles avancées technologiques, et déterminer les spécifications, les délais, les caractéristiques et les critères d’étiquetage accessibles, ainsi que les règles universelles de conception applicables aux produits dans les différents secteurs commerciaux.</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Les consommateurs ayant une déficience visuelle et ceux ayant une déficience visuelle et auditive ont le droit de pouvoir accéder aux mêmes informations sur le produit que celles dont disposent tous les autres consommateurs et les utilisateurs sur l’étiquetage de manière indépendante, normale, facile, immédiate et dans des conditions égales.</w:t>
      </w:r>
      <w:r>
        <w:rPr>
          <w:sz w:val="22"/>
        </w:rPr>
        <w:t xml:space="preserve"> </w:t>
      </w:r>
      <w:r>
        <w:rPr>
          <w:sz w:val="22"/>
        </w:rPr>
        <w:t xml:space="preserve">À cette fin, l’étiquetage accessible doit satisfaire aux conditions suivantes:</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L’étiquetage doit fournir autant d’informations que possible, en offrant aux consommateurs handicapés des conditions égales à celles des autres consommateurs.</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L’étiquetage doit permettre d’obtenir des informations de manière indépendante, rapide, pratique, directe et normalisée, sans nécessiter de grandes connaissances techniques ni l’utilisation de moyens technologiques.</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L’étiquetage ne peut pas représenter un coût supplémentaire pour les consommateurs handicapés.</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L’étiquetage n’a pas à générer des coûts inabordables pour les entreprises.</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Les entreprises soumises à cette obligation qui offrent des services de vente électronique doivent inclure, sur le site internet correspondant, la possibilité pour les produits achetés de cette manière d’être livrés avec l’étiquetage accessible.</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Le système d’arbitrage pour les consommateurs et ses procédures et processus doivent être accessibles aux personnes handicapées.</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Les bureaux publics et privés de services aux consommateurs doivent prendre des mesures pour faciliter l’accessibilité de la communication, pour les personnes malentendantes qui communiquent en langue des signes et oralement, avec suffisamment de moyens d’appui.</w:t>
      </w:r>
      <w:r>
        <w:rPr>
          <w:sz w:val="22"/>
        </w:rPr>
        <w:t xml:space="preserve"> </w:t>
      </w:r>
      <w:r>
        <w:rPr>
          <w:sz w:val="22"/>
        </w:rPr>
        <w:t xml:space="preserve">En outre, ils doivent disposer d’une boucle auditive dans 20 % des bureaux destinés à l’accueil du public, et leur personnel doit être prêt à pouvoir informer les personnes handicapées, quelle que soit la nature de leur handicap, dans un délai maximum de trois ans à compter de l’entrée en vigueur du présent code.</w:t>
      </w:r>
    </w:p>
    <w:p w14:paraId="178D066A" w14:textId="77777777" w:rsidR="00CC0ADF" w:rsidRDefault="00CC0ADF">
      <w:pPr>
        <w:rPr>
          <w:lang w:val="es-ES"/>
        </w:rPr>
      </w:pPr>
    </w:p>
    <w:p w14:paraId="3EF53236" w14:textId="476D7F11" w:rsidR="00E526B5" w:rsidRDefault="00B670F2">
      <w:r>
        <w:rPr>
          <w:sz w:val="22"/>
        </w:rPr>
        <w:t xml:space="preserve">CHAPITRE 6:</w:t>
      </w:r>
      <w:r>
        <w:rPr>
          <w:sz w:val="22"/>
        </w:rPr>
        <w:t xml:space="preserve"> </w:t>
      </w:r>
      <w:r>
        <w:rPr>
          <w:sz w:val="22"/>
        </w:rPr>
        <w:t xml:space="preserve">Accessibilité des services</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Les services publics qui ont des sites internet accessibles au public doivent fournir des informations sur l’accessibilité de ces services, ainsi que sur leurs dépendances, leurs installations et leurs procédures.</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Les sites internet, les applications sur appareils mobiles et les autres produits et services des technologies de l’information et de la communication proposés par les services publics doivent satisfaire aux conditions énoncées à l’annexe 5a du présent code et à la norme UNE-EN 301549:2022 ou à celle qui le remplace, conformément à la directive (UE) 2016/2102 du Parlement européen et du Conseil et à la transposition effectuée par le décret royal nº 112/2018 du 7 septembre 2018 relatif à l’accessibilité des sites internet et des applications mobiles du secteur public, sans préjudice de la réglementation adoptée par l’organisme compétent en la matière en Catalogne.</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Les sites internet et applications mobiles des chaînes de supermarchés et des établissements alimentaires ou mixtes d’une surface utile à usage public supérieure à 500 m², offrant la possibilité d’acheter en ligne et de recevoir des produits par livraison à domicile, doivent être accessibles, conformément aux conditions énoncées aux points 25 et 26 de l’annexe 5a, et atteindre au moins le niveau de conformité en matière d’accessibilité double A (AA) conformément aux règles WCAG 2.1, dans les situations suivantes:</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Lorsqu’il s’agit de pages ou d’applications nouvellement créées.</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Lorsque les pages ou applications existantes sont modifiées.</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Lorsque les délais fixés au point 4 de l’annexe 6b sont respectés en adaptant les pages et les applications existantes.</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Les pages internet et les applications mobiles, qui permettent des opérations bancaires, des contrats ou tout autre type de gestion ou de consultation concernant des produits ayant fait l’objet d’un contrat dans un bureau physique, doivent être accessibles, conformément aux conditions énoncées aux points 25 et 26 de l’annexe 5a, et atteindre au moins le niveau de conformité double A (AA) en matière d’accessibilité conformément aux règles WCAG 2.1, dans les situations suivantes:</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Lorsqu’il s’agit de pages ou d’applications nouvellement créées.</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Lorsque les pages ou applications existantes sont modifiées.</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Lorsque les délais fixés au point 5 de l’annexe 6b sont respectés en adaptant les pages et les applications existantes.</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Les sites internet et les applications mobiles des chaînes hôtelières et des établissements d’une capacité de plus de 100 places, qui permettent de conclure des contrats d’hébergement et de services en ligne, doivent être accessibles, conformément aux conditions des points 25 et 26 de l’annexe 5a, et atteindre au moins le niveau de conformité en matière d’accessibilité double A (AA) conformément aux règles WCAG 2.1, dans les situations suivantes:</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Lorsqu’il s’agit de pages ou d’applications nouvellement créées.</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Lorsque les pages ou applications existantes sont modifiées.</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Lorsque les délais fixés au point 7 de l’annexe 6b pour adapter les pages et les applications existantes sont respectés.</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Les sites internet et les applications mobiles des établissements ou des associations d’établissements doivent être accessibles conformément aux conditions énoncées aux points 25 et 26 de l’annexe 5a;</w:t>
      </w:r>
      <w:r>
        <w:rPr>
          <w:sz w:val="22"/>
        </w:rPr>
        <w:t xml:space="preserve"> </w:t>
      </w:r>
      <w:r>
        <w:rPr>
          <w:sz w:val="22"/>
        </w:rPr>
        <w:t xml:space="preserve">ils doivent atteindre au moins le niveau de conformité double A (AA) en matière d’accessibilité conformément aux règles WCAG 2.1, et fournir les informations indiquées dans les points précédents, dans les situations suivantes:</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Lorsqu’il s’agit de pages ou d’applications nouvellement créées.</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Lorsque les pages ou applications existantes sont modifiées.</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Lorsque les délais fixés au point 3 de l’annexe 6b pour adapter les pages et les applications existantes sont respectés.</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Les sites internet et les applications mobiles des établissements et clubs sportifs qui proposent des ventes de billets pour des spectacles sur leur site doivent être accessibles et fournir les informations nécessaires dans les mêmes conditions que celles prévues à l’article 133 pour les services liés aux arts du spectacle.</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Les sites internet et les applications mobiles des établissements d’enseignement dispensant un enseignement officiel doivent être accessibles, conformément aux conditions énoncées aux points 25 et 26 de l’annexe 5a, et atteindre au moins le niveau de conformité double A (AA) en matière d’accessibilité conformément aux règles WCAG 2.1, dans les situations suivantes:</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Lorsqu’il s’agit de pages ou d’applications nouvellement créées.</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Lorsque les pages ou applications existantes sont modifiées.</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Lorsque les délais fixés au point 8 de l’annexe 6b sont respectés en adaptant les pages et les applications existantes.</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Article 138</w:t>
      </w:r>
      <w:r>
        <w:rPr>
          <w:sz w:val="22"/>
        </w:rPr>
        <w:tab/>
      </w:r>
      <w:r>
        <w:rPr>
          <w:sz w:val="22"/>
        </w:rPr>
        <w:t xml:space="preserve">Services essentiels, services d’intérêt général ou services financés par des fonds publics</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Les sites internet du secteur public catalan et des sociétés de droit public, ainsi que tous ceux qui sont lancés avec un financement de l’administration publique et ceux d’entités ou d’entreprises qui fournissent des services publics par concession ou sur une base contractuelle avec l’administration publique, doivent respecter les exigences du point 25 de l’annexe 5a et atteindre le niveau de conformité double A (AA) en matière d’accessibilité conformément aux règles WCAG 2.1, sans préjudice de la réglementation prise par l’organisme compétent en Catalogne conformément au décret royal nº 1112/2018 du 7 septembre 2018 relatif à l’accessibilité des sites internet et des applications mobiles du secteur public.</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Les sites internet d’entités privées fournissant des services essentiels ou des services d’intérêt général, y compris la fourniture d’électricité, d’eau ou de gaz et les télécommunications, ainsi que la fourniture de services de santé, postaux et bancaires, doivent également respecter les exigences du point 25 de l’annexe 5a et le niveau de conformité double A (AA) en matière d’accessibilité conformément aux règles WCAG 2.1.</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Les applications des appareils mobiles dans le secteur public et les entités mentionnées aux points 138.1 et 138.2 ci-dessus doivent satisfaire aux exigences d’accessibilité énoncées au point 26 de l’annexe 5a, sans préjudice de la réglementation prise par l’organisme compétent en la matière en Catalogne.</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Les exigences en matière d’accessibilité des sites internet et des applications mobiles énoncées dans le présent article s’appliquent pour autant qu’elles n’imposent pas une charge disproportionnée à l’entité qui doit les appliquer, en tenant compte des circonstances suivantes:</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Les dimensions, les ressources et la nature de l’entité en question.</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Les coûts et avantages pour l’entité et les avantages estimés pour les utilisateurs, compte tenu de la fréquence et de la durée de l’utilisation de ce site internet ou de cette application.</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Les effets discriminatoires sur les personnes handicapées si le site internet ou l’application n’est pas accessible dans le cas où il existe sur le marché des sites internet ou des applications alternatives qui offrent les mêmes fonctionnalités et conditions.</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 secteur public ou l’entité qui fait usage de l’exemption prévue au point 138.4 ci-dessus doit expliquer quelles exigences en matière d’accessibilité ne peuvent pas être remplies dans la déclaration d’accessibilité du site internet ou de l’application, et doit proposer des solutions de remplacement accessibles dans les limites des possibilités.</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Les pages internet et les applications mobiles doivent respecter les conditions d’accessibilité énoncées aux points précédents avant les délais définitifs fixés à au point 2 de l’annexe 6b.</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Les prestataires de services et les fabricants fournissant des équipements et des logiciels informatiques au secteur public catalan et aux entités visées au point 138.1 doivent inclure les éléments et caractéristiques supplémentaires d’accessibilité nécessaires pour permettre aux personnes handicapées d’accéder au contenu numérique.</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Les réseaux de télévision publics et privés en Catalogne doivent élaborer des plans pour l’accessibilité de leurs contenus afin de rendre progressivement leur programmation accessible, pour les personnes ayant des déficiences sensorielles et intellectuelles.</w:t>
      </w:r>
      <w:r>
        <w:rPr>
          <w:sz w:val="22"/>
        </w:rPr>
        <w:t xml:space="preserve"> </w:t>
      </w:r>
      <w:r>
        <w:rPr>
          <w:sz w:val="22"/>
        </w:rPr>
        <w:t xml:space="preserve">Ces plans doivent permettre d’atteindre les objectifs suivants dans un délai maximal de trois ans à compter de l’entrée en vigueur du présent code:</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Réseaux publics de télévision:</w:t>
      </w:r>
      <w:r>
        <w:rPr>
          <w:sz w:val="22"/>
        </w:rPr>
        <w:t xml:space="preserve"> </w:t>
      </w:r>
      <w:r>
        <w:rPr>
          <w:sz w:val="22"/>
        </w:rPr>
        <w:t xml:space="preserve">Ils doivent avoir 100 % de la programmation sous-titrée et fournir un minimum de 15 heures hebdomadaires de contenu avec audiodescription et 10 heures hebdomadaires en langue des signes catalane.</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Réseaux de télévision privés:</w:t>
      </w:r>
      <w:r>
        <w:rPr>
          <w:sz w:val="22"/>
        </w:rPr>
        <w:t xml:space="preserve"> </w:t>
      </w:r>
      <w:r>
        <w:rPr>
          <w:sz w:val="22"/>
        </w:rPr>
        <w:t xml:space="preserve">Ils doivent avoir 75 % de la programmation sous-titrée et fournir un minimum de 10 heures hebdomadaires de contenu avec audiodescription et 7 heures hebdomadaires en langue des signes catalane.</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La programmation en langue des signes catalane doit inclure des programmes d’information et des programmes pour enfants disponibles dans l’offre de visionnage différé lorsque ce service est disponible.</w:t>
      </w:r>
      <w:r>
        <w:rPr>
          <w:sz w:val="22"/>
        </w:rPr>
        <w:t xml:space="preserve"> </w:t>
      </w:r>
      <w:r>
        <w:rPr>
          <w:sz w:val="22"/>
        </w:rPr>
        <w:t xml:space="preserve">Cette programmation doit couvrir tous les jours de la semaine.</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Les sociétés de distribution d’œuvres cinématographiques et audiovisuelles doivent intégrer des systèmes de sous-titrage, d’audiodescription et d’audionavigation, de préférence dans des films étrangers et nationaux qui ont les meilleurs résultats au box-office ou qui ont reçu des récompenses nationales ou internationales, afin de les rendre disponibles au moyen d’un support DVD ou de systèmes similaires avec ces caractéristiques.</w:t>
      </w:r>
    </w:p>
    <w:p w14:paraId="0F3986EB" w14:textId="77777777" w:rsidR="003920DF" w:rsidRDefault="003920DF">
      <w:pPr>
        <w:rPr>
          <w:lang w:val="es-ES"/>
        </w:rPr>
      </w:pPr>
    </w:p>
    <w:p w14:paraId="44244122" w14:textId="3BAB5CCF" w:rsidR="00E526B5" w:rsidRDefault="00B670F2">
      <w:r>
        <w:rPr>
          <w:sz w:val="22"/>
        </w:rPr>
        <w:t xml:space="preserve">CHAPITRE 11:</w:t>
      </w:r>
      <w:r>
        <w:rPr>
          <w:sz w:val="22"/>
        </w:rPr>
        <w:t xml:space="preserve"> </w:t>
      </w:r>
      <w:r>
        <w:rPr>
          <w:sz w:val="22"/>
        </w:rPr>
        <w:t xml:space="preserve">Label de qualité en matière d’accessibilité</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La consultation publique des établissements, bâtiments et entités publiques titulaires du label de qualité doit être possible, au moins, via Internet, sans préjudice d’autres moyens pouvant être considérés comme appropriés.</w:t>
      </w:r>
    </w:p>
    <w:p w14:paraId="6CBE5DDA" w14:textId="77777777" w:rsidR="00E526B5" w:rsidRDefault="00E526B5">
      <w:pPr>
        <w:rPr>
          <w:lang w:val="es-ES"/>
        </w:rPr>
      </w:pPr>
    </w:p>
    <w:p w14:paraId="3BFAD248" w14:textId="66A7955A" w:rsidR="00E526B5" w:rsidRDefault="00CF1E0D">
      <w:r>
        <w:rPr>
          <w:sz w:val="22"/>
        </w:rPr>
        <w:t xml:space="preserve">Annexe 5a:</w:t>
      </w:r>
      <w:r>
        <w:rPr>
          <w:sz w:val="22"/>
        </w:rPr>
        <w:t xml:space="preserve"> </w:t>
      </w:r>
      <w:r>
        <w:rPr>
          <w:sz w:val="22"/>
        </w:rPr>
        <w:t xml:space="preserve">Normes d’accessibilité des produits</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Pages internet accessibles</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Les règles qui doivent être suivies pour la conception et la création d’un site internet et les conditions d’accessibilité sont les suivantes:</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Le contenu est configuré de manière à ce qu’il puisse être adapté à différents logiciels, appareils et produits d’aide sans perte d’informations ou sans perdre la structure.</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Des alternatives textuelles ou une identification descriptive sont fournies pour le contenu non textuel (images, graphiques, contenu multimédia).</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Des sous-titres et une description audio sont inclus pour le contenu multimédia lorsque cela est nécessaire pour une bonne compréhension du message.</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Des mécanismes qui permettent de couper et de réguler le volume du son sont fournis.</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La couleur n’est pas utilisée comme seul moyen de transmettre des informations, d’indiquer une action ou de distinguer un élément.</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Le texte et les images doivent avoir un contraste suffisant avec l’arrière-plan et une taille qui leur permet d’être lus avec aisance.</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La taille du texte doit pouvoir être ajustée à partir de la page elle-même sans l’aide de produits d’aide et sans perte de contenu ou de fonctionnalité.</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L’accès à toutes les fonctionnalités de la page doit être possible par l’utilisation du clavier, avec une solution qui n’entre pas en conflit avec les lecteurs d’écran et les grossisseurs.</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L’utilisateur doit pouvoir contrôler les informations ou les objets qui sont automatiquement déplacés ou mis à jour, en les arrêtant, en les masquant ou en contrôlant leur fréquence.</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La navigation est facilitée en structurant le contenu dans un ordre cohérent et en fournissant des mécanismes de navigation clairs.</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Des informations d’orientation sont incluses pour aider les utilisateurs à comprendre les éléments complexes et fournir des mécanismes pour détecter et prévenir les erreurs dans la saisie de données par les utilisateurs.</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La langue utilisée dans chaque paragraphe ou document du site internet est identifiée afin que les lecteurs d’écran et les synthétiseurs vocaux puissent automatiquement détecter et modifier la langue.</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Un langage clair et compréhensible est utilisé pour rendre le contenu facilement compréhensible, qui inclut la définition des mots les plus inhabituels et la signification des signes et des abréviations.</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La compatibilité avec les applications, les logiciels et les appareils que les utilisateurs peuvent avoir, y compris les produits d’assistance, est maximisée.</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Il est veillé à ce que les documents publiés sur Internet soient également accessibles et lisibles aux lecteurs d’écran.</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Des canaux de communication accessibles autres que le téléphone, par courriel, SMS ou par des formulaires, avec un temps de traitement qui n’est pas discriminatoire par rapport à celui d’un appel téléphonique, sont fournis.</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Il doit être satisfait aux critères établis conformément aux règles WCAG 2.1 à l’un de ses niveaux, aux conditions fixées par la norme UNE 139803:2012 ou celle qui la remplace, à l’exception des situations dans lesquelles le présent code exige un niveau plus élevé.</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Applications accessibles</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Les applications mobiles accessibles doivent respecter les conditions énoncées dans la norme UNE 139803:2012 ou celle qui la remplace et satisfaire aux critères généraux suivants:</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Tous les messages, les systèmes d’aide et les textes doivent être rédigés dans un langage clair et simple.</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Le texte doit être intelligible, avec une taille et une police qui facilitent la lecture.</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Le contraste de couleur des éléments avec l’arrière-plan doit être suffisant.</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Les contrôles, objets, icônes et images doivent être identifiables, faciles à utiliser et comporter un texte alternatif indiquant leur fonction ou leur signification.</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Les avertissements sonores doivent avoir des alternatives visuelles ou vibratoires.</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Le processus d’accès au service doit être fluide et rapide.</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L’application doit être compatible avec les produits d’aide tels que les lecteurs d’écran, les grossisseurs et les commandes vocales.</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L’application doit être compatible avec les outils d’accessibilité du système d’exploitation.</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Annexe 6b:</w:t>
      </w:r>
      <w:r>
        <w:rPr>
          <w:sz w:val="22"/>
        </w:rPr>
        <w:t xml:space="preserve"> </w:t>
      </w:r>
      <w:r>
        <w:rPr>
          <w:sz w:val="22"/>
        </w:rPr>
        <w:t xml:space="preserve">Délais pour l’adaptation des services existants aux conditions définies</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Compatibilité avec d’autres conditions requises</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Les conditions de la présente annexe 6b sont posées sans préjudice de l’obligation de conformité avant les délais indiqués pour les conditions d’accessibilité requises en cas de modification d’éléments ou de ressources existants.</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Secteur public catalan, sociétés de droit public et entités prestataires de services publics</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Les délais définitifs suivants sont fixés pour que les sites internet et les applications mobiles du secteur public catalan, des sociétés de droit public et des entités ou entreprises qui fournissent des services publics par concession ou sur une base contractuelle avec l’administration publique soient accessibles et remplissent les conditions énoncées à l’article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Un an à compter de l’entrée en vigueur du présent code:</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Les sites internet du secteur public catalan et des sociétés de droit public.</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Deux ans à compter de l’entrée en vigueur du présent code:</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Les applications mobiles dans le secteur public catalan et les sociétés de droit public.</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Trois ans à compter de l’entrée en vigueur du présent code:</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Les sites internet et applications mobiles d’entités ou d’entreprises qui fournissent des services publics par concession ou sur une base contractuelle avec l’administration publique.</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Les délais indiqués sont fixés sans préjudice de la conformité de délais plus exigeants qui résultent des caractéristiques du service conformément aux autres points de la présente annexe ou à d’autres textes qui réglementent cette question.</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Services liés aux arts de la scène, aux cinémas et aux événements sportifs</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Les délais définitifs suivants sont fixés afin que les sites internet et les canaux électroniques de vente de billets de l’établissement puissent être accessibles et remplir les conditions énoncées à l’article 133:</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Deux ans à compter de l’entrée en vigueur du présent code:</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Les sites internet et applications mobiles d’établissements d’une capacité égale ou supérieure à 2 000 sièges dans l’ensemble de la zone.</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Les sites internet et applications mobiles des plateformes de billetterie en ligne qui gèrent plus d’un établissement d’une capacité combinée égale ou supérieure à 2 000 sièges.</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Trois ans à compter de l’entrée en vigueur du présent code:</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Les sites internet et applications mobiles des plateformes de billetterie en ligne qui gèrent plus d’un établissement d’une capacité combinée de moins de 2 000 sièges.</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Quatre ans à compter de l’entrée en vigueur du présent code:</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Les sites internet et applications mobiles d’établissements d’une capacité inférieure à 2 000 sièges dans l’ensemble de la zone.</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Services commerciaux</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Les délais définitifs suivants sont fixés de manière à ce que les sites internet et les applications mobiles offrant la possibilité de faire des achats en ligne et ceux des chaînes de supermarchés ainsi que des entreprises ayant des établissements alimentaires ou mixtes puissent être accessibles et remplir les conditions énoncées à l’article 126:</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Deux ans à compter de l’entrée en vigueur du présent code:</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Les sites internet et applications mobiles de chaînes de supermarchés ayant au moins 10 établissements et locaux de plus de 500 m² de surface utile à usage public.</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Trois ans à compter de l’entrée en vigueur du présent code:</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Les sites internet et applications mobiles de chaînes de supermarchés qui ont entre 5 et 9 établissements et locaux de plus de 500 m² de surface utile à usage public.</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Quatre ans à compter de l’entrée en vigueur du présent code:</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Les sites internet et applications mobiles de chaînes de supermarchés et d’établissements alimentaires ou mixtes ayant des locaux de plus de 500 m² de surface utile à usage public.</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Services financiers et d’assurance</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Les délais définitifs suivants sont fixés afin que les sites internet et applications pour les appareils mobiles qui permettent l’exécution d’opérations bancaires, de contrats, de conseils médicaux ou tout autre type de gestion ou de consultation concernant les produits faisant l’objet de contrats avec l’entité puissent être accessibles et remplir les conditions énoncées à l’article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Un an à compter de l’entrée en vigueur du présent code:</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Les sites internet.</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Deux ans à compter de l’entrée en vigueur du présent code:</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Les applications mobiles.</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Services liés au transport privé</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Les délais définitifs suivants sont fixés afin que les entreprises offrant un service de location de voitures autonomes, avec un parc de plus de 100 véhicules, et celles qui offrent un service de location de voitures avec chauffeur, avec un parc de plus de 50 véhicules, puissent satisfaire aux conditions énoncées à l’article 128:</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Un an à compter de l’entrée en vigueur du présent code:</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Ils doivent disposer d’une offre de véhicules capables de transporter des personnes non conductrices en fauteuil roulant égale ou supérieure à 1 % du parc qu’ils gèrent.</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Ils doivent disposer d’une offre en véhicules adaptés pour les conducteurs à mobilité réduite égale ou supérieure à 0,5 % du parc qu’ils gèrent.</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L’offre indiquée aux points précédents peut être fournie au moyen de leurs propres véhicules ou par le biais d’accords avec d’autres opérateurs qui garantissent une disponibilité suffisante.</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Trois ans à compter de l’entrée en vigueur du présent code:</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Au moins 0,5 % des véhicules de leur propre parc doivent avoir la capacité de transporter des personnes non conductrices en fauteuil roulant.</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Six ans à compter de l’entrée en vigueur du présent code:</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Au moins 2 % des véhicules de leur propre parc doivent avoir la capacité de transporter des personnes non conductrices en fauteuil roulant.</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Au moins 0,5 % des véhicules de leur propre parc doivent être adaptés aux conducteurs à mobilité réduite.</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Services liés à l’hébergement touristique</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Les délais définitifs suivants sont fixés de manière à ce que les sites internet et les applications mobiles des chaînes hôtelières et des établissements d’une capacité de plus de 100 chambres, qui permettent la réservation d’hébergements et de services en ligne, puissent être accessibles et remplir les conditions énoncées à l’article 130:</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Deux ans à compter de l’entrée en vigueur du présent code:</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Les sites internet et applications mobiles des chaînes hôtelières qui disposent de 5 établissements ou plus et d’une offre conjointe de plus de 500 chambres.</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Trois ans à compter de l’entrée en vigueur du présent code:</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Les sites internet et applications mobiles des chaînes hôtelières comptant jusqu’à 4 établissements et une offre conjointe de plus de 500 chambres.</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Les sites internet et applications mobiles d’établissements de 500 chambres ou plus.</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Quatre ans à compter de l’entrée en vigueur du présent code:</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Les sites internet et applications mobiles des chaînes hôtelières disposant d’une offre conjointe de 100 à 500 chambres</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Les sites internet et applications mobiles d’établissements comptant entre 50 et 500 chambres.</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Services éducatifs</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Les délais définitifs suivants sont fixés afin que les sites internet et les applications mobiles des établissements d’enseignement dispensant un enseignement officiel puissent être accessibles et remplir les conditions énoncées à l’article 135:</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Deux ans à compter de l’entrée en vigueur du présent code:</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Les pages internet et applications mobiles qui permettent la recherche des dossiers académiques, la gestion des factures ou d’autres processus en ligne.</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Trois ans à compter de l’entrée en vigueur du présent code:</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Les sites internet et applications mobiles qui fournissent des informations sur l’école, les installations et les offres éducatives.</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Services de santé</w:t>
      </w:r>
    </w:p>
    <w:p w14:paraId="62E28D59" w14:textId="77777777" w:rsidR="00E526B5" w:rsidRPr="000F0A63" w:rsidRDefault="00E526B5" w:rsidP="00E526B5">
      <w:pPr>
        <w:tabs>
          <w:tab w:val="left" w:pos="284"/>
        </w:tabs>
        <w:jc w:val="both"/>
        <w:rPr>
          <w:bCs/>
          <w:sz w:val="22"/>
          <w:szCs w:val="22"/>
          <w:rFonts w:cs="Arial"/>
        </w:rPr>
      </w:pPr>
      <w:r>
        <w:rPr>
          <w:sz w:val="22"/>
        </w:rPr>
        <w:t xml:space="preserve">Les centres de santé dont le nombre de lits est égal ou supérieur à 50 doivent respecter les délais et conditions suivants:</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Trois ans à compter de l’entrée en vigueur du présent code:</w:t>
      </w:r>
    </w:p>
    <w:p w14:paraId="727C4E74" w14:textId="77777777" w:rsidR="00E526B5" w:rsidRPr="000F0A63" w:rsidRDefault="00E526B5" w:rsidP="00E526B5">
      <w:pPr>
        <w:tabs>
          <w:tab w:val="left" w:pos="284"/>
        </w:tabs>
        <w:jc w:val="both"/>
        <w:rPr>
          <w:sz w:val="22"/>
          <w:szCs w:val="22"/>
          <w:rFonts w:cs="Arial"/>
        </w:rPr>
      </w:pPr>
      <w:r>
        <w:rPr>
          <w:sz w:val="22"/>
        </w:rPr>
        <w:t xml:space="preserve">Ils disposent d’infrastructures, d’appareils mobiles et de protocoles pour pouvoir s’occuper des personnes malentendantes en la langue des signes catalane au moyen d’une technologie d’interprétation à distance, pour une capacité d’au moins 2 % des lits.</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