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ROZDZIAŁ 4: Dostępność w środkach transportu</w:t>
      </w:r>
    </w:p>
    <w:p w14:paraId="456422CC" w14:textId="551AF3E3" w:rsidR="00CC0ADF" w:rsidRPr="00CC0ADF" w:rsidRDefault="00CC0ADF" w:rsidP="000F4434">
      <w:pPr>
        <w:pStyle w:val="ListParagraph"/>
        <w:numPr>
          <w:ilvl w:val="1"/>
          <w:numId w:val="2"/>
        </w:numPr>
        <w:ind w:left="709"/>
        <w:jc w:val="both"/>
        <w:outlineLvl w:val="3"/>
        <w:rPr>
          <w:rFonts w:cs="Arial"/>
          <w:bCs/>
          <w:sz w:val="22"/>
          <w:szCs w:val="22"/>
        </w:rPr>
      </w:pPr>
      <w:r>
        <w:rPr>
          <w:sz w:val="22"/>
        </w:rPr>
        <w:t>W przypadku, gdy usługa taksówkowa jest oferowana poprzez kontraktowanie telefoniczne, usługa ta musi rozszerzyć środki zamawiania przy użyciu nowych technologii, aplikacji, Internetu, wiadomości tekstowych, faksu lub innych podobnych środków, tak by wszyscy użytkownicy, w tym osoby z niepełnosprawnością słuchu, mogli samodzielnie zamówić usługę.</w:t>
      </w:r>
    </w:p>
    <w:p w14:paraId="2D97C4D3" w14:textId="77777777" w:rsidR="00CC0ADF" w:rsidRPr="000F0A63" w:rsidRDefault="00CC0ADF" w:rsidP="000F4434">
      <w:pPr>
        <w:pStyle w:val="ListParagraph"/>
        <w:numPr>
          <w:ilvl w:val="1"/>
          <w:numId w:val="2"/>
        </w:numPr>
        <w:ind w:left="709"/>
        <w:jc w:val="both"/>
        <w:outlineLvl w:val="3"/>
        <w:rPr>
          <w:rFonts w:cs="Arial"/>
          <w:bCs/>
          <w:sz w:val="22"/>
          <w:szCs w:val="22"/>
        </w:rPr>
      </w:pPr>
      <w:r>
        <w:rPr>
          <w:sz w:val="22"/>
        </w:rPr>
        <w:t xml:space="preserve">Jeśli usługa „taksówka na żądanie” posiada stronę internetową, musi być ona dostępna, przynajmniej na poziomie AA wytycznych WCAG 2.1. </w:t>
      </w:r>
    </w:p>
    <w:p w14:paraId="4AEFA1EE" w14:textId="2FEB6DE3" w:rsidR="00CC0ADF" w:rsidRDefault="00CC0ADF" w:rsidP="000F4434">
      <w:pPr>
        <w:pStyle w:val="ListParagraph"/>
        <w:numPr>
          <w:ilvl w:val="1"/>
          <w:numId w:val="3"/>
        </w:numPr>
        <w:ind w:left="709" w:hanging="709"/>
        <w:jc w:val="both"/>
        <w:outlineLvl w:val="3"/>
        <w:rPr>
          <w:rFonts w:cs="Arial"/>
          <w:bCs/>
          <w:sz w:val="22"/>
          <w:szCs w:val="22"/>
        </w:rPr>
      </w:pPr>
      <w:r>
        <w:rPr>
          <w:sz w:val="22"/>
        </w:rPr>
        <w:t>Wynajęcie taksówki dostępnej dla osób o ograniczonej sprawności ruchowej przez telefon, Internet lub aplikację mobilną nie może być objęte żadnym oczekiwanym uzupełnieniem zamówienia. Legitymacja inwalidzka służy jako dowód niepełnosprawności w razie potrzeby.</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ROZDZIAŁ 5: Dostępność produktów</w:t>
      </w:r>
    </w:p>
    <w:p w14:paraId="183BC7CF" w14:textId="76471CF5" w:rsidR="00CC0ADF" w:rsidRPr="000F0A63" w:rsidRDefault="00CC0ADF" w:rsidP="00CC0ADF">
      <w:pPr>
        <w:keepNext/>
        <w:jc w:val="both"/>
        <w:outlineLvl w:val="2"/>
        <w:rPr>
          <w:rFonts w:cs="Arial"/>
          <w:bCs/>
          <w:sz w:val="22"/>
          <w:szCs w:val="22"/>
        </w:rPr>
      </w:pPr>
      <w:bookmarkStart w:id="0" w:name="_Ref447791242"/>
      <w:r>
        <w:rPr>
          <w:sz w:val="22"/>
        </w:rPr>
        <w:t>Artykuł 116.</w:t>
      </w:r>
      <w:r>
        <w:rPr>
          <w:sz w:val="22"/>
        </w:rPr>
        <w:tab/>
        <w:t>Produkty konsumenckie</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rFonts w:cs="Arial"/>
          <w:bCs/>
          <w:sz w:val="22"/>
          <w:szCs w:val="22"/>
        </w:rPr>
      </w:pPr>
      <w:r>
        <w:rPr>
          <w:sz w:val="22"/>
        </w:rPr>
        <w:t>Produkt uznaje się za dostępny, jeżeli spełnia on następujące warunki:</w:t>
      </w:r>
    </w:p>
    <w:p w14:paraId="197D9229"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Posiada dostępną etykietę odpowiednią do jego cech, co pozwala na jego identyfikację, wraz z nazwą i najważniejszymi informacjami.</w:t>
      </w:r>
    </w:p>
    <w:p w14:paraId="015CE9DE"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Jego konstrukcja jest zgodna z uniwersalnymi kryteriami projektowymi, odpowiednimi warunkami użytkowania i warunkami bezpieczeństwa dla każdego użytkownika.</w:t>
      </w:r>
    </w:p>
    <w:p w14:paraId="64849B40"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Z dodatkowymi informacjami, instrukcjami lub ulotkami można zapoznać się za pośrednictwem Internetu, aplikacji na urządzenia i przy wykorzystaniu nowych technologii, przy czym dostępne treści spełniają warunki określone w załączniku 5a, ust. 25 i 26.</w:t>
      </w:r>
    </w:p>
    <w:p w14:paraId="4E44C98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Przedsiębiorstwa, które wprowadzają do obrotu produkt, są odpowiedzialne za zapewnienie spełnienia warunków dostępu, które mają do niego zastosowanie.</w:t>
      </w:r>
    </w:p>
    <w:p w14:paraId="3FF43F32"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Produkty farmaceutyczne i niebezpieczne produkty muszą zawierać elementy danych i systemy zapewniające osobom niewidomym lub głuchoniewidomym dostęp do następujących informacji: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Oznaczenie nazwy produktu na opakowaniu za pomocą alfabetu Braille’a i ikonografii.</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 xml:space="preserve">Data ważności na opakowaniu za pomocą alfabetu Braille’a i ikonografii lub innych alternatywnych metod o takich samych cechach.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rFonts w:cs="Arial"/>
          <w:i/>
          <w:sz w:val="22"/>
          <w:szCs w:val="22"/>
        </w:rPr>
      </w:pPr>
      <w:r>
        <w:rPr>
          <w:sz w:val="22"/>
        </w:rPr>
        <w:t xml:space="preserve">Główne cechy produktu, takie jak jego skład i konserwacja, m.in. poprzez wyszukiwanie audio w Internecie lub za pomocą innych środków umożliwianych przez nowe technologie o takiej samej skuteczności, na żądanie związków osób z wadami wzroku. </w:t>
      </w:r>
    </w:p>
    <w:p w14:paraId="4F2A53F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Sieci supermarketów oraz firmy posiadające punkty sprzedaży artykułów spożywczych lub mieszanych, we wszystkich miejscowościach, w których posiadają lokale o powierzchni użytkowej powyżej 250 m² przeznaczone do użytku publicznego, na wniosek osoby niewidomej lub członka rodziny osoby niewidomej muszą zagwarantować następujące warunki:</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Co najmniej jedna z placówek w miejscowości dokonuje etykietowania nazw i dat ważności w alfabecie Braille’a na łatwo psujących się produktach lub produktach, które mogą wprowadzać w błąd korzystając z drukarek lub systemów umożliwiających takie etykietowanie w alfabecie Braille’a w samej placówce.</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Produkty sprzedawane online i dostarczane do domów są również oznakowane w alfabecie Braille’a w sposób wskazany w punkcie powyżej.</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Reklama handlowa prowadzona w internecie lub w inny sposób zawiera w dostępnym formacie informacje wskazujące, które sklepy zapewniają możliwość znakowania produktów w alfabecie Braille’a.</w:t>
      </w:r>
    </w:p>
    <w:p w14:paraId="5332F12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W gminach liczących ponad 50 000 mieszkańców każda dzielnica jest uważana za inny obszar terytorialny i jest traktowana jak miejscowość na potrzeby stosowania postanowień poprzedniego ustępu. </w:t>
      </w:r>
    </w:p>
    <w:p w14:paraId="6459331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lastRenderedPageBreak/>
        <w:t xml:space="preserve">Generalitat stopniowo opracowuje instrukcje techniczne uwzględniające nowe osiągnięcia technologiczne oraz określa specyfikacje, terminy, cechy i kryteria dostępnego etykietowania oraz uniwersalne wytyczne dotyczące projektowania, mające zastosowanie do produktów w różnych sektorach handlu. </w:t>
      </w:r>
    </w:p>
    <w:p w14:paraId="4D08CFD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Konsumenci z upośledzeniem wzroku oraz głuchoniewidomi mają prawo do równego, niezależnego, normalnego, prostego i natychmiastowego dostępu do takich samych informacji o produktach, jakie są dostępne dla innych konsumentów i użytkowników na etykietach produktów. W tym celu dostępne etykietowanie musi spełniać następujące warunki:</w:t>
      </w:r>
    </w:p>
    <w:p w14:paraId="661B566E"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Musi dostarczać jak najwięcej informacji, zapewniając konsumentom niepełnosprawnym takie same warunki jak innym konsumentom.</w:t>
      </w:r>
    </w:p>
    <w:p w14:paraId="41CFB18C"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Musi umożliwiać uzyskanie informacji w sposób niezależny, szybki, wygodny, bezpośredni i znormalizowany, bez konieczności posiadania dużej wiedzy technicznej lub korzystania ze środków technologicznych.</w:t>
      </w:r>
    </w:p>
    <w:p w14:paraId="57DB1DC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Nie może wiązać się z dodatkowymi kosztami dla niepełnosprawnych konsumentów.</w:t>
      </w:r>
    </w:p>
    <w:p w14:paraId="0C13286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Nie musi generować zbyt wysokich kosztów dla firm.</w:t>
      </w:r>
    </w:p>
    <w:p w14:paraId="5602A71A"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Przedsiębiorstwa zobowiązane, które oferują usługi sprzedaży elektronicznej, zamieszczają na swojej stronie internetowej możliwość dostarczenia zakupionych w ten sposób produktów z dostępnym oznakowaniem.</w:t>
      </w:r>
    </w:p>
    <w:p w14:paraId="3ED1718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System arbitrażu konsumenckiego oraz jego procedury i procesy są dostępne dla osób niepełnosprawnych.</w:t>
      </w:r>
    </w:p>
    <w:p w14:paraId="03FE17A7"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Publiczne i prywatne biura obsługi konsumentów podejmują działania mające na celu ułatwienie dostępu do informacji osobom niesłyszącym, które porozumiewają się w języku migowym i ustnie przy użyciu odpowiednich środków wspomagających. Ponadto muszą mieć zainstalowaną pętlę indukcyjną w 20 % stanowisk biur obsługi klienta, a ich pracownicy będą przygotowani do przekazywania informacji osobom niepełnosprawnym w ciągu maksymalnie trzech lat od wejścia w życie niniejszego Kodeksu.</w:t>
      </w:r>
    </w:p>
    <w:p w14:paraId="178D066A" w14:textId="77777777" w:rsidR="00CC0ADF" w:rsidRDefault="00CC0ADF">
      <w:pPr>
        <w:rPr>
          <w:lang w:val="es-ES"/>
        </w:rPr>
      </w:pPr>
    </w:p>
    <w:p w14:paraId="3EF53236" w14:textId="476D7F11" w:rsidR="00E526B5" w:rsidRDefault="00B670F2">
      <w:r>
        <w:rPr>
          <w:sz w:val="22"/>
        </w:rPr>
        <w:t>ROZDZIAŁ 6: Dostępność w usługach</w:t>
      </w:r>
    </w:p>
    <w:p w14:paraId="7DEC37FB" w14:textId="27CCD605" w:rsidR="00CC0ADF" w:rsidRPr="00CC0ADF" w:rsidRDefault="00CC0ADF" w:rsidP="000F4434">
      <w:pPr>
        <w:pStyle w:val="ListParagraph"/>
        <w:numPr>
          <w:ilvl w:val="1"/>
          <w:numId w:val="9"/>
        </w:numPr>
        <w:ind w:left="0" w:firstLine="0"/>
        <w:jc w:val="both"/>
        <w:outlineLvl w:val="3"/>
        <w:rPr>
          <w:rFonts w:cs="Arial"/>
          <w:bCs/>
          <w:sz w:val="22"/>
          <w:szCs w:val="22"/>
        </w:rPr>
      </w:pPr>
      <w:r>
        <w:rPr>
          <w:sz w:val="22"/>
        </w:rPr>
        <w:t>Usługi publiczne, prowadzące strony internetowe, informują o dostępności tych służb, ich pomieszczeń, urządzeń i procedur.</w:t>
      </w:r>
    </w:p>
    <w:p w14:paraId="6A2C95FC" w14:textId="77777777" w:rsidR="00CC0ADF" w:rsidRPr="000F0A63" w:rsidRDefault="00CC0ADF" w:rsidP="000F4434">
      <w:pPr>
        <w:pStyle w:val="ListParagraph"/>
        <w:numPr>
          <w:ilvl w:val="1"/>
          <w:numId w:val="9"/>
        </w:numPr>
        <w:ind w:left="0" w:firstLine="0"/>
        <w:jc w:val="both"/>
        <w:outlineLvl w:val="3"/>
        <w:rPr>
          <w:rFonts w:cs="Arial"/>
          <w:bCs/>
          <w:sz w:val="22"/>
          <w:szCs w:val="22"/>
        </w:rPr>
      </w:pPr>
      <w:r>
        <w:rPr>
          <w:sz w:val="22"/>
        </w:rPr>
        <w:t xml:space="preserve">Strony internetowe, aplikacje na urządzenia mobilne oraz inne produkty i usługi technologii informacyjno-komunikacyjnych oferowane przez służby publiczne muszą spełniać warunki określone w załączniku 5a do niniejszego Kodeksu oraz wymagania normy UNE-EN 301549:2022 lub normy ją zastępującej, zgodnie z dyrektywą Parlamentu Europejskiego i Rady (UE) 2016/2102 oraz transpozycją dokonaną dekretem królewskim 112/2018 z dnia 7 września 2018 r. w sprawie dostępności stron internetowych i aplikacji na urządzenia mobilne w sektorze publicznym, bez uszczerbku dla rozporządzenia wydanego w tej sprawie przez właściwy organ Katalonii.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rFonts w:cs="Arial"/>
          <w:sz w:val="22"/>
          <w:szCs w:val="22"/>
        </w:rPr>
      </w:pPr>
      <w:r>
        <w:rPr>
          <w:sz w:val="22"/>
        </w:rPr>
        <w:t>Strony internetowe i aplikacje mobilne sieci supermarketów i sklepów spożywczych lub mieszanych o powierzchni użytecznej do użytku publicznego powyżej 500 m², oferujące możliwość zakupu przez internet i odbierania produktów poprzez dostawę do domu, muszą być dostępne, zgodnie z warunkami określonymi w pkt 25 i 26 załącznika 5a, oraz muszą osiągnąć co najmniej podwójny poziom dostępności A (AA) zgodnie z wytycznymi WCAG 2.1, w następujących sytuacjach:</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 xml:space="preserve">Dotyczy to nowo tworzonych stron lub aplikacji.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Istniejące strony lub aplikacje zostaną odpowiednio zmodyfikowane.</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Należy dochować terminów wskazanych w ust. 4 załącznika 6b dotyczących dostosowania istniejących stron i aplikacji.</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rFonts w:cs="Arial"/>
          <w:bCs/>
          <w:sz w:val="22"/>
          <w:szCs w:val="22"/>
        </w:rPr>
      </w:pPr>
      <w:r>
        <w:rPr>
          <w:sz w:val="22"/>
        </w:rPr>
        <w:lastRenderedPageBreak/>
        <w:t>Strony internetowe i aplikacje na urządzenia mobilne, które umożliwiają dokonywanie transakcji bankowych, zawieranie umów lub jakikolwiek inny rodzaj zarządzania lub konsultacji dotyczących produktów zakontraktowanych w fizycznym biurze, muszą być dostępne, zgodnie z warunkami określonymi w pkt 25 i 26 załącznika 5a, i osiągnąć co najmniej podwójny poziom dostępności A (AA) zgodnie z wytycznymi WCAG 2.1 w następujących sytuacjach:</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 xml:space="preserve">Dotyczy to nowo tworzonych stron lub aplikacji.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Istniejące strony lub aplikacje zostaną odpowiednio zmodyfikowane.</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Należy dochować terminów wskazanych w ust. 5 załącznika 6b dotyczących dostosowania istniejących stron i aplikacji.</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rFonts w:cs="Arial"/>
          <w:bCs/>
          <w:sz w:val="22"/>
          <w:szCs w:val="22"/>
        </w:rPr>
      </w:pPr>
      <w:r>
        <w:rPr>
          <w:sz w:val="22"/>
        </w:rPr>
        <w:t>Strony internetowe i aplikacje mobilne sieci hotelowych i placówek o pojemności większej niż 100 miejsc, które umożliwiają zawieranie umów o zakwaterowanie i usługi online, muszą być dostępne, zgodnie z warunkami określonymi w pkt 25 i 26 załącznika 5a, oraz muszą osiągnąć co najmniej podwójny poziom dostępności A (AA) zgodnie z wytycznymi WCAG 2.1 w następujących sytuacjach:</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 xml:space="preserve">Dotyczy to nowo tworzonych stron lub aplikacji.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Istniejące strony lub aplikacje zostaną odpowiednio zmodyfikowane.</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W przypadku dotrzymania terminów określonych w pkt 7 załącznika 6b na dostosowanie istniejących stron i wniosków.</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rFonts w:cs="Arial"/>
          <w:sz w:val="22"/>
          <w:szCs w:val="22"/>
        </w:rPr>
      </w:pPr>
      <w:r>
        <w:rPr>
          <w:sz w:val="22"/>
        </w:rPr>
        <w:t>Strony internetowe i mobilne aplikacje podmiotów lub ich stowarzyszeń muszą być dostępne zgodnie z warunkami określonymi w załączniku 5a pkt 25 i 26; osiągnięcie co najmniej poziomu podwójnej zgodności w zakresie dostępności A (AA) zgodnie z wytycznymi WCAG 2.1 oraz zapewnianie informacji wskazanych w poprzednich ustępach w następujących sytuacjach:</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 xml:space="preserve">Dotyczy to nowo tworzonych stron lub aplikacji.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Istniejące strony lub aplikacje zostaną odpowiednio zmodyfikowane.</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W przypadku dotrzymania terminów określonych w pkt 3 załącznika 6b na dostosowanie istniejących stron i wniosków.</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rFonts w:cs="Arial"/>
          <w:bCs/>
          <w:sz w:val="22"/>
          <w:szCs w:val="22"/>
        </w:rPr>
      </w:pPr>
      <w:r>
        <w:rPr>
          <w:sz w:val="22"/>
        </w:rPr>
        <w:t>Strony internetowe i mobilne aplikacje placówek i klubów sportowych, oferujących sprzedaż biletów na wydarzenia w ich siedzibie muszą być dostępne i muszą zapewniać niezbędne informacje na takich samych warunkach, jak określono w art. 133 w odniesieniu do usług związanych ze wydarzeniami artystycznymi.</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rFonts w:cs="Arial"/>
          <w:bCs/>
          <w:sz w:val="22"/>
          <w:szCs w:val="22"/>
        </w:rPr>
      </w:pPr>
      <w:r>
        <w:rPr>
          <w:sz w:val="22"/>
        </w:rPr>
        <w:t>Strony internetowe i mobilne aplikacje placówek oświatowych zapewniających kształcenie formalne muszą być dostępne zgodnie z warunkami określonymi w pkt 25 i 26 załącznika 5a i muszą osiągnąć co najmniej podwójny poziom dostępności A (AA) zgodnie z wytycznymi WCAG 2.1 w następujących sytuacjach:</w:t>
      </w:r>
    </w:p>
    <w:p w14:paraId="46144290"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 xml:space="preserve">Dotyczy to nowo tworzonych stron lub aplikacji. </w:t>
      </w:r>
    </w:p>
    <w:p w14:paraId="124A7079"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Istniejące strony lub aplikacje zostaną odpowiednio zmodyfikowane.</w:t>
      </w:r>
    </w:p>
    <w:p w14:paraId="4CC9837C"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Należy dochować terminów wskazanych w ust. 8 załącznika 6b dotyczących dostosowania istniejących stron i aplikacji.</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rFonts w:cs="Arial"/>
          <w:bCs/>
          <w:sz w:val="22"/>
          <w:szCs w:val="22"/>
        </w:rPr>
      </w:pPr>
      <w:bookmarkStart w:id="1" w:name="_Ref447800574"/>
      <w:r>
        <w:rPr>
          <w:sz w:val="22"/>
        </w:rPr>
        <w:t>Artykuł 138.</w:t>
      </w:r>
      <w:r>
        <w:rPr>
          <w:sz w:val="22"/>
        </w:rPr>
        <w:tab/>
        <w:t xml:space="preserve">Usługi podstawowe, usługi świadczone w interesie ogólnym lub usługi finansowane ze środków publicznych </w:t>
      </w:r>
      <w:bookmarkEnd w:id="1"/>
    </w:p>
    <w:p w14:paraId="7D137DE4" w14:textId="752BD128" w:rsidR="003920DF" w:rsidRPr="003920DF" w:rsidRDefault="003920DF" w:rsidP="000F4434">
      <w:pPr>
        <w:pStyle w:val="ListParagraph"/>
        <w:numPr>
          <w:ilvl w:val="1"/>
          <w:numId w:val="23"/>
        </w:numPr>
        <w:ind w:left="0" w:firstLine="0"/>
        <w:jc w:val="both"/>
        <w:outlineLvl w:val="3"/>
        <w:rPr>
          <w:rFonts w:cs="Arial"/>
          <w:bCs/>
          <w:sz w:val="22"/>
          <w:szCs w:val="22"/>
        </w:rPr>
      </w:pPr>
      <w:r>
        <w:rPr>
          <w:sz w:val="22"/>
        </w:rPr>
        <w:t xml:space="preserve">Strony internetowe katalońskiego sektora publicznego i spółek prawa publicznego, a także wszystkie te, które są uruchamiane ze środków administracji publicznej oraz strony podmiotów lub przedsiębiorstw świadczących usługi publiczne na podstawie koncesji lub umowy z administracją publiczną muszą spełniać wymogi pkt 25 załącznika 5a i osiągnąć poziom podwójnej dostępności A (AA) zgodnie z wytycznymi WCAG 2.1 bez uszczerbku dla </w:t>
      </w:r>
      <w:r>
        <w:rPr>
          <w:sz w:val="22"/>
        </w:rPr>
        <w:lastRenderedPageBreak/>
        <w:t>rozporządzenia wydanego w tej sprawie przez właściwy organ w Katalonii zgodnie z dekretem królewskim 1112/2018 z dnia 7 września 2018 r. w sprawie dostępności stron internetowych i aplikacji na urządzenia mobilne w sektorze publicznym.</w:t>
      </w:r>
    </w:p>
    <w:p w14:paraId="6FD18B43"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Strony internetowe podmiotów prywatnych świadczących podstawowe usługi lub usługi świadczone w interesie ogólnym, w tym dostawy energii elektrycznej, wody lub gazu i telekomunikacji, a także usługi opieki zdrowotnej, usługi pocztowe i bankowe muszą również spełniać wymogi określone w pkt 25 załącznika 5a oraz poziom podwójnej dostępności A (AA) zgodnie z wytycznymi WCAG 2.1. </w:t>
      </w:r>
    </w:p>
    <w:p w14:paraId="54D877DC" w14:textId="68D622D4"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Aplikacje na urządzenia mobilne sektora publicznego i podmiotów wymienionych w sekcjach 138.1 i 138.2 powyżej muszą spełniać wymogi dostępności określone w ust. 26 załącznika 5a, bez uszczerbku dla rozporządzenia wydanego przez właściwy organ w tej dziedzinie w Katalonii.</w:t>
      </w:r>
    </w:p>
    <w:p w14:paraId="0F7B09C4" w14:textId="77777777" w:rsidR="003920DF" w:rsidRPr="000F0A63" w:rsidRDefault="003920DF" w:rsidP="000F4434">
      <w:pPr>
        <w:pStyle w:val="ListParagraph"/>
        <w:numPr>
          <w:ilvl w:val="1"/>
          <w:numId w:val="23"/>
        </w:numPr>
        <w:ind w:left="0" w:firstLine="0"/>
        <w:jc w:val="both"/>
        <w:outlineLvl w:val="3"/>
        <w:rPr>
          <w:rFonts w:cs="Arial"/>
          <w:sz w:val="22"/>
          <w:szCs w:val="22"/>
        </w:rPr>
      </w:pPr>
      <w:r>
        <w:rPr>
          <w:sz w:val="22"/>
        </w:rPr>
        <w:t>Wymogi dostępności stron internetowych i aplikacji mobilnych określone w niniejszym artykule mają zastosowanie pod warunkiem, że nie nakładają one nieproporcjonalnego obciążenia na podmiot, który musi je realizować zgodnie z następującymi okolicznościami:</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Wielkość, zasoby i charakter danej jednostki.</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 xml:space="preserve">Ponoszone koszty i korzyści odnoszone przez podmiot oraz szacunkowe korzyści dla użytkowników z uwzględnieniem częstotliwości i czasu korzystania z danej strony internetowej lub aplikacji.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Dyskryminujące skutki dla osób niepełnosprawnych, jeżeli strona internetowa lub aplikacja nie będą dostępne w przypadku istnienia na rynku stron internetowych lub alternatywnych aplikacji, które oferują te same funkcje i warunki.</w:t>
      </w:r>
    </w:p>
    <w:p w14:paraId="7EAD681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Sektor publiczny lub podmiot korzystający z wyłączenia w 138.4 powyżej musi wyjaśnić w oświadczeniu o dostępności strony internetowej lub aplikacji, które wymogi dostępności nie mogły zostać spełnione i musi zapewnić dostępne alternatywy.</w:t>
      </w:r>
    </w:p>
    <w:p w14:paraId="5D7ECF09"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Strony internetowe i aplikacje mobilne muszą być zgodne z warunkami dostępności określonymi w poprzednich ustępach przed upływem ostatecznych terminów określonych w pkt 2 załącznika 6b.</w:t>
      </w:r>
    </w:p>
    <w:p w14:paraId="64D96B3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Dostawcy usług i producenci dostarczający sprzęt i oprogramowanie informatyczne katalońskiemu sektorowi publicznemu oraz podmiotom, o których mowa w pkt 138.1, muszą uwzględnić dodatkowe elementy i funkcje dostępności niezbędne do zapewnienia osobom niepełnosprawnym dostępu do treści cyfrowych. </w:t>
      </w:r>
    </w:p>
    <w:p w14:paraId="03F2890E"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Publiczne i prywatne sieci telewizyjne w Katalonii muszą opracować plany zapewnienia dostępności publikowanych treści tak, by stopniowo udostępniać nadawane programy osobom z niepełnosprawnością sensoryczną i intelektualną. Plany takie muszą umożliwiać osiągnięcie następujących celów w ciągu maksymalnie trzech lat od wejścia w życie niniejszego Kodeksu:</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Sieci telewizji publicznej: Muszą mieć 100 % programów z napisami i zapewnić co najmniej 15 tygodniowo treści z opisem audio i 10 godzin tygodniowo w katalońskim języku migowym.</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Prywatne sieci telewizyjne: Muszą mieć 75 % programów z napisami i zapewnić co najmniej 10 tygodniowo treści z opisem audio i 7 godzin tygodniowo w katalońskim języku migowym.</w:t>
      </w:r>
    </w:p>
    <w:p w14:paraId="221F24A7"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Programy w katalońskim języku migowym muszą obejmować programy informacyjne i programy dla dzieci dostępne w ofercie odroczonego oglądania, gdy usługa ta jest dostępna. Programy te muszą obejmować każdy dzień tygodnia. </w:t>
      </w:r>
    </w:p>
    <w:p w14:paraId="1FCDD2A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Firmy dystrybuujące utwory kinematograficzne i audiowizualne muszą wprowadzić systemy napisów, opisu dźwiękowego i nawigacji dźwiękowej, najlepiej w tych filmach zagranicznych i krajowych, które uzyskują najlepsze wyniki oglądalności bądź otrzymały nagrody krajowe lub międzynarodowe, tak by były one dostępne na płytach DVD lub w podobnych systemach z takimi funkcjami.</w:t>
      </w:r>
    </w:p>
    <w:p w14:paraId="0F3986EB" w14:textId="77777777" w:rsidR="003920DF" w:rsidRDefault="003920DF">
      <w:pPr>
        <w:rPr>
          <w:lang w:val="es-ES"/>
        </w:rPr>
      </w:pPr>
    </w:p>
    <w:p w14:paraId="44244122" w14:textId="3BAB5CCF" w:rsidR="00E526B5" w:rsidRDefault="00B670F2" w:rsidP="00430A08">
      <w:pPr>
        <w:keepNext/>
      </w:pPr>
      <w:r>
        <w:rPr>
          <w:sz w:val="22"/>
        </w:rPr>
        <w:lastRenderedPageBreak/>
        <w:t>ROZDZIAŁ 11: Znak jakości dostępności</w:t>
      </w:r>
    </w:p>
    <w:p w14:paraId="5E23591F" w14:textId="30E33DFC" w:rsidR="00E526B5" w:rsidRPr="000F0A63" w:rsidRDefault="00E526B5" w:rsidP="000F4434">
      <w:pPr>
        <w:pStyle w:val="Heading4"/>
        <w:keepNext w:val="0"/>
        <w:numPr>
          <w:ilvl w:val="1"/>
          <w:numId w:val="24"/>
        </w:numPr>
        <w:spacing w:before="0" w:after="0"/>
        <w:ind w:left="0" w:firstLine="0"/>
        <w:jc w:val="both"/>
        <w:rPr>
          <w:rFonts w:cs="Arial"/>
          <w:sz w:val="22"/>
          <w:szCs w:val="22"/>
        </w:rPr>
      </w:pPr>
      <w:r>
        <w:rPr>
          <w:sz w:val="22"/>
        </w:rPr>
        <w:t>Publiczne konsultacje z zakładami, budynkami i jednostkami ludności posiadającymi znak jakości muszą być możliwe przynajmniej za pośrednictwem sieci internet, bez uszczerbku dla innych środków, które mogą być uznane za właściwe.</w:t>
      </w:r>
    </w:p>
    <w:p w14:paraId="6CBE5DDA" w14:textId="77777777" w:rsidR="00E526B5" w:rsidRDefault="00E526B5">
      <w:pPr>
        <w:rPr>
          <w:lang w:val="es-ES"/>
        </w:rPr>
      </w:pPr>
    </w:p>
    <w:p w14:paraId="3BFAD248" w14:textId="66A7955A" w:rsidR="00E526B5" w:rsidRDefault="00CF1E0D">
      <w:r>
        <w:rPr>
          <w:sz w:val="22"/>
        </w:rPr>
        <w:t>Załącznik 5a Standardy dostępności produktów</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rFonts w:cs="Arial"/>
          <w:bCs/>
          <w:iCs/>
          <w:sz w:val="22"/>
          <w:szCs w:val="22"/>
        </w:rPr>
      </w:pPr>
      <w:bookmarkStart w:id="2" w:name="_Ref447796406"/>
      <w:r>
        <w:rPr>
          <w:sz w:val="22"/>
        </w:rPr>
        <w:t>Dostępne strony internetowe</w:t>
      </w:r>
      <w:bookmarkEnd w:id="2"/>
      <w:r>
        <w:rPr>
          <w:sz w:val="22"/>
        </w:rPr>
        <w:t xml:space="preserve"> </w:t>
      </w:r>
    </w:p>
    <w:p w14:paraId="2592043C" w14:textId="77777777" w:rsidR="00E526B5" w:rsidRPr="000F0A63" w:rsidRDefault="00E526B5" w:rsidP="00E526B5">
      <w:pPr>
        <w:tabs>
          <w:tab w:val="num" w:pos="0"/>
          <w:tab w:val="left" w:pos="284"/>
        </w:tabs>
        <w:jc w:val="both"/>
        <w:rPr>
          <w:rFonts w:cs="Arial"/>
          <w:sz w:val="22"/>
          <w:szCs w:val="22"/>
        </w:rPr>
      </w:pPr>
      <w:r>
        <w:rPr>
          <w:sz w:val="22"/>
        </w:rPr>
        <w:t xml:space="preserve">Wytyczne, jakich należy przestrzegać przy projektowaniu i tworzeniu strony internetowej oraz warunki jej dostępności, są następujące: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Skonfiguruj zawartość tak, aby można ją było dostosować do różnych programów, urządzeń i produktów pomocniczych bez utraty informacji lub struktury.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Zapewnij alternatywy tekstowe lub opisową identyfikację treści nietekstowych (obrazy, grafiki, treści multimedialne).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Dołącz napisy i opis dźwiękowy do treści multimedialnych, gdy jest to wymagane do prawidłowego zrozumienia komunikatu.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Zapewnij mechanizmy umożliwiające wyciszenie i regulację głośności dźwięku.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Nie używaj koloru jako jedynego sposobu przekazywania informacji, wskazania działania lub rozróżnienia elementów.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Tekst i obrazy muszą mieć odpowiedni kontrast z tłem i być w rozmiarze umożliwiającym ich wygodne czytanie.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Rozmiar tekstu musi być dostosowywany z poziomu samej strony bez pomocy produktów wspomagających i bez uszczerbku dla treści lub funkcjonalności.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Zapewnij dostęp do wszystkich funkcji strony za pomocą klawiatury przy czym rozwiązanie to nie może kolidować z czytnikami ekranu i lupą.</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Zapewnij użytkownikowi możliwość kontrolowania informacji lub obiektów, które są automatycznie przenoszone lub aktualizowane tak, by mógł on je zatrzymać, ukryć lub kontrolować częstotliwość powyższych działań.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bookmarkStart w:id="3" w:name="_Ref488129626"/>
      <w:r>
        <w:rPr>
          <w:sz w:val="22"/>
        </w:rPr>
        <w:t xml:space="preserve">Uprość nawigację poprzez uporządkowanie zawartości w sposób spójny i poprzez zapewnienie przejrzystych mechanizmów nawigacji.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Zastosuj wskazówki, które pomogą użytkownikom zrozumieć złożone elementy oraz zapewnij mechanizmy wykrywania błędów przy wprowadzaniu danych przez użytkowników i zapobiegania takim błędom.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Zidentyfikuj język używany w każdym akapicie lub dokumencie strony internetowej, aby czytniki ekranu i syntezatory mowy mogły automatycznie wykryć i zmienić język.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 xml:space="preserve">Używaj jasnego i zrozumiałego języka, aby treść była łatwo zrozumiała, wstaw definicje nietypowych słów oraz znaczenie akronimów i skrótów.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Zapewnij maksymalną kompatybilność z aplikacjami, oprogramowaniem i urządzeniami, z jakich mogą korzystać użytkownicy, w tym z produktami wspierającymi.</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rFonts w:cs="Arial"/>
          <w:sz w:val="22"/>
          <w:szCs w:val="22"/>
        </w:rPr>
      </w:pPr>
      <w:r>
        <w:rPr>
          <w:sz w:val="22"/>
        </w:rPr>
        <w:t>Upewnij się, że dokumenty publikowane w internecie są również dostępne i czytelne na czytnikach ekranowych.</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Zapewnij dostępne kanałów komunikacji inne niż telefon takie jak poczta elektroniczna, wiadomości SMS lub formularze z czasem obsługi, który nie będzie dyskryminujący w porównaniu z czasem połączenia telefonicznego.</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rFonts w:cs="Arial"/>
          <w:sz w:val="22"/>
          <w:szCs w:val="22"/>
        </w:rPr>
      </w:pPr>
      <w:r>
        <w:rPr>
          <w:sz w:val="22"/>
        </w:rPr>
        <w:t xml:space="preserve">Zadbaj o spełnienie kryteriów zgodnych z wytycznymi WCAG 2.1 na jednym z ich poziomów, z warunkami określonymi w normie UNE 139803:2012 lub warunkami, które ją zastępują, z wyjątkiem sytuacji, w których niniejszy Kodeks wymaga wyższego poziomu.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rFonts w:cs="Arial"/>
          <w:sz w:val="22"/>
          <w:szCs w:val="22"/>
        </w:rPr>
      </w:pPr>
      <w:bookmarkStart w:id="4" w:name="_Ref504990560"/>
      <w:r>
        <w:rPr>
          <w:sz w:val="22"/>
        </w:rPr>
        <w:t>Dostępne aplikacje</w:t>
      </w:r>
      <w:bookmarkEnd w:id="3"/>
      <w:bookmarkEnd w:id="4"/>
    </w:p>
    <w:p w14:paraId="7EB099BF" w14:textId="77777777" w:rsidR="00E526B5" w:rsidRPr="000F0A63" w:rsidRDefault="00E526B5" w:rsidP="00E526B5">
      <w:pPr>
        <w:tabs>
          <w:tab w:val="left" w:pos="284"/>
          <w:tab w:val="left" w:pos="426"/>
        </w:tabs>
        <w:jc w:val="both"/>
        <w:rPr>
          <w:rFonts w:cs="Arial"/>
          <w:sz w:val="22"/>
          <w:szCs w:val="22"/>
        </w:rPr>
      </w:pPr>
      <w:r>
        <w:rPr>
          <w:sz w:val="22"/>
        </w:rPr>
        <w:t xml:space="preserve">Aplikacje dostępne dla urządzeń przenośnych muszą spełniać warunki określone w normie UNE 139803:2012 lub te, które ją zastępują, i muszą spełniać następujące kryteria ogólne: </w:t>
      </w:r>
    </w:p>
    <w:p w14:paraId="580725D4"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lastRenderedPageBreak/>
        <w:t>Wszystkie wiadomości, systemy pomocy i teksty muszą być napisane jasnym i prostym językiem.</w:t>
      </w:r>
    </w:p>
    <w:p w14:paraId="2543102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Tekst musi być zrozumiały z czcionką w rozmiarze i kroju ułatwiającym czytanie.</w:t>
      </w:r>
    </w:p>
    <w:p w14:paraId="18CF95B7"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Kontrast kolorystyczny elementów i tła musi być wystarczający. </w:t>
      </w:r>
    </w:p>
    <w:p w14:paraId="6EAF5662"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Elementy sterujące, obiekty, ikony i obrazy muszą być łatwo identyfikowalne, łatwe w użyciu i muszą mieć powiązany tekst alternatywny, wskazujący ich funkcję lub znaczenie. </w:t>
      </w:r>
    </w:p>
    <w:p w14:paraId="5791E3B0"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Dźwięki ostrzegawcze muszą mieć alternatywę wizualną lub wibracyjną. </w:t>
      </w:r>
    </w:p>
    <w:p w14:paraId="12D8BAF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Proces uzyskiwania dostępu do usługi musi być sprawny i szybki.</w:t>
      </w:r>
    </w:p>
    <w:p w14:paraId="1F898261"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Aplikacja musi być kompatybilna z produktami wspomagającymi, takimi jak czytniki ekranu, lupy i komendy głosowe.</w:t>
      </w:r>
    </w:p>
    <w:p w14:paraId="795B853F"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Aplikacja musi być kompatybilna z narzędziami dostępności systemu operacyjnego.</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rFonts w:cs="Arial"/>
          <w:bCs/>
          <w:sz w:val="22"/>
          <w:szCs w:val="22"/>
        </w:rPr>
      </w:pPr>
      <w:r>
        <w:rPr>
          <w:sz w:val="22"/>
        </w:rPr>
        <w:t>Załącznik 6b: Terminy dostosowania istniejących usług do ustalonych warunków</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5" w:name="_Ref505083170"/>
      <w:r>
        <w:rPr>
          <w:sz w:val="22"/>
        </w:rPr>
        <w:t>Zgodność z innymi wymaganymi warunkami</w:t>
      </w:r>
      <w:bookmarkEnd w:id="5"/>
      <w:r>
        <w:rPr>
          <w:sz w:val="22"/>
        </w:rPr>
        <w:t xml:space="preserve"> </w:t>
      </w:r>
    </w:p>
    <w:p w14:paraId="1C074B90" w14:textId="77777777" w:rsidR="00E526B5" w:rsidRPr="000F0A63" w:rsidRDefault="00E526B5" w:rsidP="00E526B5">
      <w:pPr>
        <w:keepNext/>
        <w:keepLines/>
        <w:tabs>
          <w:tab w:val="left" w:pos="284"/>
        </w:tabs>
        <w:jc w:val="both"/>
        <w:rPr>
          <w:rFonts w:cs="Arial"/>
          <w:sz w:val="22"/>
          <w:szCs w:val="22"/>
        </w:rPr>
      </w:pPr>
      <w:r>
        <w:rPr>
          <w:sz w:val="22"/>
        </w:rPr>
        <w:t xml:space="preserve">Warunki zawarte w niniejszym załączniku 6b pozostają bez uszczerbku dla obowiązkowego spełnienia warunków dostępności wymaganych w przypadku modyfikacji istniejących elementów lub zasobów przed wskazanymi terminami.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6" w:name="_Ref505083210"/>
      <w:r>
        <w:rPr>
          <w:sz w:val="22"/>
        </w:rPr>
        <w:t>Kataloński sektor publiczny, spółki prawa publicznego i podmioty świadczące usługi publiczne</w:t>
      </w:r>
      <w:bookmarkEnd w:id="6"/>
    </w:p>
    <w:p w14:paraId="76077B47" w14:textId="77777777" w:rsidR="00E526B5" w:rsidRPr="000F0A63" w:rsidRDefault="00E526B5" w:rsidP="00E526B5">
      <w:pPr>
        <w:tabs>
          <w:tab w:val="left" w:pos="284"/>
        </w:tabs>
        <w:jc w:val="both"/>
        <w:rPr>
          <w:rFonts w:cs="Arial"/>
          <w:bCs/>
          <w:iCs/>
          <w:sz w:val="22"/>
          <w:szCs w:val="22"/>
        </w:rPr>
      </w:pPr>
      <w:r>
        <w:rPr>
          <w:sz w:val="22"/>
        </w:rPr>
        <w:t>Ustala się następujące ostateczne terminy zapewnienia dostępności stron internetowych i aplikacji mobilnych katalońskiego sektora publicznego, spółek prawa publicznego oraz podmiotów lub spółek świadczących usługi publiczne na podstawie koncesji lub na podstawie umowy z administracją publiczną i spełnienia przez nie warunków określonych w art.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Rok od wejścia w życie niniejszego Kodeksu:</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rFonts w:cs="Arial"/>
          <w:sz w:val="22"/>
          <w:szCs w:val="22"/>
        </w:rPr>
      </w:pPr>
      <w:r>
        <w:rPr>
          <w:sz w:val="22"/>
        </w:rPr>
        <w:t>Strony internetowe katalońskiego sektora publicznego i spółek prawa publicznego.</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2 lata od wejścia w życie niniejszego Kodeksu:</w:t>
      </w:r>
    </w:p>
    <w:p w14:paraId="04EB1B39" w14:textId="77777777" w:rsidR="00E526B5" w:rsidRPr="000F0A63" w:rsidRDefault="00E526B5" w:rsidP="000F4434">
      <w:pPr>
        <w:numPr>
          <w:ilvl w:val="0"/>
          <w:numId w:val="33"/>
        </w:numPr>
        <w:tabs>
          <w:tab w:val="left" w:pos="426"/>
        </w:tabs>
        <w:ind w:left="0" w:firstLine="0"/>
        <w:jc w:val="both"/>
        <w:rPr>
          <w:rFonts w:cs="Arial"/>
          <w:sz w:val="22"/>
          <w:szCs w:val="22"/>
        </w:rPr>
      </w:pPr>
      <w:r>
        <w:rPr>
          <w:sz w:val="22"/>
        </w:rPr>
        <w:t>Aplikacje na urządzenia mobilne w katalońskim sektorze publicznym i spółkach prawa publicznego.</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rFonts w:cs="Arial"/>
          <w:bCs/>
          <w:sz w:val="22"/>
          <w:szCs w:val="22"/>
        </w:rPr>
      </w:pPr>
      <w:r>
        <w:rPr>
          <w:sz w:val="22"/>
        </w:rPr>
        <w:t xml:space="preserve">3 lata od wejścia w życie niniejszego Kodeksu: </w:t>
      </w:r>
    </w:p>
    <w:p w14:paraId="2BC909CB" w14:textId="77777777" w:rsidR="00E526B5" w:rsidRPr="000F0A63" w:rsidRDefault="00E526B5" w:rsidP="000F4434">
      <w:pPr>
        <w:numPr>
          <w:ilvl w:val="0"/>
          <w:numId w:val="50"/>
        </w:numPr>
        <w:tabs>
          <w:tab w:val="left" w:pos="426"/>
        </w:tabs>
        <w:ind w:left="0" w:firstLine="0"/>
        <w:jc w:val="both"/>
        <w:rPr>
          <w:rFonts w:cs="Arial"/>
          <w:sz w:val="22"/>
          <w:szCs w:val="22"/>
        </w:rPr>
      </w:pPr>
      <w:r>
        <w:rPr>
          <w:sz w:val="22"/>
        </w:rPr>
        <w:t>Strony internetowe i aplikacje na urządzenia mobilne podmiotów lub przedsiębiorstw świadczących usługi publiczne na podstawie koncesji lub na podstawie umowy z administracją publiczną.</w:t>
      </w:r>
    </w:p>
    <w:p w14:paraId="5A897CB9" w14:textId="77777777" w:rsidR="00E526B5" w:rsidRPr="000F0A63" w:rsidRDefault="00E526B5" w:rsidP="00E526B5">
      <w:pPr>
        <w:tabs>
          <w:tab w:val="left" w:pos="284"/>
          <w:tab w:val="num" w:pos="426"/>
        </w:tabs>
        <w:jc w:val="both"/>
        <w:rPr>
          <w:rFonts w:cs="Arial"/>
          <w:sz w:val="22"/>
          <w:szCs w:val="22"/>
        </w:rPr>
      </w:pPr>
      <w:r>
        <w:rPr>
          <w:sz w:val="22"/>
        </w:rPr>
        <w:t xml:space="preserve">Wskazane terminy ustala się bez uszczerbku dla przestrzegania wszelkich bardziej rygorystycznych terminów, które mogą być wymagane ze względu na właściwości usługi zgodnie z pozostałymi ustępami niniejszego załącznika lub innymi przepisami regulującymi daną usługę.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7" w:name="_Ref505083224"/>
      <w:r>
        <w:rPr>
          <w:sz w:val="22"/>
        </w:rPr>
        <w:t>Usługi związane z wydarzeniami artystycznymi, kinematografią i wydarzeniami sportowymi</w:t>
      </w:r>
      <w:bookmarkEnd w:id="7"/>
    </w:p>
    <w:p w14:paraId="6E9E2B04" w14:textId="77777777" w:rsidR="00E526B5" w:rsidRPr="000F0A63" w:rsidRDefault="00E526B5" w:rsidP="00E526B5">
      <w:pPr>
        <w:tabs>
          <w:tab w:val="left" w:pos="284"/>
        </w:tabs>
        <w:jc w:val="both"/>
        <w:rPr>
          <w:rFonts w:cs="Arial"/>
          <w:bCs/>
          <w:sz w:val="22"/>
          <w:szCs w:val="22"/>
        </w:rPr>
      </w:pPr>
      <w:r>
        <w:rPr>
          <w:sz w:val="22"/>
        </w:rPr>
        <w:t>Ustala się następujące terminy, w których strony internetowe placówek oraz elektroniczne kanały sprzedaży biletów muszą być dostępne i spełniać warunki określone w art. 133:</w:t>
      </w:r>
    </w:p>
    <w:p w14:paraId="44E529E5"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2 lata od wejścia w życie niniejszego Kodeksu:</w:t>
      </w:r>
    </w:p>
    <w:p w14:paraId="26851055"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Strony internetowe i aplikacje na urządzenia mobilne obiektów na 2 000 lub więcej miejsc na całym terenie.</w:t>
      </w:r>
    </w:p>
    <w:p w14:paraId="59D0540F" w14:textId="77777777" w:rsidR="00E526B5" w:rsidRPr="000F0A63" w:rsidRDefault="00E526B5" w:rsidP="000F4434">
      <w:pPr>
        <w:numPr>
          <w:ilvl w:val="1"/>
          <w:numId w:val="34"/>
        </w:numPr>
        <w:tabs>
          <w:tab w:val="clear" w:pos="1440"/>
          <w:tab w:val="num" w:pos="567"/>
        </w:tabs>
        <w:ind w:left="0" w:firstLine="0"/>
        <w:jc w:val="both"/>
        <w:rPr>
          <w:rFonts w:cs="Arial"/>
          <w:sz w:val="22"/>
          <w:szCs w:val="22"/>
        </w:rPr>
      </w:pPr>
      <w:r>
        <w:rPr>
          <w:sz w:val="22"/>
        </w:rPr>
        <w:t>Strony internetowe i aplikacje mobilne internetowych platform sprzedaży biletów, które obsługują więcej niż jeden obiekt łącznie na 2 000 lub więcej miejsc.</w:t>
      </w:r>
    </w:p>
    <w:p w14:paraId="2835B2B8"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3 lata od wejścia w życie niniejszego Kodeksu:</w:t>
      </w:r>
    </w:p>
    <w:p w14:paraId="2F160C92" w14:textId="77777777" w:rsidR="00E526B5" w:rsidRPr="000F0A63" w:rsidRDefault="00E526B5" w:rsidP="000F4434">
      <w:pPr>
        <w:numPr>
          <w:ilvl w:val="0"/>
          <w:numId w:val="36"/>
        </w:numPr>
        <w:tabs>
          <w:tab w:val="left" w:pos="567"/>
        </w:tabs>
        <w:ind w:left="0" w:firstLine="0"/>
        <w:jc w:val="both"/>
        <w:rPr>
          <w:rFonts w:cs="Arial"/>
          <w:sz w:val="22"/>
          <w:szCs w:val="22"/>
        </w:rPr>
      </w:pPr>
      <w:r>
        <w:rPr>
          <w:sz w:val="22"/>
        </w:rPr>
        <w:t xml:space="preserve">Strony internetowe i aplikacje mobilne internetowych platform sprzedaży biletów, które obsługują więcej niż jeden obiekt łącznie na mniej niż 2 000 miejsc. </w:t>
      </w:r>
    </w:p>
    <w:p w14:paraId="7BECFAB4" w14:textId="77777777" w:rsidR="00E526B5" w:rsidRPr="000F0A63" w:rsidRDefault="00E526B5" w:rsidP="000F4434">
      <w:pPr>
        <w:keepNext/>
        <w:numPr>
          <w:ilvl w:val="0"/>
          <w:numId w:val="34"/>
        </w:numPr>
        <w:tabs>
          <w:tab w:val="left" w:pos="284"/>
        </w:tabs>
        <w:ind w:left="0" w:firstLine="0"/>
        <w:jc w:val="both"/>
        <w:rPr>
          <w:rFonts w:cs="Arial"/>
          <w:sz w:val="22"/>
          <w:szCs w:val="22"/>
        </w:rPr>
      </w:pPr>
      <w:r>
        <w:rPr>
          <w:sz w:val="22"/>
        </w:rPr>
        <w:t>4 lata od wejścia w życie niniejszego Kodeksu:</w:t>
      </w:r>
    </w:p>
    <w:p w14:paraId="4D5AB809" w14:textId="77777777" w:rsidR="00E526B5" w:rsidRPr="000F0A63" w:rsidRDefault="00E526B5" w:rsidP="000F4434">
      <w:pPr>
        <w:numPr>
          <w:ilvl w:val="0"/>
          <w:numId w:val="35"/>
        </w:numPr>
        <w:tabs>
          <w:tab w:val="left" w:pos="567"/>
        </w:tabs>
        <w:ind w:left="0" w:firstLine="0"/>
        <w:jc w:val="both"/>
        <w:rPr>
          <w:rFonts w:cs="Arial"/>
          <w:sz w:val="22"/>
          <w:szCs w:val="22"/>
        </w:rPr>
      </w:pPr>
      <w:r>
        <w:rPr>
          <w:sz w:val="22"/>
        </w:rPr>
        <w:t xml:space="preserve">Strony internetowe i aplikacje na urządzenia mobilne obiektów na mniej niż 2 000 miejsc na całym terenie.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8" w:name="_Ref505083249"/>
      <w:r>
        <w:rPr>
          <w:sz w:val="22"/>
        </w:rPr>
        <w:t>Usługi handlowe</w:t>
      </w:r>
      <w:bookmarkEnd w:id="8"/>
    </w:p>
    <w:p w14:paraId="3609046E" w14:textId="77777777" w:rsidR="00E526B5" w:rsidRPr="000F0A63" w:rsidRDefault="00E526B5" w:rsidP="00E526B5">
      <w:pPr>
        <w:keepLines/>
        <w:tabs>
          <w:tab w:val="left" w:pos="284"/>
        </w:tabs>
        <w:jc w:val="both"/>
        <w:rPr>
          <w:rFonts w:cs="Arial"/>
          <w:bCs/>
          <w:sz w:val="22"/>
          <w:szCs w:val="22"/>
        </w:rPr>
      </w:pPr>
      <w:r>
        <w:rPr>
          <w:sz w:val="22"/>
        </w:rPr>
        <w:t>Ustala się następujące terminy, w których strony internetowe i aplikacje mobilne na urządzenia mobilne oferujące możliwość dokonywania zakupów przez internet, sieci supermarketów oraz firm posiadających punkty sprzedaży artykułów spożywczych lub mieszanych muszą być dostępne i spełniać warunki określone w art. 126:</w:t>
      </w:r>
    </w:p>
    <w:p w14:paraId="12FBBAE4"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2 lata od wejścia w życie niniejszego Kodeksu:</w:t>
      </w:r>
    </w:p>
    <w:p w14:paraId="5E3D88E1" w14:textId="77777777" w:rsidR="00E526B5" w:rsidRPr="000F0A63" w:rsidRDefault="00E526B5" w:rsidP="000F4434">
      <w:pPr>
        <w:numPr>
          <w:ilvl w:val="1"/>
          <w:numId w:val="34"/>
        </w:numPr>
        <w:tabs>
          <w:tab w:val="clear" w:pos="1440"/>
          <w:tab w:val="num" w:pos="567"/>
        </w:tabs>
        <w:ind w:left="0" w:firstLine="0"/>
        <w:jc w:val="both"/>
        <w:rPr>
          <w:rFonts w:cs="Arial"/>
          <w:bCs/>
          <w:iCs/>
          <w:sz w:val="22"/>
          <w:szCs w:val="22"/>
        </w:rPr>
      </w:pPr>
      <w:r>
        <w:rPr>
          <w:sz w:val="22"/>
        </w:rPr>
        <w:t>Strony internetowe i aplikacje mobilne sieci supermarketów prowadzących 10 lub więcej placówek i lokali o powierzchni użytkowej powyżej 500 m² przeznaczonych do użytku publicznego.</w:t>
      </w:r>
    </w:p>
    <w:p w14:paraId="79B90796"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3 lata od wejścia w życie niniejszego Kodeksu:</w:t>
      </w:r>
    </w:p>
    <w:p w14:paraId="4A64FC41" w14:textId="77777777" w:rsidR="00E526B5" w:rsidRPr="000F0A63" w:rsidRDefault="00E526B5" w:rsidP="000F4434">
      <w:pPr>
        <w:numPr>
          <w:ilvl w:val="0"/>
          <w:numId w:val="37"/>
        </w:numPr>
        <w:tabs>
          <w:tab w:val="left" w:pos="567"/>
        </w:tabs>
        <w:ind w:left="0" w:firstLine="0"/>
        <w:jc w:val="both"/>
        <w:rPr>
          <w:rFonts w:cs="Arial"/>
          <w:bCs/>
          <w:iCs/>
          <w:sz w:val="22"/>
          <w:szCs w:val="22"/>
        </w:rPr>
      </w:pPr>
      <w:r>
        <w:rPr>
          <w:sz w:val="22"/>
        </w:rPr>
        <w:t>Strony internetowe i aplikacje mobilne sieci supermarketów prowadzących od 5 do 9 placówek i lokali o powierzchni użytkowej powyżej 500 m² przeznaczonych do użytku publicznego.</w:t>
      </w:r>
    </w:p>
    <w:p w14:paraId="1F2E1FB5" w14:textId="77777777" w:rsidR="00E526B5" w:rsidRPr="000F0A63" w:rsidRDefault="00E526B5" w:rsidP="000F4434">
      <w:pPr>
        <w:numPr>
          <w:ilvl w:val="0"/>
          <w:numId w:val="32"/>
        </w:numPr>
        <w:tabs>
          <w:tab w:val="left" w:pos="284"/>
        </w:tabs>
        <w:ind w:left="0" w:firstLine="0"/>
        <w:jc w:val="both"/>
        <w:rPr>
          <w:rFonts w:cs="Arial"/>
          <w:sz w:val="22"/>
          <w:szCs w:val="22"/>
        </w:rPr>
      </w:pPr>
      <w:r>
        <w:rPr>
          <w:sz w:val="22"/>
        </w:rPr>
        <w:t>4 lata od wejścia w życie niniejszego Kodeksu:</w:t>
      </w:r>
    </w:p>
    <w:p w14:paraId="47833147" w14:textId="77777777" w:rsidR="00E526B5" w:rsidRPr="000F0A63" w:rsidRDefault="00E526B5" w:rsidP="000F4434">
      <w:pPr>
        <w:numPr>
          <w:ilvl w:val="0"/>
          <w:numId w:val="38"/>
        </w:numPr>
        <w:tabs>
          <w:tab w:val="left" w:pos="567"/>
        </w:tabs>
        <w:ind w:left="0" w:firstLine="0"/>
        <w:jc w:val="both"/>
        <w:rPr>
          <w:rFonts w:cs="Arial"/>
          <w:bCs/>
          <w:iCs/>
          <w:sz w:val="22"/>
          <w:szCs w:val="22"/>
        </w:rPr>
      </w:pPr>
      <w:r>
        <w:rPr>
          <w:sz w:val="22"/>
        </w:rPr>
        <w:t>Strony internetowe i aplikacje mobilne sieci supermarketów prowadzących lokale o powierzchni użytkowej powyżej 500 m² przeznaczone do użytku publicznego.</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9" w:name="_Ref505083279"/>
      <w:r>
        <w:rPr>
          <w:sz w:val="22"/>
        </w:rPr>
        <w:t>Usługi finansowe i ubezpieczeniowe</w:t>
      </w:r>
      <w:bookmarkEnd w:id="9"/>
    </w:p>
    <w:p w14:paraId="6258DBF3" w14:textId="77777777" w:rsidR="00E526B5" w:rsidRPr="000F0A63" w:rsidRDefault="00E526B5" w:rsidP="00E526B5">
      <w:pPr>
        <w:keepLines/>
        <w:tabs>
          <w:tab w:val="left" w:pos="284"/>
        </w:tabs>
        <w:jc w:val="both"/>
        <w:rPr>
          <w:rFonts w:cs="Arial"/>
          <w:sz w:val="22"/>
          <w:szCs w:val="22"/>
        </w:rPr>
      </w:pPr>
      <w:r>
        <w:rPr>
          <w:sz w:val="22"/>
        </w:rPr>
        <w:t>Ustala się następujące ostateczne terminy zapewnienia dostępności stron internetowych i aplikacji na urządzenia mobilne, które umożliwiają dokonywanie transakcji bankowych, zawieranie umów, konsultowanie kart medycznych lub inny dowolny rodzaj zarządzania lub konsultacji dotyczących produktów zakontraktowanych z podmiotem oraz spełnienia przez nie warunków wskazanych w art.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Rok od wejścia w życie niniejszego Kodeksu:</w:t>
      </w:r>
    </w:p>
    <w:p w14:paraId="05594252" w14:textId="77777777" w:rsidR="00E526B5" w:rsidRPr="000F0A63" w:rsidRDefault="00E526B5" w:rsidP="000F4434">
      <w:pPr>
        <w:numPr>
          <w:ilvl w:val="0"/>
          <w:numId w:val="40"/>
        </w:numPr>
        <w:tabs>
          <w:tab w:val="clear" w:pos="1440"/>
          <w:tab w:val="num" w:pos="567"/>
        </w:tabs>
        <w:ind w:left="0" w:firstLine="0"/>
        <w:jc w:val="both"/>
        <w:rPr>
          <w:rFonts w:cs="Arial"/>
          <w:sz w:val="22"/>
          <w:szCs w:val="22"/>
        </w:rPr>
      </w:pPr>
      <w:r>
        <w:rPr>
          <w:sz w:val="22"/>
        </w:rPr>
        <w:t xml:space="preserve">Strony internetowe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2 lata od wejścia w życie niniejszego Kodeksu:</w:t>
      </w:r>
    </w:p>
    <w:p w14:paraId="7D3D57C1" w14:textId="77777777" w:rsidR="00E526B5" w:rsidRPr="000F0A63" w:rsidRDefault="00E526B5" w:rsidP="000F4434">
      <w:pPr>
        <w:numPr>
          <w:ilvl w:val="0"/>
          <w:numId w:val="41"/>
        </w:numPr>
        <w:tabs>
          <w:tab w:val="left" w:pos="567"/>
        </w:tabs>
        <w:ind w:left="0" w:firstLine="0"/>
        <w:jc w:val="both"/>
        <w:rPr>
          <w:rFonts w:cs="Arial"/>
          <w:sz w:val="22"/>
          <w:szCs w:val="22"/>
        </w:rPr>
      </w:pPr>
      <w:r>
        <w:rPr>
          <w:sz w:val="22"/>
        </w:rPr>
        <w:t>Aplikacje na urządzenia mobilne.</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0" w:name="_Ref505083294"/>
      <w:r>
        <w:rPr>
          <w:sz w:val="22"/>
        </w:rPr>
        <w:t>Usługi związane z transportem prywatnym</w:t>
      </w:r>
      <w:bookmarkEnd w:id="10"/>
    </w:p>
    <w:p w14:paraId="0C12C9D0" w14:textId="77777777" w:rsidR="00E526B5" w:rsidRPr="000F0A63" w:rsidRDefault="00E526B5" w:rsidP="00E526B5">
      <w:pPr>
        <w:tabs>
          <w:tab w:val="left" w:pos="284"/>
        </w:tabs>
        <w:jc w:val="both"/>
        <w:rPr>
          <w:rFonts w:cs="Arial"/>
          <w:bCs/>
          <w:sz w:val="22"/>
          <w:szCs w:val="22"/>
        </w:rPr>
      </w:pPr>
      <w:r>
        <w:rPr>
          <w:sz w:val="22"/>
        </w:rPr>
        <w:t xml:space="preserve">Ustala się następujące ostateczne terminy zapewnienia spełnienia warunków określonych w art. 128 przez przedsiębiorstwa oferujące usługę wynajmu samochodów autonomicznych z flotą ponad 100 pojazdów oraz firmy oferujące wynajem samochodów z kierowcą z flotą większą niż 50 pojazdów: </w:t>
      </w:r>
    </w:p>
    <w:p w14:paraId="47D4E7EF"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Rok od wejścia w życie niniejszego Kodeksu: </w:t>
      </w:r>
    </w:p>
    <w:p w14:paraId="4DD29E94" w14:textId="37067D80" w:rsidR="00E526B5" w:rsidRPr="000F0A63" w:rsidRDefault="00E526B5" w:rsidP="00E526B5">
      <w:pPr>
        <w:widowControl w:val="0"/>
        <w:tabs>
          <w:tab w:val="left" w:pos="426"/>
        </w:tabs>
        <w:jc w:val="both"/>
        <w:rPr>
          <w:rFonts w:cs="Arial"/>
          <w:sz w:val="22"/>
          <w:szCs w:val="22"/>
        </w:rPr>
      </w:pPr>
      <w:r>
        <w:rPr>
          <w:sz w:val="22"/>
        </w:rPr>
        <w:t>a1.</w:t>
      </w:r>
      <w:r>
        <w:rPr>
          <w:sz w:val="22"/>
        </w:rPr>
        <w:tab/>
        <w:t xml:space="preserve">Muszą one dysponować flotą pojazdów umożliwiających przewóz osób niebędących kierowcami na wózkach inwalidzkich równą lub większą niż 1 % zarządzanej floty. </w:t>
      </w:r>
    </w:p>
    <w:p w14:paraId="241A7D0B" w14:textId="07973EFE" w:rsidR="00E526B5" w:rsidRPr="000F0A63" w:rsidRDefault="00E526B5" w:rsidP="00B670F2">
      <w:pPr>
        <w:widowControl w:val="0"/>
        <w:tabs>
          <w:tab w:val="left" w:pos="426"/>
        </w:tabs>
        <w:jc w:val="both"/>
        <w:rPr>
          <w:rFonts w:cs="Arial"/>
          <w:sz w:val="22"/>
          <w:szCs w:val="22"/>
        </w:rPr>
      </w:pPr>
      <w:r>
        <w:rPr>
          <w:sz w:val="22"/>
        </w:rPr>
        <w:t>a2.</w:t>
      </w:r>
      <w:r>
        <w:rPr>
          <w:sz w:val="22"/>
        </w:rPr>
        <w:tab/>
        <w:t xml:space="preserve">Muszą posiadać dysponować flotą pojazdów przystosowanych do kierowców o ograniczonej sprawności ruchowej równą lub większą niż 0,5% zarządzanej floty. </w:t>
      </w:r>
    </w:p>
    <w:p w14:paraId="273BCA57" w14:textId="19D21C18" w:rsidR="00E526B5" w:rsidRPr="000F0A63" w:rsidRDefault="00E526B5" w:rsidP="00B670F2">
      <w:pPr>
        <w:widowControl w:val="0"/>
        <w:tabs>
          <w:tab w:val="left" w:pos="426"/>
        </w:tabs>
        <w:jc w:val="both"/>
        <w:rPr>
          <w:rFonts w:cs="Arial"/>
          <w:sz w:val="22"/>
          <w:szCs w:val="22"/>
        </w:rPr>
      </w:pPr>
      <w:r>
        <w:rPr>
          <w:sz w:val="22"/>
        </w:rPr>
        <w:t>a3.</w:t>
      </w:r>
      <w:r>
        <w:rPr>
          <w:sz w:val="22"/>
        </w:rPr>
        <w:tab/>
        <w:t>Pojazdy, o których mowa w punktach poprzednich mogą być zapewniane w ramach własnej floty lub w drodze umów z innymi podmiotami gwarantującymi wystarczającą dostępność.</w:t>
      </w:r>
    </w:p>
    <w:p w14:paraId="3BCE400D"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3 lata od wejścia w życie niniejszego Kodeksu: </w:t>
      </w:r>
    </w:p>
    <w:p w14:paraId="727C0165" w14:textId="23D3973D" w:rsidR="00E526B5" w:rsidRPr="000F0A63" w:rsidRDefault="00E526B5" w:rsidP="00B670F2">
      <w:pPr>
        <w:widowControl w:val="0"/>
        <w:tabs>
          <w:tab w:val="left" w:pos="426"/>
        </w:tabs>
        <w:jc w:val="both"/>
        <w:rPr>
          <w:rFonts w:cs="Arial"/>
          <w:sz w:val="22"/>
          <w:szCs w:val="22"/>
        </w:rPr>
      </w:pPr>
      <w:r>
        <w:rPr>
          <w:sz w:val="22"/>
        </w:rPr>
        <w:t>b1.</w:t>
      </w:r>
      <w:r>
        <w:rPr>
          <w:sz w:val="22"/>
        </w:rPr>
        <w:tab/>
        <w:t xml:space="preserve">Co najmniej 0,5 % pojazdów we flocie własnej musi zapewniać możliwość przewożenia osób niebędących kierowcą na wózkach inwalidzkich. </w:t>
      </w:r>
    </w:p>
    <w:p w14:paraId="1A4E7542" w14:textId="77777777" w:rsidR="00E526B5" w:rsidRPr="000F0A63" w:rsidRDefault="00E526B5" w:rsidP="000F4434">
      <w:pPr>
        <w:keepNext/>
        <w:numPr>
          <w:ilvl w:val="0"/>
          <w:numId w:val="31"/>
        </w:numPr>
        <w:tabs>
          <w:tab w:val="left" w:pos="284"/>
        </w:tabs>
        <w:ind w:left="0" w:firstLine="0"/>
        <w:jc w:val="both"/>
        <w:rPr>
          <w:rFonts w:cs="Arial"/>
          <w:sz w:val="22"/>
          <w:szCs w:val="22"/>
        </w:rPr>
      </w:pPr>
      <w:r>
        <w:rPr>
          <w:sz w:val="22"/>
        </w:rPr>
        <w:t xml:space="preserve">6 lata od wejścia w życie niniejszego Kodeksu: </w:t>
      </w:r>
    </w:p>
    <w:p w14:paraId="4EF5184D" w14:textId="39EC3E47" w:rsidR="00E526B5" w:rsidRPr="000F0A63" w:rsidRDefault="00E526B5" w:rsidP="00B670F2">
      <w:pPr>
        <w:widowControl w:val="0"/>
        <w:tabs>
          <w:tab w:val="left" w:pos="426"/>
        </w:tabs>
        <w:jc w:val="both"/>
        <w:rPr>
          <w:rFonts w:cs="Arial"/>
          <w:sz w:val="22"/>
          <w:szCs w:val="22"/>
        </w:rPr>
      </w:pPr>
      <w:r>
        <w:rPr>
          <w:sz w:val="22"/>
        </w:rPr>
        <w:t>c1.</w:t>
      </w:r>
      <w:r>
        <w:rPr>
          <w:sz w:val="22"/>
        </w:rPr>
        <w:tab/>
        <w:t>Co najmniej 2 % pojazdów we flocie własnej musi zapewniać możliwość przewożenia osób niebędących kierowcą na wózkach inwalidzkich.</w:t>
      </w:r>
    </w:p>
    <w:p w14:paraId="2BB22C13" w14:textId="169DA298" w:rsidR="00E526B5" w:rsidRPr="000F0A63" w:rsidRDefault="00E526B5" w:rsidP="00B670F2">
      <w:pPr>
        <w:widowControl w:val="0"/>
        <w:tabs>
          <w:tab w:val="left" w:pos="426"/>
        </w:tabs>
        <w:jc w:val="both"/>
        <w:rPr>
          <w:rFonts w:cs="Arial"/>
          <w:sz w:val="22"/>
          <w:szCs w:val="22"/>
        </w:rPr>
      </w:pPr>
      <w:r>
        <w:rPr>
          <w:sz w:val="22"/>
        </w:rPr>
        <w:t>c2.</w:t>
      </w:r>
      <w:r>
        <w:rPr>
          <w:sz w:val="22"/>
        </w:rPr>
        <w:tab/>
        <w:t xml:space="preserve">Co najmniej 0,5 % pojazdów we flocie własnej musi być przystosowanych do kierowców o ograniczonej sprawności ruchowej.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1" w:name="_Ref505095784"/>
      <w:r>
        <w:rPr>
          <w:sz w:val="22"/>
        </w:rPr>
        <w:lastRenderedPageBreak/>
        <w:t>Usługi związane z zakwaterowaniem turystycznym</w:t>
      </w:r>
      <w:bookmarkEnd w:id="11"/>
      <w:r>
        <w:rPr>
          <w:sz w:val="22"/>
        </w:rPr>
        <w:t xml:space="preserve"> </w:t>
      </w:r>
    </w:p>
    <w:p w14:paraId="4E8242D0" w14:textId="77777777" w:rsidR="00E526B5" w:rsidRPr="000F0A63" w:rsidRDefault="00E526B5" w:rsidP="00E526B5">
      <w:pPr>
        <w:tabs>
          <w:tab w:val="left" w:pos="284"/>
        </w:tabs>
        <w:jc w:val="both"/>
        <w:rPr>
          <w:rFonts w:cs="Arial"/>
          <w:bCs/>
          <w:sz w:val="22"/>
          <w:szCs w:val="22"/>
        </w:rPr>
      </w:pPr>
      <w:r>
        <w:rPr>
          <w:sz w:val="22"/>
        </w:rPr>
        <w:t>Ustala się następujące ostateczne terminy zapewnienia dostępności przez strony internetowe i aplikacje mobilne sieci hotelowych i obiektów obejmujących ponad 100 pokoi, które umożliwiają rezerwację zakwaterowania i usług przez internet oraz i spełnienia przez nie warunków określonych w art. 130:</w:t>
      </w:r>
    </w:p>
    <w:p w14:paraId="764A0265"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2 lata od wejścia w życie niniejszego Kodeksu:</w:t>
      </w:r>
    </w:p>
    <w:p w14:paraId="104ADEEC" w14:textId="77777777" w:rsidR="00E526B5" w:rsidRPr="000F0A63" w:rsidRDefault="00E526B5" w:rsidP="000F4434">
      <w:pPr>
        <w:numPr>
          <w:ilvl w:val="0"/>
          <w:numId w:val="43"/>
        </w:numPr>
        <w:tabs>
          <w:tab w:val="clear" w:pos="1440"/>
          <w:tab w:val="num" w:pos="567"/>
        </w:tabs>
        <w:ind w:left="0" w:firstLine="0"/>
        <w:jc w:val="both"/>
        <w:rPr>
          <w:rFonts w:cs="Arial"/>
          <w:bCs/>
          <w:iCs/>
          <w:sz w:val="22"/>
          <w:szCs w:val="22"/>
        </w:rPr>
      </w:pPr>
      <w:r>
        <w:rPr>
          <w:sz w:val="22"/>
        </w:rPr>
        <w:t>Strony internetowe i aplikacje mobilne sieci hotelowych, obejmujących co najmniej 5 obiektów i łącznie ponad 500 pokoi.</w:t>
      </w:r>
    </w:p>
    <w:p w14:paraId="2356AB86"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3 lata od wejścia w życie niniejszego Kodeksu:</w:t>
      </w:r>
    </w:p>
    <w:p w14:paraId="4EFEF877"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Strony internetowe i aplikacje mobilne sieci hotelowych, obejmujących do 4 obiektów i łącznie ponad 500 pokoi.</w:t>
      </w:r>
    </w:p>
    <w:p w14:paraId="268EBD55" w14:textId="77777777" w:rsidR="00E526B5" w:rsidRPr="000F0A63" w:rsidRDefault="00E526B5" w:rsidP="000F4434">
      <w:pPr>
        <w:numPr>
          <w:ilvl w:val="0"/>
          <w:numId w:val="44"/>
        </w:numPr>
        <w:tabs>
          <w:tab w:val="left" w:pos="567"/>
        </w:tabs>
        <w:ind w:left="0" w:firstLine="0"/>
        <w:jc w:val="both"/>
        <w:rPr>
          <w:rFonts w:cs="Arial"/>
          <w:bCs/>
          <w:iCs/>
          <w:sz w:val="22"/>
          <w:szCs w:val="22"/>
        </w:rPr>
      </w:pPr>
      <w:r>
        <w:rPr>
          <w:sz w:val="22"/>
        </w:rPr>
        <w:t>Strony internetowe i aplikacje mobilne obiektów obejmujących 500 lub więcej pokoi.</w:t>
      </w:r>
    </w:p>
    <w:p w14:paraId="4D022006" w14:textId="77777777" w:rsidR="00E526B5" w:rsidRPr="000F0A63" w:rsidRDefault="00E526B5" w:rsidP="000F4434">
      <w:pPr>
        <w:numPr>
          <w:ilvl w:val="0"/>
          <w:numId w:val="42"/>
        </w:numPr>
        <w:tabs>
          <w:tab w:val="left" w:pos="284"/>
        </w:tabs>
        <w:ind w:left="0" w:firstLine="0"/>
        <w:jc w:val="both"/>
        <w:rPr>
          <w:rFonts w:cs="Arial"/>
          <w:sz w:val="22"/>
          <w:szCs w:val="22"/>
        </w:rPr>
      </w:pPr>
      <w:r>
        <w:rPr>
          <w:sz w:val="22"/>
        </w:rPr>
        <w:t>4 lata od wejścia w życie niniejszego Kodeksu:</w:t>
      </w:r>
    </w:p>
    <w:p w14:paraId="65935E38" w14:textId="77777777" w:rsidR="00E526B5" w:rsidRPr="000F0A63" w:rsidRDefault="00E526B5" w:rsidP="000F4434">
      <w:pPr>
        <w:numPr>
          <w:ilvl w:val="0"/>
          <w:numId w:val="45"/>
        </w:numPr>
        <w:tabs>
          <w:tab w:val="left" w:pos="567"/>
        </w:tabs>
        <w:ind w:left="0" w:firstLine="0"/>
        <w:jc w:val="both"/>
        <w:rPr>
          <w:rFonts w:cs="Arial"/>
          <w:bCs/>
          <w:iCs/>
          <w:sz w:val="22"/>
          <w:szCs w:val="22"/>
        </w:rPr>
      </w:pPr>
      <w:r>
        <w:rPr>
          <w:sz w:val="22"/>
        </w:rPr>
        <w:t>Strony internetowe i aplikacje mobilne sieci hotelowych, obejmujących łącznie od 100 do 500 pokoi</w:t>
      </w:r>
    </w:p>
    <w:p w14:paraId="61927497" w14:textId="77777777" w:rsidR="00E526B5" w:rsidRPr="000F0A63" w:rsidRDefault="00E526B5" w:rsidP="000F4434">
      <w:pPr>
        <w:numPr>
          <w:ilvl w:val="0"/>
          <w:numId w:val="45"/>
        </w:numPr>
        <w:tabs>
          <w:tab w:val="left" w:pos="284"/>
          <w:tab w:val="left" w:pos="567"/>
        </w:tabs>
        <w:ind w:left="0" w:firstLine="0"/>
        <w:jc w:val="both"/>
        <w:rPr>
          <w:rFonts w:cs="Arial"/>
          <w:bCs/>
          <w:iCs/>
          <w:sz w:val="22"/>
          <w:szCs w:val="22"/>
        </w:rPr>
      </w:pPr>
      <w:r>
        <w:rPr>
          <w:sz w:val="22"/>
        </w:rPr>
        <w:t>Strony internetowe i aplikacje na urządzenia mobilne obiektów obejmujących od 50 do 500 pokoi.</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12" w:name="_Ref63848315"/>
      <w:r>
        <w:rPr>
          <w:sz w:val="22"/>
        </w:rPr>
        <w:t>Usługi edukacyjne</w:t>
      </w:r>
      <w:bookmarkEnd w:id="12"/>
    </w:p>
    <w:p w14:paraId="355384ED" w14:textId="77777777" w:rsidR="00E526B5" w:rsidRPr="000F0A63" w:rsidRDefault="00E526B5" w:rsidP="00E526B5">
      <w:pPr>
        <w:tabs>
          <w:tab w:val="left" w:pos="284"/>
        </w:tabs>
        <w:jc w:val="both"/>
        <w:rPr>
          <w:rFonts w:cs="Arial"/>
          <w:bCs/>
          <w:sz w:val="22"/>
          <w:szCs w:val="22"/>
        </w:rPr>
      </w:pPr>
      <w:r>
        <w:rPr>
          <w:sz w:val="22"/>
        </w:rPr>
        <w:t>Ustala się następujące ostateczne terminy dostępności stron internetowych i aplikacji mobilnych placówek oświatowych prowadzących formalne kształcenie i spełnienia przez nie warunków określonych w art. 135:</w:t>
      </w:r>
    </w:p>
    <w:p w14:paraId="601F3FE1"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2 lata od wejścia w życie niniejszego Kodeksu:</w:t>
      </w:r>
    </w:p>
    <w:p w14:paraId="29E27507" w14:textId="77777777" w:rsidR="00E526B5" w:rsidRPr="000F0A63" w:rsidRDefault="00E526B5" w:rsidP="000F4434">
      <w:pPr>
        <w:numPr>
          <w:ilvl w:val="0"/>
          <w:numId w:val="47"/>
        </w:numPr>
        <w:tabs>
          <w:tab w:val="clear" w:pos="1440"/>
          <w:tab w:val="num" w:pos="567"/>
        </w:tabs>
        <w:ind w:left="0" w:firstLine="0"/>
        <w:jc w:val="both"/>
        <w:rPr>
          <w:rFonts w:cs="Arial"/>
          <w:bCs/>
          <w:iCs/>
          <w:sz w:val="22"/>
          <w:szCs w:val="22"/>
        </w:rPr>
      </w:pPr>
      <w:r>
        <w:rPr>
          <w:sz w:val="22"/>
        </w:rPr>
        <w:t>Strony internetowe i aplikacje na urządzenia mobilne, które umożliwiają wyszukiwanie dokumentacji akademickiej, zarządzanie fakturami lub inne procesy online.</w:t>
      </w:r>
    </w:p>
    <w:p w14:paraId="6FB062A9"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3 lata od wejścia w życie niniejszego Kodeksu:</w:t>
      </w:r>
    </w:p>
    <w:p w14:paraId="5CC5D46B" w14:textId="77777777" w:rsidR="00E526B5" w:rsidRPr="000F0A63" w:rsidRDefault="00E526B5" w:rsidP="000F4434">
      <w:pPr>
        <w:numPr>
          <w:ilvl w:val="0"/>
          <w:numId w:val="48"/>
        </w:numPr>
        <w:tabs>
          <w:tab w:val="clear" w:pos="1440"/>
          <w:tab w:val="num" w:pos="567"/>
        </w:tabs>
        <w:ind w:left="0" w:firstLine="0"/>
        <w:jc w:val="both"/>
        <w:rPr>
          <w:rFonts w:cs="Arial"/>
          <w:bCs/>
          <w:sz w:val="22"/>
          <w:szCs w:val="22"/>
        </w:rPr>
      </w:pPr>
      <w:r>
        <w:rPr>
          <w:sz w:val="22"/>
        </w:rPr>
        <w:t>Strony internetowe i aplikacje na urządzenia mobilne, które przekazują informacje o szkole, placówkach i ofertach edukacyjnych.</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r>
        <w:rPr>
          <w:sz w:val="22"/>
        </w:rPr>
        <w:t>Usługi zdrowotne</w:t>
      </w:r>
    </w:p>
    <w:p w14:paraId="62E28D59" w14:textId="77777777" w:rsidR="00E526B5" w:rsidRPr="000F0A63" w:rsidRDefault="00E526B5" w:rsidP="00E526B5">
      <w:pPr>
        <w:tabs>
          <w:tab w:val="left" w:pos="284"/>
        </w:tabs>
        <w:jc w:val="both"/>
        <w:rPr>
          <w:rFonts w:cs="Arial"/>
          <w:bCs/>
          <w:sz w:val="22"/>
          <w:szCs w:val="22"/>
        </w:rPr>
      </w:pPr>
      <w:r>
        <w:rPr>
          <w:sz w:val="22"/>
        </w:rPr>
        <w:t xml:space="preserve">Ośrodki zdrowia z liczbą łóżek równą lub większą niż 50 muszą dotrzymać następujących terminów i warunków: </w:t>
      </w:r>
    </w:p>
    <w:p w14:paraId="28557BD4" w14:textId="77777777" w:rsidR="00E526B5" w:rsidRPr="000F0A63" w:rsidRDefault="00E526B5" w:rsidP="000F4434">
      <w:pPr>
        <w:numPr>
          <w:ilvl w:val="0"/>
          <w:numId w:val="49"/>
        </w:numPr>
        <w:tabs>
          <w:tab w:val="left" w:pos="284"/>
        </w:tabs>
        <w:ind w:left="0" w:firstLine="0"/>
        <w:jc w:val="both"/>
        <w:rPr>
          <w:rFonts w:cs="Arial"/>
          <w:bCs/>
          <w:iCs/>
          <w:sz w:val="22"/>
          <w:szCs w:val="22"/>
        </w:rPr>
      </w:pPr>
      <w:r>
        <w:rPr>
          <w:sz w:val="22"/>
        </w:rPr>
        <w:t>3 lata od wejścia w życie niniejszego Kodeksu:</w:t>
      </w:r>
    </w:p>
    <w:p w14:paraId="727C4E74" w14:textId="77777777" w:rsidR="00E526B5" w:rsidRPr="000F0A63" w:rsidRDefault="00E526B5" w:rsidP="00E526B5">
      <w:pPr>
        <w:tabs>
          <w:tab w:val="left" w:pos="284"/>
        </w:tabs>
        <w:jc w:val="both"/>
        <w:rPr>
          <w:rFonts w:cs="Arial"/>
          <w:sz w:val="22"/>
          <w:szCs w:val="22"/>
        </w:rPr>
      </w:pPr>
      <w:r>
        <w:rPr>
          <w:sz w:val="22"/>
        </w:rPr>
        <w:t>Posiadanie infrastruktury, urządzeń mobilnych i protokołów umożliwiających obsługę osób niesłyszących z użyciem technologii zdalnego tłumaczenia na kataloński język migowy w ilości nie mniejszej niż 2 % łóżek.</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430A08"/>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4</cp:revision>
  <dcterms:created xsi:type="dcterms:W3CDTF">2023-04-26T07:42:00Z</dcterms:created>
  <dcterms:modified xsi:type="dcterms:W3CDTF">2023-05-05T12:46:00Z</dcterms:modified>
</cp:coreProperties>
</file>