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[Návrh] zákonných pravidel Severního Irska</w:t>
      </w:r>
    </w:p>
    <w:p w14:paraId="5D1F8D67" w14:textId="77777777" w:rsidR="00E61B82" w:rsidRDefault="00E61B82" w:rsidP="00E61B82">
      <w:pPr>
        <w:pStyle w:val="Number"/>
      </w:pPr>
      <w:r>
        <w:t xml:space="preserve">2023 č. </w:t>
      </w:r>
    </w:p>
    <w:p w14:paraId="1E808628" w14:textId="77777777" w:rsidR="00E61B82" w:rsidRPr="00292216" w:rsidRDefault="00A07397" w:rsidP="00E61B82">
      <w:pPr>
        <w:pStyle w:val="subject"/>
      </w:pPr>
      <w:r>
        <w:t>silniční provoz a vozidla</w:t>
      </w:r>
    </w:p>
    <w:p w14:paraId="43A768EC" w14:textId="77777777" w:rsidR="00E61B82" w:rsidRDefault="00A07397" w:rsidP="00E61B82">
      <w:pPr>
        <w:pStyle w:val="Title"/>
      </w:pPr>
      <w:r>
        <w:t>(Změna) předpisů o motorových vozidlech (konstrukce a provoz) (Severní Irsko) 2023</w:t>
      </w:r>
    </w:p>
    <w:p w14:paraId="08710F03" w14:textId="77777777" w:rsidR="00E61B82" w:rsidRPr="00D87569" w:rsidRDefault="00E61B82" w:rsidP="0002747F">
      <w:pPr>
        <w:pStyle w:val="Made"/>
      </w:pPr>
      <w:r>
        <w:t>Vydáno</w:t>
      </w:r>
      <w:r>
        <w:tab/>
        <w:t>-</w:t>
      </w:r>
      <w:r>
        <w:tab/>
        <w:t>-</w:t>
      </w:r>
      <w:r>
        <w:tab/>
        <w:t>-</w:t>
      </w:r>
      <w:r>
        <w:tab/>
        <w:t>-</w:t>
      </w:r>
      <w:r>
        <w:tab/>
        <w:t>***</w:t>
      </w:r>
    </w:p>
    <w:p w14:paraId="7459A16E" w14:textId="381F41C7" w:rsidR="00BC3A4C" w:rsidRDefault="00A07397" w:rsidP="00AB68F1">
      <w:pPr>
        <w:pStyle w:val="Coming"/>
        <w:tabs>
          <w:tab w:val="clear" w:pos="3232"/>
          <w:tab w:val="clear" w:pos="3629"/>
          <w:tab w:val="left" w:pos="3686"/>
        </w:tabs>
      </w:pPr>
      <w:r>
        <w:t>Nabytí účinnosti</w:t>
      </w:r>
      <w:r>
        <w:tab/>
      </w:r>
      <w:r w:rsidR="00AB68F1">
        <w:t>-</w:t>
      </w:r>
      <w:r w:rsidR="00AB68F1">
        <w:tab/>
      </w:r>
      <w:r>
        <w:t>***</w:t>
      </w:r>
    </w:p>
    <w:p w14:paraId="2D92F3C5" w14:textId="77777777" w:rsidR="00A07397" w:rsidRPr="00A07397" w:rsidRDefault="00A07397" w:rsidP="00A07397">
      <w:pPr>
        <w:pStyle w:val="Pre"/>
      </w:pPr>
      <w:r>
        <w:t>Ministerstvo pro infrastrukturu(</w:t>
      </w:r>
      <w:r>
        <w:rPr>
          <w:rStyle w:val="FootnoteReference"/>
        </w:rPr>
        <w:footnoteReference w:id="2"/>
      </w:r>
      <w:r>
        <w:t>) vydává tyto předpisy v rámci výkonu pravomocí udělených na základě čl. 55 odst. 1, odst. 2 písm. A) a odst. 6 a čl. 110 odst. 2 nařízení o silničním provozu (Severní Irsko) z roku 1995(</w:t>
      </w:r>
      <w:r w:rsidR="00E54DC5">
        <w:rPr>
          <w:rStyle w:val="FootnoteReference"/>
        </w:rPr>
        <w:footnoteReference w:id="3"/>
      </w:r>
      <w:r>
        <w:t>), které mu byly nově svěřeny(</w:t>
      </w:r>
      <w:r w:rsidR="00FB6465">
        <w:rPr>
          <w:rStyle w:val="FootnoteReference"/>
        </w:rPr>
        <w:footnoteReference w:id="4"/>
      </w:r>
      <w:r>
        <w:t>).</w:t>
      </w:r>
    </w:p>
    <w:p w14:paraId="799E9B50" w14:textId="77777777" w:rsidR="00252709" w:rsidRDefault="00FB6465" w:rsidP="00FB6465">
      <w:pPr>
        <w:pStyle w:val="H1"/>
      </w:pPr>
      <w:r>
        <w:t>Citování a nabytí účinnosti</w:t>
      </w:r>
    </w:p>
    <w:p w14:paraId="54B94898" w14:textId="4B752315" w:rsidR="00FB6465" w:rsidRDefault="00FB6465" w:rsidP="00FB6465">
      <w:pPr>
        <w:pStyle w:val="N1"/>
      </w:pPr>
      <w:r>
        <w:t xml:space="preserve"> Tyto předpisy lze citovat jako předpisy o motorových vozidlech (konstrukce a provoz) (změna) (Severní Irsko) z roku 2023 a vstupují v platnost dne xx xxxxxx 2023.</w:t>
      </w:r>
    </w:p>
    <w:p w14:paraId="6322C4DC" w14:textId="77777777" w:rsidR="00FB6465" w:rsidRDefault="00FB6465" w:rsidP="00FB6465">
      <w:pPr>
        <w:pStyle w:val="H1"/>
      </w:pPr>
      <w:r>
        <w:t>Změna předpisů o konstrukci a provozu</w:t>
      </w:r>
    </w:p>
    <w:p w14:paraId="47E71D5D" w14:textId="77777777" w:rsidR="00FB6465" w:rsidRDefault="00FB6465" w:rsidP="00FB6465">
      <w:pPr>
        <w:pStyle w:val="N1"/>
      </w:pPr>
      <w:r>
        <w:t>—</w:t>
      </w:r>
      <w:r>
        <w:fldChar w:fldCharType="begin"/>
      </w:r>
      <w:r>
        <w:instrText xml:space="preserve"> LISTNUM "SEQ1" \l 2 </w:instrText>
      </w:r>
      <w:r>
        <w:fldChar w:fldCharType="end"/>
      </w:r>
      <w:r>
        <w:t> Předpisy o motorových vozidlech (konstrukce a provoz) (Severní Irsko) 1999(</w:t>
      </w:r>
      <w:r>
        <w:rPr>
          <w:rStyle w:val="FootnoteReference"/>
        </w:rPr>
        <w:footnoteReference w:id="5"/>
      </w:r>
      <w:r>
        <w:t>) se mění podle odstavců 2 až 5.</w:t>
      </w:r>
    </w:p>
    <w:p w14:paraId="085E52C7" w14:textId="77777777" w:rsidR="006A64B8" w:rsidRDefault="006A64B8" w:rsidP="006A64B8">
      <w:pPr>
        <w:pStyle w:val="N2"/>
      </w:pPr>
      <w:r>
        <w:t>V předpisu 2 odst. 2 (výklad) se v definici „předpis EHK, po němž následuje číslo“ slova „více než dvě číslice“ nahrazují slovy „tečka, po níž následuje další číslo“.</w:t>
      </w:r>
    </w:p>
    <w:p w14:paraId="259A558A" w14:textId="77777777" w:rsidR="00022A1B" w:rsidRDefault="00022A1B" w:rsidP="006A64B8">
      <w:pPr>
        <w:pStyle w:val="N2"/>
      </w:pPr>
      <w:r>
        <w:t>V předpisu 30 (zatížení pneumatik a rychlostní hodnocení) —</w:t>
      </w:r>
    </w:p>
    <w:p w14:paraId="2CD06048" w14:textId="77777777" w:rsidR="00022A1B" w:rsidRDefault="00022A1B" w:rsidP="00022A1B">
      <w:pPr>
        <w:pStyle w:val="N3"/>
      </w:pPr>
      <w:r>
        <w:t>v odstavci 7 se slova „ale tento požadavek se nevztahuje na protektorovanou pneumatiku“ nahrazují slovy „nebo, v případě protektorované pneumatiky, s požadavky předpisu EHK č. 108 nebo předpisu EHK 109.“ a</w:t>
      </w:r>
    </w:p>
    <w:p w14:paraId="510A7921" w14:textId="77777777" w:rsidR="00022A1B" w:rsidRDefault="00022A1B" w:rsidP="00022A1B">
      <w:pPr>
        <w:pStyle w:val="N3"/>
      </w:pPr>
      <w:r>
        <w:t>v odstavci 12 se v definici „indexu únosnosti“ pro „2.29“ až do konce nahrazuje „2 předpisu EHK 30.02 nebo předpisu EHK 54 nebo jako „index zatížení“ v odstavci 2 předpisu EHK č. 108 nebo předpisu EHK 109;“.</w:t>
      </w:r>
    </w:p>
    <w:p w14:paraId="19D5D210" w14:textId="77777777" w:rsidR="00DD69B1" w:rsidRDefault="00DD69B1" w:rsidP="00DD69B1">
      <w:pPr>
        <w:pStyle w:val="N2"/>
      </w:pPr>
      <w:r>
        <w:t>V předpisu 32 (stav a údržba pneumatik)—</w:t>
      </w:r>
    </w:p>
    <w:p w14:paraId="3AE878F1" w14:textId="77777777" w:rsidR="00DD69B1" w:rsidRDefault="00DD69B1" w:rsidP="00DD69B1">
      <w:pPr>
        <w:pStyle w:val="N3"/>
      </w:pPr>
      <w:r>
        <w:t>v odstavci 1—</w:t>
      </w:r>
    </w:p>
    <w:p w14:paraId="03749A2F" w14:textId="77777777" w:rsidR="00DD69B1" w:rsidRDefault="00DD69B1" w:rsidP="00DD69B1">
      <w:pPr>
        <w:pStyle w:val="N4"/>
      </w:pPr>
      <w:r>
        <w:t>slova „s výhradou odstavců 2 až 4“ se nahrazují slovy „s výhradou odstavce 1A a odstavců 2 až 4“;</w:t>
      </w:r>
    </w:p>
    <w:p w14:paraId="2B4BAE61" w14:textId="77777777" w:rsidR="00DD69B1" w:rsidRDefault="007442AA" w:rsidP="00DD69B1">
      <w:pPr>
        <w:pStyle w:val="N4"/>
      </w:pPr>
      <w:r>
        <w:t>v písm. g) bodě ii) se vynechává slovo „nebo“ na konci;</w:t>
      </w:r>
    </w:p>
    <w:p w14:paraId="116D86A6" w14:textId="77777777" w:rsidR="007442AA" w:rsidRDefault="007442AA" w:rsidP="00DD69B1">
      <w:pPr>
        <w:pStyle w:val="N4"/>
      </w:pPr>
      <w:r>
        <w:lastRenderedPageBreak/>
        <w:t>za písmeno h) se vloží —</w:t>
      </w:r>
    </w:p>
    <w:p w14:paraId="31D345C1" w14:textId="364E70A3" w:rsidR="007442AA" w:rsidRDefault="00E21C8D" w:rsidP="00E21C8D">
      <w:pPr>
        <w:pStyle w:val="LQN4"/>
      </w:pPr>
      <w:r>
        <w:tab/>
        <w:t>„i)</w:t>
      </w:r>
      <w:r>
        <w:tab/>
        <w:t>pneumatika není protektorovanou pneumatikou a—</w:t>
      </w:r>
    </w:p>
    <w:p w14:paraId="1127C07A" w14:textId="77777777" w:rsidR="00A42AA8" w:rsidRDefault="00A42AA8" w:rsidP="00A42AA8">
      <w:pPr>
        <w:pStyle w:val="NLQN4"/>
      </w:pPr>
      <w:r>
        <w:tab/>
        <w:t>i)</w:t>
      </w:r>
      <w:r>
        <w:tab/>
        <w:t>týden výroby označený na její bočnici podle předpisu EHK č. 30 nebo č. 54 spadá do doby, která je delší než 10 let před datem, kdy je motorové vozidlo provozováno na silnici; nebo</w:t>
      </w:r>
    </w:p>
    <w:p w14:paraId="3D0FC71C" w14:textId="0322961D" w:rsidR="00A42AA8" w:rsidRDefault="00A42AA8" w:rsidP="00A42AA8">
      <w:pPr>
        <w:pStyle w:val="NLQN4"/>
      </w:pPr>
      <w:r>
        <w:tab/>
        <w:t>ii)</w:t>
      </w:r>
      <w:r>
        <w:tab/>
        <w:t>nemá označení týdne výroby, které je v souladu s předpisem EHK č. 30 nebo č. 54 (ať už proto, že byla vyrobena před tím, než předpisy EHK začaly být uplatňovány, nebo z jiného důvodu);</w:t>
      </w:r>
    </w:p>
    <w:p w14:paraId="21565F41" w14:textId="77777777" w:rsidR="00A42AA8" w:rsidRDefault="00A42AA8" w:rsidP="00A42AA8">
      <w:pPr>
        <w:pStyle w:val="LQN4"/>
      </w:pPr>
      <w:r>
        <w:tab/>
        <w:t>j)</w:t>
      </w:r>
      <w:r>
        <w:tab/>
        <w:t>pneumatika je protektorovanou pneumatikou a—</w:t>
      </w:r>
    </w:p>
    <w:p w14:paraId="0991118A" w14:textId="77777777" w:rsidR="00A42AA8" w:rsidRDefault="00A42AA8" w:rsidP="00A42AA8">
      <w:pPr>
        <w:pStyle w:val="NLQN4"/>
      </w:pPr>
      <w:r>
        <w:tab/>
        <w:t>i)</w:t>
      </w:r>
      <w:r>
        <w:tab/>
        <w:t>týden protektorování označený na její bočnici podle předpisu EHK č. 108 nebo č. 109 spadá do doby, která je delší než 10 let před datem, kdy je motorové vozidlo provozováno na silnici; nebo</w:t>
      </w:r>
    </w:p>
    <w:p w14:paraId="1D5A9534" w14:textId="77777777" w:rsidR="00520F87" w:rsidRDefault="00520F87" w:rsidP="00520F87">
      <w:pPr>
        <w:pStyle w:val="NLQN4"/>
      </w:pPr>
      <w:r>
        <w:tab/>
        <w:t>ii)</w:t>
      </w:r>
      <w:r>
        <w:tab/>
        <w:t>nemá označení týdne protektorování, které je v souladu s předpisem EHK č. 108 nebo č. 109 (ať už proto, že byla protektorována před tím, než předpisy EHK začaly být uplatňovány, nebo z jiného důvodu); nebo</w:t>
      </w:r>
    </w:p>
    <w:p w14:paraId="371ABCF7" w14:textId="1D9D5575" w:rsidR="00520F87" w:rsidRDefault="00520F87" w:rsidP="00520F87">
      <w:pPr>
        <w:pStyle w:val="LQN4"/>
      </w:pPr>
      <w:r>
        <w:tab/>
        <w:t>k)</w:t>
      </w:r>
      <w:r>
        <w:tab/>
        <w:t>datum vyznačené na bočnici pneumatiky v souladu s předpisem EHK 30. 54, 108 nebo 109 je nečitelné.“;</w:t>
      </w:r>
    </w:p>
    <w:p w14:paraId="17D017BD" w14:textId="77777777" w:rsidR="00520F87" w:rsidRDefault="00520F87" w:rsidP="00520F87">
      <w:pPr>
        <w:pStyle w:val="N3"/>
      </w:pPr>
      <w:r>
        <w:t>za odstavec 1 se vkládá—</w:t>
      </w:r>
    </w:p>
    <w:p w14:paraId="252B767E" w14:textId="65543917" w:rsidR="00EE3061" w:rsidRDefault="00E21C8D" w:rsidP="00EE3061">
      <w:pPr>
        <w:pStyle w:val="LQN2"/>
      </w:pPr>
      <w:r>
        <w:t>„(1A) Za podmínek odst. 4 písm. a) a (ca) a bez ohledu na cokoli v předpisu 30—</w:t>
      </w:r>
    </w:p>
    <w:p w14:paraId="0F6D8888" w14:textId="77777777" w:rsidR="00EE3061" w:rsidRDefault="00EE3061" w:rsidP="00EE3061">
      <w:pPr>
        <w:pStyle w:val="LQN3"/>
      </w:pPr>
      <w:r>
        <w:t>a)</w:t>
      </w:r>
      <w:r>
        <w:tab/>
        <w:t>odst. 1 písm. i) a j) se vztahuje pouze na pneumatiky namontované —–</w:t>
      </w:r>
    </w:p>
    <w:p w14:paraId="781B8B31" w14:textId="77777777" w:rsidR="00EE3061" w:rsidRDefault="00EE3061" w:rsidP="00EE3061">
      <w:pPr>
        <w:pStyle w:val="LQN4"/>
      </w:pPr>
      <w:r>
        <w:tab/>
        <w:t>i)</w:t>
      </w:r>
      <w:r>
        <w:tab/>
        <w:t>na přední nápravě autobusu jiného než minibus;</w:t>
      </w:r>
    </w:p>
    <w:p w14:paraId="53B7C312" w14:textId="77777777" w:rsidR="00EE3061" w:rsidRPr="00EE3061" w:rsidRDefault="00EE3061" w:rsidP="00EE3061">
      <w:pPr>
        <w:pStyle w:val="LQN4"/>
        <w:rPr>
          <w:color w:val="FF0000"/>
        </w:rPr>
      </w:pPr>
      <w:r>
        <w:tab/>
        <w:t>ii)</w:t>
      </w:r>
      <w:r>
        <w:tab/>
        <w:t>v jedné konfiguraci na jakékoli nápravě minibusu; nebo</w:t>
      </w:r>
    </w:p>
    <w:p w14:paraId="4BC37583" w14:textId="77777777" w:rsidR="00EE3061" w:rsidRDefault="00EE3061" w:rsidP="00EE3061">
      <w:pPr>
        <w:pStyle w:val="LQN4"/>
      </w:pPr>
      <w:r>
        <w:tab/>
        <w:t>iii)</w:t>
      </w:r>
      <w:r>
        <w:tab/>
        <w:t>na přední nápravě nákladního vozidla o maximální celkové hmotnosti vyšší než 3 500 kg;</w:t>
      </w:r>
    </w:p>
    <w:p w14:paraId="247FF29E" w14:textId="77777777" w:rsidR="00EE3061" w:rsidRDefault="00EE3061" w:rsidP="00EE3061">
      <w:pPr>
        <w:pStyle w:val="LQN3"/>
      </w:pPr>
      <w:r>
        <w:t>b)</w:t>
      </w:r>
      <w:r>
        <w:tab/>
        <w:t>v písmenu a) —</w:t>
      </w:r>
    </w:p>
    <w:p w14:paraId="5B8B4A93" w14:textId="77777777" w:rsidR="00EE3061" w:rsidRPr="00F9319A" w:rsidRDefault="00EE3061" w:rsidP="00EE3061">
      <w:pPr>
        <w:pStyle w:val="LQN4"/>
      </w:pPr>
      <w:r>
        <w:tab/>
        <w:t>i)</w:t>
      </w:r>
      <w:r>
        <w:tab/>
        <w:t>„přední nápravou“ se rozumí jakákoli náprava před středem podvozku, na které jsou kola ovládána systémem řízení; a</w:t>
      </w:r>
    </w:p>
    <w:p w14:paraId="09B8C591" w14:textId="77777777" w:rsidR="00EE3061" w:rsidRDefault="00EE3061" w:rsidP="00EE3061">
      <w:pPr>
        <w:pStyle w:val="LQN4"/>
      </w:pPr>
      <w:r>
        <w:tab/>
        <w:t>ii)</w:t>
      </w:r>
      <w:r>
        <w:tab/>
        <w:t>„jednou konfigurací“ se rozumí stav, kdy na konci dotčené nápravy není namontována více než jedna sestava kola a pneumatiky; a</w:t>
      </w:r>
    </w:p>
    <w:p w14:paraId="10800F30" w14:textId="77777777" w:rsidR="00EE3061" w:rsidRDefault="00EE3061" w:rsidP="00EE3061">
      <w:pPr>
        <w:pStyle w:val="LQN3"/>
      </w:pPr>
      <w:r>
        <w:t>c)</w:t>
      </w:r>
      <w:r>
        <w:tab/>
        <w:t>ustanovení odst. 1 písm. k) se vztahuje pouze na —</w:t>
      </w:r>
    </w:p>
    <w:p w14:paraId="1BD3712B" w14:textId="77777777" w:rsidR="00FF5A1C" w:rsidRPr="00F9319A" w:rsidRDefault="00FF5A1C" w:rsidP="00FF5A1C">
      <w:pPr>
        <w:pStyle w:val="LQN4"/>
      </w:pPr>
      <w:r>
        <w:tab/>
        <w:t>i)</w:t>
      </w:r>
      <w:r>
        <w:tab/>
        <w:t>autobusy (včetně minibusů); a</w:t>
      </w:r>
    </w:p>
    <w:p w14:paraId="19A93219" w14:textId="001A4982" w:rsidR="00FF5A1C" w:rsidRDefault="00FF5A1C" w:rsidP="00FF5A1C">
      <w:pPr>
        <w:pStyle w:val="LQN4"/>
      </w:pPr>
      <w:r>
        <w:tab/>
        <w:t>ii)</w:t>
      </w:r>
      <w:r>
        <w:tab/>
        <w:t>nákladní vozidla s maximální celkovou hmotností vyšší než 3 500 kg.“;</w:t>
      </w:r>
    </w:p>
    <w:p w14:paraId="0AF3BAC2" w14:textId="77777777" w:rsidR="00FF5A1C" w:rsidRDefault="00FF5A1C" w:rsidP="00FF5A1C">
      <w:pPr>
        <w:pStyle w:val="N3"/>
      </w:pPr>
      <w:r>
        <w:t>v odstavci 4—</w:t>
      </w:r>
    </w:p>
    <w:p w14:paraId="43505781" w14:textId="77777777" w:rsidR="00426F4F" w:rsidRDefault="00426F4F" w:rsidP="00426F4F">
      <w:pPr>
        <w:pStyle w:val="N4"/>
      </w:pPr>
      <w:r>
        <w:t>v písm. a) se za slova „odst. 1 písm. a) až g)” vkládají slova „a písm. i) až k)”;</w:t>
      </w:r>
    </w:p>
    <w:p w14:paraId="7C39BE16" w14:textId="77777777" w:rsidR="00426F4F" w:rsidRDefault="00426F4F" w:rsidP="00426F4F">
      <w:pPr>
        <w:pStyle w:val="N4"/>
      </w:pPr>
      <w:r>
        <w:t>za písmeno c) se vkládá—</w:t>
      </w:r>
    </w:p>
    <w:p w14:paraId="4E3E441C" w14:textId="3789445E" w:rsidR="00426F4F" w:rsidRDefault="00E21C8D" w:rsidP="00426F4F">
      <w:pPr>
        <w:pStyle w:val="LQN3"/>
      </w:pPr>
      <w:r>
        <w:t>„ca)</w:t>
      </w:r>
      <w:r>
        <w:tab/>
        <w:t>Nic v odst. 1 písm. i) až k) se nevztahuje na vozidlo historického zájmu používané pro nekomerční účely, a za tímto účelem se „vozidlem historického zájmu“ rozumí vozidlo, které ministerstvo považuje za historicky významné pro Severní Irsko a které—</w:t>
      </w:r>
    </w:p>
    <w:p w14:paraId="45C7B239" w14:textId="77777777" w:rsidR="00A213F5" w:rsidRDefault="00A213F5" w:rsidP="00A213F5">
      <w:pPr>
        <w:pStyle w:val="LQN4"/>
      </w:pPr>
      <w:r>
        <w:tab/>
        <w:t>i)</w:t>
      </w:r>
      <w:r>
        <w:tab/>
        <w:t>bylo vyrobeno nebo poprvé registrováno před nejméně 40 lety;</w:t>
      </w:r>
    </w:p>
    <w:p w14:paraId="190D1C8F" w14:textId="77777777" w:rsidR="00A213F5" w:rsidRDefault="00A213F5" w:rsidP="00A213F5">
      <w:pPr>
        <w:pStyle w:val="LQN4"/>
      </w:pPr>
      <w:r>
        <w:tab/>
        <w:t>ii)</w:t>
      </w:r>
      <w:r>
        <w:tab/>
        <w:t>je typu, který se již nevyrábí; a</w:t>
      </w:r>
    </w:p>
    <w:p w14:paraId="270D6A59" w14:textId="77777777" w:rsidR="00A213F5" w:rsidRDefault="00A213F5" w:rsidP="00A213F5">
      <w:pPr>
        <w:pStyle w:val="LQN4"/>
      </w:pPr>
      <w:r>
        <w:tab/>
        <w:t>iii)</w:t>
      </w:r>
      <w:r>
        <w:tab/>
        <w:t>je historicky zachováno nebo udržováno ve svém původním stavu a neprošlo podstatnými změnami v technických vlastnostech svých hlavních součástí,</w:t>
      </w:r>
    </w:p>
    <w:p w14:paraId="48B5AE59" w14:textId="56DE3A66" w:rsidR="00A213F5" w:rsidRDefault="00A213F5" w:rsidP="00A213F5">
      <w:pPr>
        <w:pStyle w:val="LQT2"/>
      </w:pPr>
      <w:r>
        <w:t xml:space="preserve">pokud má „typ“ ve vztahu k danému vozidlu stejný význam jako „typ vozidla“ v čl. 3 odst. 32 nařízení Evropského parlamentu a Rady (EU) 2018/858 ze dne 30. května 2018 o schvalování motorových vozidel a jejich přípojných vozidel, jakož i systémů, konstrukčních částí a </w:t>
      </w:r>
      <w:r>
        <w:lastRenderedPageBreak/>
        <w:t>samostatných technických celků určených pro tato vozidla a o dozoru nad trhem s nimi(</w:t>
      </w:r>
      <w:r>
        <w:rPr>
          <w:rStyle w:val="FootnoteReference"/>
        </w:rPr>
        <w:footnoteReference w:id="6"/>
      </w:r>
      <w:r>
        <w:t>);“; a</w:t>
      </w:r>
    </w:p>
    <w:p w14:paraId="7CEE7A40" w14:textId="77777777" w:rsidR="00A213F5" w:rsidRDefault="00A213F5" w:rsidP="00A213F5">
      <w:pPr>
        <w:pStyle w:val="N3"/>
      </w:pPr>
      <w:r>
        <w:t>v odst. 6 písm. a) se v definici „původní vzorek běhounu“ pro „protektorovaná“ na obou místech, kde se objeví, nahrazuje výrazem „protektorovaná“.</w:t>
      </w:r>
    </w:p>
    <w:p w14:paraId="63D4D4FF" w14:textId="77777777" w:rsidR="004800DA" w:rsidRDefault="004800DA" w:rsidP="004800DA">
      <w:pPr>
        <w:pStyle w:val="N2"/>
      </w:pPr>
      <w:r>
        <w:t>V příloze 1 se v tabulce 2 (předpis EHK) za údaje vztahující se k bodu 44 vkládá text—</w:t>
      </w:r>
    </w:p>
    <w:p w14:paraId="76FC1C44" w14:textId="77777777" w:rsidR="00A42AA8" w:rsidRDefault="00A42AA8" w:rsidP="001D0E3C">
      <w:pPr>
        <w:pStyle w:val="linespace"/>
      </w:pPr>
    </w:p>
    <w:tbl>
      <w:tblPr>
        <w:tblW w:w="8631" w:type="dxa"/>
        <w:tblInd w:w="-108" w:type="dxa"/>
        <w:tblLayout w:type="fixed"/>
        <w:tblLook w:val="0000" w:firstRow="0" w:lastRow="0" w:firstColumn="0" w:lastColumn="0" w:noHBand="0" w:noVBand="0"/>
      </w:tblPr>
      <w:tblGrid>
        <w:gridCol w:w="1233"/>
        <w:gridCol w:w="1233"/>
        <w:gridCol w:w="1233"/>
        <w:gridCol w:w="1233"/>
        <w:gridCol w:w="1233"/>
        <w:gridCol w:w="1233"/>
        <w:gridCol w:w="1233"/>
      </w:tblGrid>
      <w:tr w:rsidR="001D0E3C" w:rsidRPr="001D0E3C" w14:paraId="342E504E" w14:textId="77777777" w:rsidTr="001D0E3C">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233"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Protektorované pneumatiky pro osobní automobily a jejich přípojná vozidla</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1D0E3C">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233"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Protektorované pneumatiky pro užitková vozidla a jejich přípojná vozidla</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Zapečetěno úřední pečetí ministerstva infrastruktury dne xx xxxxx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vysoký úředník ministerstva pro infrastrukturu</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VYSVĚTLUJÍCÍ POZNÁMKA</w:t>
      </w:r>
    </w:p>
    <w:p w14:paraId="2D3DC66A" w14:textId="3ED882CF" w:rsidR="00040058" w:rsidRDefault="00040058" w:rsidP="00040058">
      <w:pPr>
        <w:pStyle w:val="XNotenote"/>
      </w:pPr>
      <w:r>
        <w:t>(Tato poznámka není součástí těchto předpisů)</w:t>
      </w:r>
    </w:p>
    <w:p w14:paraId="35F194C5" w14:textId="2CB6F34C" w:rsidR="00040058" w:rsidRDefault="00040058" w:rsidP="00040058">
      <w:pPr>
        <w:pStyle w:val="T1"/>
      </w:pPr>
      <w:r>
        <w:t>Tyto předpisy pozměňují předpisy o motorových vozidlech (konstrukce a provoz) z roku 1999 (Severní Irsko) s cílem stanovit stáří pneumatik (včetně protektorovaných pneumatik) a čitelnost označení data na pneumatikách, které jsou povoleny pro použití na autobusech (včetně minibusů) a nákladních vozidlech s maximální celkovou hmotností přesahující 3 500 kg. Tyto předpisy rovněž mění tabulku 2 přílohy 1 předpisů z roku 1999 tak, aby zahrnovala ustanovení týkající se protektorovaných pneumatik v předpisech EHK č. 108 a 109. Tyto předpisy stanoví výjimku pro vozidla historického zájmu, pokud nejsou používána pro komerční účely.</w:t>
      </w:r>
    </w:p>
    <w:p w14:paraId="0FE50F41" w14:textId="77777777" w:rsidR="006D38F1" w:rsidRDefault="006D38F1" w:rsidP="00040058">
      <w:pPr>
        <w:pStyle w:val="T1"/>
      </w:pPr>
      <w:r>
        <w:t xml:space="preserve">Tyto předpisy byly oznámeny Evropské komisi podle směrnice Evropského parlamentu a Rady (EU) 2015/1535 ze dne 9. září 2015 (Úř. věst. L 241, 17.9.2015, s. 1) pod číslem oznámení </w:t>
      </w:r>
      <w:r>
        <w:rPr>
          <w:color w:val="FF0000"/>
        </w:rPr>
        <w:t xml:space="preserve">xxxxxxxx. </w:t>
      </w:r>
      <w:r>
        <w:t xml:space="preserve">Během tříměsíční odkladné lhůty nebyly vzneseny žádné připomínky. Směrnice je k dispozici on-line na adrese </w:t>
      </w:r>
      <w:hyperlink r:id="rId8" w:history="1">
        <w:r>
          <w:rPr>
            <w:rStyle w:val="Hyperlink"/>
          </w:rPr>
          <w:t>http://eur-lex.europa.eu</w:t>
        </w:r>
      </w:hyperlink>
      <w:r>
        <w:t xml:space="preserve"> </w:t>
      </w:r>
    </w:p>
    <w:p w14:paraId="6186E13D" w14:textId="77777777" w:rsidR="00755802" w:rsidRDefault="00755802" w:rsidP="00040058">
      <w:pPr>
        <w:pStyle w:val="T1"/>
      </w:pPr>
      <w:r>
        <w:t xml:space="preserve">Předpisy EHK vydává Evropská hospodářská komise Organizace spojených národů. Kopie předpisů EHK uvedených v těchto předpisech lze získat na internetových stránkách EHK OSN: </w:t>
      </w:r>
      <w:hyperlink r:id="rId9" w:history="1">
        <w:r>
          <w:rPr>
            <w:rStyle w:val="Hyperlink"/>
          </w:rPr>
          <w:t>http://www.unece.org/trans/main/wp29/wp29regs.html</w:t>
        </w:r>
      </w:hyperlink>
      <w:r>
        <w:t>. Kopie lze získat také na oddělení pro politiku vozidel, sekce pro bezpečné a dostupné cestování, Miniserstvo pro infrastrukturu, Clarence Court, 10–18 Adelaide Street, Town Parks, Belfast BT2 8GB (e-mail: vehicle.standards@infrastructure-ni.gov.uk</w:t>
      </w:r>
    </w:p>
    <w:p w14:paraId="0E7BDCF2" w14:textId="77777777" w:rsidR="0083627D" w:rsidRPr="00095513" w:rsidRDefault="0083627D" w:rsidP="0083627D">
      <w:pPr>
        <w:pStyle w:val="T1"/>
      </w:pPr>
      <w:r>
        <w:t xml:space="preserve">Bylo vypracováno posouzení dopadů právních předpisů a důvodová zpráva a jsou k dispozici v oddělení pro politiku vozidel na výše uvedené adrese nebo on-line spolu s tímto zákonným pravidlem na adrese </w:t>
      </w:r>
      <w:hyperlink r:id="rId10" w:history="1">
        <w:r>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Dříve ministerstvo regionálního rozvoje; viz § 1 odst. 6 a 11 a příloha 1 zákona o ministerstvech (Severní Irsko) z roku 2016 (2016 c. 5 (N.I.)). Podle § 1 odst. 9 tohoto zákona je ministerstvo životního prostředí zrušeno.</w:t>
      </w:r>
    </w:p>
  </w:footnote>
  <w:footnote w:id="3">
    <w:p w14:paraId="5460616A" w14:textId="77777777" w:rsidR="00E54DC5" w:rsidRDefault="00E54DC5">
      <w:pPr>
        <w:pStyle w:val="FootnoteText"/>
      </w:pPr>
      <w:r>
        <w:t>(</w:t>
      </w:r>
      <w:r>
        <w:rPr>
          <w:rStyle w:val="FootnoteReference"/>
        </w:rPr>
        <w:footnoteRef/>
      </w:r>
      <w:r>
        <w:t>)</w:t>
      </w:r>
      <w:r>
        <w:tab/>
        <w:t>S.I. 1995/2994 (N.I. 18). Článek 55 byl změněn článkem 42 odst. 1 nařízení o silničním provozu (Severní Irsko) z roku 2007 (S.I. 2007/916 (N.I. 10)).</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Viz </w:t>
      </w:r>
      <w:r>
        <w:t>Článek 8 odst. 1 písm. b) a část 2 přílohy 5 k zákonu o ministerstvech (přenos funkcí) (Severní Irsko) 2016 (S.R. 2016 č. 76)</w:t>
      </w:r>
    </w:p>
  </w:footnote>
  <w:footnote w:id="5">
    <w:p w14:paraId="7D938A52" w14:textId="77777777" w:rsidR="00FB6465" w:rsidRDefault="00FB6465">
      <w:pPr>
        <w:pStyle w:val="FootnoteText"/>
      </w:pPr>
      <w:r>
        <w:t>(</w:t>
      </w:r>
      <w:r>
        <w:rPr>
          <w:rStyle w:val="FootnoteReference"/>
        </w:rPr>
        <w:footnoteRef/>
      </w:r>
      <w:r>
        <w:t>)</w:t>
      </w:r>
      <w:r>
        <w:tab/>
        <w:t>S.R. 1999 č. 454; příslušnými pozměňujícími předpisy jsou S.R. 2011 č. 20, S.R. 2011 č. 303 a S.R. 2016 č. 160.</w:t>
      </w:r>
    </w:p>
  </w:footnote>
  <w:footnote w:id="6">
    <w:p w14:paraId="202E6E04" w14:textId="5448A374" w:rsidR="00A213F5" w:rsidRDefault="00A213F5">
      <w:pPr>
        <w:pStyle w:val="FootnoteText"/>
      </w:pPr>
      <w:r>
        <w:t>(</w:t>
      </w:r>
      <w:r>
        <w:rPr>
          <w:rStyle w:val="FootnoteReference"/>
        </w:rPr>
        <w:footnoteRef/>
      </w:r>
      <w:r>
        <w:t>)</w:t>
      </w:r>
      <w:r>
        <w:tab/>
        <w:t>Úř. věst. L 151, 14.6.2018,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Druhý návrh duben 2023 – ve znění schváleném DSO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B68F1"/>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cs-CZ" w:eastAsia="en-US" w:bidi="ar-SA"/>
    </w:rPr>
  </w:style>
  <w:style w:type="character" w:customStyle="1" w:styleId="MadeChar">
    <w:name w:val="Made Char"/>
    <w:link w:val="Made"/>
    <w:locked/>
    <w:rsid w:val="00E61B82"/>
    <w:rPr>
      <w:i/>
      <w:sz w:val="21"/>
      <w:lang w:val="cs-CZ"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280</TotalTime>
  <Pages>4</Pages>
  <Words>1084</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