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Põhja-Iirimaa õigusnormid (eelnõu)</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maanteeliiklus ja -sõidukid</w:t>
      </w:r>
    </w:p>
    <w:p w14:paraId="43A768EC" w14:textId="77777777" w:rsidR="00E61B82" w:rsidRDefault="00A07397" w:rsidP="00E61B82">
      <w:pPr>
        <w:pStyle w:val="Title"/>
      </w:pPr>
      <w:r>
        <w:t>Põhja-Iirimaa maanteesõidukeid (nende ehitamist ja kasutamist) käsitlevate määruste 2023. aasta muudatus</w:t>
      </w:r>
    </w:p>
    <w:p w14:paraId="08710F03" w14:textId="77777777" w:rsidR="00E61B82" w:rsidRPr="00D87569" w:rsidRDefault="00E61B82" w:rsidP="001B7FAA">
      <w:pPr>
        <w:pStyle w:val="Made"/>
        <w:tabs>
          <w:tab w:val="clear" w:pos="2438"/>
          <w:tab w:val="left" w:pos="2552"/>
        </w:tabs>
      </w:pPr>
      <w:r>
        <w:t>Koostatud</w:t>
      </w:r>
      <w:r>
        <w:tab/>
        <w:t>-</w:t>
      </w:r>
      <w:r>
        <w:tab/>
        <w:t>-</w:t>
      </w:r>
      <w:r>
        <w:tab/>
        <w:t>-</w:t>
      </w:r>
      <w:r>
        <w:tab/>
        <w:t>-</w:t>
      </w:r>
      <w:r>
        <w:tab/>
        <w:t>***</w:t>
      </w:r>
    </w:p>
    <w:p w14:paraId="7459A16E" w14:textId="77777777" w:rsidR="00BC3A4C" w:rsidRDefault="00A07397" w:rsidP="001B7FAA">
      <w:pPr>
        <w:pStyle w:val="Coming"/>
        <w:tabs>
          <w:tab w:val="clear" w:pos="3232"/>
        </w:tabs>
      </w:pPr>
      <w:r>
        <w:t>Jõustumine</w:t>
      </w:r>
      <w:r>
        <w:tab/>
        <w:t>-</w:t>
      </w:r>
      <w:r>
        <w:tab/>
        <w:t>***</w:t>
      </w:r>
    </w:p>
    <w:p w14:paraId="2D92F3C5" w14:textId="77777777" w:rsidR="00A07397" w:rsidRPr="00A07397" w:rsidRDefault="00A07397" w:rsidP="00A07397">
      <w:pPr>
        <w:pStyle w:val="Pre"/>
      </w:pPr>
      <w:r>
        <w:t>Käesolevad eeskirjad koostas taristuministeerium (</w:t>
      </w:r>
      <w:r>
        <w:rPr>
          <w:rStyle w:val="FootnoteReference"/>
        </w:rPr>
        <w:footnoteReference w:id="2"/>
      </w:r>
      <w:r>
        <w:t>), rakendades Põhja-Iirimaa 1995. aasta maanteeliikluse määruse artikli 55 lõikes 1, artikli 2 punktis a ja artikli 110 lõikes 2 (</w:t>
      </w:r>
      <w:r w:rsidR="00E54DC5">
        <w:rPr>
          <w:rStyle w:val="FootnoteReference"/>
        </w:rPr>
        <w:footnoteReference w:id="3"/>
      </w:r>
      <w:r>
        <w:t>) sisalduvaid volitusnorme ja neist tulenevaid volitusi (</w:t>
      </w:r>
      <w:r w:rsidR="00FB6465">
        <w:rPr>
          <w:rStyle w:val="FootnoteReference"/>
        </w:rPr>
        <w:footnoteReference w:id="4"/>
      </w:r>
      <w:r>
        <w:t>).</w:t>
      </w:r>
    </w:p>
    <w:p w14:paraId="799E9B50" w14:textId="77777777" w:rsidR="00252709" w:rsidRDefault="00FB6465" w:rsidP="00FB6465">
      <w:pPr>
        <w:pStyle w:val="H1"/>
      </w:pPr>
      <w:r>
        <w:t>Viitamine ja jõustumine</w:t>
      </w:r>
    </w:p>
    <w:p w14:paraId="54B94898" w14:textId="4B752315" w:rsidR="00FB6465" w:rsidRDefault="00FB6465" w:rsidP="00FB6465">
      <w:pPr>
        <w:pStyle w:val="N1"/>
      </w:pPr>
      <w:r>
        <w:t xml:space="preserve"> Nendele eeskirjadele võib viidata kui mootorsõidukite (ehituse ja kasutamise) (muudatus) 2023. aasta määrusele (Põhja-Iirimaa) ja need jõustuvad xx xxxxx 2023.</w:t>
      </w:r>
    </w:p>
    <w:p w14:paraId="6322C4DC" w14:textId="77777777" w:rsidR="00FB6465" w:rsidRDefault="00FB6465" w:rsidP="00FB6465">
      <w:pPr>
        <w:pStyle w:val="H1"/>
      </w:pPr>
      <w:r>
        <w:t>Ehituse ja kasutamise eeskirjade muutmine</w:t>
      </w:r>
    </w:p>
    <w:p w14:paraId="47E71D5D" w14:textId="77777777" w:rsidR="00FB6465" w:rsidRDefault="00FB6465" w:rsidP="00FB6465">
      <w:pPr>
        <w:pStyle w:val="N1"/>
      </w:pPr>
      <w:r>
        <w:t>—</w:t>
      </w:r>
      <w:r>
        <w:fldChar w:fldCharType="begin"/>
      </w:r>
      <w:r>
        <w:instrText xml:space="preserve"> LISTNUM "SEQ1" \l 2 </w:instrText>
      </w:r>
      <w:r>
        <w:fldChar w:fldCharType="end"/>
      </w:r>
      <w:r>
        <w:t> Mootorsõidukite (ehituse ja kasutamise) (Põhja-Iirimaa) 1999. aasta määrust (</w:t>
      </w:r>
      <w:r>
        <w:rPr>
          <w:rStyle w:val="FootnoteReference"/>
        </w:rPr>
        <w:footnoteReference w:id="5"/>
      </w:r>
      <w:r>
        <w:t>) muudetakse vastavalt lõigetele 2–5.</w:t>
      </w:r>
    </w:p>
    <w:p w14:paraId="085E52C7" w14:textId="77777777" w:rsidR="006A64B8" w:rsidRDefault="006A64B8" w:rsidP="006A64B8">
      <w:pPr>
        <w:pStyle w:val="N2"/>
      </w:pPr>
      <w:r>
        <w:t>Eeskirja 2 lõike 2 (tõlgendus) mõiste „Euroopa Majanduskomisjoni eeskiri, millele järgneb number“ määratluses asendatakse sõnad „rohkem kui kaks numbrikohta“ sõnadega „punkt, millele järgneb teine number“.</w:t>
      </w:r>
    </w:p>
    <w:p w14:paraId="259A558A" w14:textId="77777777" w:rsidR="00022A1B" w:rsidRDefault="00022A1B" w:rsidP="006A64B8">
      <w:pPr>
        <w:pStyle w:val="N2"/>
      </w:pPr>
      <w:r>
        <w:t>Eeskirja 30 (rehvi koormused ja nimikiirused)</w:t>
      </w:r>
    </w:p>
    <w:p w14:paraId="2CD06048" w14:textId="77777777" w:rsidR="00022A1B" w:rsidRDefault="00022A1B" w:rsidP="00022A1B">
      <w:pPr>
        <w:pStyle w:val="N3"/>
      </w:pPr>
      <w:r>
        <w:t>punktis 7 asendatakse sõnad „kuid seda nõuet ei kohaldata protekteeritud rehvi“ asemel sõnadega „või protekteeritud rehvi puhul vastavalt Euroopa Majanduskomisjoni eeskirjale 108 või Euroopa Majanduskomisjoni eeskirjale 109.“; ning</w:t>
      </w:r>
    </w:p>
    <w:p w14:paraId="510A7921" w14:textId="77777777" w:rsidR="00022A1B" w:rsidRDefault="00022A1B" w:rsidP="00022A1B">
      <w:pPr>
        <w:pStyle w:val="N3"/>
      </w:pPr>
      <w:r>
        <w:t>lõikes 12 esitatud mõiste „koormusindeks“ määratluse lõpus asendatakse tekst „2.29“ tekstiga „Euroopa Majanduskomisjoni eeskirja 54 või Euroopa Majanduskomisjoni eeskirja 30.02 jaotise 2 või Euroopa Majanduskomisjoni eeskirja 109 või Euroopa Majanduskomisjoni eeskirja 108 lõikes 2 esitatud mõiste koormusindeksi määratluse alusel“.</w:t>
      </w:r>
    </w:p>
    <w:p w14:paraId="19D5D210" w14:textId="77777777" w:rsidR="00DD69B1" w:rsidRDefault="00DD69B1" w:rsidP="00DD69B1">
      <w:pPr>
        <w:pStyle w:val="N2"/>
      </w:pPr>
      <w:r>
        <w:t>Eeskirja 32 (rehvide seisukord ja hooldus)</w:t>
      </w:r>
    </w:p>
    <w:p w14:paraId="3AE878F1" w14:textId="77777777" w:rsidR="00DD69B1" w:rsidRDefault="00DD69B1" w:rsidP="00DD69B1">
      <w:pPr>
        <w:pStyle w:val="N3"/>
      </w:pPr>
      <w:r>
        <w:t>lõikes 1</w:t>
      </w:r>
    </w:p>
    <w:p w14:paraId="03749A2F" w14:textId="77777777" w:rsidR="00DD69B1" w:rsidRDefault="00DD69B1" w:rsidP="00DD69B1">
      <w:pPr>
        <w:pStyle w:val="N4"/>
      </w:pPr>
      <w:r>
        <w:lastRenderedPageBreak/>
        <w:t>kui lõigetest 2–4 ei tulene teisiti, asendatakse sõnad „Kui lõikest 1A ja lõigetest 2–4 ei tulene teisiti“;</w:t>
      </w:r>
    </w:p>
    <w:p w14:paraId="2B4BAE61" w14:textId="77777777" w:rsidR="00DD69B1" w:rsidRDefault="007442AA" w:rsidP="00DD69B1">
      <w:pPr>
        <w:pStyle w:val="N4"/>
      </w:pPr>
      <w:r>
        <w:t>alapunkti g alapunktis ii jäetakse „või“ lõpust välja;</w:t>
      </w:r>
    </w:p>
    <w:p w14:paraId="116D86A6" w14:textId="77777777" w:rsidR="007442AA" w:rsidRDefault="007442AA" w:rsidP="00DD69B1">
      <w:pPr>
        <w:pStyle w:val="N4"/>
      </w:pPr>
      <w:r>
        <w:t>lisatakse pärast alapunkti h järgmine tekst:</w:t>
      </w:r>
    </w:p>
    <w:p w14:paraId="31D345C1" w14:textId="364E70A3" w:rsidR="007442AA" w:rsidRDefault="00E21C8D" w:rsidP="00E21C8D">
      <w:pPr>
        <w:pStyle w:val="LQN4"/>
      </w:pPr>
      <w:r>
        <w:tab/>
        <w:t>„i)</w:t>
      </w:r>
      <w:r>
        <w:tab/>
        <w:t>rehv ei ole protekteeritud rehv ja</w:t>
      </w:r>
    </w:p>
    <w:p w14:paraId="1127C07A" w14:textId="77777777" w:rsidR="00A42AA8" w:rsidRDefault="00A42AA8" w:rsidP="00A42AA8">
      <w:pPr>
        <w:pStyle w:val="NLQN4"/>
      </w:pPr>
      <w:r>
        <w:tab/>
        <w:t>i)</w:t>
      </w:r>
      <w:r>
        <w:tab/>
        <w:t>Euroopa Majanduskomisjoni eeskirja 30 või 54 kohaselt külgseinale märgitud valmistamisnädal on rohkem kui kümme aastat vanem kui mootorsõiduki teedel kasutamise kuupäev; või</w:t>
      </w:r>
    </w:p>
    <w:p w14:paraId="3D0FC71C" w14:textId="0322961D" w:rsidR="00A42AA8" w:rsidRDefault="00A42AA8" w:rsidP="00A42AA8">
      <w:pPr>
        <w:pStyle w:val="NLQN4"/>
      </w:pPr>
      <w:r>
        <w:tab/>
        <w:t>ii)</w:t>
      </w:r>
      <w:r>
        <w:tab/>
        <w:t>sellele pole märgitud valmistamisnädalat, mis vastaks Euroopa Majanduskomisjoni eeskirjale 30 või 54 (sest see on toodetud enne Euroopa Majanduskomisjoni eeskirjade kohaldamist või muul põhjusel);</w:t>
      </w:r>
    </w:p>
    <w:p w14:paraId="21565F41" w14:textId="77777777" w:rsidR="00A42AA8" w:rsidRDefault="00A42AA8" w:rsidP="00A42AA8">
      <w:pPr>
        <w:pStyle w:val="LQN4"/>
      </w:pPr>
      <w:r>
        <w:tab/>
        <w:t>j)</w:t>
      </w:r>
      <w:r>
        <w:tab/>
        <w:t>rehv on protekteeritud rehv ja</w:t>
      </w:r>
    </w:p>
    <w:p w14:paraId="0991118A" w14:textId="77777777" w:rsidR="00A42AA8" w:rsidRDefault="00A42AA8" w:rsidP="00A42AA8">
      <w:pPr>
        <w:pStyle w:val="NLQN4"/>
      </w:pPr>
      <w:r>
        <w:tab/>
        <w:t>i)</w:t>
      </w:r>
      <w:r>
        <w:tab/>
        <w:t>Euroopa Majanduskomisjoni eeskirja 108 või 109 kohaselt külgseinale märgitud protekteerimisnädal on rohkem kui kümme aastat vanem kui mootorsõiduki teedel kasutamise kuupäev; või</w:t>
      </w:r>
    </w:p>
    <w:p w14:paraId="1D5A9534" w14:textId="77777777" w:rsidR="00520F87" w:rsidRDefault="00520F87" w:rsidP="00520F87">
      <w:pPr>
        <w:pStyle w:val="NLQN4"/>
      </w:pPr>
      <w:r>
        <w:tab/>
        <w:t>ii)</w:t>
      </w:r>
      <w:r>
        <w:tab/>
        <w:t>sellele pole märgitud protekteerimisnädalat, mis vastaks Euroopa Majanduskomisjoni eeskirjale 108 või 109 (sest see on protekteeritud enne Euroopa Majanduskomisjoni eeskirjade kohaldamist või muul põhjusel); või</w:t>
      </w:r>
    </w:p>
    <w:p w14:paraId="371ABCF7" w14:textId="1D9D5575" w:rsidR="00520F87" w:rsidRDefault="00520F87" w:rsidP="00520F87">
      <w:pPr>
        <w:pStyle w:val="LQN4"/>
      </w:pPr>
      <w:r>
        <w:tab/>
        <w:t>k)</w:t>
      </w:r>
      <w:r>
        <w:tab/>
        <w:t>kuupäev, mis on märgitud rehvi küljele vastavalt Euroopa Majanduskomisjoni eeskirjale 30. 54, 108 või 109 on loetamatu.“;</w:t>
      </w:r>
    </w:p>
    <w:p w14:paraId="17D017BD" w14:textId="77777777" w:rsidR="00520F87" w:rsidRDefault="00520F87" w:rsidP="00520F87">
      <w:pPr>
        <w:pStyle w:val="N3"/>
      </w:pPr>
      <w:r>
        <w:t>lisatakse pärast lõiget 1 järgmine tekst:</w:t>
      </w:r>
    </w:p>
    <w:p w14:paraId="252B767E" w14:textId="65543917" w:rsidR="00EE3061" w:rsidRDefault="00E21C8D" w:rsidP="00EE3061">
      <w:pPr>
        <w:pStyle w:val="LQN2"/>
      </w:pPr>
      <w:r>
        <w:t>„1A) Arvestades lõike 4 punkte a ja ca ning olenemata eeskirja 30 mis tahes sättest</w:t>
      </w:r>
    </w:p>
    <w:p w14:paraId="0F6D8888" w14:textId="77777777" w:rsidR="00EE3061" w:rsidRDefault="00EE3061" w:rsidP="00EE3061">
      <w:pPr>
        <w:pStyle w:val="LQN3"/>
      </w:pPr>
      <w:r>
        <w:t>(a)</w:t>
      </w:r>
      <w:r>
        <w:tab/>
        <w:t>lõike 1 punkte i ja j kohaldatakse ainult paigaldatud rehvide suhtes:</w:t>
      </w:r>
    </w:p>
    <w:p w14:paraId="781B8B31" w14:textId="77777777" w:rsidR="00EE3061" w:rsidRDefault="00EE3061" w:rsidP="00EE3061">
      <w:pPr>
        <w:pStyle w:val="LQN4"/>
      </w:pPr>
      <w:r>
        <w:tab/>
        <w:t>i)</w:t>
      </w:r>
      <w:r>
        <w:tab/>
        <w:t>muu bussi kui väikebussi esiteljele;</w:t>
      </w:r>
    </w:p>
    <w:p w14:paraId="53B7C312" w14:textId="77777777" w:rsidR="00EE3061" w:rsidRPr="00EE3061" w:rsidRDefault="00EE3061" w:rsidP="00EE3061">
      <w:pPr>
        <w:pStyle w:val="LQN4"/>
        <w:rPr>
          <w:color w:val="FF0000"/>
        </w:rPr>
      </w:pPr>
      <w:r>
        <w:tab/>
        <w:t>ii)</w:t>
      </w:r>
      <w:r>
        <w:tab/>
        <w:t>väikebussi mis tahes teljele ühekordses konfiguratsioonis; või</w:t>
      </w:r>
    </w:p>
    <w:p w14:paraId="4BC37583" w14:textId="77777777" w:rsidR="00EE3061" w:rsidRDefault="00EE3061" w:rsidP="00EE3061">
      <w:pPr>
        <w:pStyle w:val="LQN4"/>
      </w:pPr>
      <w:r>
        <w:tab/>
        <w:t>iii)</w:t>
      </w:r>
      <w:r>
        <w:tab/>
        <w:t>kaubasõiduki, mille täismass on üle 3500 kg, esitelje suhtes;</w:t>
      </w:r>
    </w:p>
    <w:p w14:paraId="247FF29E" w14:textId="77777777" w:rsidR="00EE3061" w:rsidRDefault="00EE3061" w:rsidP="00EE3061">
      <w:pPr>
        <w:pStyle w:val="LQN3"/>
      </w:pPr>
      <w:r>
        <w:t>(b)</w:t>
      </w:r>
      <w:r>
        <w:tab/>
        <w:t>alapunktis a)</w:t>
      </w:r>
    </w:p>
    <w:p w14:paraId="5B8B4A93" w14:textId="77777777" w:rsidR="00EE3061" w:rsidRPr="00F9319A" w:rsidRDefault="00EE3061" w:rsidP="00EE3061">
      <w:pPr>
        <w:pStyle w:val="LQN4"/>
      </w:pPr>
      <w:r>
        <w:tab/>
        <w:t>i)</w:t>
      </w:r>
      <w:r>
        <w:tab/>
        <w:t>tähendab „esitelg“ kere keskpunktist eespool asuvat mis tahes telge, mille rattad on roolitavad; ning</w:t>
      </w:r>
    </w:p>
    <w:p w14:paraId="09B8C591" w14:textId="77777777" w:rsidR="00EE3061" w:rsidRDefault="00EE3061" w:rsidP="00EE3061">
      <w:pPr>
        <w:pStyle w:val="LQN4"/>
      </w:pPr>
      <w:r>
        <w:tab/>
        <w:t>ii)</w:t>
      </w:r>
      <w:r>
        <w:tab/>
        <w:t>tähendab „ühekordne konfiguratsioon“ seda, et asjaomase telje otsa on paigaldatud ainult üks ratas ja rehvikoost; ning</w:t>
      </w:r>
    </w:p>
    <w:p w14:paraId="10800F30" w14:textId="77777777" w:rsidR="00EE3061" w:rsidRDefault="00EE3061" w:rsidP="00EE3061">
      <w:pPr>
        <w:pStyle w:val="LQN3"/>
      </w:pPr>
      <w:r>
        <w:t>(c)</w:t>
      </w:r>
      <w:r>
        <w:tab/>
        <w:t>kohaldatakse lõike 1 punkti k ainult järgmisele:</w:t>
      </w:r>
    </w:p>
    <w:p w14:paraId="1BD3712B" w14:textId="77777777" w:rsidR="00FF5A1C" w:rsidRPr="00F9319A" w:rsidRDefault="00FF5A1C" w:rsidP="00FF5A1C">
      <w:pPr>
        <w:pStyle w:val="LQN4"/>
      </w:pPr>
      <w:r>
        <w:tab/>
        <w:t>i)</w:t>
      </w:r>
      <w:r>
        <w:tab/>
        <w:t>bussid (sh väikebussid); ning</w:t>
      </w:r>
    </w:p>
    <w:p w14:paraId="19A93219" w14:textId="001A4982" w:rsidR="00FF5A1C" w:rsidRDefault="00FF5A1C" w:rsidP="00FF5A1C">
      <w:pPr>
        <w:pStyle w:val="LQN4"/>
      </w:pPr>
      <w:r>
        <w:tab/>
        <w:t>ii)</w:t>
      </w:r>
      <w:r>
        <w:tab/>
        <w:t>kaubaveokid täismassiga üle 3500 kg.“;</w:t>
      </w:r>
    </w:p>
    <w:p w14:paraId="0AF3BAC2" w14:textId="77777777" w:rsidR="00FF5A1C" w:rsidRDefault="00FF5A1C" w:rsidP="00FF5A1C">
      <w:pPr>
        <w:pStyle w:val="N3"/>
      </w:pPr>
      <w:r>
        <w:t>lõikes 4</w:t>
      </w:r>
    </w:p>
    <w:p w14:paraId="43505781" w14:textId="77777777" w:rsidR="00426F4F" w:rsidRDefault="00426F4F" w:rsidP="00426F4F">
      <w:pPr>
        <w:pStyle w:val="N4"/>
      </w:pPr>
      <w:r>
        <w:t>lisatakse punkti a sõnade „lõike 1 punktid a kuni g“ järele sõnad „ja i kuni k“;</w:t>
      </w:r>
    </w:p>
    <w:p w14:paraId="7C39BE16" w14:textId="77777777" w:rsidR="00426F4F" w:rsidRDefault="00426F4F" w:rsidP="00426F4F">
      <w:pPr>
        <w:pStyle w:val="N4"/>
      </w:pPr>
      <w:r>
        <w:t>lisatakse pärast punkti c järgmine punkt:</w:t>
      </w:r>
    </w:p>
    <w:p w14:paraId="4E3E441C" w14:textId="3789445E" w:rsidR="00426F4F" w:rsidRDefault="00E21C8D" w:rsidP="00426F4F">
      <w:pPr>
        <w:pStyle w:val="LQN3"/>
      </w:pPr>
      <w:r>
        <w:t>„ca)</w:t>
      </w:r>
      <w:r>
        <w:tab/>
        <w:t>Mitte midagi lõike 1 punktides i-k ei kohaldata ajaloolise väärtusega sõiduki suhtes, mida kasutatakse mitteärilistel eesmärkidel, ja sel eesmärgil tähendab „ajaloolist huvi pakkuv sõiduk“ sõidukit, mida ministeerium peab Põhja-Iirimaale ajalooliselt huvipakkuvaks ja mis:</w:t>
      </w:r>
    </w:p>
    <w:p w14:paraId="45C7B239" w14:textId="77777777" w:rsidR="00A213F5" w:rsidRDefault="00A213F5" w:rsidP="00A213F5">
      <w:pPr>
        <w:pStyle w:val="LQN4"/>
      </w:pPr>
      <w:r>
        <w:tab/>
        <w:t>i)</w:t>
      </w:r>
      <w:r>
        <w:tab/>
        <w:t>mis on toodetud või esimest korda registreeritud vähemalt 40 aastat tagasi;</w:t>
      </w:r>
    </w:p>
    <w:p w14:paraId="190D1C8F" w14:textId="77777777" w:rsidR="00A213F5" w:rsidRDefault="00A213F5" w:rsidP="00A213F5">
      <w:pPr>
        <w:pStyle w:val="LQN4"/>
      </w:pPr>
      <w:r>
        <w:tab/>
        <w:t>ii)</w:t>
      </w:r>
      <w:r>
        <w:tab/>
        <w:t>on tüüpi, mida enam ei toodeta; ning</w:t>
      </w:r>
    </w:p>
    <w:p w14:paraId="270D6A59" w14:textId="77777777" w:rsidR="00A213F5" w:rsidRDefault="00A213F5" w:rsidP="00A213F5">
      <w:pPr>
        <w:pStyle w:val="LQN4"/>
      </w:pPr>
      <w:r>
        <w:tab/>
        <w:t>iii)</w:t>
      </w:r>
      <w:r>
        <w:tab/>
        <w:t>on ajalooliselt säilitatud või säilitatud algses olekus ning ei ole oluliselt muutunud oma põhikomponentide tehnilistes omadustes,</w:t>
      </w:r>
    </w:p>
    <w:p w14:paraId="48B5AE59" w14:textId="56DE3A66" w:rsidR="00A213F5" w:rsidRDefault="00A213F5" w:rsidP="00A213F5">
      <w:pPr>
        <w:pStyle w:val="LQT2"/>
      </w:pPr>
      <w:r>
        <w:t xml:space="preserve">kui Euroopa Parlamendi ja nõukogu 30. mai 2018. aasta määruse (EL) 2018/858 (mootorsõidukite ja mootorsõidukite haagiste ning nende jaoks ette nähtud süsteemide, osade </w:t>
      </w:r>
      <w:r>
        <w:lastRenderedPageBreak/>
        <w:t>ja eraldi seadmestike tüübikinnituse ja turujärelevalve kohta) artikli 3 punktis 32 on sõidukitüübil sama tähendus kui sõidukitüübil (</w:t>
      </w:r>
      <w:r>
        <w:rPr>
          <w:rStyle w:val="FootnoteReference"/>
        </w:rPr>
        <w:footnoteReference w:id="6"/>
      </w:r>
      <w:r>
        <w:t>);“; ning</w:t>
      </w:r>
    </w:p>
    <w:p w14:paraId="7CEE7A40" w14:textId="77777777" w:rsidR="00A213F5" w:rsidRDefault="00A213F5" w:rsidP="00A213F5">
      <w:pPr>
        <w:pStyle w:val="N3"/>
      </w:pPr>
      <w:r>
        <w:t>lõike 6 punktis a asendatakse mõiste „esialgne turvisemuster“ mõiste „protekteeritud“ mõlemas kohas sõnaga „protekteeritud“.</w:t>
      </w:r>
    </w:p>
    <w:p w14:paraId="63D4D4FF" w14:textId="77777777" w:rsidR="004800DA" w:rsidRDefault="004800DA" w:rsidP="004800DA">
      <w:pPr>
        <w:pStyle w:val="N2"/>
      </w:pPr>
      <w:r>
        <w:t>2. lisa tabelile 2 (Euroopa Majanduskomisjoni eeskirjad) lisatakse punktiga 44 seotud kande järele järgmine tekst:</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1B7FAA">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Sõiduautode ja nende haagiste protekteeritud rehvid</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1B7FAA">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Tarbesõidukite ja nende haagiste protekteeritud rehvid</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Plommitud taristuosakonna ametliku pitseriga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Taristuministeeriumi vanemametnik</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SELETUSKIRI</w:t>
      </w:r>
    </w:p>
    <w:p w14:paraId="2D3DC66A" w14:textId="3ED882CF" w:rsidR="00040058" w:rsidRDefault="00040058" w:rsidP="00040058">
      <w:pPr>
        <w:pStyle w:val="XNotenote"/>
      </w:pPr>
      <w:r>
        <w:t>(Käesolev seletuskiri ei ole eeskirjade osa)</w:t>
      </w:r>
    </w:p>
    <w:p w14:paraId="35F194C5" w14:textId="2CB6F34C" w:rsidR="00040058" w:rsidRDefault="00040058" w:rsidP="00040058">
      <w:pPr>
        <w:pStyle w:val="T1"/>
      </w:pPr>
      <w:r>
        <w:t>Selle määrusega muudetakse Põhja-Iirimaa 1999. aasta mootorsõidukite (ehituse ja kasutamise) määrust, et sätestada rehvide (sealhulgas protekteeritud rehvide) vanus ja kuupäevamärgistuse loetavus, mida on lubatud kasutada bussides (sealhulgas väikebussides) ja kaubaveosõidukites, mille täismass on üle 3500 kg. Määrustega muudetakse ka 1999. aasta määruse 1. lisa tabelit 2, et lisada Euroopa Majanduskomisjoni eeskirjadesse 108 ja 109 protekteeritud rehve käsitlevad sätted. Selle määrusega nähakse ette erand ajaloolise väärtusega sõidukitele, tingimusel et neid ei kasutata ärilistel eesmärkidel.</w:t>
      </w:r>
    </w:p>
    <w:p w14:paraId="0FE50F41" w14:textId="77777777" w:rsidR="006D38F1" w:rsidRDefault="006D38F1" w:rsidP="00040058">
      <w:pPr>
        <w:pStyle w:val="T1"/>
      </w:pPr>
      <w:r>
        <w:t xml:space="preserve">Kõnealustest määrustest teatati Euroopa Komisjonile vastavalt Euroopa Parlamendi ja nõukogu 9. septembri 2015. aasta direktiivile (EL) 2015/1535 (ELT L 241, 17.9.2015, lk 1) ning neile anti teada teatise numbriga </w:t>
      </w:r>
      <w:r>
        <w:rPr>
          <w:color w:val="FF0000"/>
        </w:rPr>
        <w:t xml:space="preserve">xxxxxxxx.  </w:t>
      </w:r>
      <w:r>
        <w:t xml:space="preserve">Kolmekuulise ooteaja jooksul ei esitatud ühtegi märkust. Direktiiv on kättesaadav veebiaadressil </w:t>
      </w:r>
      <w:hyperlink r:id="rId8" w:history="1">
        <w:r>
          <w:rPr>
            <w:rStyle w:val="Hyperlink"/>
          </w:rPr>
          <w:t>http://eur-lex.europa.eu</w:t>
        </w:r>
      </w:hyperlink>
      <w:r>
        <w:t xml:space="preserve"> </w:t>
      </w:r>
    </w:p>
    <w:p w14:paraId="6186E13D" w14:textId="77777777" w:rsidR="00755802" w:rsidRDefault="00755802" w:rsidP="00040058">
      <w:pPr>
        <w:pStyle w:val="T1"/>
      </w:pPr>
      <w:r>
        <w:t xml:space="preserve">Euroopa Majanduskomisjoni eeskirju annab välja ÜRO Euroopa Majanduskomisjon. Kõnealustes eeskirjades osutatud Euroopa Majanduskomisjoni eeskirjade koopiad on kättesaadavad ÜRO Euroopa Majanduskomisjoni veebisaidil: </w:t>
      </w:r>
      <w:hyperlink r:id="rId9" w:history="1">
        <w:r>
          <w:rPr>
            <w:rStyle w:val="Hyperlink"/>
          </w:rPr>
          <w:t>http://www.unece.org/trans/main/wp29/wp29regs.html</w:t>
        </w:r>
      </w:hyperlink>
      <w:r>
        <w:t>. Koopiaid saab ka sõidukipoliitika osakonna turvalise ja juurdepääsetava transpordiosakonnast, Clarence Courti infrastruktuuri osakonnast, 10–18 Adelaide Street, Town Parks, Belfast BT2 8 GB (e-post: vehicle.standards@infrastructure-ni.gov.uk)</w:t>
      </w:r>
    </w:p>
    <w:p w14:paraId="0E7BDCF2" w14:textId="77777777" w:rsidR="0083627D" w:rsidRPr="00095513" w:rsidRDefault="0083627D" w:rsidP="0083627D">
      <w:pPr>
        <w:pStyle w:val="T1"/>
      </w:pPr>
      <w:r>
        <w:t xml:space="preserve">Koostatud on regulatiivne mõjuhinnang ja seletuskirjad, mis on kättesaadavad sõidukipoliitika osakonnas ülalmainitud aadressil või veebis koos käesoleva seadusandliku määrusega aadressil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Varasema nimetusega piirkondliku arengu ministeerium; vt (Põhja-Iirimaa) 2016. aasta ministeeriumide seaduse artikli 1 lõikeid 6 ja 11 ning lisa nr 1 (2016, punkt 5 (Põhja-Iirimaa)). Kooskõlas nimetatud seaduse paragrahvi 1 lõikega 9 saadetakse keskkonnaministeerium laiali.</w:t>
      </w:r>
    </w:p>
  </w:footnote>
  <w:footnote w:id="3">
    <w:p w14:paraId="5460616A" w14:textId="77777777" w:rsidR="00E54DC5" w:rsidRDefault="00E54DC5">
      <w:pPr>
        <w:pStyle w:val="FootnoteText"/>
      </w:pPr>
      <w:r>
        <w:t>(</w:t>
      </w:r>
      <w:r>
        <w:rPr>
          <w:rStyle w:val="FootnoteReference"/>
        </w:rPr>
        <w:footnoteRef/>
      </w:r>
      <w:r>
        <w:t>)</w:t>
      </w:r>
      <w:r>
        <w:tab/>
        <w:t>Õigusakt 1995/2994 (Põhja-Iirimaa 18); Artiklit 55 muudeti 2007. aasta maanteeliikluse (Põhja-Iirimaa) määruse (õigusakt 2007/916 (Põhja-Iirimaa 10)) artikli 42 lõikega 1.</w:t>
      </w:r>
    </w:p>
  </w:footnote>
  <w:footnote w:id="4">
    <w:p w14:paraId="1085F1A2" w14:textId="77777777" w:rsidR="00FB6465" w:rsidRPr="00FB6465" w:rsidRDefault="00FB6465">
      <w:pPr>
        <w:pStyle w:val="FootnoteText"/>
      </w:pPr>
      <w:r>
        <w:t>(</w:t>
      </w:r>
      <w:r>
        <w:rPr>
          <w:rStyle w:val="FootnoteReference"/>
        </w:rPr>
        <w:footnoteRef/>
      </w:r>
      <w:r>
        <w:t>)</w:t>
      </w:r>
      <w:r>
        <w:tab/>
        <w:t>Vt (Põhja-Iirimaa) 2016. aasta ministeeriumide (volituste üleandmise) korralduse artikli 8 lõike 1 punkti b ja 5. lisa 2. osa (seadusjärgne määrus (S.R. 2016, nr 76).</w:t>
      </w:r>
    </w:p>
  </w:footnote>
  <w:footnote w:id="5">
    <w:p w14:paraId="7D938A52" w14:textId="77777777" w:rsidR="00FB6465" w:rsidRDefault="00FB6465">
      <w:pPr>
        <w:pStyle w:val="FootnoteText"/>
      </w:pPr>
      <w:r>
        <w:t>(</w:t>
      </w:r>
      <w:r>
        <w:rPr>
          <w:rStyle w:val="FootnoteReference"/>
        </w:rPr>
        <w:footnoteRef/>
      </w:r>
      <w:r>
        <w:t>)</w:t>
      </w:r>
      <w:r>
        <w:tab/>
        <w:t>1999. aasta õigusakt nr 454; asjakohased muutmismäärused on 2011. aasta õigusakt nr 20, 2011. aasta õigusakt nr 303 ja 2016. aata õigusakt nr 160.</w:t>
      </w:r>
    </w:p>
  </w:footnote>
  <w:footnote w:id="6">
    <w:p w14:paraId="202E6E04" w14:textId="5448A374" w:rsidR="00A213F5" w:rsidRDefault="00A213F5">
      <w:pPr>
        <w:pStyle w:val="FootnoteText"/>
      </w:pPr>
      <w:r>
        <w:t>(</w:t>
      </w:r>
      <w:r>
        <w:rPr>
          <w:rStyle w:val="FootnoteReference"/>
        </w:rPr>
        <w:footnoteRef/>
      </w:r>
      <w:r>
        <w:t>)</w:t>
      </w:r>
      <w:r>
        <w:tab/>
        <w:t>ELT nr L 151, 14.6.2018,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Teine eelnõu 2023. aasta aprilliks – jaotusvõrguettevõtjate poolt heaks kiidetud kujul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B7FAA"/>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t-EE" w:eastAsia="en-US" w:bidi="ar-SA"/>
    </w:rPr>
  </w:style>
  <w:style w:type="character" w:customStyle="1" w:styleId="MadeChar">
    <w:name w:val="Made Char"/>
    <w:link w:val="Made"/>
    <w:locked/>
    <w:rsid w:val="00E61B82"/>
    <w:rPr>
      <w:i/>
      <w:sz w:val="21"/>
      <w:lang w:val="et-EE"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276</TotalTime>
  <Pages>4</Pages>
  <Words>891</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