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F1B" w14:textId="77777777" w:rsidR="00E61B82" w:rsidRDefault="000D4452" w:rsidP="00AA66BB">
      <w:pPr>
        <w:pStyle w:val="Banner"/>
      </w:pPr>
      <w:r>
        <w:t>Zakonski pravilnik Severne Irske [osnutek]</w:t>
      </w:r>
    </w:p>
    <w:p w14:paraId="5D1F8D67" w14:textId="77777777" w:rsidR="00E61B82" w:rsidRDefault="00E61B82" w:rsidP="00E61B82">
      <w:pPr>
        <w:pStyle w:val="Number"/>
      </w:pPr>
      <w:r>
        <w:t xml:space="preserve">št. iz leta 2023 </w:t>
      </w:r>
    </w:p>
    <w:p w14:paraId="1E808628" w14:textId="77777777" w:rsidR="00E61B82" w:rsidRPr="00292216" w:rsidRDefault="00A07397" w:rsidP="00E61B82">
      <w:pPr>
        <w:pStyle w:val="subject"/>
      </w:pPr>
      <w:r>
        <w:t>cestni promet in vozila</w:t>
      </w:r>
    </w:p>
    <w:p w14:paraId="43A768EC" w14:textId="77777777" w:rsidR="00E61B82" w:rsidRDefault="00A07397" w:rsidP="00E61B82">
      <w:pPr>
        <w:pStyle w:val="Title"/>
      </w:pPr>
      <w:r>
        <w:t>Predpisi o motornih vozilih (konstrukcija in uporaba) (sprememba) (Severna Irska) iz leta 2023</w:t>
      </w:r>
    </w:p>
    <w:p w14:paraId="08710F03" w14:textId="77777777" w:rsidR="00E61B82" w:rsidRPr="00D87569" w:rsidRDefault="00E61B82" w:rsidP="009B08A3">
      <w:pPr>
        <w:pStyle w:val="Made"/>
        <w:tabs>
          <w:tab w:val="left" w:pos="3969"/>
        </w:tabs>
      </w:pPr>
      <w:r>
        <w:t>Sestavljeni</w:t>
      </w:r>
      <w:r>
        <w:tab/>
        <w:t>-</w:t>
      </w:r>
      <w:r>
        <w:tab/>
        <w:t>-</w:t>
      </w:r>
      <w:r>
        <w:tab/>
        <w:t>-</w:t>
      </w:r>
      <w:r>
        <w:tab/>
        <w:t>-</w:t>
      </w:r>
      <w:r>
        <w:tab/>
        <w:t>***</w:t>
      </w:r>
    </w:p>
    <w:p w14:paraId="7459A16E" w14:textId="77777777" w:rsidR="00BC3A4C" w:rsidRDefault="00A07397" w:rsidP="009B08A3">
      <w:pPr>
        <w:pStyle w:val="Coming"/>
        <w:tabs>
          <w:tab w:val="clear" w:pos="3232"/>
          <w:tab w:val="clear" w:pos="3629"/>
          <w:tab w:val="left" w:pos="3969"/>
        </w:tabs>
      </w:pPr>
      <w:r>
        <w:t>Začetek veljavnosti</w:t>
      </w:r>
      <w:r>
        <w:tab/>
        <w:t>-</w:t>
      </w:r>
      <w:r>
        <w:tab/>
        <w:t>***</w:t>
      </w:r>
    </w:p>
    <w:p w14:paraId="2D92F3C5" w14:textId="77777777" w:rsidR="00A07397" w:rsidRPr="00A07397" w:rsidRDefault="00A07397" w:rsidP="00A07397">
      <w:pPr>
        <w:pStyle w:val="Pre"/>
      </w:pPr>
      <w:r>
        <w:t>Ministrstvo za infrastrukturo(</w:t>
      </w:r>
      <w:r>
        <w:rPr>
          <w:rStyle w:val="FootnoteReference"/>
        </w:rPr>
        <w:footnoteReference w:id="2"/>
      </w:r>
      <w:r>
        <w:t>) na podlagi pooblastil iz člena 55(1), (2), točka (a), in (6) ter člena 110(2) Odredbe o cestnem prometu (Severna Irska) iz leta 1995(</w:t>
      </w:r>
      <w:r w:rsidR="00E54DC5">
        <w:rPr>
          <w:rStyle w:val="FootnoteReference"/>
        </w:rPr>
        <w:footnoteReference w:id="3"/>
      </w:r>
      <w:r>
        <w:t>), ki so zdaj prenesena nanj(</w:t>
      </w:r>
      <w:r w:rsidR="00FB6465">
        <w:rPr>
          <w:rStyle w:val="FootnoteReference"/>
        </w:rPr>
        <w:footnoteReference w:id="4"/>
      </w:r>
      <w:r>
        <w:t>), sprejema naslednje predpise.</w:t>
      </w:r>
    </w:p>
    <w:p w14:paraId="799E9B50" w14:textId="77777777" w:rsidR="00252709" w:rsidRDefault="00FB6465" w:rsidP="00FB6465">
      <w:pPr>
        <w:pStyle w:val="H1"/>
      </w:pPr>
      <w:r>
        <w:t>Navajanje in začetek veljavnosti</w:t>
      </w:r>
    </w:p>
    <w:p w14:paraId="54B94898" w14:textId="4B752315" w:rsidR="00FB6465" w:rsidRDefault="00FB6465" w:rsidP="00FB6465">
      <w:pPr>
        <w:pStyle w:val="N1"/>
      </w:pPr>
      <w:r>
        <w:t xml:space="preserve"> Ti predpisi se lahko navajajo kot Predpisi o motornih vozilih (konstrukcija in uporaba) (sprememba) (Severna Irska) iz leta 2023 in začnejo veljati [...]. [...] 2023.</w:t>
      </w:r>
    </w:p>
    <w:p w14:paraId="6322C4DC" w14:textId="77777777" w:rsidR="00FB6465" w:rsidRDefault="00FB6465" w:rsidP="00FB6465">
      <w:pPr>
        <w:pStyle w:val="H1"/>
      </w:pPr>
      <w:r>
        <w:t>Sprememba Predpisov o konstrukciji in uporabi</w:t>
      </w:r>
    </w:p>
    <w:p w14:paraId="47E71D5D" w14:textId="77777777" w:rsidR="00FB6465" w:rsidRDefault="00FB6465" w:rsidP="00FB6465">
      <w:pPr>
        <w:pStyle w:val="N1"/>
      </w:pPr>
      <w:r>
        <w:t>—</w:t>
      </w:r>
      <w:r>
        <w:fldChar w:fldCharType="begin"/>
      </w:r>
      <w:r>
        <w:instrText xml:space="preserve"> LISTNUM "SEQ1" \l 2 </w:instrText>
      </w:r>
      <w:r>
        <w:fldChar w:fldCharType="end"/>
      </w:r>
      <w:r>
        <w:t> Predpisi o motornih vozilih (konstrukcija in uporaba) (Severna Irska) iz leta 1999(</w:t>
      </w:r>
      <w:r>
        <w:rPr>
          <w:rStyle w:val="FootnoteReference"/>
        </w:rPr>
        <w:footnoteReference w:id="5"/>
      </w:r>
      <w:r>
        <w:t>) se spremenijo v skladu z odstavki 2 do 5.</w:t>
      </w:r>
    </w:p>
    <w:p w14:paraId="085E52C7" w14:textId="77777777" w:rsidR="006A64B8" w:rsidRDefault="006A64B8" w:rsidP="006A64B8">
      <w:pPr>
        <w:pStyle w:val="N2"/>
      </w:pPr>
      <w:r>
        <w:t>V predpisu 2(2) (razlaga) se v opredelitvi pojma „Pravilnik ECE, ki mu sledi številka“ besedilo „več kot dve števki“ nadomesti z besedilom „pika, ki ji sledi druga številka“.</w:t>
      </w:r>
    </w:p>
    <w:p w14:paraId="259A558A" w14:textId="77777777" w:rsidR="00022A1B" w:rsidRDefault="00022A1B" w:rsidP="006A64B8">
      <w:pPr>
        <w:pStyle w:val="N2"/>
      </w:pPr>
      <w:r>
        <w:t>V predpisu 30 (obremenitve pnevmatik in hitrostni razredi):</w:t>
      </w:r>
    </w:p>
    <w:p w14:paraId="2CD06048" w14:textId="77777777" w:rsidR="00022A1B" w:rsidRDefault="00022A1B" w:rsidP="00022A1B">
      <w:pPr>
        <w:pStyle w:val="N3"/>
      </w:pPr>
      <w:r>
        <w:t>se v odstavku 7 besedilo „vendar se ta zahteva ne uporablja za protektirane pnevmatike“ nadomesti z besedilom „, v primeru protektiranih pnevmatik pa z zahtevami iz Pravilnika ECE št. 108 ali 109“ in</w:t>
      </w:r>
    </w:p>
    <w:p w14:paraId="510A7921" w14:textId="77777777" w:rsidR="00022A1B" w:rsidRDefault="00022A1B" w:rsidP="00022A1B">
      <w:pPr>
        <w:pStyle w:val="N3"/>
      </w:pPr>
      <w:r>
        <w:t>v odstavku 12 se v opredelitvi pojma „indeks nosilnosti“ besedilo „2.29“ na koncu nadomesti z besedilom „2 Pravilnika ECE št. 30.02 ali Pravilnika ECE št. 54 ali kot ‚indeks nosilnosti‘ iz odstavka 2 Pravilnika ECE št. 108 ali Pravilnika ECE št. 109“.</w:t>
      </w:r>
    </w:p>
    <w:p w14:paraId="19D5D210" w14:textId="77777777" w:rsidR="00DD69B1" w:rsidRDefault="00DD69B1" w:rsidP="00DD69B1">
      <w:pPr>
        <w:pStyle w:val="N2"/>
      </w:pPr>
      <w:r>
        <w:t>V predpisu 32 (stanje in vzdrževanje pnevmatik):</w:t>
      </w:r>
    </w:p>
    <w:p w14:paraId="3AE878F1" w14:textId="77777777" w:rsidR="00DD69B1" w:rsidRDefault="00DD69B1" w:rsidP="00DD69B1">
      <w:pPr>
        <w:pStyle w:val="N3"/>
      </w:pPr>
      <w:r>
        <w:t>se v odstavku 1:</w:t>
      </w:r>
    </w:p>
    <w:p w14:paraId="03749A2F" w14:textId="77777777" w:rsidR="00DD69B1" w:rsidRDefault="00DD69B1" w:rsidP="00DD69B1">
      <w:pPr>
        <w:pStyle w:val="N4"/>
      </w:pPr>
      <w:r>
        <w:t>besedilo „ob upoštevanju odstavkov 2 do 4“ nadomesti z besedilom „ob upoštevanju odstavka 1A in odstavkov 2 do 4“;</w:t>
      </w:r>
    </w:p>
    <w:p w14:paraId="2B4BAE61" w14:textId="77777777" w:rsidR="00DD69B1" w:rsidRDefault="007442AA" w:rsidP="00DD69B1">
      <w:pPr>
        <w:pStyle w:val="N4"/>
      </w:pPr>
      <w:r>
        <w:lastRenderedPageBreak/>
        <w:t>v točki (g)(ii) se na koncu črta beseda „ali“;</w:t>
      </w:r>
    </w:p>
    <w:p w14:paraId="116D86A6" w14:textId="77777777" w:rsidR="007442AA" w:rsidRDefault="007442AA" w:rsidP="00DD69B1">
      <w:pPr>
        <w:pStyle w:val="N4"/>
      </w:pPr>
      <w:r>
        <w:t>za točko (h) se vstavi naslednje besedilo:</w:t>
      </w:r>
    </w:p>
    <w:p w14:paraId="31D345C1" w14:textId="364E70A3" w:rsidR="007442AA" w:rsidRDefault="00E21C8D" w:rsidP="00E21C8D">
      <w:pPr>
        <w:pStyle w:val="LQN4"/>
      </w:pPr>
      <w:r>
        <w:tab/>
        <w:t>„(i)</w:t>
      </w:r>
      <w:r>
        <w:tab/>
        <w:t>pnevmatika ni protektirana in:</w:t>
      </w:r>
    </w:p>
    <w:p w14:paraId="1127C07A" w14:textId="77777777" w:rsidR="00A42AA8" w:rsidRDefault="00A42AA8" w:rsidP="00A42AA8">
      <w:pPr>
        <w:pStyle w:val="NLQN4"/>
      </w:pPr>
      <w:r>
        <w:tab/>
        <w:t>(i)</w:t>
      </w:r>
      <w:r>
        <w:tab/>
        <w:t>je bila v skladu z oznako tedna izdelave, nameščeno na bočni strani v skladu s Pravilnikom ECE št. 30 ali 54, izdelana več kot 10 let pred datumom uporabe motornega vozila na cesti ali</w:t>
      </w:r>
    </w:p>
    <w:p w14:paraId="3D0FC71C" w14:textId="0322961D" w:rsidR="00A42AA8" w:rsidRDefault="00A42AA8" w:rsidP="00A42AA8">
      <w:pPr>
        <w:pStyle w:val="NLQN4"/>
      </w:pPr>
      <w:r>
        <w:tab/>
        <w:t>(ii)</w:t>
      </w:r>
      <w:r>
        <w:tab/>
        <w:t>nima oznake tedna izdelave, ki bi bila skladna s Pravilnikom ECE št. 30 ali 54 (ker je bila pnevmatika izdelana pred začetkom veljavnosti Pravilnika ECE ali iz drugega razloga);</w:t>
      </w:r>
    </w:p>
    <w:p w14:paraId="21565F41" w14:textId="77777777" w:rsidR="00A42AA8" w:rsidRDefault="00A42AA8" w:rsidP="00A42AA8">
      <w:pPr>
        <w:pStyle w:val="LQN4"/>
      </w:pPr>
      <w:r>
        <w:tab/>
        <w:t>(j)</w:t>
      </w:r>
      <w:r>
        <w:tab/>
        <w:t>pnevmatika je protektirana in:</w:t>
      </w:r>
    </w:p>
    <w:p w14:paraId="0991118A" w14:textId="77777777" w:rsidR="00A42AA8" w:rsidRDefault="00A42AA8" w:rsidP="00A42AA8">
      <w:pPr>
        <w:pStyle w:val="NLQN4"/>
      </w:pPr>
      <w:r>
        <w:tab/>
        <w:t>(i)</w:t>
      </w:r>
      <w:r>
        <w:tab/>
        <w:t>je bila v skladu z oznako tedna protektiranja, nameščeno na bočni strani v skladu s Pravilnikom ECE št. 108 ali 109, protektirana več kot 10 let pred datumom uporabe motornega vozila na cesti ali</w:t>
      </w:r>
    </w:p>
    <w:p w14:paraId="1D5A9534" w14:textId="77777777" w:rsidR="00520F87" w:rsidRDefault="00520F87" w:rsidP="00520F87">
      <w:pPr>
        <w:pStyle w:val="NLQN4"/>
      </w:pPr>
      <w:r>
        <w:tab/>
        <w:t>(ii)</w:t>
      </w:r>
      <w:r>
        <w:tab/>
        <w:t>nima oznake tedna protektiranja, ki bi bila skladna s Pravilnikom ECE št. 108 ali 109 (ker je bila pnevmatika protektirana pred začetkom veljavnosti Pravilnika ECE ali iz drugega razloga), ali</w:t>
      </w:r>
    </w:p>
    <w:p w14:paraId="371ABCF7" w14:textId="1D9D5575" w:rsidR="00520F87" w:rsidRDefault="00520F87" w:rsidP="00520F87">
      <w:pPr>
        <w:pStyle w:val="LQN4"/>
      </w:pPr>
      <w:r>
        <w:tab/>
        <w:t>(k)</w:t>
      </w:r>
      <w:r>
        <w:tab/>
        <w:t>datum, označen na bočni strani pnevmatike v skladu s Pravilnikom ECE št. 30 54, 108 ali 109, ni berljiv.“;</w:t>
      </w:r>
    </w:p>
    <w:p w14:paraId="17D017BD" w14:textId="77777777" w:rsidR="00520F87" w:rsidRDefault="00520F87" w:rsidP="00520F87">
      <w:pPr>
        <w:pStyle w:val="N3"/>
      </w:pPr>
      <w:r>
        <w:t>za odstavkom 1 se vstavi naslednje besedilo:</w:t>
      </w:r>
    </w:p>
    <w:p w14:paraId="252B767E" w14:textId="65543917" w:rsidR="00EE3061" w:rsidRDefault="00E21C8D" w:rsidP="00EE3061">
      <w:pPr>
        <w:pStyle w:val="LQN2"/>
      </w:pPr>
      <w:r>
        <w:t>„(1A) Ob upoštevanju odstavka 4, točki (a) in (ca), in ne glede na določbe člena 30:</w:t>
      </w:r>
    </w:p>
    <w:p w14:paraId="0F6D8888" w14:textId="77777777" w:rsidR="00EE3061" w:rsidRDefault="00EE3061" w:rsidP="00EE3061">
      <w:pPr>
        <w:pStyle w:val="LQN3"/>
      </w:pPr>
      <w:r>
        <w:t>(a)</w:t>
      </w:r>
      <w:r>
        <w:tab/>
        <w:t>se odstavek 1, točki (i) in (j), uporablja samo za pnevmatike, nameščene:</w:t>
      </w:r>
    </w:p>
    <w:p w14:paraId="781B8B31" w14:textId="77777777" w:rsidR="00EE3061" w:rsidRDefault="00EE3061" w:rsidP="00EE3061">
      <w:pPr>
        <w:pStyle w:val="LQN4"/>
      </w:pPr>
      <w:r>
        <w:tab/>
        <w:t>(i)</w:t>
      </w:r>
      <w:r>
        <w:tab/>
        <w:t>na prednji osi avtobusa, ki ni minibus;</w:t>
      </w:r>
    </w:p>
    <w:p w14:paraId="53B7C312" w14:textId="77777777" w:rsidR="00EE3061" w:rsidRPr="00EE3061" w:rsidRDefault="00EE3061" w:rsidP="00EE3061">
      <w:pPr>
        <w:pStyle w:val="LQN4"/>
        <w:rPr>
          <w:color w:val="FF0000"/>
        </w:rPr>
      </w:pPr>
      <w:r>
        <w:tab/>
        <w:t>(ii)</w:t>
      </w:r>
      <w:r>
        <w:tab/>
        <w:t>v enojni konfiguraciji na kateri koli osi minibusa ali</w:t>
      </w:r>
    </w:p>
    <w:p w14:paraId="4BC37583" w14:textId="77777777" w:rsidR="00EE3061" w:rsidRDefault="00EE3061" w:rsidP="00EE3061">
      <w:pPr>
        <w:pStyle w:val="LQN4"/>
      </w:pPr>
      <w:r>
        <w:tab/>
        <w:t>(iii)</w:t>
      </w:r>
      <w:r>
        <w:tab/>
        <w:t>na prednji osi tovornega vozila z največjo bruto maso, ki presega 3 500 kg;</w:t>
      </w:r>
    </w:p>
    <w:p w14:paraId="247FF29E" w14:textId="77777777" w:rsidR="00EE3061" w:rsidRDefault="00EE3061" w:rsidP="00EE3061">
      <w:pPr>
        <w:pStyle w:val="LQN3"/>
      </w:pPr>
      <w:r>
        <w:t>(b)</w:t>
      </w:r>
      <w:r>
        <w:tab/>
        <w:t>v točki (a):</w:t>
      </w:r>
    </w:p>
    <w:p w14:paraId="5B8B4A93" w14:textId="77777777" w:rsidR="00EE3061" w:rsidRPr="00F9319A" w:rsidRDefault="00EE3061" w:rsidP="00EE3061">
      <w:pPr>
        <w:pStyle w:val="LQN4"/>
      </w:pPr>
      <w:r>
        <w:tab/>
        <w:t>(i)</w:t>
      </w:r>
      <w:r>
        <w:tab/>
        <w:t>‚prednja os‘ pomeni vsako os pred sredino šasije, na kateri se kolesa krmilijo s krmilnim sistemom in</w:t>
      </w:r>
    </w:p>
    <w:p w14:paraId="09B8C591" w14:textId="77777777" w:rsidR="00EE3061" w:rsidRDefault="00EE3061" w:rsidP="00EE3061">
      <w:pPr>
        <w:pStyle w:val="LQN4"/>
      </w:pPr>
      <w:r>
        <w:tab/>
        <w:t>(ii)</w:t>
      </w:r>
      <w:r>
        <w:tab/>
        <w:t>‚enojna konfiguracija‘ pomeni, da je na koncu zadevne osi nameščen največ en sklop koles in pnevmatik, in</w:t>
      </w:r>
    </w:p>
    <w:p w14:paraId="10800F30" w14:textId="77777777" w:rsidR="00EE3061" w:rsidRDefault="00EE3061" w:rsidP="00EE3061">
      <w:pPr>
        <w:pStyle w:val="LQN3"/>
      </w:pPr>
      <w:r>
        <w:t>(c)</w:t>
      </w:r>
      <w:r>
        <w:tab/>
        <w:t>odstavek 1, točka (k), se uporablja samo za:</w:t>
      </w:r>
    </w:p>
    <w:p w14:paraId="1BD3712B" w14:textId="77777777" w:rsidR="00FF5A1C" w:rsidRPr="00F9319A" w:rsidRDefault="00FF5A1C" w:rsidP="00FF5A1C">
      <w:pPr>
        <w:pStyle w:val="LQN4"/>
      </w:pPr>
      <w:r>
        <w:tab/>
        <w:t>(i)</w:t>
      </w:r>
      <w:r>
        <w:tab/>
        <w:t>avtobuse (vključno z minibusi) in</w:t>
      </w:r>
    </w:p>
    <w:p w14:paraId="19A93219" w14:textId="001A4982" w:rsidR="00FF5A1C" w:rsidRDefault="00FF5A1C" w:rsidP="00FF5A1C">
      <w:pPr>
        <w:pStyle w:val="LQN4"/>
      </w:pPr>
      <w:r>
        <w:tab/>
        <w:t>(ii)</w:t>
      </w:r>
      <w:r>
        <w:tab/>
        <w:t>tovorna vozila, katerih največja bruto masa presega 3 500 kg.“;</w:t>
      </w:r>
    </w:p>
    <w:p w14:paraId="0AF3BAC2" w14:textId="77777777" w:rsidR="00FF5A1C" w:rsidRDefault="00FF5A1C" w:rsidP="00FF5A1C">
      <w:pPr>
        <w:pStyle w:val="N3"/>
      </w:pPr>
      <w:r>
        <w:t>v odstavku 4:</w:t>
      </w:r>
    </w:p>
    <w:p w14:paraId="43505781" w14:textId="77777777" w:rsidR="00426F4F" w:rsidRDefault="00426F4F" w:rsidP="00426F4F">
      <w:pPr>
        <w:pStyle w:val="N4"/>
      </w:pPr>
      <w:r>
        <w:t>se v točki (a) za besedilom „(1), točke (a) do (g)“ vstavi besedilo „in točke (i) do (k)“,</w:t>
      </w:r>
    </w:p>
    <w:p w14:paraId="7C39BE16" w14:textId="77777777" w:rsidR="00426F4F" w:rsidRDefault="00426F4F" w:rsidP="00426F4F">
      <w:pPr>
        <w:pStyle w:val="N4"/>
      </w:pPr>
      <w:r>
        <w:t>za točko (c) se vstavi naslednje besedilo:</w:t>
      </w:r>
    </w:p>
    <w:p w14:paraId="4E3E441C" w14:textId="3789445E" w:rsidR="00426F4F" w:rsidRDefault="00E21C8D" w:rsidP="00426F4F">
      <w:pPr>
        <w:pStyle w:val="LQN3"/>
      </w:pPr>
      <w:r>
        <w:t>„(ca)</w:t>
      </w:r>
      <w:r>
        <w:tab/>
        <w:t>Določbe odstavka 1, točke (i) do (k), se ne uporabljajo za vozila zgodovinskega pomena, ki se uporabljajo v nekomercialne namene, pri čemer ‚vozilo zgodovinskega pomena‘ pomeni vozilo, za katerega ministrstvo meni, da ima za Severno Irsko zgodovinski pomen, in ki:</w:t>
      </w:r>
    </w:p>
    <w:p w14:paraId="45C7B239" w14:textId="77777777" w:rsidR="00A213F5" w:rsidRDefault="00A213F5" w:rsidP="00A213F5">
      <w:pPr>
        <w:pStyle w:val="LQN4"/>
      </w:pPr>
      <w:r>
        <w:tab/>
        <w:t>(i)</w:t>
      </w:r>
      <w:r>
        <w:tab/>
        <w:t>je bilo izdelano ali prvič registrirano pred vsaj 40 leti;</w:t>
      </w:r>
    </w:p>
    <w:p w14:paraId="190D1C8F" w14:textId="77777777" w:rsidR="00A213F5" w:rsidRDefault="00A213F5" w:rsidP="00A213F5">
      <w:pPr>
        <w:pStyle w:val="LQN4"/>
      </w:pPr>
      <w:r>
        <w:tab/>
        <w:t>(ii)</w:t>
      </w:r>
      <w:r>
        <w:tab/>
        <w:t>je tipa, ki se ne proizvaja več, in</w:t>
      </w:r>
    </w:p>
    <w:p w14:paraId="270D6A59" w14:textId="77777777" w:rsidR="00A213F5" w:rsidRDefault="00A213F5" w:rsidP="00A213F5">
      <w:pPr>
        <w:pStyle w:val="LQN4"/>
      </w:pPr>
      <w:r>
        <w:tab/>
        <w:t>(iii)</w:t>
      </w:r>
      <w:r>
        <w:tab/>
        <w:t>je zgodovinsko ohranjeno ali vzdrževano v prvotnem stanju, tehnične značilnosti njegovih glavnih sestavnih delov pa niso bile bistveno spremenjene,</w:t>
      </w:r>
    </w:p>
    <w:p w14:paraId="48B5AE59" w14:textId="56DE3A66" w:rsidR="00A213F5" w:rsidRDefault="00A213F5" w:rsidP="00A213F5">
      <w:pPr>
        <w:pStyle w:val="LQT2"/>
      </w:pPr>
      <w:r>
        <w:t xml:space="preserve">pri čemer ima pojem ‚tip‘ v zvezi z vozilom enak pomen kot pojem ‚tip vozila‘ iz člena 3(32) Uredbe (EU) 2018/858 Evropskega parlamenta in Sveta z dne 30. maja 2018 o odobritvi in </w:t>
      </w:r>
      <w:r>
        <w:lastRenderedPageBreak/>
        <w:t>tržnem nadzoru motornih vozil in njihovih priklopnikov ter sistemov, sestavnih delov in samostojnih tehničnih enot, namenjenih za taka vozila(</w:t>
      </w:r>
      <w:r>
        <w:rPr>
          <w:rStyle w:val="FootnoteReference"/>
        </w:rPr>
        <w:footnoteReference w:id="6"/>
      </w:r>
      <w:r>
        <w:t>);“ in</w:t>
      </w:r>
    </w:p>
    <w:p w14:paraId="7CEE7A40" w14:textId="77777777" w:rsidR="00A213F5" w:rsidRDefault="00A213F5" w:rsidP="00A213F5">
      <w:pPr>
        <w:pStyle w:val="N3"/>
      </w:pPr>
      <w:r>
        <w:t>v odstavku 6, točka (a), se v opredelitvi pojma „prvotni vzorec tekalne plasti“ v obeh pojavitvah besede „protektirane“ [re-treaded] odpravi pomišljaj [retreaded].</w:t>
      </w:r>
    </w:p>
    <w:p w14:paraId="63D4D4FF" w14:textId="77777777" w:rsidR="004800DA" w:rsidRDefault="004800DA" w:rsidP="004800DA">
      <w:pPr>
        <w:pStyle w:val="N2"/>
      </w:pPr>
      <w:r>
        <w:t>V preglednici 2 (Pravilniki ECE) iz Priloge 1 se za vnosom, ki se nanaša na postavko 44, vstavi:</w:t>
      </w:r>
    </w:p>
    <w:p w14:paraId="76FC1C44" w14:textId="77777777" w:rsidR="00A42AA8" w:rsidRDefault="00A42AA8" w:rsidP="001D0E3C">
      <w:pPr>
        <w:pStyle w:val="linespace"/>
      </w:pPr>
    </w:p>
    <w:tbl>
      <w:tblPr>
        <w:tblW w:w="8953" w:type="dxa"/>
        <w:tblInd w:w="-108" w:type="dxa"/>
        <w:tblLayout w:type="fixed"/>
        <w:tblLook w:val="0000" w:firstRow="0" w:lastRow="0" w:firstColumn="0" w:lastColumn="0" w:noHBand="0" w:noVBand="0"/>
      </w:tblPr>
      <w:tblGrid>
        <w:gridCol w:w="1233"/>
        <w:gridCol w:w="1233"/>
        <w:gridCol w:w="1233"/>
        <w:gridCol w:w="1233"/>
        <w:gridCol w:w="1555"/>
        <w:gridCol w:w="1233"/>
        <w:gridCol w:w="1233"/>
      </w:tblGrid>
      <w:tr w:rsidR="001D0E3C" w:rsidRPr="001D0E3C" w14:paraId="342E504E" w14:textId="77777777" w:rsidTr="009B08A3">
        <w:tc>
          <w:tcPr>
            <w:tcW w:w="1233" w:type="dxa"/>
            <w:tcBorders>
              <w:top w:val="single" w:sz="4" w:space="0" w:color="auto"/>
              <w:bottom w:val="single" w:sz="4" w:space="0" w:color="auto"/>
            </w:tcBorders>
            <w:shd w:val="clear" w:color="auto" w:fill="auto"/>
          </w:tcPr>
          <w:p w14:paraId="40D5508B" w14:textId="10408951" w:rsidR="001D0E3C" w:rsidRPr="001D0E3C" w:rsidRDefault="00E21C8D" w:rsidP="00755802">
            <w:pPr>
              <w:pStyle w:val="TableText"/>
            </w:pPr>
            <w:r>
              <w:t>„45.</w:t>
            </w:r>
          </w:p>
        </w:tc>
        <w:tc>
          <w:tcPr>
            <w:tcW w:w="1233" w:type="dxa"/>
            <w:tcBorders>
              <w:top w:val="single" w:sz="4" w:space="0" w:color="auto"/>
              <w:bottom w:val="single" w:sz="4" w:space="0" w:color="auto"/>
            </w:tcBorders>
            <w:shd w:val="clear" w:color="auto" w:fill="auto"/>
          </w:tcPr>
          <w:p w14:paraId="527FB77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08AD46D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7A826E74" w14:textId="77777777" w:rsidR="001D0E3C" w:rsidRPr="001D0E3C" w:rsidRDefault="00C14C52" w:rsidP="00C14C52">
            <w:pPr>
              <w:pStyle w:val="TableText"/>
            </w:pPr>
            <w:r>
              <w:t>23.6.98</w:t>
            </w:r>
          </w:p>
        </w:tc>
        <w:tc>
          <w:tcPr>
            <w:tcW w:w="1555" w:type="dxa"/>
            <w:tcBorders>
              <w:top w:val="single" w:sz="4" w:space="0" w:color="auto"/>
              <w:bottom w:val="single" w:sz="4" w:space="0" w:color="auto"/>
            </w:tcBorders>
            <w:shd w:val="clear" w:color="auto" w:fill="auto"/>
          </w:tcPr>
          <w:p w14:paraId="78D4509F" w14:textId="77777777" w:rsidR="001D0E3C" w:rsidRPr="001D0E3C" w:rsidRDefault="00C14C52" w:rsidP="00C14C52">
            <w:pPr>
              <w:pStyle w:val="TableText"/>
            </w:pPr>
            <w:r>
              <w:t>Protektirane pnevmatike za osebne avtomobile in njihove priklopnike</w:t>
            </w:r>
          </w:p>
        </w:tc>
        <w:tc>
          <w:tcPr>
            <w:tcW w:w="1233" w:type="dxa"/>
            <w:tcBorders>
              <w:top w:val="single" w:sz="4" w:space="0" w:color="auto"/>
              <w:bottom w:val="single" w:sz="4" w:space="0" w:color="auto"/>
            </w:tcBorders>
            <w:shd w:val="clear" w:color="auto" w:fill="auto"/>
          </w:tcPr>
          <w:p w14:paraId="0425E6F7"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3D1A474E" w14:textId="77777777" w:rsidR="001D0E3C" w:rsidRPr="001D0E3C" w:rsidRDefault="00C14C52" w:rsidP="00C14C52">
            <w:pPr>
              <w:pStyle w:val="TableText"/>
            </w:pPr>
            <w:r>
              <w:t>–</w:t>
            </w:r>
          </w:p>
        </w:tc>
      </w:tr>
      <w:tr w:rsidR="001D0E3C" w:rsidRPr="001D0E3C" w14:paraId="3DBBCC3C" w14:textId="77777777" w:rsidTr="009B08A3">
        <w:tc>
          <w:tcPr>
            <w:tcW w:w="1233" w:type="dxa"/>
            <w:tcBorders>
              <w:top w:val="single" w:sz="4" w:space="0" w:color="auto"/>
              <w:bottom w:val="single" w:sz="4" w:space="0" w:color="auto"/>
            </w:tcBorders>
            <w:shd w:val="clear" w:color="auto" w:fill="auto"/>
          </w:tcPr>
          <w:p w14:paraId="6FCB996C" w14:textId="6601700D" w:rsidR="001D0E3C" w:rsidRPr="001D0E3C" w:rsidRDefault="00B0192D" w:rsidP="00755802">
            <w:pPr>
              <w:pStyle w:val="TableText"/>
            </w:pPr>
            <w:r>
              <w:t>46</w:t>
            </w:r>
          </w:p>
        </w:tc>
        <w:tc>
          <w:tcPr>
            <w:tcW w:w="1233" w:type="dxa"/>
            <w:tcBorders>
              <w:top w:val="single" w:sz="4" w:space="0" w:color="auto"/>
              <w:bottom w:val="single" w:sz="4" w:space="0" w:color="auto"/>
            </w:tcBorders>
            <w:shd w:val="clear" w:color="auto" w:fill="auto"/>
          </w:tcPr>
          <w:p w14:paraId="70C9C34F" w14:textId="77777777" w:rsidR="001D0E3C" w:rsidRPr="001D0E3C" w:rsidRDefault="00C14C52" w:rsidP="001D0E3C">
            <w:pPr>
              <w:pStyle w:val="TableText"/>
            </w:pPr>
            <w:r>
              <w:t>109</w:t>
            </w:r>
          </w:p>
        </w:tc>
        <w:tc>
          <w:tcPr>
            <w:tcW w:w="1233" w:type="dxa"/>
            <w:tcBorders>
              <w:top w:val="single" w:sz="4" w:space="0" w:color="auto"/>
              <w:bottom w:val="single" w:sz="4" w:space="0" w:color="auto"/>
            </w:tcBorders>
            <w:shd w:val="clear" w:color="auto" w:fill="auto"/>
          </w:tcPr>
          <w:p w14:paraId="0756B04E" w14:textId="77777777" w:rsidR="001D0E3C" w:rsidRPr="001D0E3C" w:rsidRDefault="00C14C52" w:rsidP="00C14C52">
            <w:pPr>
              <w:pStyle w:val="TableText"/>
            </w:pPr>
            <w:r>
              <w:t>109</w:t>
            </w:r>
          </w:p>
        </w:tc>
        <w:tc>
          <w:tcPr>
            <w:tcW w:w="1233" w:type="dxa"/>
            <w:tcBorders>
              <w:top w:val="single" w:sz="4" w:space="0" w:color="auto"/>
              <w:bottom w:val="single" w:sz="4" w:space="0" w:color="auto"/>
            </w:tcBorders>
            <w:shd w:val="clear" w:color="auto" w:fill="auto"/>
          </w:tcPr>
          <w:p w14:paraId="23B64487" w14:textId="77777777" w:rsidR="001D0E3C" w:rsidRPr="001D0E3C" w:rsidRDefault="00C14C52" w:rsidP="00C14C52">
            <w:pPr>
              <w:pStyle w:val="TableText"/>
            </w:pPr>
            <w:r>
              <w:t>23.6.98</w:t>
            </w:r>
          </w:p>
        </w:tc>
        <w:tc>
          <w:tcPr>
            <w:tcW w:w="1555" w:type="dxa"/>
            <w:tcBorders>
              <w:top w:val="single" w:sz="4" w:space="0" w:color="auto"/>
              <w:bottom w:val="single" w:sz="4" w:space="0" w:color="auto"/>
            </w:tcBorders>
            <w:shd w:val="clear" w:color="auto" w:fill="auto"/>
          </w:tcPr>
          <w:p w14:paraId="226FBE9E" w14:textId="77777777" w:rsidR="001D0E3C" w:rsidRPr="001D0E3C" w:rsidRDefault="00C14C52" w:rsidP="00C14C52">
            <w:pPr>
              <w:pStyle w:val="TableText"/>
            </w:pPr>
            <w:r>
              <w:t>Protektirane pnevmatike za gospodarska vozila in njihove priklopnike</w:t>
            </w:r>
          </w:p>
        </w:tc>
        <w:tc>
          <w:tcPr>
            <w:tcW w:w="1233" w:type="dxa"/>
            <w:tcBorders>
              <w:top w:val="single" w:sz="4" w:space="0" w:color="auto"/>
              <w:bottom w:val="single" w:sz="4" w:space="0" w:color="auto"/>
            </w:tcBorders>
            <w:shd w:val="clear" w:color="auto" w:fill="auto"/>
          </w:tcPr>
          <w:p w14:paraId="33F0897E"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2DD7754D" w14:textId="40F90DE4" w:rsidR="001D0E3C" w:rsidRPr="00C14C52" w:rsidRDefault="00C14C52" w:rsidP="00C14C52">
            <w:pPr>
              <w:pStyle w:val="TableText"/>
            </w:pPr>
            <w:r>
              <w:t>–”</w:t>
            </w:r>
          </w:p>
        </w:tc>
      </w:tr>
    </w:tbl>
    <w:p w14:paraId="6896FBA7" w14:textId="77777777" w:rsidR="00C14C52" w:rsidRDefault="00C14C52" w:rsidP="001D0E3C">
      <w:pPr>
        <w:pStyle w:val="linespace"/>
      </w:pPr>
    </w:p>
    <w:p w14:paraId="0341180E" w14:textId="77777777" w:rsidR="001D0E3C" w:rsidRDefault="001D0E3C" w:rsidP="00C14C52">
      <w:pPr>
        <w:pStyle w:val="linespace"/>
        <w:rPr>
          <w:caps/>
          <w:noProof w:val="0"/>
          <w:spacing w:val="74"/>
          <w:sz w:val="22"/>
        </w:rPr>
      </w:pPr>
    </w:p>
    <w:p w14:paraId="73447127" w14:textId="77777777" w:rsidR="00040058" w:rsidRDefault="00040058" w:rsidP="00040058">
      <w:pPr>
        <w:pStyle w:val="SigBlock"/>
        <w:rPr>
          <w:rStyle w:val="Sigsignatory"/>
        </w:rPr>
      </w:pPr>
      <w:r>
        <w:rPr>
          <w:rStyle w:val="Sigsignatory"/>
        </w:rPr>
        <w:t>Zapečateno z uradnim žigom Ministrstva za infrastrukturo dne [...]. [...] 2023</w:t>
      </w:r>
    </w:p>
    <w:p w14:paraId="23B5DB7C" w14:textId="77777777" w:rsidR="00040058" w:rsidRDefault="00040058" w:rsidP="00040058">
      <w:pPr>
        <w:pStyle w:val="SigBlock"/>
        <w:rPr>
          <w:rStyle w:val="Sigsignatory"/>
        </w:rPr>
      </w:pPr>
    </w:p>
    <w:p w14:paraId="12B1E743" w14:textId="77777777" w:rsidR="00040058" w:rsidRPr="00040058" w:rsidRDefault="00040058" w:rsidP="00040058">
      <w:pPr>
        <w:pStyle w:val="LegSeal"/>
      </w:pPr>
      <w:r>
        <w:drawing>
          <wp:inline distT="0" distB="0" distL="0" distR="0" wp14:anchorId="35A2C058" wp14:editId="3FB9CE74">
            <wp:extent cx="638175" cy="628650"/>
            <wp:effectExtent l="0" t="0" r="9525" b="0"/>
            <wp:docPr id="2" name="Picture 2" descr="Description: legal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galse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4E01A631" w14:textId="77777777" w:rsidR="00040058" w:rsidRDefault="00040058" w:rsidP="00040058">
      <w:pPr>
        <w:pStyle w:val="SigBlock"/>
        <w:rPr>
          <w:rStyle w:val="SigSignee"/>
        </w:rPr>
      </w:pPr>
      <w:r>
        <w:tab/>
      </w:r>
      <w:r>
        <w:rPr>
          <w:rStyle w:val="SigSignee"/>
          <w:color w:val="FFFFFF" w:themeColor="background1"/>
        </w:rPr>
        <w:t>Chris Hughes</w:t>
      </w:r>
    </w:p>
    <w:p w14:paraId="30519020" w14:textId="77777777" w:rsidR="00040058" w:rsidRPr="00040058" w:rsidRDefault="00040058" w:rsidP="00040058">
      <w:pPr>
        <w:pStyle w:val="SigBlock"/>
      </w:pPr>
      <w:r>
        <w:tab/>
      </w:r>
      <w:r>
        <w:rPr>
          <w:rStyle w:val="Sigtitle"/>
        </w:rPr>
        <w:t>Višji uradnik Ministrstva za infrastrukturo</w:t>
      </w:r>
    </w:p>
    <w:p w14:paraId="4412EBCC" w14:textId="77777777" w:rsidR="00040058" w:rsidRDefault="00040058" w:rsidP="00040058">
      <w:pPr>
        <w:pStyle w:val="linespace"/>
        <w:rPr>
          <w:sz w:val="21"/>
        </w:rPr>
      </w:pPr>
      <w:r>
        <w:br w:type="page"/>
      </w:r>
    </w:p>
    <w:p w14:paraId="24ECD896" w14:textId="77777777" w:rsidR="00040058" w:rsidRDefault="00040058" w:rsidP="00040058">
      <w:pPr>
        <w:pStyle w:val="XNote"/>
      </w:pPr>
      <w:r>
        <w:lastRenderedPageBreak/>
        <w:t>OBRAZLOŽITEV</w:t>
      </w:r>
    </w:p>
    <w:p w14:paraId="2D3DC66A" w14:textId="3ED882CF" w:rsidR="00040058" w:rsidRDefault="00040058" w:rsidP="00040058">
      <w:pPr>
        <w:pStyle w:val="XNotenote"/>
      </w:pPr>
      <w:r>
        <w:t>(Ta obrazložitev ni del predpisov.)</w:t>
      </w:r>
    </w:p>
    <w:p w14:paraId="35F194C5" w14:textId="2CB6F34C" w:rsidR="00040058" w:rsidRDefault="00040058" w:rsidP="00040058">
      <w:pPr>
        <w:pStyle w:val="T1"/>
      </w:pPr>
      <w:r>
        <w:t>Ti predpisi spreminjajo Predpise o motornih vozilih (konstrukcija in uporaba) iz leta 1999 (Severna Irska), da bi se vanje vključile določbe o starosti pnevmatik (vključno s protektiranimi pnevmatikami) in čitljivosti oznak z datumi na pnevmatikah, ki se lahko uporabljajo na avtobusih (vključno z minibusi) in tovornih vozilih z največjo bruto maso, ki presega 3 500 kg. Predpisi spreminjajo tudi preglednico 2 iz Priloge 1 k Predpisom iz leta 1999, da bi se vključile določbe v zvezi s protektiranimi pnevmatikami iz pravilnikov ECE št. 108 in 109. V teh predpisih je določeno izvzetje vozil zgodovinskega pomena, ki se ne uporabljajo v komercialne namene.</w:t>
      </w:r>
    </w:p>
    <w:p w14:paraId="0FE50F41" w14:textId="77777777" w:rsidR="006D38F1" w:rsidRDefault="006D38F1" w:rsidP="00040058">
      <w:pPr>
        <w:pStyle w:val="T1"/>
      </w:pPr>
      <w:r>
        <w:t>Ti predpisi so bili Evropski komisiji priglašeni v skladu z Direktivo (EU) 2015/1535 Evropskega parlamenta in Sveta z dne 9. septembra 2015 (UL L 241, 17.9.2015, str. 1) z uradnim obvestilom številka </w:t>
      </w:r>
      <w:r>
        <w:rPr>
          <w:color w:val="FF0000"/>
        </w:rPr>
        <w:t xml:space="preserve">xxxxxxxx. </w:t>
      </w:r>
      <w:r>
        <w:t xml:space="preserve">V trimesečnem obdobju mirovanja ni bilo podanih pripomb. Direktiva je na voljo na spletišču </w:t>
      </w:r>
      <w:hyperlink r:id="rId8" w:history="1">
        <w:r>
          <w:rPr>
            <w:rStyle w:val="Hyperlink"/>
          </w:rPr>
          <w:t>http://eur-lex.europa.eu</w:t>
        </w:r>
      </w:hyperlink>
      <w:r>
        <w:t xml:space="preserve">. </w:t>
      </w:r>
    </w:p>
    <w:p w14:paraId="6186E13D" w14:textId="77777777" w:rsidR="00755802" w:rsidRDefault="00755802" w:rsidP="00040058">
      <w:pPr>
        <w:pStyle w:val="T1"/>
      </w:pPr>
      <w:r>
        <w:t xml:space="preserve">Pravilnike ECE izdaja Ekonomska komisija Združenih narodov za Evropo. Kopije pravilnikov ECE iz teh predpisov so na voljo na spletišču UN/ECE </w:t>
      </w:r>
      <w:hyperlink r:id="rId9" w:history="1">
        <w:r>
          <w:rPr>
            <w:rStyle w:val="Hyperlink"/>
          </w:rPr>
          <w:t>http://www.unece.org/trans/main/wp29/wp29regs.html</w:t>
        </w:r>
      </w:hyperlink>
      <w:r>
        <w:t>. Kopije je mogoče dobiti tudi na enoti za politiko na področju vozil Oddelka za varen in dostopen prevoz Ministrstva za infrastrukturo na naslovu Clarence Court 10–18 Adelaide Street, Town Parks, Belfast BT2 8 GB (e-naslov: vehicle.standards@infrastructure-ni.gov.uk).</w:t>
      </w:r>
    </w:p>
    <w:p w14:paraId="0E7BDCF2" w14:textId="77777777" w:rsidR="0083627D" w:rsidRPr="00095513" w:rsidRDefault="0083627D" w:rsidP="0083627D">
      <w:pPr>
        <w:pStyle w:val="T1"/>
      </w:pPr>
      <w:r>
        <w:t xml:space="preserve">Pripravljena sta bila ocena učinka predpisov in obrazložitev, ki sta skupaj s tem zakonskim pravilnikom na voljo na enoti za politiko na področju vozil na zgornjem naslovu in na spletišču </w:t>
      </w:r>
      <w:hyperlink r:id="rId10" w:history="1">
        <w:r>
          <w:rPr>
            <w:rStyle w:val="Hyperlink"/>
          </w:rPr>
          <w:t>http://www.legislation.gov.uk/nisr</w:t>
        </w:r>
      </w:hyperlink>
      <w:r>
        <w:t>.</w:t>
      </w:r>
    </w:p>
    <w:p w14:paraId="40D7E616" w14:textId="77777777" w:rsidR="0083627D" w:rsidRPr="00040058" w:rsidRDefault="0083627D" w:rsidP="00040058">
      <w:pPr>
        <w:pStyle w:val="T1"/>
      </w:pPr>
    </w:p>
    <w:sectPr w:rsidR="0083627D" w:rsidRPr="00040058" w:rsidSect="001D0E3C">
      <w:headerReference w:type="default" r:id="rId11"/>
      <w:footerReference w:type="default" r:id="rId12"/>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139" w14:textId="77777777" w:rsidR="00A01CF2" w:rsidRDefault="00A01CF2">
      <w:r>
        <w:separator/>
      </w:r>
    </w:p>
  </w:endnote>
  <w:endnote w:type="continuationSeparator" w:id="0">
    <w:p w14:paraId="24B10E0F" w14:textId="77777777" w:rsidR="00A01CF2" w:rsidRDefault="00A0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D59" w14:textId="77777777" w:rsidR="001D0E3C" w:rsidRDefault="001D0E3C" w:rsidP="00147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2AE">
      <w:rPr>
        <w:rStyle w:val="PageNumber"/>
      </w:rPr>
      <w:t>4</w:t>
    </w:r>
    <w:r>
      <w:rPr>
        <w:rStyle w:val="PageNumber"/>
      </w:rPr>
      <w:fldChar w:fldCharType="end"/>
    </w:r>
  </w:p>
  <w:p w14:paraId="2C583D4D" w14:textId="77777777" w:rsidR="001D0E3C" w:rsidRDefault="001D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4A5" w14:textId="77777777" w:rsidR="00A01CF2" w:rsidRDefault="00A01CF2" w:rsidP="00FF5421">
      <w:r>
        <w:continuationSeparator/>
      </w:r>
    </w:p>
  </w:footnote>
  <w:footnote w:type="continuationSeparator" w:id="0">
    <w:p w14:paraId="2CB739FE" w14:textId="77777777" w:rsidR="00A01CF2" w:rsidRDefault="00A01CF2">
      <w:r>
        <w:continuationSeparator/>
      </w:r>
    </w:p>
  </w:footnote>
  <w:footnote w:type="continuationNotice" w:id="1">
    <w:p w14:paraId="72E82105" w14:textId="77777777" w:rsidR="00A01CF2" w:rsidRDefault="00A01CF2"/>
  </w:footnote>
  <w:footnote w:id="2">
    <w:p w14:paraId="1D294C4A" w14:textId="77777777" w:rsidR="00A07397" w:rsidRDefault="00A07397">
      <w:pPr>
        <w:pStyle w:val="FootnoteText"/>
      </w:pPr>
      <w:r>
        <w:t>(</w:t>
      </w:r>
      <w:r>
        <w:rPr>
          <w:rStyle w:val="FootnoteReference"/>
        </w:rPr>
        <w:footnoteRef/>
      </w:r>
      <w:r>
        <w:t>)</w:t>
      </w:r>
      <w:r>
        <w:tab/>
        <w:t>Nekdanje Ministrstvo za regionalni razvoj; glej oddelek 1(6) in (11) Zakona o ministrstvih (Severna Irska) iz leta 2016 ter Prilogo 1 k navedenemu zakonu (2016, pogl. 5 (Severna Irska)). V skladu z oddelkom 1(9) navedenega zakona je Ministrstvo za okolje prenehalo obstajati.</w:t>
      </w:r>
    </w:p>
  </w:footnote>
  <w:footnote w:id="3">
    <w:p w14:paraId="5460616A" w14:textId="77777777" w:rsidR="00E54DC5" w:rsidRDefault="00E54DC5">
      <w:pPr>
        <w:pStyle w:val="FootnoteText"/>
      </w:pPr>
      <w:r>
        <w:t>(</w:t>
      </w:r>
      <w:r>
        <w:rPr>
          <w:rStyle w:val="FootnoteReference"/>
        </w:rPr>
        <w:footnoteRef/>
      </w:r>
      <w:r>
        <w:t>)</w:t>
      </w:r>
      <w:r>
        <w:tab/>
        <w:t>Podzakonski akt 1995/2994 (Severna Irska 18); člen 55 je bil spremenjen s členom 42(1) Odredbe o cestnem prometu (Severna Irska) iz leta 2007 (podzakonski akt 2007/916 (Severna Irska 10)).</w:t>
      </w:r>
    </w:p>
  </w:footnote>
  <w:footnote w:id="4">
    <w:p w14:paraId="1085F1A2" w14:textId="77777777" w:rsidR="00FB6465" w:rsidRPr="00FB6465" w:rsidRDefault="00FB6465">
      <w:pPr>
        <w:pStyle w:val="FootnoteText"/>
      </w:pPr>
      <w:r>
        <w:t>(</w:t>
      </w:r>
      <w:r>
        <w:rPr>
          <w:rStyle w:val="FootnoteReference"/>
        </w:rPr>
        <w:footnoteRef/>
      </w:r>
      <w:r>
        <w:t>)</w:t>
      </w:r>
      <w:r>
        <w:tab/>
      </w:r>
      <w:r>
        <w:rPr>
          <w:i/>
        </w:rPr>
        <w:t xml:space="preserve">Glej </w:t>
      </w:r>
      <w:r>
        <w:t>Člen 8(1), točka (b), Odredbe o ministrstvih (prenos funkcij) (Severna Irska) iz leta 2016 (zakonski predpisi št. 76 iz leta 2016) in del 2 Priloge 5 k navedeni odredbi.</w:t>
      </w:r>
    </w:p>
  </w:footnote>
  <w:footnote w:id="5">
    <w:p w14:paraId="7D938A52" w14:textId="77777777" w:rsidR="00FB6465" w:rsidRDefault="00FB6465">
      <w:pPr>
        <w:pStyle w:val="FootnoteText"/>
      </w:pPr>
      <w:r>
        <w:t>(</w:t>
      </w:r>
      <w:r>
        <w:rPr>
          <w:rStyle w:val="FootnoteReference"/>
        </w:rPr>
        <w:footnoteRef/>
      </w:r>
      <w:r>
        <w:t>)</w:t>
      </w:r>
      <w:r>
        <w:tab/>
        <w:t>Zakonski predpis št. 454 iz leta 1999; ustrezni predpisi o spremembah so zakonski predpisi št. 20 iz leta 2011, zakonski predpisi št. 303 iz leta 2011 in zakonski predpisi št. 160 iz leta 2016.</w:t>
      </w:r>
    </w:p>
  </w:footnote>
  <w:footnote w:id="6">
    <w:p w14:paraId="202E6E04" w14:textId="5448A374" w:rsidR="00A213F5" w:rsidRDefault="00A213F5">
      <w:pPr>
        <w:pStyle w:val="FootnoteText"/>
      </w:pPr>
      <w:r>
        <w:t>(</w:t>
      </w:r>
      <w:r>
        <w:rPr>
          <w:rStyle w:val="FootnoteReference"/>
        </w:rPr>
        <w:footnoteRef/>
      </w:r>
      <w:r>
        <w:t>)</w:t>
      </w:r>
      <w:r>
        <w:tab/>
        <w:t>UL L 151, 14.6.2018,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227" w14:textId="3907EE6D" w:rsidR="00F9319A" w:rsidRPr="00F9319A" w:rsidRDefault="00F9319A" w:rsidP="00F9319A">
    <w:pPr>
      <w:pStyle w:val="Header"/>
      <w:jc w:val="center"/>
      <w:rPr>
        <w:b/>
        <w:bCs/>
      </w:rPr>
    </w:pPr>
    <w:r>
      <w:rPr>
        <w:b/>
      </w:rPr>
      <w:t>Drugi osnutek iz aprila 2023, ki ga je DSO potrdil 6. aprila 2023</w:t>
    </w:r>
  </w:p>
  <w:p w14:paraId="104CC809" w14:textId="77777777" w:rsidR="00F9319A" w:rsidRDefault="00F9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598368923">
    <w:abstractNumId w:val="0"/>
  </w:num>
  <w:num w:numId="2" w16cid:durableId="1681469010">
    <w:abstractNumId w:val="0"/>
  </w:num>
  <w:num w:numId="3" w16cid:durableId="1416317193">
    <w:abstractNumId w:val="0"/>
  </w:num>
  <w:num w:numId="4" w16cid:durableId="922227864">
    <w:abstractNumId w:val="0"/>
  </w:num>
  <w:num w:numId="5" w16cid:durableId="1604798227">
    <w:abstractNumId w:val="3"/>
  </w:num>
  <w:num w:numId="6" w16cid:durableId="1759716081">
    <w:abstractNumId w:val="3"/>
  </w:num>
  <w:num w:numId="7" w16cid:durableId="619800028">
    <w:abstractNumId w:val="3"/>
  </w:num>
  <w:num w:numId="8" w16cid:durableId="325474096">
    <w:abstractNumId w:val="3"/>
  </w:num>
  <w:num w:numId="9" w16cid:durableId="303657070">
    <w:abstractNumId w:val="3"/>
  </w:num>
  <w:num w:numId="10" w16cid:durableId="2138796238">
    <w:abstractNumId w:val="1"/>
  </w:num>
  <w:num w:numId="11" w16cid:durableId="66389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1"/>
  </w:docVars>
  <w:rsids>
    <w:rsidRoot w:val="00A07397"/>
    <w:rsid w:val="000017D2"/>
    <w:rsid w:val="000053BF"/>
    <w:rsid w:val="00005DCF"/>
    <w:rsid w:val="000079E2"/>
    <w:rsid w:val="0001312F"/>
    <w:rsid w:val="000229B8"/>
    <w:rsid w:val="00022A1B"/>
    <w:rsid w:val="00024417"/>
    <w:rsid w:val="00027110"/>
    <w:rsid w:val="0002747F"/>
    <w:rsid w:val="00030A7A"/>
    <w:rsid w:val="00031649"/>
    <w:rsid w:val="0003170C"/>
    <w:rsid w:val="00033947"/>
    <w:rsid w:val="000344B1"/>
    <w:rsid w:val="00040058"/>
    <w:rsid w:val="00040919"/>
    <w:rsid w:val="00043C12"/>
    <w:rsid w:val="000576EB"/>
    <w:rsid w:val="0006536E"/>
    <w:rsid w:val="00087CDE"/>
    <w:rsid w:val="0009033B"/>
    <w:rsid w:val="000B217F"/>
    <w:rsid w:val="000B4769"/>
    <w:rsid w:val="000B7A59"/>
    <w:rsid w:val="000C2228"/>
    <w:rsid w:val="000D4452"/>
    <w:rsid w:val="000E132F"/>
    <w:rsid w:val="000E4959"/>
    <w:rsid w:val="000E71E2"/>
    <w:rsid w:val="000F290E"/>
    <w:rsid w:val="000F3EE9"/>
    <w:rsid w:val="000F4191"/>
    <w:rsid w:val="000F6AA5"/>
    <w:rsid w:val="001058F7"/>
    <w:rsid w:val="001138FC"/>
    <w:rsid w:val="001149FE"/>
    <w:rsid w:val="00114DA8"/>
    <w:rsid w:val="00116167"/>
    <w:rsid w:val="001162DB"/>
    <w:rsid w:val="00117CF9"/>
    <w:rsid w:val="00132A37"/>
    <w:rsid w:val="00145FD7"/>
    <w:rsid w:val="001542BD"/>
    <w:rsid w:val="001545AD"/>
    <w:rsid w:val="00166EFB"/>
    <w:rsid w:val="0016704D"/>
    <w:rsid w:val="00167904"/>
    <w:rsid w:val="0019250F"/>
    <w:rsid w:val="00194043"/>
    <w:rsid w:val="0019503E"/>
    <w:rsid w:val="001A220A"/>
    <w:rsid w:val="001B0B00"/>
    <w:rsid w:val="001B39DB"/>
    <w:rsid w:val="001B4AAF"/>
    <w:rsid w:val="001C06F9"/>
    <w:rsid w:val="001C1DFD"/>
    <w:rsid w:val="001C4800"/>
    <w:rsid w:val="001D0E3C"/>
    <w:rsid w:val="001E0FF6"/>
    <w:rsid w:val="001E5D59"/>
    <w:rsid w:val="001F0B49"/>
    <w:rsid w:val="00202100"/>
    <w:rsid w:val="00203DBB"/>
    <w:rsid w:val="0020612D"/>
    <w:rsid w:val="00215C2D"/>
    <w:rsid w:val="0021750A"/>
    <w:rsid w:val="002222EA"/>
    <w:rsid w:val="002234DD"/>
    <w:rsid w:val="0023008A"/>
    <w:rsid w:val="00233898"/>
    <w:rsid w:val="00237FEF"/>
    <w:rsid w:val="0024543E"/>
    <w:rsid w:val="00246EBA"/>
    <w:rsid w:val="00252709"/>
    <w:rsid w:val="00263D03"/>
    <w:rsid w:val="00265698"/>
    <w:rsid w:val="002657DD"/>
    <w:rsid w:val="002710CF"/>
    <w:rsid w:val="00281EEB"/>
    <w:rsid w:val="002842A4"/>
    <w:rsid w:val="00290FD6"/>
    <w:rsid w:val="002B09A9"/>
    <w:rsid w:val="002B2AB3"/>
    <w:rsid w:val="002D2359"/>
    <w:rsid w:val="002D64BB"/>
    <w:rsid w:val="002E35DE"/>
    <w:rsid w:val="002F3E74"/>
    <w:rsid w:val="0030031B"/>
    <w:rsid w:val="00324150"/>
    <w:rsid w:val="003243CA"/>
    <w:rsid w:val="003265DE"/>
    <w:rsid w:val="00332EFC"/>
    <w:rsid w:val="0033471C"/>
    <w:rsid w:val="00336808"/>
    <w:rsid w:val="00337C6E"/>
    <w:rsid w:val="0035076C"/>
    <w:rsid w:val="00350812"/>
    <w:rsid w:val="00354E7E"/>
    <w:rsid w:val="00355BF1"/>
    <w:rsid w:val="00364A56"/>
    <w:rsid w:val="00366CFF"/>
    <w:rsid w:val="00370B12"/>
    <w:rsid w:val="00375A1D"/>
    <w:rsid w:val="00377EA3"/>
    <w:rsid w:val="00380763"/>
    <w:rsid w:val="003849A8"/>
    <w:rsid w:val="003856CE"/>
    <w:rsid w:val="00395061"/>
    <w:rsid w:val="003A711F"/>
    <w:rsid w:val="003B5101"/>
    <w:rsid w:val="003B522B"/>
    <w:rsid w:val="003B7CB9"/>
    <w:rsid w:val="003C6DD8"/>
    <w:rsid w:val="003D09D8"/>
    <w:rsid w:val="003E6D63"/>
    <w:rsid w:val="003F2906"/>
    <w:rsid w:val="003F5552"/>
    <w:rsid w:val="003F6B8C"/>
    <w:rsid w:val="003F756B"/>
    <w:rsid w:val="00401FF2"/>
    <w:rsid w:val="00403BDB"/>
    <w:rsid w:val="004128CA"/>
    <w:rsid w:val="004266DE"/>
    <w:rsid w:val="00426F4F"/>
    <w:rsid w:val="00427240"/>
    <w:rsid w:val="004334AB"/>
    <w:rsid w:val="00434316"/>
    <w:rsid w:val="004374BE"/>
    <w:rsid w:val="00444DFD"/>
    <w:rsid w:val="0044665F"/>
    <w:rsid w:val="00450D00"/>
    <w:rsid w:val="00455D7C"/>
    <w:rsid w:val="00456585"/>
    <w:rsid w:val="0046133F"/>
    <w:rsid w:val="00462FB7"/>
    <w:rsid w:val="0047199F"/>
    <w:rsid w:val="004800DA"/>
    <w:rsid w:val="00484A79"/>
    <w:rsid w:val="00496706"/>
    <w:rsid w:val="004A3498"/>
    <w:rsid w:val="004A5981"/>
    <w:rsid w:val="004B27F0"/>
    <w:rsid w:val="004C4102"/>
    <w:rsid w:val="004D3553"/>
    <w:rsid w:val="004D6A75"/>
    <w:rsid w:val="004D6B89"/>
    <w:rsid w:val="004F0B89"/>
    <w:rsid w:val="004F499B"/>
    <w:rsid w:val="004F54E9"/>
    <w:rsid w:val="00512E1E"/>
    <w:rsid w:val="00517305"/>
    <w:rsid w:val="00520F87"/>
    <w:rsid w:val="00527CE3"/>
    <w:rsid w:val="00527F30"/>
    <w:rsid w:val="00542527"/>
    <w:rsid w:val="0054598B"/>
    <w:rsid w:val="00551C1E"/>
    <w:rsid w:val="0055460F"/>
    <w:rsid w:val="00584806"/>
    <w:rsid w:val="00586A38"/>
    <w:rsid w:val="00593489"/>
    <w:rsid w:val="005951C3"/>
    <w:rsid w:val="00595A92"/>
    <w:rsid w:val="005A366C"/>
    <w:rsid w:val="005A4DC3"/>
    <w:rsid w:val="005A5DA5"/>
    <w:rsid w:val="005C13CE"/>
    <w:rsid w:val="005C40A6"/>
    <w:rsid w:val="005D09CA"/>
    <w:rsid w:val="005D41B8"/>
    <w:rsid w:val="005E7BE0"/>
    <w:rsid w:val="005F36E7"/>
    <w:rsid w:val="005F3CB4"/>
    <w:rsid w:val="00601E12"/>
    <w:rsid w:val="00602E90"/>
    <w:rsid w:val="00610631"/>
    <w:rsid w:val="00613B50"/>
    <w:rsid w:val="00621479"/>
    <w:rsid w:val="00626BA9"/>
    <w:rsid w:val="0063239C"/>
    <w:rsid w:val="00632874"/>
    <w:rsid w:val="00634B89"/>
    <w:rsid w:val="00645512"/>
    <w:rsid w:val="006462B5"/>
    <w:rsid w:val="00646576"/>
    <w:rsid w:val="006507EE"/>
    <w:rsid w:val="0066052C"/>
    <w:rsid w:val="006672E0"/>
    <w:rsid w:val="006745CF"/>
    <w:rsid w:val="00683D94"/>
    <w:rsid w:val="00690A3B"/>
    <w:rsid w:val="006918B5"/>
    <w:rsid w:val="006A320F"/>
    <w:rsid w:val="006A595E"/>
    <w:rsid w:val="006A64B8"/>
    <w:rsid w:val="006A7DF8"/>
    <w:rsid w:val="006B185F"/>
    <w:rsid w:val="006B30CD"/>
    <w:rsid w:val="006B3B7C"/>
    <w:rsid w:val="006B4ADB"/>
    <w:rsid w:val="006B79E5"/>
    <w:rsid w:val="006C24BA"/>
    <w:rsid w:val="006C26FF"/>
    <w:rsid w:val="006C3089"/>
    <w:rsid w:val="006C3978"/>
    <w:rsid w:val="006C6643"/>
    <w:rsid w:val="006D0D5B"/>
    <w:rsid w:val="006D38F1"/>
    <w:rsid w:val="006D7810"/>
    <w:rsid w:val="006E65AD"/>
    <w:rsid w:val="006E7772"/>
    <w:rsid w:val="00705886"/>
    <w:rsid w:val="007079BB"/>
    <w:rsid w:val="00711BE8"/>
    <w:rsid w:val="00716ED4"/>
    <w:rsid w:val="00725F1D"/>
    <w:rsid w:val="00731C8C"/>
    <w:rsid w:val="007442AA"/>
    <w:rsid w:val="0074593A"/>
    <w:rsid w:val="0074692C"/>
    <w:rsid w:val="00753861"/>
    <w:rsid w:val="00755802"/>
    <w:rsid w:val="00763228"/>
    <w:rsid w:val="00773CD6"/>
    <w:rsid w:val="007A4CC8"/>
    <w:rsid w:val="007A5DAA"/>
    <w:rsid w:val="007B03C1"/>
    <w:rsid w:val="007B062C"/>
    <w:rsid w:val="007B22FE"/>
    <w:rsid w:val="007B254C"/>
    <w:rsid w:val="007B75E9"/>
    <w:rsid w:val="007C22A3"/>
    <w:rsid w:val="007C264A"/>
    <w:rsid w:val="007D3A1E"/>
    <w:rsid w:val="007F089E"/>
    <w:rsid w:val="007F69B9"/>
    <w:rsid w:val="00803635"/>
    <w:rsid w:val="00803AFD"/>
    <w:rsid w:val="0081761D"/>
    <w:rsid w:val="0083118A"/>
    <w:rsid w:val="0083130D"/>
    <w:rsid w:val="00831EA1"/>
    <w:rsid w:val="00832653"/>
    <w:rsid w:val="008346F2"/>
    <w:rsid w:val="00834955"/>
    <w:rsid w:val="0083627D"/>
    <w:rsid w:val="0085377A"/>
    <w:rsid w:val="0088528F"/>
    <w:rsid w:val="00891686"/>
    <w:rsid w:val="00892A7D"/>
    <w:rsid w:val="008936D6"/>
    <w:rsid w:val="00897333"/>
    <w:rsid w:val="008A2652"/>
    <w:rsid w:val="008B1F2E"/>
    <w:rsid w:val="008C0575"/>
    <w:rsid w:val="008C1C07"/>
    <w:rsid w:val="008C3AB5"/>
    <w:rsid w:val="008C451D"/>
    <w:rsid w:val="008C76CA"/>
    <w:rsid w:val="008D1F15"/>
    <w:rsid w:val="008E407D"/>
    <w:rsid w:val="008E68A5"/>
    <w:rsid w:val="008E7581"/>
    <w:rsid w:val="008F2059"/>
    <w:rsid w:val="008F26D4"/>
    <w:rsid w:val="008F2F05"/>
    <w:rsid w:val="008F7D32"/>
    <w:rsid w:val="00916C5D"/>
    <w:rsid w:val="00917799"/>
    <w:rsid w:val="00920C52"/>
    <w:rsid w:val="00921C0A"/>
    <w:rsid w:val="00934923"/>
    <w:rsid w:val="00937BB0"/>
    <w:rsid w:val="00940392"/>
    <w:rsid w:val="00945377"/>
    <w:rsid w:val="00955042"/>
    <w:rsid w:val="0096610D"/>
    <w:rsid w:val="00985908"/>
    <w:rsid w:val="00986ED9"/>
    <w:rsid w:val="00991335"/>
    <w:rsid w:val="009947C0"/>
    <w:rsid w:val="00996A8E"/>
    <w:rsid w:val="009A3A7E"/>
    <w:rsid w:val="009A7C67"/>
    <w:rsid w:val="009B08A3"/>
    <w:rsid w:val="009B5DDB"/>
    <w:rsid w:val="009C2BBD"/>
    <w:rsid w:val="009C3952"/>
    <w:rsid w:val="009E24C2"/>
    <w:rsid w:val="00A01907"/>
    <w:rsid w:val="00A01CF2"/>
    <w:rsid w:val="00A04F80"/>
    <w:rsid w:val="00A07397"/>
    <w:rsid w:val="00A127A4"/>
    <w:rsid w:val="00A156DC"/>
    <w:rsid w:val="00A213F5"/>
    <w:rsid w:val="00A26481"/>
    <w:rsid w:val="00A33157"/>
    <w:rsid w:val="00A35443"/>
    <w:rsid w:val="00A42AA8"/>
    <w:rsid w:val="00A42F2E"/>
    <w:rsid w:val="00A616A2"/>
    <w:rsid w:val="00A904C5"/>
    <w:rsid w:val="00A94825"/>
    <w:rsid w:val="00A968F9"/>
    <w:rsid w:val="00A9755E"/>
    <w:rsid w:val="00AA2213"/>
    <w:rsid w:val="00AA3D6E"/>
    <w:rsid w:val="00AA448A"/>
    <w:rsid w:val="00AA4F50"/>
    <w:rsid w:val="00AA66BB"/>
    <w:rsid w:val="00AB5644"/>
    <w:rsid w:val="00AC1157"/>
    <w:rsid w:val="00AC6E69"/>
    <w:rsid w:val="00AC7805"/>
    <w:rsid w:val="00AD5DF4"/>
    <w:rsid w:val="00AE38E7"/>
    <w:rsid w:val="00AE3D58"/>
    <w:rsid w:val="00AE4B31"/>
    <w:rsid w:val="00AF0E95"/>
    <w:rsid w:val="00AF4E21"/>
    <w:rsid w:val="00AF5B69"/>
    <w:rsid w:val="00AF5ECC"/>
    <w:rsid w:val="00B0192D"/>
    <w:rsid w:val="00B02D3D"/>
    <w:rsid w:val="00B04F73"/>
    <w:rsid w:val="00B11873"/>
    <w:rsid w:val="00B141E4"/>
    <w:rsid w:val="00B14268"/>
    <w:rsid w:val="00B23333"/>
    <w:rsid w:val="00B31ACF"/>
    <w:rsid w:val="00B323C0"/>
    <w:rsid w:val="00B32F0A"/>
    <w:rsid w:val="00B357C2"/>
    <w:rsid w:val="00B36C79"/>
    <w:rsid w:val="00B36FE2"/>
    <w:rsid w:val="00B43C2E"/>
    <w:rsid w:val="00B519EB"/>
    <w:rsid w:val="00B52A74"/>
    <w:rsid w:val="00B5732E"/>
    <w:rsid w:val="00B62B5D"/>
    <w:rsid w:val="00B64551"/>
    <w:rsid w:val="00B64CFF"/>
    <w:rsid w:val="00B83D23"/>
    <w:rsid w:val="00B86533"/>
    <w:rsid w:val="00B86B1C"/>
    <w:rsid w:val="00B913A5"/>
    <w:rsid w:val="00B93009"/>
    <w:rsid w:val="00BA287D"/>
    <w:rsid w:val="00BA47C6"/>
    <w:rsid w:val="00BB1BD2"/>
    <w:rsid w:val="00BB635D"/>
    <w:rsid w:val="00BB7CAD"/>
    <w:rsid w:val="00BC218F"/>
    <w:rsid w:val="00BC2D7F"/>
    <w:rsid w:val="00BC378E"/>
    <w:rsid w:val="00BC3A4C"/>
    <w:rsid w:val="00BD5A83"/>
    <w:rsid w:val="00BE3434"/>
    <w:rsid w:val="00BF1A5B"/>
    <w:rsid w:val="00BF23E5"/>
    <w:rsid w:val="00C03ABD"/>
    <w:rsid w:val="00C04D0F"/>
    <w:rsid w:val="00C065ED"/>
    <w:rsid w:val="00C07DFB"/>
    <w:rsid w:val="00C128C4"/>
    <w:rsid w:val="00C13624"/>
    <w:rsid w:val="00C13726"/>
    <w:rsid w:val="00C14123"/>
    <w:rsid w:val="00C14C52"/>
    <w:rsid w:val="00C37204"/>
    <w:rsid w:val="00C45A86"/>
    <w:rsid w:val="00C46554"/>
    <w:rsid w:val="00C50962"/>
    <w:rsid w:val="00C50ADC"/>
    <w:rsid w:val="00C675C1"/>
    <w:rsid w:val="00C779D4"/>
    <w:rsid w:val="00C832E5"/>
    <w:rsid w:val="00C868DF"/>
    <w:rsid w:val="00C87ACD"/>
    <w:rsid w:val="00C9028B"/>
    <w:rsid w:val="00C95799"/>
    <w:rsid w:val="00CA5736"/>
    <w:rsid w:val="00CA74D3"/>
    <w:rsid w:val="00CA767A"/>
    <w:rsid w:val="00CB13DE"/>
    <w:rsid w:val="00CB6441"/>
    <w:rsid w:val="00CD2CBA"/>
    <w:rsid w:val="00CD5175"/>
    <w:rsid w:val="00CE4E7D"/>
    <w:rsid w:val="00CE760E"/>
    <w:rsid w:val="00CF72AE"/>
    <w:rsid w:val="00CF7585"/>
    <w:rsid w:val="00D0274C"/>
    <w:rsid w:val="00D05D1F"/>
    <w:rsid w:val="00D12505"/>
    <w:rsid w:val="00D163D9"/>
    <w:rsid w:val="00D20C09"/>
    <w:rsid w:val="00D232EA"/>
    <w:rsid w:val="00D246C4"/>
    <w:rsid w:val="00D31480"/>
    <w:rsid w:val="00D43B26"/>
    <w:rsid w:val="00D455F0"/>
    <w:rsid w:val="00D51A74"/>
    <w:rsid w:val="00D559FA"/>
    <w:rsid w:val="00D60EE1"/>
    <w:rsid w:val="00D63769"/>
    <w:rsid w:val="00D6477E"/>
    <w:rsid w:val="00D71ACB"/>
    <w:rsid w:val="00D76454"/>
    <w:rsid w:val="00D77019"/>
    <w:rsid w:val="00D84B83"/>
    <w:rsid w:val="00D87569"/>
    <w:rsid w:val="00DA0356"/>
    <w:rsid w:val="00DA22E2"/>
    <w:rsid w:val="00DA3369"/>
    <w:rsid w:val="00DC29A1"/>
    <w:rsid w:val="00DC427E"/>
    <w:rsid w:val="00DD69B1"/>
    <w:rsid w:val="00DD7349"/>
    <w:rsid w:val="00DE4921"/>
    <w:rsid w:val="00DE5B3E"/>
    <w:rsid w:val="00DE674E"/>
    <w:rsid w:val="00E068E4"/>
    <w:rsid w:val="00E12824"/>
    <w:rsid w:val="00E1318E"/>
    <w:rsid w:val="00E21C8D"/>
    <w:rsid w:val="00E25D01"/>
    <w:rsid w:val="00E26A7C"/>
    <w:rsid w:val="00E327AE"/>
    <w:rsid w:val="00E408A2"/>
    <w:rsid w:val="00E41EA0"/>
    <w:rsid w:val="00E52999"/>
    <w:rsid w:val="00E54DC5"/>
    <w:rsid w:val="00E566A1"/>
    <w:rsid w:val="00E61B82"/>
    <w:rsid w:val="00E6241D"/>
    <w:rsid w:val="00E75FD9"/>
    <w:rsid w:val="00E8404B"/>
    <w:rsid w:val="00E87867"/>
    <w:rsid w:val="00E943EE"/>
    <w:rsid w:val="00E958EF"/>
    <w:rsid w:val="00E972EB"/>
    <w:rsid w:val="00EA00FE"/>
    <w:rsid w:val="00EA22B2"/>
    <w:rsid w:val="00EB166A"/>
    <w:rsid w:val="00EC196A"/>
    <w:rsid w:val="00EC296E"/>
    <w:rsid w:val="00EC6837"/>
    <w:rsid w:val="00EC7BBE"/>
    <w:rsid w:val="00ED0A2E"/>
    <w:rsid w:val="00ED292B"/>
    <w:rsid w:val="00ED3871"/>
    <w:rsid w:val="00ED6564"/>
    <w:rsid w:val="00ED72A2"/>
    <w:rsid w:val="00EE2C5D"/>
    <w:rsid w:val="00EE3061"/>
    <w:rsid w:val="00EE7147"/>
    <w:rsid w:val="00EF08C9"/>
    <w:rsid w:val="00F23681"/>
    <w:rsid w:val="00F27C1C"/>
    <w:rsid w:val="00F27E20"/>
    <w:rsid w:val="00F363EA"/>
    <w:rsid w:val="00F42CD0"/>
    <w:rsid w:val="00F45D1C"/>
    <w:rsid w:val="00F47030"/>
    <w:rsid w:val="00F50553"/>
    <w:rsid w:val="00F52907"/>
    <w:rsid w:val="00F533BB"/>
    <w:rsid w:val="00F61A8A"/>
    <w:rsid w:val="00F70AC7"/>
    <w:rsid w:val="00F72321"/>
    <w:rsid w:val="00F761C4"/>
    <w:rsid w:val="00F82829"/>
    <w:rsid w:val="00F85303"/>
    <w:rsid w:val="00F9319A"/>
    <w:rsid w:val="00F972DE"/>
    <w:rsid w:val="00FA3EFD"/>
    <w:rsid w:val="00FA518D"/>
    <w:rsid w:val="00FA7226"/>
    <w:rsid w:val="00FB1FA3"/>
    <w:rsid w:val="00FB563A"/>
    <w:rsid w:val="00FB5EDA"/>
    <w:rsid w:val="00FB6465"/>
    <w:rsid w:val="00FE2FE4"/>
    <w:rsid w:val="00FE46C6"/>
    <w:rsid w:val="00FF32AE"/>
    <w:rsid w:val="00FF5421"/>
    <w:rsid w:val="00FF5A1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710D1"/>
  <w15:docId w15:val="{EEF95A3C-1899-46D9-8671-4FC0E04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uiPriority w:val="99"/>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link w:val="T1Char"/>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sl-SI" w:eastAsia="en-US" w:bidi="ar-SA"/>
    </w:rPr>
  </w:style>
  <w:style w:type="character" w:customStyle="1" w:styleId="MadeChar">
    <w:name w:val="Made Char"/>
    <w:link w:val="Made"/>
    <w:locked/>
    <w:rsid w:val="00E61B82"/>
    <w:rPr>
      <w:i/>
      <w:sz w:val="21"/>
      <w:lang w:val="sl-SI"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1Char">
    <w:name w:val="T1 Char"/>
    <w:link w:val="T1"/>
    <w:locked/>
    <w:rsid w:val="0083627D"/>
    <w:rPr>
      <w:sz w:val="21"/>
      <w:lang w:eastAsia="en-US"/>
    </w:rPr>
  </w:style>
  <w:style w:type="character" w:styleId="FollowedHyperlink">
    <w:name w:val="FollowedHyperlink"/>
    <w:basedOn w:val="DefaultParagraphFont"/>
    <w:semiHidden/>
    <w:unhideWhenUsed/>
    <w:rsid w:val="00755802"/>
    <w:rPr>
      <w:color w:val="800080" w:themeColor="followedHyperlink"/>
      <w:u w:val="single"/>
    </w:rPr>
  </w:style>
  <w:style w:type="paragraph" w:styleId="BalloonText">
    <w:name w:val="Balloon Text"/>
    <w:basedOn w:val="Normal"/>
    <w:link w:val="BalloonTextChar"/>
    <w:semiHidden/>
    <w:unhideWhenUsed/>
    <w:rsid w:val="00FF32AE"/>
    <w:rPr>
      <w:rFonts w:ascii="Segoe UI" w:hAnsi="Segoe UI" w:cs="Segoe UI"/>
      <w:sz w:val="18"/>
      <w:szCs w:val="18"/>
    </w:rPr>
  </w:style>
  <w:style w:type="character" w:customStyle="1" w:styleId="BalloonTextChar">
    <w:name w:val="Balloon Text Char"/>
    <w:basedOn w:val="DefaultParagraphFont"/>
    <w:link w:val="BalloonText"/>
    <w:semiHidden/>
    <w:rsid w:val="00FF32AE"/>
    <w:rPr>
      <w:rFonts w:ascii="Segoe UI" w:hAnsi="Segoe UI" w:cs="Segoe UI"/>
      <w:sz w:val="18"/>
      <w:szCs w:val="18"/>
    </w:rPr>
  </w:style>
  <w:style w:type="character" w:customStyle="1" w:styleId="HeaderChar">
    <w:name w:val="Header Char"/>
    <w:basedOn w:val="DefaultParagraphFont"/>
    <w:link w:val="Header"/>
    <w:uiPriority w:val="99"/>
    <w:rsid w:val="00F9319A"/>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1940">
      <w:bodyDiv w:val="1"/>
      <w:marLeft w:val="0"/>
      <w:marRight w:val="0"/>
      <w:marTop w:val="0"/>
      <w:marBottom w:val="0"/>
      <w:divBdr>
        <w:top w:val="none" w:sz="0" w:space="0" w:color="auto"/>
        <w:left w:val="none" w:sz="0" w:space="0" w:color="auto"/>
        <w:bottom w:val="none" w:sz="0" w:space="0" w:color="auto"/>
        <w:right w:val="none" w:sz="0" w:space="0" w:color="auto"/>
      </w:divBdr>
      <w:divsChild>
        <w:div w:id="104799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islation.gov.uk/nisr" TargetMode="External"/><Relationship Id="rId4" Type="http://schemas.openxmlformats.org/officeDocument/2006/relationships/webSettings" Target="webSettings.xml"/><Relationship Id="rId9" Type="http://schemas.openxmlformats.org/officeDocument/2006/relationships/hyperlink" Target="http://www.unece.org/trans/main/wp29/wp29reg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 V9.dotx</Template>
  <TotalTime>281</TotalTime>
  <Pages>4</Pages>
  <Words>1093</Words>
  <Characters>5959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Caroline Graham</dc:creator>
  <dc:description>Version 9.1</dc:description>
  <cp:lastModifiedBy>Liana Brili</cp:lastModifiedBy>
  <cp:revision>21</cp:revision>
  <cp:lastPrinted>2022-11-25T16:19:00Z</cp:lastPrinted>
  <dcterms:created xsi:type="dcterms:W3CDTF">2022-01-26T15:09:00Z</dcterms:created>
  <dcterms:modified xsi:type="dcterms:W3CDTF">2023-05-02T09:12:00Z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15.0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15.0</vt:lpwstr>
  </property>
  <property fmtid="{D5CDD505-2E9C-101B-9397-08002B2CF9AE}" pid="6" name="InitialOSversion">
    <vt:lpwstr>Windows NT 10.0</vt:lpwstr>
  </property>
</Properties>
</file>