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74ABA" w14:textId="616F9606" w:rsidR="003913B8" w:rsidRPr="00422DC0" w:rsidRDefault="003A67C1" w:rsidP="00422DC0">
      <w:pPr>
        <w:tabs>
          <w:tab w:val="left" w:pos="-1560"/>
        </w:tabs>
        <w:jc w:val="center"/>
        <w:rPr>
          <w:rFonts w:cs="Arial"/>
          <w:b/>
          <w:szCs w:val="22"/>
        </w:rPr>
      </w:pPr>
      <w:r>
        <w:rPr>
          <w:b/>
        </w:rPr>
        <w:t>Vzorčna smernica za protipožarno zaščito pri shranjevanju izrabljenih pnevmatik in plastičnih odpadkov v objektih za odlaganje odpadkov</w:t>
      </w:r>
    </w:p>
    <w:p w14:paraId="11F780E3" w14:textId="5F3B1522" w:rsidR="00CA200D" w:rsidRPr="00422DC0" w:rsidRDefault="003A67C1" w:rsidP="00422DC0">
      <w:pPr>
        <w:tabs>
          <w:tab w:val="left" w:pos="-1560"/>
        </w:tabs>
        <w:jc w:val="center"/>
        <w:rPr>
          <w:rFonts w:cs="Arial"/>
          <w:b/>
          <w:szCs w:val="22"/>
        </w:rPr>
      </w:pPr>
      <w:r>
        <w:rPr>
          <w:b/>
        </w:rPr>
        <w:t>(vzorčna smernica za shranjevanje plastičnih odpadkov – MKLR)</w:t>
      </w:r>
    </w:p>
    <w:p w14:paraId="5F183BAF" w14:textId="2570CE7C" w:rsidR="006110CC" w:rsidRDefault="003A67C1" w:rsidP="006110CC">
      <w:pPr>
        <w:tabs>
          <w:tab w:val="left" w:pos="-1560"/>
        </w:tabs>
        <w:jc w:val="center"/>
        <w:rPr>
          <w:rFonts w:cs="Arial"/>
          <w:b/>
          <w:szCs w:val="22"/>
        </w:rPr>
      </w:pPr>
      <w:r>
        <w:rPr>
          <w:b/>
        </w:rPr>
        <w:t>– marec 2023</w:t>
      </w:r>
      <w:r w:rsidR="009F36EC">
        <w:rPr>
          <w:rStyle w:val="FootnoteReference"/>
          <w:rFonts w:cs="Arial"/>
          <w:b/>
          <w:szCs w:val="22"/>
        </w:rPr>
        <w:footnoteReference w:id="1"/>
      </w:r>
    </w:p>
    <w:p w14:paraId="6D2F3BCD" w14:textId="646A3DDD" w:rsidR="00422DC0" w:rsidRDefault="00422DC0" w:rsidP="006110CC">
      <w:pPr>
        <w:tabs>
          <w:tab w:val="left" w:pos="-1560"/>
        </w:tabs>
        <w:jc w:val="center"/>
        <w:rPr>
          <w:rFonts w:cs="Arial"/>
          <w:b/>
          <w:szCs w:val="22"/>
        </w:rPr>
      </w:pPr>
    </w:p>
    <w:p w14:paraId="5AD42C10" w14:textId="77777777" w:rsidR="00422DC0" w:rsidRPr="00422DC0" w:rsidRDefault="00422DC0" w:rsidP="006110CC">
      <w:pPr>
        <w:tabs>
          <w:tab w:val="left" w:pos="-1560"/>
        </w:tabs>
        <w:jc w:val="center"/>
        <w:rPr>
          <w:rFonts w:cs="Arial"/>
          <w:b/>
          <w:szCs w:val="22"/>
        </w:rPr>
      </w:pPr>
    </w:p>
    <w:p w14:paraId="5ABFE954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rPr>
          <w:b/>
        </w:rPr>
        <w:t>1.</w:t>
      </w:r>
      <w:r>
        <w:rPr>
          <w:b/>
        </w:rPr>
        <w:tab/>
        <w:t>Cilj zaščite</w:t>
      </w:r>
    </w:p>
    <w:p w14:paraId="0F672CE3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0431AD20" w14:textId="6AEF75F1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t>1.1</w:t>
      </w:r>
      <w:r>
        <w:tab/>
        <w:t>Cilj te smernice je preprečiti nastanek in širjenje požara in dima ter omogočiti učinkovito gašenje med skladiščenjem izrabljenih pnevmatik in plastičnih odpadkov v objektih za odlaganje odpadkov (oddelek 14 MBO (Musterbauordnung, Vzorčni gradbeni predpisi)).</w:t>
      </w:r>
    </w:p>
    <w:p w14:paraId="00CB61FF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25BC5E3C" w14:textId="77777777" w:rsidR="003A67C1" w:rsidRPr="00422DC0" w:rsidRDefault="003A67C1">
      <w:pPr>
        <w:tabs>
          <w:tab w:val="left" w:pos="1008"/>
          <w:tab w:val="left" w:pos="1134"/>
        </w:tabs>
        <w:ind w:left="567" w:hanging="141"/>
        <w:jc w:val="both"/>
        <w:rPr>
          <w:rFonts w:cs="Arial"/>
          <w:szCs w:val="22"/>
        </w:rPr>
      </w:pPr>
    </w:p>
    <w:p w14:paraId="4677EF79" w14:textId="0D305175" w:rsidR="003A67C1" w:rsidRPr="00422DC0" w:rsidRDefault="003A67C1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szCs w:val="22"/>
        </w:rPr>
      </w:pPr>
      <w:r>
        <w:rPr>
          <w:b/>
        </w:rPr>
        <w:t>2.</w:t>
      </w:r>
      <w:r>
        <w:rPr>
          <w:b/>
        </w:rPr>
        <w:tab/>
        <w:t>Področje uporabe</w:t>
      </w:r>
    </w:p>
    <w:p w14:paraId="022AE055" w14:textId="77777777" w:rsidR="003A67C1" w:rsidRPr="00422DC0" w:rsidRDefault="003A67C1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41ECDB85" w14:textId="770C8388" w:rsidR="003A67C1" w:rsidRPr="00422DC0" w:rsidRDefault="003A67C1" w:rsidP="00C61DA9">
      <w:pPr>
        <w:tabs>
          <w:tab w:val="left" w:pos="-1560"/>
          <w:tab w:val="left" w:pos="1134"/>
        </w:tabs>
        <w:ind w:left="450"/>
        <w:jc w:val="both"/>
        <w:rPr>
          <w:rFonts w:cs="Arial"/>
          <w:szCs w:val="22"/>
        </w:rPr>
      </w:pPr>
      <w:r>
        <w:t>Ta smernica se uporablja za skladiščenje izrabljenih pnevmatik in za obdelavo ali sortiranje plastičnih odpadkov, vključno s skladiščenjem, potrebnim za ta namen, v objektih za odlaganje odpadkov</w:t>
      </w:r>
      <w:r>
        <w:rPr>
          <w:b/>
        </w:rPr>
        <w:t xml:space="preserve"> </w:t>
      </w:r>
      <w:r>
        <w:t>(v nadaljnjem besedilu: snovi), v skladiščnih količinah več kot 200 m</w:t>
      </w:r>
      <w:r>
        <w:rPr>
          <w:vertAlign w:val="superscript"/>
        </w:rPr>
        <w:t>3</w:t>
      </w:r>
      <w:r>
        <w:t xml:space="preserve"> v obliki enojnih ali mešanih frakcij v kompaktni obliki ali v razsutem stanju, v nepremičnih in premičnih zabojnikih, v skladiščih in na prostem. </w:t>
      </w:r>
    </w:p>
    <w:p w14:paraId="36AE5177" w14:textId="77777777" w:rsidR="003A67C1" w:rsidRPr="00422DC0" w:rsidRDefault="003A67C1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58780C09" w14:textId="77777777" w:rsidR="00E46E28" w:rsidRPr="00422DC0" w:rsidRDefault="003A67C1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b/>
          <w:szCs w:val="22"/>
        </w:rPr>
      </w:pPr>
      <w:r>
        <w:rPr>
          <w:b/>
        </w:rPr>
        <w:t>3.</w:t>
      </w:r>
      <w:r>
        <w:rPr>
          <w:b/>
        </w:rPr>
        <w:tab/>
        <w:t>Izrazi</w:t>
      </w:r>
    </w:p>
    <w:p w14:paraId="10728BE4" w14:textId="77777777" w:rsidR="00E46E28" w:rsidRPr="00422DC0" w:rsidRDefault="00E46E28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b/>
          <w:szCs w:val="22"/>
        </w:rPr>
      </w:pPr>
    </w:p>
    <w:p w14:paraId="156D5C68" w14:textId="4C279170" w:rsidR="00E46E28" w:rsidRPr="00422DC0" w:rsidRDefault="00C61DA9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szCs w:val="22"/>
        </w:rPr>
      </w:pPr>
      <w:r>
        <w:tab/>
        <w:t>3.1 Izrabljene pnevmatike</w:t>
      </w:r>
    </w:p>
    <w:p w14:paraId="1F7ECC90" w14:textId="5BA45893" w:rsidR="00E60194" w:rsidRPr="00422DC0" w:rsidRDefault="00E60194" w:rsidP="00C61DA9">
      <w:pPr>
        <w:tabs>
          <w:tab w:val="left" w:pos="-1560"/>
          <w:tab w:val="left" w:pos="1134"/>
        </w:tabs>
        <w:spacing w:before="120"/>
        <w:ind w:left="425" w:firstLine="25"/>
        <w:jc w:val="both"/>
        <w:rPr>
          <w:rFonts w:cs="Arial"/>
          <w:szCs w:val="22"/>
        </w:rPr>
      </w:pPr>
      <w:r>
        <w:t>Izrabljene pnevmatike v smislu te smernice so izrabljene pnevmatike v obsegu, v katerem so odpadki v smislu oddelka 3(1) Zakona o krožnem gospodarstvu z dne 24. februarja 2012 (BGB1. (Zvezni uradni list) I, str. 212), kakor je bil spremenjen.</w:t>
      </w:r>
    </w:p>
    <w:p w14:paraId="5E7A6E6D" w14:textId="77777777" w:rsidR="00E60194" w:rsidRPr="00422DC0" w:rsidRDefault="00E60194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7BDD8328" w14:textId="61A29CC7" w:rsidR="00E46E28" w:rsidRPr="00422DC0" w:rsidRDefault="00C61DA9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szCs w:val="22"/>
        </w:rPr>
      </w:pPr>
      <w:r>
        <w:tab/>
        <w:t>3.2 Plastični odpadki</w:t>
      </w:r>
    </w:p>
    <w:p w14:paraId="05B4C0D5" w14:textId="057841B1" w:rsidR="00B56A43" w:rsidRPr="00422DC0" w:rsidRDefault="00B56A43" w:rsidP="00C61DA9">
      <w:pPr>
        <w:tabs>
          <w:tab w:val="left" w:pos="-1560"/>
          <w:tab w:val="left" w:pos="1134"/>
        </w:tabs>
        <w:spacing w:before="120"/>
        <w:ind w:left="450"/>
        <w:jc w:val="both"/>
        <w:rPr>
          <w:rFonts w:cs="Arial"/>
          <w:szCs w:val="22"/>
        </w:rPr>
      </w:pPr>
      <w:r>
        <w:t>Plastični odpadki v smislu te smernice so odpadki v smislu oddelka 3(1) Zakona o krožnem gospodarstvu z dne 24. februarja 2012 (BGB1. I, str. 212), kakor je bil spremenjen, ki večinoma vsebujejo plastiko ali se mešajo s plastiko, kot so nadomestna goriva, lahka odpadna embalaža (Gelbe Tonne, rumena odpadna posoda) in zavržene plastične frakcije.</w:t>
      </w:r>
    </w:p>
    <w:p w14:paraId="02566ED2" w14:textId="17C87C66" w:rsidR="00B56A43" w:rsidRPr="00422DC0" w:rsidRDefault="00B56A43" w:rsidP="00B56A43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34B1D4D0" w14:textId="6CF2DF9C" w:rsidR="003A67C1" w:rsidRPr="00422DC0" w:rsidRDefault="00E46E28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szCs w:val="22"/>
        </w:rPr>
      </w:pPr>
      <w:r>
        <w:rPr>
          <w:b/>
        </w:rPr>
        <w:t>4.</w:t>
      </w:r>
      <w:r>
        <w:rPr>
          <w:b/>
        </w:rPr>
        <w:tab/>
        <w:t>Območja za gasilce</w:t>
      </w:r>
    </w:p>
    <w:p w14:paraId="253DEFA1" w14:textId="77777777" w:rsidR="003A67C1" w:rsidRPr="00422DC0" w:rsidRDefault="003A67C1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541EB294" w14:textId="4E5AFDCE" w:rsidR="003A67C1" w:rsidRPr="00422DC0" w:rsidRDefault="003A67C1" w:rsidP="00B47968">
      <w:pPr>
        <w:tabs>
          <w:tab w:val="left" w:pos="-1560"/>
          <w:tab w:val="left" w:pos="1134"/>
        </w:tabs>
        <w:ind w:left="450"/>
        <w:jc w:val="both"/>
        <w:rPr>
          <w:rFonts w:cs="Arial"/>
          <w:szCs w:val="22"/>
        </w:rPr>
      </w:pPr>
      <w:r>
        <w:t>Za uporabo gasilcev je treba v dogovoru z oddelkom, pristojnim za protipožarno zaščito, na objektu urediti ustrezne dovozne ceste ter območja za namestitev in gibanje. Za zunanje skladiščne prostore s površino več kot 2 000 m² za gradbene objekte s površino 5 000 m² ali več je treba zagotoviti območja za namestitev na vsaj dveh nasprotnih straneh. Oddaljenost od zunanjih sten stavb v skladu z vzorčno smernico za območja za gasilce velja tudi za meje skladiščnih prostorov.</w:t>
      </w:r>
    </w:p>
    <w:p w14:paraId="38B5AF5C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2D151CDD" w14:textId="77777777" w:rsidR="003A67C1" w:rsidRPr="00422DC0" w:rsidRDefault="00A5671A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rPr>
          <w:b/>
        </w:rPr>
        <w:t>5.</w:t>
      </w:r>
      <w:r>
        <w:rPr>
          <w:b/>
        </w:rPr>
        <w:tab/>
        <w:t>Skladiščenje snovi v stavbah</w:t>
      </w:r>
    </w:p>
    <w:p w14:paraId="1E0105DB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284A658C" w14:textId="7BF71D89" w:rsidR="003A67C1" w:rsidRPr="00422DC0" w:rsidRDefault="00A5671A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t>5.1</w:t>
      </w:r>
      <w:r>
        <w:tab/>
        <w:t>Snovi se lahko skladiščijo samo v pritličju stavb. Če se ne skladiščijo v pritličju, se lahko določijo posebne zahteve, ki omogočajo učinkovito gašenje.</w:t>
      </w:r>
    </w:p>
    <w:p w14:paraId="49266E2C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625D5E4E" w14:textId="3FF9A7D9" w:rsidR="003A67C1" w:rsidRPr="00422DC0" w:rsidRDefault="00A5671A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t>5.2</w:t>
      </w:r>
      <w:r>
        <w:tab/>
        <w:t>Skladišče se s požarnimi stenami razdeli na požarne odseke s površino največ 5 000 m</w:t>
      </w:r>
      <w:r>
        <w:rPr>
          <w:vertAlign w:val="superscript"/>
        </w:rPr>
        <w:t>2</w:t>
      </w:r>
      <w:r>
        <w:t>.</w:t>
      </w:r>
    </w:p>
    <w:p w14:paraId="32F7CBC0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6750506D" w14:textId="77777777" w:rsidR="003A67C1" w:rsidRPr="00422DC0" w:rsidRDefault="00A5671A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t>5.3</w:t>
      </w:r>
      <w:r>
        <w:tab/>
        <w:t>Vsak požarni odsek se razdeli na skladiščne prostore s površino največ 300 m</w:t>
      </w:r>
      <w:r>
        <w:rPr>
          <w:vertAlign w:val="superscript"/>
        </w:rPr>
        <w:t>2</w:t>
      </w:r>
      <w:r>
        <w:t xml:space="preserve"> z najmanj 10 m širokimi conami brez požarne obremenitve (prosti pasovi).</w:t>
      </w:r>
    </w:p>
    <w:p w14:paraId="0F2A50F9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65711F18" w14:textId="77777777" w:rsidR="003A67C1" w:rsidRPr="00422DC0" w:rsidRDefault="00A5671A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t>5.4</w:t>
      </w:r>
      <w:r>
        <w:tab/>
        <w:t>Na požarnem odseku morajo biti prisotni naslednji elementi:</w:t>
      </w:r>
    </w:p>
    <w:p w14:paraId="3FC2D63A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30A1483C" w14:textId="01ACEA77" w:rsidR="003A67C1" w:rsidRPr="00422DC0" w:rsidRDefault="003A67C1">
      <w:pPr>
        <w:tabs>
          <w:tab w:val="left" w:pos="851"/>
          <w:tab w:val="left" w:pos="1008"/>
          <w:tab w:val="left" w:pos="1134"/>
        </w:tabs>
        <w:ind w:left="567" w:hanging="141"/>
        <w:jc w:val="both"/>
        <w:rPr>
          <w:rFonts w:cs="Arial"/>
          <w:szCs w:val="22"/>
        </w:rPr>
      </w:pPr>
      <w:r>
        <w:t>— stacionarni avtomatski sistemi za gašenje požara ali odprtine za odvajanje dima v povezavi z avtomatskimi sistemi za požarni alarm, če je požarni odsek večji od 800 m</w:t>
      </w:r>
      <w:r>
        <w:rPr>
          <w:vertAlign w:val="superscript"/>
        </w:rPr>
        <w:t>2</w:t>
      </w:r>
      <w:r>
        <w:t>. Šteje se, da je zahteva za odprtine za odvajanje dima izpolnjena, zlasti če so v skladu z oddelki 5.7.1.2, 5.7.4.2 in 5.7.4.4, zaporedna št. A 2.2.2.8 M VVTB (vzorčna smernica za industrijske objekte, kakor je bila spremenjena maja 2019),</w:t>
      </w:r>
    </w:p>
    <w:p w14:paraId="365D057B" w14:textId="105B845C" w:rsidR="003A67C1" w:rsidRPr="00422DC0" w:rsidRDefault="003A67C1">
      <w:pPr>
        <w:tabs>
          <w:tab w:val="left" w:pos="851"/>
          <w:tab w:val="left" w:pos="1134"/>
        </w:tabs>
        <w:ind w:left="567" w:hanging="141"/>
        <w:jc w:val="both"/>
        <w:rPr>
          <w:rFonts w:cs="Arial"/>
          <w:szCs w:val="22"/>
        </w:rPr>
      </w:pPr>
      <w:r>
        <w:t>— stacionarni avtomatski sistemi za gašenje požara, če je požarni odsek večji od 1 600 m</w:t>
      </w:r>
      <w:r>
        <w:rPr>
          <w:vertAlign w:val="superscript"/>
        </w:rPr>
        <w:t>2</w:t>
      </w:r>
      <w:r>
        <w:t>.</w:t>
      </w:r>
    </w:p>
    <w:p w14:paraId="29A817CD" w14:textId="77777777" w:rsidR="006B4BC5" w:rsidRPr="00422DC0" w:rsidRDefault="006B4BC5">
      <w:pPr>
        <w:tabs>
          <w:tab w:val="left" w:pos="851"/>
          <w:tab w:val="left" w:pos="1134"/>
        </w:tabs>
        <w:ind w:left="567" w:hanging="141"/>
        <w:jc w:val="both"/>
        <w:rPr>
          <w:rFonts w:cs="Arial"/>
          <w:szCs w:val="22"/>
        </w:rPr>
      </w:pPr>
    </w:p>
    <w:p w14:paraId="30A5DE54" w14:textId="77777777" w:rsidR="006110CC" w:rsidRPr="00422DC0" w:rsidRDefault="00A5671A" w:rsidP="006110CC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t>5.5</w:t>
      </w:r>
      <w:r>
        <w:tab/>
        <w:t xml:space="preserve">Na prostem je treba zagotoviti primerno površino 400 m² za skladiščenje in gašenje gorečih snovi. </w:t>
      </w:r>
    </w:p>
    <w:p w14:paraId="664F0199" w14:textId="77777777" w:rsidR="003A67C1" w:rsidRPr="00422DC0" w:rsidRDefault="003A67C1" w:rsidP="006110CC">
      <w:pPr>
        <w:tabs>
          <w:tab w:val="left" w:pos="851"/>
          <w:tab w:val="left" w:pos="1134"/>
        </w:tabs>
        <w:jc w:val="both"/>
        <w:rPr>
          <w:rFonts w:cs="Arial"/>
          <w:szCs w:val="22"/>
        </w:rPr>
      </w:pPr>
    </w:p>
    <w:p w14:paraId="7FFD368D" w14:textId="77777777" w:rsidR="003A67C1" w:rsidRPr="00422DC0" w:rsidRDefault="00A5671A">
      <w:pPr>
        <w:tabs>
          <w:tab w:val="left" w:pos="851"/>
          <w:tab w:val="left" w:pos="1134"/>
        </w:tabs>
        <w:ind w:left="426" w:hanging="426"/>
        <w:jc w:val="both"/>
        <w:rPr>
          <w:rFonts w:cs="Arial"/>
          <w:szCs w:val="22"/>
        </w:rPr>
      </w:pPr>
      <w:r>
        <w:rPr>
          <w:b/>
        </w:rPr>
        <w:t>6.</w:t>
      </w:r>
      <w:r>
        <w:rPr>
          <w:b/>
        </w:rPr>
        <w:tab/>
        <w:t>Skladiščenje snovi na prostem</w:t>
      </w:r>
    </w:p>
    <w:p w14:paraId="3022B59C" w14:textId="77777777" w:rsidR="003A67C1" w:rsidRPr="00422DC0" w:rsidRDefault="003A67C1">
      <w:pPr>
        <w:tabs>
          <w:tab w:val="left" w:pos="851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3E9DFB36" w14:textId="77777777" w:rsidR="003A67C1" w:rsidRPr="00422DC0" w:rsidRDefault="00A5671A">
      <w:pPr>
        <w:tabs>
          <w:tab w:val="left" w:pos="851"/>
          <w:tab w:val="left" w:pos="1134"/>
        </w:tabs>
        <w:ind w:left="426" w:hanging="426"/>
        <w:jc w:val="both"/>
        <w:rPr>
          <w:rFonts w:cs="Arial"/>
          <w:szCs w:val="22"/>
        </w:rPr>
      </w:pPr>
      <w:r>
        <w:t>6.1</w:t>
      </w:r>
      <w:r>
        <w:tab/>
        <w:t>Skladiščenje snovi na prostem vključuje tudi skladiščenje v skladiščnem delu s streho v naslednjih primerih:</w:t>
      </w:r>
    </w:p>
    <w:p w14:paraId="4DBB22C7" w14:textId="77777777" w:rsidR="003A67C1" w:rsidRPr="00422DC0" w:rsidRDefault="003A67C1">
      <w:pPr>
        <w:tabs>
          <w:tab w:val="left" w:pos="851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1F32162B" w14:textId="77777777" w:rsidR="003A67C1" w:rsidRPr="00422DC0" w:rsidRDefault="003A67C1">
      <w:pPr>
        <w:tabs>
          <w:tab w:val="left" w:pos="851"/>
          <w:tab w:val="left" w:pos="1134"/>
        </w:tabs>
        <w:ind w:left="567" w:hanging="141"/>
        <w:jc w:val="both"/>
        <w:rPr>
          <w:rFonts w:cs="Arial"/>
          <w:szCs w:val="22"/>
        </w:rPr>
      </w:pPr>
      <w:r>
        <w:t>— če se dovoljena višina skladiščenja konča vsaj 2,5 m pod spodnjim robom najnižjega dela strehe,</w:t>
      </w:r>
    </w:p>
    <w:p w14:paraId="5F893C59" w14:textId="77777777" w:rsidR="003A67C1" w:rsidRPr="00422DC0" w:rsidRDefault="003A67C1">
      <w:pPr>
        <w:tabs>
          <w:tab w:val="left" w:pos="851"/>
          <w:tab w:val="left" w:pos="1134"/>
        </w:tabs>
        <w:ind w:left="567" w:hanging="141"/>
        <w:jc w:val="both"/>
        <w:rPr>
          <w:rFonts w:cs="Arial"/>
          <w:szCs w:val="22"/>
        </w:rPr>
      </w:pPr>
      <w:r>
        <w:t>— če je skladiščni del popolnoma odprt na vsaj dveh nasprotnih straneh in</w:t>
      </w:r>
    </w:p>
    <w:p w14:paraId="2EDCFC2C" w14:textId="77777777" w:rsidR="003A67C1" w:rsidRPr="00422DC0" w:rsidRDefault="003A67C1">
      <w:pPr>
        <w:tabs>
          <w:tab w:val="left" w:pos="851"/>
          <w:tab w:val="left" w:pos="1134"/>
        </w:tabs>
        <w:ind w:left="567" w:hanging="141"/>
        <w:jc w:val="both"/>
        <w:rPr>
          <w:rFonts w:cs="Arial"/>
          <w:szCs w:val="22"/>
        </w:rPr>
      </w:pPr>
      <w:r>
        <w:t>— če so preostale stranice skladiščnega dela, ki niso popolnoma odprte, dolge največ 45 m.</w:t>
      </w:r>
    </w:p>
    <w:p w14:paraId="6EC2F5A7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4857076C" w14:textId="0E5464A8" w:rsidR="003A67C1" w:rsidRPr="00422DC0" w:rsidRDefault="00A5671A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t>6.2</w:t>
      </w:r>
      <w:r>
        <w:tab/>
        <w:t>Skladišče se razdeli na skladiščne dele s površino največ 2 000 m</w:t>
      </w:r>
      <w:r>
        <w:rPr>
          <w:vertAlign w:val="superscript"/>
        </w:rPr>
        <w:t>2</w:t>
      </w:r>
      <w:r>
        <w:t xml:space="preserve"> z nepokritimi conami brez požarne obremenitve (prosti pasovi), širokimi najmanj 10 m, ali ognjevarnimi stenami iz negorljivih gradbenih materialov. Stene morajo biti:</w:t>
      </w:r>
    </w:p>
    <w:p w14:paraId="4DC48889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07B6C27E" w14:textId="77777777" w:rsidR="003A67C1" w:rsidRPr="00422DC0" w:rsidRDefault="003A67C1">
      <w:pPr>
        <w:tabs>
          <w:tab w:val="left" w:pos="851"/>
          <w:tab w:val="left" w:pos="1134"/>
        </w:tabs>
        <w:ind w:left="567" w:hanging="141"/>
        <w:jc w:val="both"/>
        <w:rPr>
          <w:rFonts w:cs="Arial"/>
          <w:szCs w:val="22"/>
        </w:rPr>
      </w:pPr>
      <w:r>
        <w:t>— najmanj 1 m nad dovoljeno višino skladiščenja za skladiščne dele brez streh,</w:t>
      </w:r>
    </w:p>
    <w:p w14:paraId="095023A2" w14:textId="77777777" w:rsidR="003A67C1" w:rsidRPr="00422DC0" w:rsidRDefault="003A67C1">
      <w:pPr>
        <w:tabs>
          <w:tab w:val="left" w:pos="851"/>
          <w:tab w:val="left" w:pos="1134"/>
        </w:tabs>
        <w:ind w:left="567" w:hanging="141"/>
        <w:jc w:val="both"/>
        <w:rPr>
          <w:rFonts w:cs="Arial"/>
          <w:szCs w:val="22"/>
        </w:rPr>
      </w:pPr>
    </w:p>
    <w:p w14:paraId="6273B8BE" w14:textId="299DD13F" w:rsidR="003A67C1" w:rsidRPr="00422DC0" w:rsidRDefault="003A67C1">
      <w:pPr>
        <w:tabs>
          <w:tab w:val="left" w:pos="851"/>
          <w:tab w:val="left" w:pos="1134"/>
        </w:tabs>
        <w:ind w:left="567" w:hanging="141"/>
        <w:jc w:val="both"/>
        <w:rPr>
          <w:rFonts w:cs="Arial"/>
          <w:szCs w:val="22"/>
        </w:rPr>
      </w:pPr>
      <w:r>
        <w:t>— do strešne membrane za skladiščne dele s strehami v skladu z oddelkom 6.1 iz nevnetljivih gradbenih materialov,</w:t>
      </w:r>
    </w:p>
    <w:p w14:paraId="0C834863" w14:textId="77777777" w:rsidR="003A67C1" w:rsidRPr="00422DC0" w:rsidRDefault="003A67C1">
      <w:pPr>
        <w:tabs>
          <w:tab w:val="left" w:pos="851"/>
          <w:tab w:val="left" w:pos="1134"/>
        </w:tabs>
        <w:ind w:left="567" w:hanging="141"/>
        <w:jc w:val="both"/>
        <w:rPr>
          <w:rFonts w:cs="Arial"/>
          <w:szCs w:val="22"/>
        </w:rPr>
      </w:pPr>
    </w:p>
    <w:p w14:paraId="237CBF01" w14:textId="6E0B251C" w:rsidR="003A67C1" w:rsidRPr="00C158E7" w:rsidRDefault="003A67C1">
      <w:pPr>
        <w:tabs>
          <w:tab w:val="left" w:pos="851"/>
          <w:tab w:val="left" w:pos="1134"/>
        </w:tabs>
        <w:ind w:left="567" w:hanging="141"/>
        <w:jc w:val="both"/>
        <w:rPr>
          <w:rFonts w:cs="Arial"/>
          <w:szCs w:val="22"/>
        </w:rPr>
      </w:pPr>
      <w:r>
        <w:t>— vsaj 1 m nad streho za skladiščne dele s strehami v skladu z oddelkom 6.1 iz vnetljivih gradbenih materialov</w:t>
      </w:r>
      <w:r w:rsidR="00C158E7" w:rsidRPr="00C158E7">
        <w:t>.</w:t>
      </w:r>
    </w:p>
    <w:p w14:paraId="03B85652" w14:textId="77777777" w:rsidR="003A67C1" w:rsidRPr="00422DC0" w:rsidRDefault="003A67C1">
      <w:pPr>
        <w:tabs>
          <w:tab w:val="left" w:pos="851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72DDE8BD" w14:textId="77777777" w:rsidR="003A67C1" w:rsidRPr="00422DC0" w:rsidRDefault="00A5671A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t>6.3</w:t>
      </w:r>
      <w:r>
        <w:tab/>
        <w:t>Vsak skladiščni del se razdeli na skladiščne prostore s površino največ 400 m</w:t>
      </w:r>
      <w:r>
        <w:rPr>
          <w:vertAlign w:val="superscript"/>
        </w:rPr>
        <w:t>2</w:t>
      </w:r>
      <w:r>
        <w:t>, s conami brez požarne obremenitve (prosti pasovi), širokimi najmanj 10 m, ali ognjevarnimi stenami iz negorljivih gradbenih materialov. Stene morajo biti zgrajene najmanj 1,0 m nad dovoljeno višino skladiščenja.</w:t>
      </w:r>
    </w:p>
    <w:p w14:paraId="463684AF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348D0850" w14:textId="77777777" w:rsidR="003A67C1" w:rsidRPr="00422DC0" w:rsidRDefault="00A5671A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t>6.4</w:t>
      </w:r>
      <w:r>
        <w:tab/>
        <w:t>Skladiščni deli in skladiščni prostori ne smejo presegati naslednjih globin skladiščenja:</w:t>
      </w:r>
    </w:p>
    <w:p w14:paraId="2184BDA1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7C6B97C9" w14:textId="77777777" w:rsidR="003A67C1" w:rsidRPr="00422DC0" w:rsidRDefault="003A67C1">
      <w:pPr>
        <w:tabs>
          <w:tab w:val="left" w:pos="1008"/>
          <w:tab w:val="left" w:pos="1134"/>
        </w:tabs>
        <w:ind w:left="567" w:hanging="141"/>
        <w:jc w:val="both"/>
        <w:rPr>
          <w:rFonts w:cs="Arial"/>
          <w:szCs w:val="22"/>
        </w:rPr>
      </w:pPr>
      <w:r>
        <w:t>— 40 m, če sta dve nasprotni stranici prosto dostopni za gašenje požara,</w:t>
      </w:r>
    </w:p>
    <w:p w14:paraId="46AAF31B" w14:textId="77777777" w:rsidR="003A67C1" w:rsidRPr="00422DC0" w:rsidRDefault="003A67C1">
      <w:pPr>
        <w:tabs>
          <w:tab w:val="left" w:pos="1008"/>
          <w:tab w:val="left" w:pos="1134"/>
        </w:tabs>
        <w:ind w:left="567" w:hanging="141"/>
        <w:jc w:val="both"/>
        <w:rPr>
          <w:rFonts w:cs="Arial"/>
          <w:szCs w:val="22"/>
        </w:rPr>
      </w:pPr>
    </w:p>
    <w:p w14:paraId="273D1AAB" w14:textId="77777777" w:rsidR="003A67C1" w:rsidRPr="00422DC0" w:rsidRDefault="003A67C1">
      <w:pPr>
        <w:tabs>
          <w:tab w:val="left" w:pos="1008"/>
          <w:tab w:val="left" w:pos="1134"/>
        </w:tabs>
        <w:ind w:left="567" w:hanging="141"/>
        <w:jc w:val="both"/>
        <w:rPr>
          <w:rFonts w:cs="Arial"/>
          <w:szCs w:val="22"/>
        </w:rPr>
      </w:pPr>
      <w:r>
        <w:t>— 20 m, če je samo ena stran dostopna za gašenje požara.</w:t>
      </w:r>
    </w:p>
    <w:p w14:paraId="6E34CD03" w14:textId="77777777" w:rsidR="003A67C1" w:rsidRPr="00422DC0" w:rsidRDefault="003A67C1">
      <w:pPr>
        <w:tabs>
          <w:tab w:val="left" w:pos="1008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7AA9E373" w14:textId="77777777" w:rsidR="003A67C1" w:rsidRPr="00422DC0" w:rsidRDefault="00A5671A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t>6.5</w:t>
      </w:r>
      <w:r>
        <w:tab/>
        <w:t>Zunanji skladiščni prostori morajo biti vsaj 10 m oddaljeni od meja območja ali imeti ognjevarne stene iz negorljivih gradbenih materialov brez odprtin do najmanj 1 m nad dovoljeno višino skladiščenja.</w:t>
      </w:r>
    </w:p>
    <w:p w14:paraId="62879A40" w14:textId="77777777" w:rsidR="00965D53" w:rsidRPr="00422DC0" w:rsidRDefault="00965D53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0735839D" w14:textId="77777777" w:rsidR="00865251" w:rsidRPr="00422DC0" w:rsidRDefault="00A5671A" w:rsidP="0086525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t>6.6</w:t>
      </w:r>
      <w:r>
        <w:tab/>
        <w:t>Vzdolž vsaj enega roba skladiščnega prostora se zagotovi 10 m širok pas, primeren za premikanje in gašenje gorečih materialov. Če ta pas sovpada z območjem brez požara v skladu s točko 6.3, zadostuje skupna širina 15 m. Namesto ustreznega pasu se lahko zagotovi ustrezno območje v skladu s točko 5.5.</w:t>
      </w:r>
    </w:p>
    <w:p w14:paraId="2B06C2E7" w14:textId="6C3C8AA5" w:rsidR="00965D53" w:rsidRDefault="00965D53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699FDB9E" w14:textId="77777777" w:rsidR="00422DC0" w:rsidRPr="00422DC0" w:rsidRDefault="00422DC0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3D6FD97B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2CF2F60B" w14:textId="77777777" w:rsidR="00C158E7" w:rsidRDefault="00C158E7">
      <w:pPr>
        <w:rPr>
          <w:b/>
        </w:rPr>
      </w:pPr>
      <w:r>
        <w:rPr>
          <w:b/>
        </w:rPr>
        <w:br w:type="page"/>
      </w:r>
    </w:p>
    <w:p w14:paraId="06F71B0E" w14:textId="787B4AD6" w:rsidR="003A67C1" w:rsidRPr="00422DC0" w:rsidRDefault="00A5671A">
      <w:pPr>
        <w:tabs>
          <w:tab w:val="left" w:pos="576"/>
          <w:tab w:val="left" w:pos="1134"/>
        </w:tabs>
        <w:ind w:left="426" w:hanging="426"/>
        <w:jc w:val="both"/>
        <w:rPr>
          <w:rFonts w:cs="Arial"/>
          <w:szCs w:val="22"/>
        </w:rPr>
      </w:pPr>
      <w:r>
        <w:rPr>
          <w:b/>
        </w:rPr>
        <w:lastRenderedPageBreak/>
        <w:t>7.</w:t>
      </w:r>
      <w:r>
        <w:rPr>
          <w:b/>
        </w:rPr>
        <w:tab/>
        <w:t>Višina skladiščenja</w:t>
      </w:r>
    </w:p>
    <w:p w14:paraId="50D5939E" w14:textId="77777777" w:rsidR="003A67C1" w:rsidRPr="00422DC0" w:rsidRDefault="003A67C1">
      <w:pPr>
        <w:tabs>
          <w:tab w:val="left" w:pos="576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2C8D02B2" w14:textId="77777777" w:rsidR="003A67C1" w:rsidRPr="00422DC0" w:rsidRDefault="003A67C1">
      <w:pPr>
        <w:tabs>
          <w:tab w:val="left" w:pos="576"/>
          <w:tab w:val="left" w:pos="1134"/>
        </w:tabs>
        <w:ind w:left="426" w:hanging="426"/>
        <w:jc w:val="both"/>
        <w:rPr>
          <w:rFonts w:cs="Arial"/>
          <w:szCs w:val="22"/>
        </w:rPr>
      </w:pPr>
      <w:r>
        <w:tab/>
        <w:t>Višina skladiščenega materiala ne presega 5 m za skladiščenje v razsutem stanju in 4 m za skladiščenje v blokih.</w:t>
      </w:r>
    </w:p>
    <w:p w14:paraId="38AD2887" w14:textId="77777777" w:rsidR="003A67C1" w:rsidRPr="00422DC0" w:rsidRDefault="003A67C1">
      <w:pPr>
        <w:tabs>
          <w:tab w:val="left" w:pos="576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65F88FEB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tab/>
        <w:t>Dovoljene višine skladiščenja morajo biti jasno vidne.</w:t>
      </w:r>
    </w:p>
    <w:p w14:paraId="0BB61226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6E3BF36A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0CF61F99" w14:textId="784D222E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rPr>
          <w:b/>
        </w:rPr>
        <w:t>8.</w:t>
      </w:r>
      <w:r>
        <w:rPr>
          <w:b/>
        </w:rPr>
        <w:tab/>
        <w:t xml:space="preserve">Oskrba z vodo za gašenje </w:t>
      </w:r>
    </w:p>
    <w:p w14:paraId="5926EE3F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458ED388" w14:textId="1AAACB22" w:rsidR="003A67C1" w:rsidRPr="00422DC0" w:rsidRDefault="009D0409" w:rsidP="00326C8B">
      <w:pPr>
        <w:tabs>
          <w:tab w:val="left" w:pos="1134"/>
        </w:tabs>
        <w:ind w:left="450"/>
        <w:jc w:val="both"/>
        <w:rPr>
          <w:rFonts w:cs="Arial"/>
          <w:szCs w:val="22"/>
        </w:rPr>
      </w:pPr>
      <w:r>
        <w:t>Za omejitev širjenja požara preko skladiščnega prostora mora biti za obdobje dveh ur na voljo najmanj 192 m</w:t>
      </w:r>
      <w:r>
        <w:rPr>
          <w:vertAlign w:val="superscript"/>
        </w:rPr>
        <w:t>3</w:t>
      </w:r>
      <w:r>
        <w:t>/h vode za gašenje. Po posvetovanju z oddelkom, pristojnim za protipožarno zaščito, se lahko zahteva večja količina vode za gašenje in po potrebi večja stopnja pretoka. V skladiščih z avtomatskim sistemom za gašenje požara se lahko količina vode za gašenje, ki jo uporabljajo gasilci, zmanjša po posvetovanju z oddelkom, pristojnim za protipožarno zaščito.</w:t>
      </w:r>
    </w:p>
    <w:p w14:paraId="1355F0C9" w14:textId="135C7F24" w:rsidR="00965D53" w:rsidRPr="00422DC0" w:rsidRDefault="00965D53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05A8F222" w14:textId="5E8636D5" w:rsidR="00CA200D" w:rsidRPr="00422DC0" w:rsidRDefault="00CA200D">
      <w:pPr>
        <w:tabs>
          <w:tab w:val="left" w:pos="1134"/>
        </w:tabs>
        <w:ind w:left="426" w:hanging="426"/>
        <w:jc w:val="both"/>
        <w:rPr>
          <w:rFonts w:cs="Arial"/>
          <w:strike/>
          <w:szCs w:val="22"/>
        </w:rPr>
      </w:pPr>
    </w:p>
    <w:p w14:paraId="3D5DA62B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  <w:r>
        <w:rPr>
          <w:b/>
        </w:rPr>
        <w:t>9.</w:t>
      </w:r>
      <w:r>
        <w:rPr>
          <w:b/>
        </w:rPr>
        <w:tab/>
        <w:t>Operativni ukrepi</w:t>
      </w:r>
    </w:p>
    <w:p w14:paraId="4CBC92B7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092E38BC" w14:textId="5DF27067" w:rsidR="00DF79DE" w:rsidRPr="00422DC0" w:rsidRDefault="003A67C1" w:rsidP="00326C8B">
      <w:pPr>
        <w:tabs>
          <w:tab w:val="left" w:pos="1134"/>
        </w:tabs>
        <w:ind w:left="450"/>
        <w:jc w:val="both"/>
        <w:rPr>
          <w:rFonts w:cs="Arial"/>
          <w:szCs w:val="22"/>
        </w:rPr>
      </w:pPr>
      <w:r>
        <w:t>Po posvetovanju z oddelkom, pristojnim za protipožarno zaščito, se pripravijo požarni načrti in se dajo na voljo lokalni gasilski službi.</w:t>
      </w:r>
    </w:p>
    <w:p w14:paraId="4D433AB2" w14:textId="77777777" w:rsidR="00DF79DE" w:rsidRPr="00422DC0" w:rsidRDefault="00DF79DE" w:rsidP="00DF79DE">
      <w:pPr>
        <w:tabs>
          <w:tab w:val="left" w:pos="567"/>
        </w:tabs>
        <w:ind w:left="426" w:hanging="426"/>
        <w:jc w:val="both"/>
        <w:rPr>
          <w:rFonts w:cs="Arial"/>
          <w:szCs w:val="22"/>
        </w:rPr>
      </w:pPr>
    </w:p>
    <w:p w14:paraId="673CA712" w14:textId="77777777" w:rsidR="003A67C1" w:rsidRPr="00422DC0" w:rsidRDefault="003A67C1" w:rsidP="00DF79DE">
      <w:pPr>
        <w:ind w:left="851" w:hanging="284"/>
        <w:rPr>
          <w:rFonts w:cs="Arial"/>
          <w:szCs w:val="22"/>
        </w:rPr>
      </w:pPr>
    </w:p>
    <w:p w14:paraId="1CE23A61" w14:textId="77777777" w:rsidR="003A67C1" w:rsidRPr="00A1584F" w:rsidRDefault="003A67C1">
      <w:pPr>
        <w:rPr>
          <w:rFonts w:cs="Arial"/>
          <w:szCs w:val="22"/>
        </w:rPr>
      </w:pPr>
    </w:p>
    <w:sectPr w:rsidR="003A67C1" w:rsidRPr="00A1584F">
      <w:headerReference w:type="default" r:id="rId7"/>
      <w:headerReference w:type="first" r:id="rId8"/>
      <w:footerReference w:type="first" r:id="rId9"/>
      <w:pgSz w:w="11907" w:h="16840" w:code="9"/>
      <w:pgMar w:top="1134" w:right="851" w:bottom="851" w:left="1134" w:header="567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85E7" w14:textId="77777777" w:rsidR="002D56D0" w:rsidRDefault="002D56D0">
      <w:r>
        <w:separator/>
      </w:r>
    </w:p>
  </w:endnote>
  <w:endnote w:type="continuationSeparator" w:id="0">
    <w:p w14:paraId="55411E41" w14:textId="77777777" w:rsidR="002D56D0" w:rsidRDefault="002D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DD1D" w14:textId="335F9458" w:rsidR="003A67C1" w:rsidRDefault="003A67C1">
    <w:pPr>
      <w:pStyle w:val="Footer"/>
      <w:tabs>
        <w:tab w:val="clear" w:pos="4536"/>
        <w:tab w:val="center" w:pos="-3179"/>
        <w:tab w:val="left" w:pos="9072"/>
      </w:tabs>
      <w:rPr>
        <w:sz w:val="12"/>
      </w:rPr>
    </w:pPr>
    <w:r>
      <w:rPr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8CF97" w14:textId="77777777" w:rsidR="002D56D0" w:rsidRDefault="002D56D0">
      <w:r>
        <w:separator/>
      </w:r>
    </w:p>
  </w:footnote>
  <w:footnote w:type="continuationSeparator" w:id="0">
    <w:p w14:paraId="638E723C" w14:textId="77777777" w:rsidR="002D56D0" w:rsidRDefault="002D56D0">
      <w:r>
        <w:continuationSeparator/>
      </w:r>
    </w:p>
  </w:footnote>
  <w:footnote w:id="1">
    <w:p w14:paraId="40EE6EBA" w14:textId="19CA5F24" w:rsidR="009F36EC" w:rsidRPr="009F36EC" w:rsidRDefault="009F36EC" w:rsidP="009F36EC">
      <w:pPr>
        <w:pStyle w:val="FootnoteText"/>
        <w:ind w:left="142" w:hanging="142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> </w:t>
      </w:r>
      <w:r>
        <w:rPr>
          <w:rFonts w:ascii="Times New Roman" w:hAnsi="Times New Roman"/>
        </w:rPr>
        <w:t>Priglašeno v skladu z Direktivo (EU) 2015/1535 Evropskega parlamenta in Sveta z dne 9. septembra 2015 o določitvi postopka za zbiranje informacij na področju tehničnih predpisov in pravil za storitve informacijske družbe (UL L 241, 17.9.2015, str. 1).</w:t>
      </w:r>
    </w:p>
    <w:p w14:paraId="161AA333" w14:textId="77777777" w:rsidR="009F36EC" w:rsidRPr="009F36EC" w:rsidRDefault="009F36EC" w:rsidP="009F36EC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73AE2856" w14:textId="0815A1D7" w:rsidR="009F36EC" w:rsidRDefault="009F36E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832B" w14:textId="484166D2" w:rsidR="003A67C1" w:rsidRDefault="003A67C1">
    <w:pPr>
      <w:pStyle w:val="Header"/>
      <w:jc w:val="center"/>
      <w:rPr>
        <w:rStyle w:val="PageNumber"/>
      </w:rPr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23C6C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4DFADCEA" w14:textId="77777777" w:rsidR="003A67C1" w:rsidRDefault="003A67C1">
    <w:pPr>
      <w:pStyle w:val="Header"/>
      <w:rPr>
        <w:rStyle w:val="PageNumber"/>
      </w:rPr>
    </w:pPr>
  </w:p>
  <w:p w14:paraId="2BF9E41C" w14:textId="77777777" w:rsidR="003A67C1" w:rsidRDefault="003A6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3D1C" w14:textId="00A1E439" w:rsidR="006A3F2F" w:rsidRPr="006A3F2F" w:rsidRDefault="006A3F2F" w:rsidP="006A3F2F">
    <w:pPr>
      <w:pStyle w:val="Header"/>
      <w:jc w:val="center"/>
      <w:rPr>
        <w:b/>
      </w:rPr>
    </w:pPr>
    <w:r>
      <w:rPr>
        <w:b/>
      </w:rPr>
      <w:t>Osnutek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_Type" w:val="Dokument"/>
    <w:docVar w:name="Macro_DIBt" w:val="Dokument"/>
    <w:docVar w:name="Macro_LNX" w:val="Dokument"/>
  </w:docVars>
  <w:rsids>
    <w:rsidRoot w:val="006110CC"/>
    <w:rsid w:val="00023C6C"/>
    <w:rsid w:val="00035157"/>
    <w:rsid w:val="00056889"/>
    <w:rsid w:val="000C2DAA"/>
    <w:rsid w:val="000E05BE"/>
    <w:rsid w:val="000F7109"/>
    <w:rsid w:val="00110088"/>
    <w:rsid w:val="001223EC"/>
    <w:rsid w:val="0017111C"/>
    <w:rsid w:val="002414BD"/>
    <w:rsid w:val="0024228C"/>
    <w:rsid w:val="00273B55"/>
    <w:rsid w:val="00275890"/>
    <w:rsid w:val="002D56D0"/>
    <w:rsid w:val="00326C8B"/>
    <w:rsid w:val="00374CC7"/>
    <w:rsid w:val="003913B8"/>
    <w:rsid w:val="003A67C1"/>
    <w:rsid w:val="00422DC0"/>
    <w:rsid w:val="00443F91"/>
    <w:rsid w:val="004600B6"/>
    <w:rsid w:val="00505F58"/>
    <w:rsid w:val="00515B8A"/>
    <w:rsid w:val="00535436"/>
    <w:rsid w:val="00553B1A"/>
    <w:rsid w:val="00582011"/>
    <w:rsid w:val="005F4E58"/>
    <w:rsid w:val="006063A7"/>
    <w:rsid w:val="006110CC"/>
    <w:rsid w:val="00616FC5"/>
    <w:rsid w:val="00660B48"/>
    <w:rsid w:val="006631C5"/>
    <w:rsid w:val="006933D4"/>
    <w:rsid w:val="006A3F2F"/>
    <w:rsid w:val="006B4BC5"/>
    <w:rsid w:val="00733FCB"/>
    <w:rsid w:val="00741218"/>
    <w:rsid w:val="008113F4"/>
    <w:rsid w:val="0082200B"/>
    <w:rsid w:val="00865251"/>
    <w:rsid w:val="008A1568"/>
    <w:rsid w:val="008B4E71"/>
    <w:rsid w:val="00932ADB"/>
    <w:rsid w:val="00955CCB"/>
    <w:rsid w:val="00965D53"/>
    <w:rsid w:val="00975558"/>
    <w:rsid w:val="00983501"/>
    <w:rsid w:val="009D0409"/>
    <w:rsid w:val="009F36EC"/>
    <w:rsid w:val="009F67A8"/>
    <w:rsid w:val="00A1584F"/>
    <w:rsid w:val="00A24084"/>
    <w:rsid w:val="00A5671A"/>
    <w:rsid w:val="00AB79D1"/>
    <w:rsid w:val="00AC3B3B"/>
    <w:rsid w:val="00AC4161"/>
    <w:rsid w:val="00AE1715"/>
    <w:rsid w:val="00B3627B"/>
    <w:rsid w:val="00B47968"/>
    <w:rsid w:val="00B56A43"/>
    <w:rsid w:val="00B95B0E"/>
    <w:rsid w:val="00BC1674"/>
    <w:rsid w:val="00BC49B1"/>
    <w:rsid w:val="00C158E7"/>
    <w:rsid w:val="00C61DA9"/>
    <w:rsid w:val="00C7155E"/>
    <w:rsid w:val="00CA200D"/>
    <w:rsid w:val="00CE6708"/>
    <w:rsid w:val="00CF1E07"/>
    <w:rsid w:val="00D00DCC"/>
    <w:rsid w:val="00DF79DE"/>
    <w:rsid w:val="00E31342"/>
    <w:rsid w:val="00E46E28"/>
    <w:rsid w:val="00E60194"/>
    <w:rsid w:val="00ED1518"/>
    <w:rsid w:val="00F26827"/>
    <w:rsid w:val="00F73447"/>
    <w:rsid w:val="00FD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4D25F"/>
  <w15:chartTrackingRefBased/>
  <w15:docId w15:val="{6DE83AE1-CF80-415B-8B70-10D42C63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DAA"/>
    <w:rPr>
      <w:rFonts w:ascii="Arial" w:hAnsi="Arial"/>
      <w:sz w:val="22"/>
    </w:rPr>
  </w:style>
  <w:style w:type="paragraph" w:styleId="Heading1">
    <w:name w:val="heading 1"/>
    <w:basedOn w:val="Normal"/>
    <w:next w:val="Heading2"/>
    <w:qFormat/>
    <w:pPr>
      <w:keepNext/>
      <w:spacing w:before="240"/>
      <w:ind w:hanging="993"/>
      <w:outlineLvl w:val="0"/>
    </w:pPr>
    <w:rPr>
      <w:kern w:val="28"/>
      <w:sz w:val="28"/>
    </w:rPr>
  </w:style>
  <w:style w:type="paragraph" w:styleId="Heading2">
    <w:name w:val="heading 2"/>
    <w:basedOn w:val="Heading1"/>
    <w:next w:val="Normal"/>
    <w:qFormat/>
    <w:pPr>
      <w:outlineLvl w:val="1"/>
    </w:pPr>
  </w:style>
  <w:style w:type="paragraph" w:styleId="Heading3">
    <w:name w:val="heading 3"/>
    <w:basedOn w:val="Heading2"/>
    <w:next w:val="Normal"/>
    <w:qFormat/>
    <w:pPr>
      <w:keepNext w:val="0"/>
      <w:spacing w:before="120" w:after="60"/>
      <w:ind w:hanging="992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ind w:left="4248" w:hanging="708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semiHidden/>
    <w:pPr>
      <w:spacing w:before="480" w:after="240"/>
      <w:ind w:right="454"/>
    </w:pPr>
  </w:style>
  <w:style w:type="paragraph" w:customStyle="1" w:styleId="Anschrift">
    <w:name w:val="Anschrift"/>
    <w:basedOn w:val="Normal"/>
    <w:pPr>
      <w:tabs>
        <w:tab w:val="left" w:pos="3260"/>
        <w:tab w:val="left" w:pos="6379"/>
        <w:tab w:val="left" w:pos="7655"/>
      </w:tabs>
    </w:pPr>
    <w:rPr>
      <w:sz w:val="21"/>
    </w:rPr>
  </w:style>
  <w:style w:type="paragraph" w:customStyle="1" w:styleId="Betreff">
    <w:name w:val="Betreff"/>
    <w:basedOn w:val="Normal"/>
    <w:next w:val="Normal"/>
    <w:pPr>
      <w:spacing w:before="240"/>
      <w:ind w:left="851" w:hanging="851"/>
    </w:pPr>
  </w:style>
  <w:style w:type="paragraph" w:customStyle="1" w:styleId="Brief-Absender">
    <w:name w:val="Brief-Absender"/>
    <w:basedOn w:val="Normal"/>
    <w:pPr>
      <w:tabs>
        <w:tab w:val="right" w:pos="9498"/>
      </w:tabs>
      <w:spacing w:before="1500"/>
    </w:pPr>
    <w:rPr>
      <w:sz w:val="12"/>
    </w:rPr>
  </w:style>
  <w:style w:type="paragraph" w:customStyle="1" w:styleId="Brief-Anstaltdes">
    <w:name w:val="Brief-Anstalt des ..."/>
    <w:basedOn w:val="Normal"/>
    <w:pPr>
      <w:tabs>
        <w:tab w:val="right" w:pos="9498"/>
      </w:tabs>
    </w:pPr>
    <w:rPr>
      <w:b/>
      <w:sz w:val="23"/>
    </w:rPr>
  </w:style>
  <w:style w:type="paragraph" w:customStyle="1" w:styleId="Brief-BERLIN">
    <w:name w:val="Brief-BERLIN"/>
    <w:basedOn w:val="Normal"/>
    <w:pPr>
      <w:tabs>
        <w:tab w:val="right" w:pos="9498"/>
      </w:tabs>
      <w:ind w:left="10" w:firstLine="992"/>
    </w:pPr>
    <w:rPr>
      <w:b/>
      <w:sz w:val="54"/>
    </w:rPr>
  </w:style>
  <w:style w:type="paragraph" w:customStyle="1" w:styleId="Brief-DIBt">
    <w:name w:val="Brief-DIBt"/>
    <w:basedOn w:val="Normal"/>
    <w:pPr>
      <w:tabs>
        <w:tab w:val="right" w:pos="9498"/>
      </w:tabs>
      <w:ind w:right="-247"/>
    </w:pPr>
    <w:rPr>
      <w:b/>
      <w:spacing w:val="6"/>
      <w:sz w:val="36"/>
    </w:rPr>
  </w:style>
  <w:style w:type="paragraph" w:customStyle="1" w:styleId="Brief-Fuzeile">
    <w:name w:val="Brief-Fußzeile"/>
    <w:basedOn w:val="Normal"/>
    <w:pPr>
      <w:tabs>
        <w:tab w:val="left" w:pos="2693"/>
        <w:tab w:val="left" w:pos="4536"/>
        <w:tab w:val="left" w:pos="6095"/>
        <w:tab w:val="left" w:pos="7655"/>
        <w:tab w:val="left" w:pos="8363"/>
      </w:tabs>
    </w:pPr>
    <w:rPr>
      <w:sz w:val="12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customStyle="1" w:styleId="Brief-Text">
    <w:name w:val="Brief-Text"/>
    <w:basedOn w:val="Normal"/>
    <w:pPr>
      <w:jc w:val="both"/>
    </w:pPr>
    <w:rPr>
      <w:sz w:val="24"/>
    </w:rPr>
  </w:style>
  <w:style w:type="paragraph" w:customStyle="1" w:styleId="Brief-Wegengleitender">
    <w:name w:val="Brief-Wegen gleitender ..."/>
    <w:basedOn w:val="Normal"/>
    <w:pPr>
      <w:tabs>
        <w:tab w:val="left" w:pos="572"/>
        <w:tab w:val="left" w:pos="3260"/>
        <w:tab w:val="left" w:pos="6379"/>
        <w:tab w:val="left" w:pos="7655"/>
      </w:tabs>
    </w:pPr>
    <w:rPr>
      <w:sz w:val="14"/>
    </w:rPr>
  </w:style>
  <w:style w:type="paragraph" w:customStyle="1" w:styleId="DIBt-Kopf">
    <w:name w:val="DIBt-Kopf"/>
    <w:basedOn w:val="Normal"/>
    <w:pPr>
      <w:spacing w:before="120" w:after="100"/>
      <w:ind w:right="1"/>
      <w:jc w:val="center"/>
    </w:pPr>
    <w:rPr>
      <w:spacing w:val="-30"/>
      <w:sz w:val="40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  <w:rPr>
      <w:sz w:val="24"/>
    </w:rPr>
  </w:style>
  <w:style w:type="paragraph" w:customStyle="1" w:styleId="Geschftszeichenzeile">
    <w:name w:val="Geschäftszeichenzeile"/>
    <w:basedOn w:val="Normal"/>
    <w:pPr>
      <w:tabs>
        <w:tab w:val="left" w:pos="3260"/>
        <w:tab w:val="left" w:pos="5812"/>
        <w:tab w:val="left" w:pos="7655"/>
      </w:tabs>
      <w:spacing w:after="240"/>
    </w:pPr>
    <w:rPr>
      <w:sz w:val="12"/>
    </w:rPr>
  </w:style>
  <w:style w:type="character" w:styleId="PageNumber">
    <w:name w:val="page number"/>
    <w:basedOn w:val="DefaultParagraphFont"/>
    <w:semiHidden/>
  </w:style>
  <w:style w:type="paragraph" w:customStyle="1" w:styleId="Ebene5">
    <w:name w:val="Ebene 5"/>
    <w:basedOn w:val="Heading5"/>
    <w:pPr>
      <w:ind w:left="1418" w:hanging="425"/>
      <w:jc w:val="both"/>
      <w:outlineLvl w:val="9"/>
    </w:pPr>
    <w:rPr>
      <w:sz w:val="24"/>
    </w:rPr>
  </w:style>
  <w:style w:type="paragraph" w:styleId="FootnoteText">
    <w:name w:val="footnote text"/>
    <w:basedOn w:val="Normal"/>
    <w:semiHidden/>
    <w:pPr>
      <w:ind w:left="851" w:hanging="851"/>
      <w:jc w:val="both"/>
    </w:pPr>
    <w:rPr>
      <w:sz w:val="18"/>
    </w:rPr>
  </w:style>
  <w:style w:type="character" w:styleId="FootnoteReference">
    <w:name w:val="footnote reference"/>
    <w:semiHidden/>
    <w:rPr>
      <w:rFonts w:ascii="Arial" w:hAnsi="Arial"/>
      <w:noProof w:val="0"/>
      <w:color w:val="auto"/>
      <w:position w:val="6"/>
      <w:sz w:val="18"/>
      <w:u w:val="none"/>
      <w:vertAlign w:val="baseline"/>
      <w:lang w:val="sl-SI"/>
    </w:rPr>
  </w:style>
  <w:style w:type="paragraph" w:customStyle="1" w:styleId="berschrift">
    <w:name w:val="Überschrift"/>
    <w:basedOn w:val="Heading1"/>
    <w:next w:val="Normal"/>
    <w:pPr>
      <w:spacing w:before="120" w:after="480"/>
      <w:ind w:firstLine="0"/>
      <w:jc w:val="center"/>
      <w:outlineLvl w:val="9"/>
    </w:pPr>
    <w:rPr>
      <w:caps/>
      <w:kern w:val="0"/>
      <w:sz w:val="32"/>
    </w:rPr>
  </w:style>
  <w:style w:type="paragraph" w:customStyle="1" w:styleId="Ebene6">
    <w:name w:val="Ebene 6"/>
    <w:basedOn w:val="Ebene5"/>
    <w:pPr>
      <w:spacing w:line="288" w:lineRule="exact"/>
      <w:ind w:left="1701"/>
    </w:pPr>
  </w:style>
  <w:style w:type="paragraph" w:customStyle="1" w:styleId="Fuzeile-Titel">
    <w:name w:val="Fußzeile-Titel"/>
    <w:basedOn w:val="Normal"/>
    <w:rPr>
      <w:sz w:val="12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Arial" w:hAnsi="Arial"/>
      <w:sz w:val="22"/>
    </w:rPr>
  </w:style>
  <w:style w:type="paragraph" w:styleId="EndnoteText">
    <w:name w:val="endnote text"/>
    <w:basedOn w:val="Normal"/>
    <w:semiHidden/>
    <w:pPr>
      <w:jc w:val="both"/>
    </w:pPr>
    <w:rPr>
      <w:sz w:val="18"/>
    </w:rPr>
  </w:style>
  <w:style w:type="character" w:styleId="EndnoteReference">
    <w:name w:val="endnote reference"/>
    <w:semiHidden/>
    <w:rPr>
      <w:rFonts w:ascii="Arial" w:hAnsi="Arial"/>
      <w:noProof/>
      <w:color w:val="auto"/>
      <w:position w:val="6"/>
      <w:sz w:val="18"/>
      <w:u w:val="none"/>
      <w:vertAlign w:val="baseline"/>
    </w:rPr>
  </w:style>
  <w:style w:type="paragraph" w:customStyle="1" w:styleId="Funotentext1">
    <w:name w:val="Fußnotentext1"/>
    <w:basedOn w:val="Normal"/>
    <w:pPr>
      <w:ind w:left="851" w:hanging="851"/>
      <w:jc w:val="both"/>
    </w:pPr>
    <w:rPr>
      <w:sz w:val="18"/>
    </w:rPr>
  </w:style>
  <w:style w:type="paragraph" w:customStyle="1" w:styleId="Funotentext2">
    <w:name w:val="Fußnotentext2"/>
    <w:basedOn w:val="Normal"/>
    <w:pPr>
      <w:tabs>
        <w:tab w:val="left" w:pos="567"/>
        <w:tab w:val="left" w:pos="851"/>
        <w:tab w:val="left" w:pos="1134"/>
        <w:tab w:val="left" w:pos="1701"/>
        <w:tab w:val="left" w:pos="2835"/>
      </w:tabs>
      <w:ind w:left="851"/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110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73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4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344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44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B4C11-8870-41CF-88B4-21AFC5BD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919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32984.01</vt:lpstr>
    </vt:vector>
  </TitlesOfParts>
  <Company>DIBt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32984.01</dc:title>
  <dc:subject/>
  <dc:creator>Frau Elke Schwarzwald</dc:creator>
  <cp:keywords/>
  <dc:description>Datei gedruckt von esw_x000d_Datei erstellt am: 12.03.2001	16:40:00_x000d_Datei-Besitzer: Frau Elke Schwarzwald (Referat P3)</dc:description>
  <cp:lastModifiedBy>Liana Brili</cp:lastModifiedBy>
  <cp:revision>7</cp:revision>
  <cp:lastPrinted>2023-02-27T10:46:00Z</cp:lastPrinted>
  <dcterms:created xsi:type="dcterms:W3CDTF">2023-03-23T12:27:00Z</dcterms:created>
  <dcterms:modified xsi:type="dcterms:W3CDTF">2023-03-30T15:12:00Z</dcterms:modified>
</cp:coreProperties>
</file>