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DF6A" w14:textId="231973C4" w:rsidR="00056AAB" w:rsidRDefault="00104411" w:rsidP="003667D0">
      <w:pPr>
        <w:tabs>
          <w:tab w:val="left" w:leader="dot" w:pos="3384"/>
          <w:tab w:val="left" w:leader="dot" w:pos="3888"/>
          <w:tab w:val="left" w:leader="dot" w:pos="4824"/>
        </w:tabs>
        <w:spacing w:line="276" w:lineRule="auto"/>
        <w:ind w:left="1296"/>
        <w:jc w:val="center"/>
        <w:textAlignment w:val="baseline"/>
        <w:rPr>
          <w:rFonts w:asciiTheme="minorHAnsi" w:eastAsia="Calibri" w:hAnsiTheme="minorHAnsi"/>
          <w:b/>
          <w:sz w:val="28"/>
        </w:rPr>
      </w:pPr>
      <w:r>
        <w:rPr>
          <w:rFonts w:asciiTheme="minorHAnsi" w:hAnsiTheme="minorHAnsi"/>
          <w:b/>
          <w:color w:val="000000"/>
          <w:sz w:val="28"/>
        </w:rPr>
        <w:t>KONGELIGT DEKRET</w:t>
      </w:r>
      <w:r>
        <w:rPr>
          <w:rFonts w:asciiTheme="minorHAnsi" w:hAnsiTheme="minorHAnsi"/>
          <w:b/>
          <w:color w:val="000000"/>
          <w:sz w:val="28"/>
        </w:rPr>
        <w:tab/>
        <w:t>/</w:t>
      </w:r>
      <w:r>
        <w:rPr>
          <w:rFonts w:asciiTheme="minorHAnsi" w:hAnsiTheme="minorHAnsi"/>
          <w:b/>
          <w:color w:val="000000"/>
          <w:sz w:val="28"/>
        </w:rPr>
        <w:tab/>
        <w:t xml:space="preserve"> af</w:t>
      </w:r>
      <w:r>
        <w:rPr>
          <w:rFonts w:asciiTheme="minorHAnsi" w:hAnsiTheme="minorHAnsi"/>
          <w:b/>
          <w:color w:val="000000"/>
          <w:sz w:val="28"/>
        </w:rPr>
        <w:tab/>
        <w:t xml:space="preserve"> om godkendelse af standard om jordskælvssikret byggeri NCSR-</w:t>
      </w:r>
      <w:r>
        <w:rPr>
          <w:rFonts w:asciiTheme="minorHAnsi" w:hAnsiTheme="minorHAnsi"/>
          <w:b/>
          <w:sz w:val="28"/>
        </w:rPr>
        <w:t>23</w:t>
      </w:r>
    </w:p>
    <w:p w14:paraId="227AE49F" w14:textId="77777777" w:rsidR="003667D0" w:rsidRPr="006D4B4B" w:rsidRDefault="003667D0" w:rsidP="003667D0">
      <w:pPr>
        <w:tabs>
          <w:tab w:val="left" w:leader="dot" w:pos="3384"/>
          <w:tab w:val="left" w:leader="dot" w:pos="3888"/>
          <w:tab w:val="left" w:leader="dot" w:pos="4824"/>
        </w:tabs>
        <w:spacing w:line="276" w:lineRule="auto"/>
        <w:ind w:left="1296"/>
        <w:textAlignment w:val="baseline"/>
        <w:rPr>
          <w:rFonts w:asciiTheme="minorHAnsi" w:eastAsia="Calibri" w:hAnsiTheme="minorHAnsi"/>
          <w:b/>
          <w:sz w:val="28"/>
          <w:lang w:val="es-ES"/>
        </w:rPr>
      </w:pPr>
    </w:p>
    <w:p w14:paraId="418AC172" w14:textId="37EBFE33" w:rsidR="00A44FF2" w:rsidRDefault="00104411"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Det stående udvalg for standarder om jordskælvssikring, et kollegialt organ af tværministeriel karakter, oprettet ved dekret 3209/1974 af 30. august, underlagt ministeriet for transport, mobilitet og byplanlægning og en del af generaldirektoratet for det nationale geografiske institut, oprettet ved kongeligt dekret 645/2020 af 7. juli, og som udarbejder den grundlæggende organiske struktur for ministeriet for transport, mobilitet og byplanlægning, har bl.a. til opgave at ajourføre standarderne om jordskælvssikring, jf. artikel 2, litra B), i kongeligt dekret 518/1984 af 22. februar, hvorved dets sammensætning omorganiseres.</w:t>
      </w:r>
    </w:p>
    <w:p w14:paraId="032C0763" w14:textId="4901726A" w:rsidR="00C25687" w:rsidRDefault="00757E5B"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Hidtil har de gældende regler været indeholdt i "standard om jordskælvssikret byggeri": Generel del og byggeri (NCSE-02)", der blev godkendt ved kongeligt dekret 997/2002 af 27. september, såvel som i "standard om jordskælvssikret byggeri": Broer (NCSP-07)" godkendt ved kongeligt dekret 637/2007 af 18. maj. Den tid, der er gået siden godkendelsen, har gjort det nødvendigt at revidere og ajourføre dem, både af tekniske og lovgivningsmæssige årsager, så bestemmelserne kan tilpasses den aktuelle viden om seismologi og seismisk ingeniørarbejde samt de lovgivningsmæssige rammer, som de skal fungere inden for.</w:t>
      </w:r>
    </w:p>
    <w:p w14:paraId="00D9E943" w14:textId="08D48EDA" w:rsidR="0008161F" w:rsidRDefault="0008161F"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Det stående udvalg for standarder om jordskælvssikring har som led i udøvelsen af sine funktioner udarbejdet en ny standard om jordskælvssikret byggeri, der erstatter ovennævnte standarder, idet den indarbejder de mest relevante aspekter af de europæiske standarder for projektering af konstruktioner i overensstemmelse med de procedurer, der er fastlagt i de europæiske Eurocodes for bygge- og anlægsarbejder, og udvider deres indhold til at omfatte flere typer konstruktioner. Den nye standard fastlægger de tekniske betingelser, som bygningsstrukturer og anlægsarbejder skal opfylde, således at de i tilfælde af jordskælv ikke forårsager alvorlige konsekvenser for menneskers sundhed og sikkerhed, at økonomiske tab undgås, og at det bliver lettere at opretholde samfundets basale tjenesteydelser i tilfælde af jordskælv af høj intensitet.</w:t>
      </w:r>
    </w:p>
    <w:p w14:paraId="6F2451EE"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Dette kongelige dekret er i overensstemmelse med principperne om nødvendighed, effektivitet, proportionalitet, retssikkerhed, gennemsigtighed og effektivitet, der er fastsat i artikel 129 i lov nr. 39/2015 af 1. oktober om den fælles administrative procedure for offentlige forvaltninger. </w:t>
      </w:r>
    </w:p>
    <w:p w14:paraId="4A3F3D5F" w14:textId="0682A2D0" w:rsidR="001D206B" w:rsidRDefault="007F2FE2"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Det er i overensstemmelse med principperne om nødvendighed og effektivitet, idet anvendelsen af den nye standard om jordskælvssikret byggeri i forhold til de tidligere bestemmelser udgør et fremskridt i viden om seismisk påvirkning og de dermed forbundne bestemmelser samt en præcisering af anvendelsen af begreberne og kravene til seismisk modstandsdygtighed og duktilitet, som konstruktioner i seismiske områder skal opfylde. Lovforslaget er ikke konkurrenceforvridende for markedet, men fremmer snarere konkurrencen ved at regulere aspekter, som ikke er omfattet af de nuværende bestemmelser. Det er også i overensstemmelse med proportionalitetsprincippet, da standarden indeholder de regler, der er nødvendige for at opfylde det ovenfor beskrevne behov, uden at der findes andre foranstaltninger, der er mindre rettighedsbegrænsende eller pålægger interessenterne færre forpligtelser, ligesom det er i overensstemmelse med retssikkerhedsprincippet, da det er integreret i retssystemet og er i fuld overensstemmelse med de gældende nationale og europæiske bestemmelser. Princippet om gennemsigtighed er sikret, eftersom alle de oplysningsprocedurer, der er anført i regeringens lov nr. 50/1997 af 27. november, er blevet overholdt, </w:t>
      </w:r>
      <w:r>
        <w:rPr>
          <w:rFonts w:asciiTheme="minorHAnsi" w:hAnsiTheme="minorHAnsi"/>
          <w:color w:val="000000" w:themeColor="text1"/>
        </w:rPr>
        <w:lastRenderedPageBreak/>
        <w:t>og standarden er blevet offentliggjort på den spanske regerings portal for gennemsigtighed. Endelig medfører denne standard i henhold til effektivitetsprincippet hverken en forøgelse af de administrative byrder eller en forøgelse af de offentlige udgifter.</w:t>
      </w:r>
    </w:p>
    <w:p w14:paraId="53F4DA01" w14:textId="712176A3"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Dette kongelige dekret er udstedt i henhold til bestemmelserne</w:t>
      </w:r>
      <w:r>
        <w:rPr>
          <w:rFonts w:asciiTheme="minorHAnsi" w:hAnsiTheme="minorHAnsi"/>
        </w:rPr>
        <w:t xml:space="preserve"> i artikel 149.1.13a i den spanske forfatning, </w:t>
      </w:r>
      <w:r>
        <w:rPr>
          <w:rFonts w:asciiTheme="minorHAnsi" w:hAnsiTheme="minorHAnsi"/>
          <w:color w:val="000000" w:themeColor="text1"/>
        </w:rPr>
        <w:t>som tillægger staten kompetence i spørgsmål om grundlaget for og koordineringen af den generelle planlægning af den økonomiske aktivitet.</w:t>
      </w:r>
    </w:p>
    <w:p w14:paraId="343DD835"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Udarbejdelsen af dette kongelige dekret er i overensstemmelse med den procedure, der er fastsat i regeringens lov 50/1997 af 27. november og i Europa-Parlamentets og Rådets direktiv (EU) 2015/1535 af 9. september om en informationsprocedure med hensyn til tekniske forskrifter samt forskrifter for informationssamfundets tjenester samt i kongeligt dekret 1337/1999 af 31. juli om information om tekniske forskrifter og forskrifter vedrørende informationssamfundets tjenester. </w:t>
      </w:r>
    </w:p>
    <w:p w14:paraId="288E1E12" w14:textId="6459E5E4" w:rsid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Dette kongelige dekret er vedtaget på foranledning af det stående udvalg for standarder om jordskælvssikring.</w:t>
      </w:r>
    </w:p>
    <w:p w14:paraId="42144605" w14:textId="312B0DF6" w:rsidR="00056AAB" w:rsidRDefault="004459F4" w:rsidP="00870C22">
      <w:pPr>
        <w:suppressAutoHyphens/>
        <w:spacing w:after="240" w:line="276" w:lineRule="auto"/>
        <w:ind w:firstLine="425"/>
        <w:jc w:val="both"/>
        <w:rPr>
          <w:rFonts w:asciiTheme="minorHAnsi" w:eastAsia="Times New Roman" w:hAnsiTheme="minorHAnsi" w:cstheme="minorHAnsi"/>
          <w:color w:val="000000"/>
        </w:rPr>
      </w:pPr>
      <w:r>
        <w:rPr>
          <w:rFonts w:asciiTheme="minorHAnsi" w:hAnsiTheme="minorHAnsi"/>
          <w:color w:val="000000" w:themeColor="text1"/>
        </w:rPr>
        <w:t>I medfør heraf, på forslag af ministeren for transport, mobilitet og byplanlægning</w:t>
      </w:r>
      <w:r>
        <w:rPr>
          <w:rFonts w:asciiTheme="minorHAnsi" w:hAnsiTheme="minorHAnsi"/>
        </w:rPr>
        <w:t xml:space="preserve"> og efter drøftelse i ministerrådet den </w:t>
      </w:r>
      <w:r>
        <w:rPr>
          <w:rFonts w:asciiTheme="minorHAnsi" w:hAnsiTheme="minorHAnsi"/>
          <w:color w:val="000000"/>
        </w:rPr>
        <w:t>...</w:t>
      </w:r>
    </w:p>
    <w:p w14:paraId="01FC4263" w14:textId="77777777" w:rsidR="004459F4" w:rsidRPr="008650B4" w:rsidRDefault="004459F4" w:rsidP="004459F4">
      <w:pPr>
        <w:suppressAutoHyphens/>
        <w:ind w:firstLine="425"/>
        <w:jc w:val="both"/>
        <w:rPr>
          <w:rFonts w:asciiTheme="minorHAnsi" w:eastAsia="Times New Roman" w:hAnsiTheme="minorHAnsi" w:cstheme="minorHAnsi"/>
          <w:color w:val="000000"/>
          <w:lang w:val="en-US"/>
        </w:rPr>
      </w:pPr>
    </w:p>
    <w:p w14:paraId="1ECEFAB2" w14:textId="77777777" w:rsidR="00056AAB" w:rsidRPr="006D4B4B" w:rsidRDefault="00104411" w:rsidP="00AD035F">
      <w:pPr>
        <w:spacing w:after="240" w:line="276" w:lineRule="auto"/>
        <w:jc w:val="center"/>
        <w:textAlignment w:val="baseline"/>
        <w:rPr>
          <w:rFonts w:asciiTheme="minorHAnsi" w:eastAsia="Times New Roman" w:hAnsiTheme="minorHAnsi"/>
          <w:color w:val="000000"/>
          <w:sz w:val="24"/>
          <w:szCs w:val="24"/>
        </w:rPr>
      </w:pPr>
      <w:r>
        <w:rPr>
          <w:rFonts w:asciiTheme="minorHAnsi" w:hAnsiTheme="minorHAnsi"/>
          <w:color w:val="000000"/>
          <w:sz w:val="24"/>
        </w:rPr>
        <w:t>VEDTAGER JEG HERMED</w:t>
      </w:r>
    </w:p>
    <w:p w14:paraId="05744015"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Artikel 1. Formål</w:t>
      </w:r>
    </w:p>
    <w:p w14:paraId="721FFEF1" w14:textId="46A6063B" w:rsidR="0046432E"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Standard om jordskælvssikret byggeri NCSR-23, der fastlægger de væsentlige begreber og krav, som skal opfyldes af konstruktioner i seismiske områder i Spanien, som supplement til overholdelse af de øvrige gældende specifikke bestemmelser vedrørende konstruktioner, godkendes. </w:t>
      </w:r>
    </w:p>
    <w:p w14:paraId="78734A0A" w14:textId="7654B8F0"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Konstruktioner og anlæg, der kan blive eksponeret for jordskælv, skal projekteres, udføres og dokumenteres under hensyntagen til den seismiske påvirkning i overensstemmelse med bestemmelserne i de seks bilag, der udgør denne standard om jordskælvssikring, og som er følgende:</w:t>
      </w:r>
    </w:p>
    <w:p w14:paraId="79EC5159"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Bilag 1: Generelle regler, seismisk påvirkning samt regler for bygningskonstruktioner.</w:t>
      </w:r>
    </w:p>
    <w:p w14:paraId="79F9BCF0"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Bilag 2: Broer.</w:t>
      </w:r>
    </w:p>
    <w:p w14:paraId="7CD23BE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Bilag 3: Vurdering og byggeteknisk opgradering.</w:t>
      </w:r>
    </w:p>
    <w:p w14:paraId="2850B202"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Bilag 4: Siloer, tanke og rør.</w:t>
      </w:r>
    </w:p>
    <w:p w14:paraId="3AC9CD4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Bilag 5: Grundkonstruktioner, støttekonstruktioner og geotekniske aspekter.</w:t>
      </w:r>
    </w:p>
    <w:p w14:paraId="6AD4A209" w14:textId="1CF81FB4" w:rsid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Bilag 6: Tårne, master og skorstene.</w:t>
      </w:r>
    </w:p>
    <w:p w14:paraId="75E4EE37" w14:textId="77777777" w:rsidR="00870C22" w:rsidRPr="008650B4" w:rsidRDefault="00870C22" w:rsidP="006D4B4B">
      <w:pPr>
        <w:spacing w:line="276" w:lineRule="auto"/>
        <w:ind w:left="567"/>
        <w:jc w:val="both"/>
        <w:textAlignment w:val="baseline"/>
        <w:rPr>
          <w:rFonts w:asciiTheme="minorHAnsi" w:eastAsia="Times New Roman" w:hAnsiTheme="minorHAnsi"/>
          <w:color w:val="000000"/>
          <w:spacing w:val="2"/>
          <w:lang w:val="en-US"/>
        </w:rPr>
      </w:pPr>
    </w:p>
    <w:p w14:paraId="7A592887" w14:textId="3BD133CC"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Alternativt kan projektets ophavsmand og byggeledelsen under udøvelse af deres beføjelser, på eget ansvar og med ejerens forudgående samtykke, vedtage andre løsninger, der helt eller delvist afviger fra procedurerne i de foregående bilag (ved hjælp af andre beregningssystemer, konstruktionsbestemmelser osv.), forudsat at det dokumenteres, at konstruktionen opfylder kravene i denne standard om jordskælvssikring og opnår en ydeevne, der som minimum svarer til den, der ville være opnået ved anvendelse af procedurerne i denne standard.</w:t>
      </w:r>
    </w:p>
    <w:p w14:paraId="736F6EFC" w14:textId="77777777" w:rsidR="00DD7DB5" w:rsidRDefault="00DD7DB5" w:rsidP="00AD035F">
      <w:pPr>
        <w:spacing w:after="240" w:line="276" w:lineRule="auto"/>
        <w:textAlignment w:val="baseline"/>
        <w:rPr>
          <w:rFonts w:asciiTheme="minorHAnsi" w:hAnsiTheme="minorHAnsi"/>
          <w:b/>
          <w:color w:val="000000"/>
        </w:rPr>
      </w:pPr>
    </w:p>
    <w:p w14:paraId="23196ECE" w14:textId="6DBFD586"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lastRenderedPageBreak/>
        <w:t>Artikel 2. Anvendelsesområde</w:t>
      </w:r>
    </w:p>
    <w:p w14:paraId="1B40A98A" w14:textId="0DDD90E1"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De krav til seismisk modstandsdygtighed, der er fastsat i denne standard, gælder for alle projekter og anlægsarbejder i forbindelse med nye bygninger, broer, tårne, master, skorstene, siloer, tanke, rør, støttekonstruktioner og disses grundkonstruktioner samt for det geotekniske projekt. </w:t>
      </w:r>
    </w:p>
    <w:p w14:paraId="7968B2C8" w14:textId="3FBBAE08"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Denne standard finder ligeledes anvendelse på den seismiske vurdering af eksisterende bygninger og, hvor det er relevant, på den seismiske tilpasning heraf i tilfælde, hvor der udføres renoveringsarbejder eller bygningsgenopretninger af større omfang, eller når en sådan vurdering eller tilpasning er påkrævet. Med henblik på denne standard om jordskælvssikring dækker seismisk tilpasning både forstærkning af ubeskadigede strukturer og forstærkning af strukturer beskadiget af et jordskælv.</w:t>
      </w:r>
    </w:p>
    <w:p w14:paraId="3286098A" w14:textId="1B39F053"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Forhold, der kan kræve seismisk vurdering af individuelle bygninger — hvilket eventuelt kan føre til seismisk tilpasning — ligger uden for denne standards formål og anvendelsesområde.</w:t>
      </w:r>
    </w:p>
    <w:p w14:paraId="2602E605" w14:textId="25143B7E"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Hvor det er hensigtsmæssigt, kan denne standard om jordskælvssikring også anvendes som supplement på andre konstruktionstyper, der ikke udtrykkeligt er omfattet af dens anvendelsesområde, når der ikke findes specifikke standarder eller bestemmelser for disse, og forudsat at de ikke udtrykkeligt er udelukket fra dens anvendelsesområde.</w:t>
      </w:r>
    </w:p>
    <w:p w14:paraId="163A6949" w14:textId="735DB3B4" w:rsidR="00671CE6" w:rsidRPr="00D35EA2" w:rsidRDefault="00671CE6" w:rsidP="00AD035F">
      <w:pPr>
        <w:pStyle w:val="parrafo"/>
        <w:shd w:val="clear" w:color="auto" w:fill="FFFFFF"/>
        <w:spacing w:before="0" w:beforeAutospacing="0" w:after="240" w:afterAutospacing="0" w:line="276" w:lineRule="auto"/>
        <w:jc w:val="both"/>
        <w:rPr>
          <w:rFonts w:asciiTheme="minorHAnsi" w:hAnsiTheme="minorHAnsi"/>
          <w:b/>
          <w:color w:val="000000"/>
          <w:sz w:val="22"/>
          <w:szCs w:val="22"/>
        </w:rPr>
      </w:pPr>
      <w:r>
        <w:rPr>
          <w:rFonts w:asciiTheme="minorHAnsi" w:hAnsiTheme="minorHAnsi"/>
          <w:b/>
          <w:color w:val="000000"/>
          <w:sz w:val="22"/>
        </w:rPr>
        <w:t>Eneste overgangsbestemmelse. Anvendelse på projekter og anlægsarbejder.</w:t>
      </w:r>
    </w:p>
    <w:p w14:paraId="7E1DEF06" w14:textId="77777777" w:rsidR="006D4B4B" w:rsidRPr="00870C22" w:rsidRDefault="006D4B4B"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Bestemmelserne i dette kongelige dekret finder ikke anvendelse på anlægsarbejder i forbindelse med projekter, hvis udarbejdelse eller undersøgelsesordre inden for rammerne af offentlige forvaltninger eller i andre tilfælde bestilling er blevet gennemført før dette kongelige dekret trådte i kraft, samt på arbejder, der udføres i forbindelse med udviklingen af samme, forudsat at de påbegyndes inden for en periode på højst to år fra nævnte ikrafttræden, medmindre den kompetente offentlige forvaltning eller i givet fald bygherren accepterer at gøre dem obligatoriske. </w:t>
      </w:r>
    </w:p>
    <w:p w14:paraId="7A84DDAE" w14:textId="781A6671" w:rsidR="00870C22" w:rsidRPr="006D4B4B" w:rsidRDefault="006D4B4B" w:rsidP="00870C22">
      <w:pPr>
        <w:spacing w:after="240" w:line="276" w:lineRule="auto"/>
        <w:jc w:val="both"/>
        <w:textAlignment w:val="baseline"/>
        <w:rPr>
          <w:rFonts w:asciiTheme="minorHAnsi" w:eastAsia="Times New Roman" w:hAnsiTheme="minorHAnsi"/>
          <w:color w:val="000000"/>
          <w:spacing w:val="2"/>
        </w:rPr>
      </w:pPr>
      <w:r>
        <w:rPr>
          <w:rFonts w:asciiTheme="minorHAnsi" w:hAnsiTheme="minorHAnsi"/>
          <w:color w:val="000000"/>
        </w:rPr>
        <w:t xml:space="preserve">Bestemmelserne i dette kongelige dekret finder ikke anvendelse på byggeområdet på projekter, der har ansøgt om en kommunal byggetilladelse eller ansøger om en sådan inden for ni måneder efter dette kongelige dekrets ikrafttræden, i hvilket tilfælde kongeligt dekret 997/2002 af 27. september om godkendelse af standard om jordskælvssikret byggeri finder anvendelse: Generel del og byggeri (NCSE-02). Sådanne bygge- og anlægsarbejder skal påbegyndes inden for den maksimale gyldighedsperiode for den nævnte tilladelse i overensstemmelse med dens forskrifter og, hvis dette ikke er muligt, inden for en frist på højst seks måneder fra datoen for udstedelsen af den pågældende tilladelse. I modsat fald skal projekterne tilpasses til bestemmelserne i dette kongelige dekret. </w:t>
      </w:r>
    </w:p>
    <w:p w14:paraId="620031EA" w14:textId="77777777" w:rsidR="008A1694" w:rsidRPr="00D35EA2" w:rsidRDefault="008A1694" w:rsidP="00AD035F">
      <w:pPr>
        <w:spacing w:after="240" w:line="276" w:lineRule="auto"/>
        <w:jc w:val="both"/>
        <w:textAlignment w:val="baseline"/>
        <w:rPr>
          <w:rFonts w:asciiTheme="minorHAnsi" w:eastAsia="Times New Roman" w:hAnsiTheme="minorHAnsi"/>
          <w:b/>
          <w:color w:val="000000"/>
        </w:rPr>
      </w:pPr>
      <w:r>
        <w:rPr>
          <w:rFonts w:asciiTheme="minorHAnsi" w:hAnsiTheme="minorHAnsi"/>
          <w:b/>
          <w:color w:val="000000"/>
        </w:rPr>
        <w:t>Eneste ophævelsesbestemmelse. Ophævelse af forskrifter</w:t>
      </w:r>
    </w:p>
    <w:p w14:paraId="3C87D465" w14:textId="41A1036B" w:rsidR="002B1514" w:rsidRPr="00870C22" w:rsidRDefault="002B1514"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Fra og med ikrafttrædelsen af dette kongelige dekret ophæves kongeligt dekret 997/2002 af 27. september om godkendelse af standard om jordskælvssikret byggeri: Generel del og byggeri (NCSE-02) samt kongeligt dekret 637/2007 af 18. maj om godkendelse af standard om jordskælvssikret byggeri: Broer (NCSP-07).</w:t>
      </w:r>
    </w:p>
    <w:p w14:paraId="6EF216B9" w14:textId="585EB709" w:rsidR="00E81F76" w:rsidRDefault="00E81F76" w:rsidP="00AD035F">
      <w:pPr>
        <w:spacing w:after="240" w:line="276" w:lineRule="auto"/>
        <w:jc w:val="both"/>
        <w:textAlignment w:val="baseline"/>
        <w:rPr>
          <w:rFonts w:asciiTheme="minorHAnsi" w:hAnsiTheme="minorHAnsi"/>
          <w:b/>
          <w:color w:val="000000"/>
        </w:rPr>
      </w:pPr>
    </w:p>
    <w:p w14:paraId="44A0A99D" w14:textId="77777777" w:rsidR="00E81F76" w:rsidRDefault="00E81F76" w:rsidP="00AD035F">
      <w:pPr>
        <w:spacing w:after="240" w:line="276" w:lineRule="auto"/>
        <w:jc w:val="both"/>
        <w:textAlignment w:val="baseline"/>
        <w:rPr>
          <w:rFonts w:asciiTheme="minorHAnsi" w:hAnsiTheme="minorHAnsi"/>
          <w:b/>
          <w:color w:val="000000"/>
        </w:rPr>
      </w:pPr>
    </w:p>
    <w:p w14:paraId="41EC003B" w14:textId="15801D56" w:rsidR="00EC6A57" w:rsidRPr="00D35EA2" w:rsidRDefault="00EC6A57"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lastRenderedPageBreak/>
        <w:t>Første afsluttende bestemmelse. Tildeling af kompetencer</w:t>
      </w:r>
    </w:p>
    <w:p w14:paraId="15D1B399" w14:textId="52F39719" w:rsidR="00EC6A57" w:rsidRPr="00870C22" w:rsidRDefault="00EC6A57"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Dette kongelige dekret er af grundlæggende karakter og udstedes i henhold til bestemmelserne i artikel 149.1.13a i den spanske forfatning, som tildeler staten enekompetence med hensyn til grundlaget for og koordineringen af den generelle planlægning af den økonomiske aktivitet. </w:t>
      </w:r>
    </w:p>
    <w:p w14:paraId="28E3B818" w14:textId="77777777" w:rsidR="00671CE6" w:rsidRPr="00AD035F" w:rsidRDefault="002B1514"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 xml:space="preserve">Anden afsluttende bestemmelse. </w:t>
      </w:r>
      <w:r>
        <w:rPr>
          <w:rFonts w:asciiTheme="minorHAnsi" w:hAnsiTheme="minorHAnsi"/>
          <w:b/>
          <w:color w:val="333333"/>
        </w:rPr>
        <w:t>Gennemførelsesbeføjelse</w:t>
      </w:r>
    </w:p>
    <w:p w14:paraId="431A3D72" w14:textId="7CF39534" w:rsidR="00671CE6" w:rsidRPr="00870C22" w:rsidRDefault="00671CE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Ministeren for transport, mobilitet og byplanlægning er bemyndiget til at udstede de nødvendige bestemmelser til udvikling og anvendelse af bestemmelserne i dette kongelige dekret.</w:t>
      </w:r>
    </w:p>
    <w:p w14:paraId="3568A83D" w14:textId="72D1D66B" w:rsidR="00391221" w:rsidRDefault="00391221" w:rsidP="00391221">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Tredje afsluttende bestemmelse. Bemyndigelse til at ajourføre tillæg E, F og G til bilag 1 til standard om jordskælvssikret byggeri.</w:t>
      </w:r>
    </w:p>
    <w:p w14:paraId="272F5E7E" w14:textId="05A19253" w:rsidR="00391221" w:rsidRPr="00870C22" w:rsidRDefault="0039122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Ministeren for transport, mobilitet og byplanlægning bemyndiges til at ajourføre risikokortet i tillæg E og F til bilag 1 og listen over standarder, der er omhandlet i tillæg G til bilag 1, når ajourføringen har til formål at tilpasse indholdet til den tekniske udvikling eller til EU-bestemmelserne.</w:t>
      </w:r>
    </w:p>
    <w:p w14:paraId="60B41840" w14:textId="4F6AAD51" w:rsidR="002B1514" w:rsidRPr="008E3273" w:rsidRDefault="00671CE6" w:rsidP="00AD035F">
      <w:pPr>
        <w:spacing w:after="240" w:line="276" w:lineRule="auto"/>
        <w:jc w:val="both"/>
        <w:textAlignment w:val="baseline"/>
        <w:rPr>
          <w:rFonts w:asciiTheme="minorHAnsi" w:eastAsia="Times New Roman" w:hAnsiTheme="minorHAnsi" w:cstheme="minorHAnsi"/>
          <w:b/>
          <w:color w:val="000000"/>
          <w:lang w:val="el-GR"/>
        </w:rPr>
      </w:pPr>
      <w:r>
        <w:rPr>
          <w:rFonts w:asciiTheme="minorHAnsi" w:hAnsiTheme="minorHAnsi"/>
          <w:b/>
          <w:color w:val="000000"/>
        </w:rPr>
        <w:t>Fjerde afsluttende bestemmelse. Ikrafttrædelse</w:t>
      </w:r>
    </w:p>
    <w:p w14:paraId="78134748" w14:textId="566B2F06" w:rsidR="00066186" w:rsidRPr="00870C22" w:rsidRDefault="0006618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Dette kongelige dekret træder i kraft den </w:t>
      </w:r>
      <w:r>
        <w:rPr>
          <w:rFonts w:asciiTheme="minorHAnsi" w:hAnsiTheme="minorHAnsi"/>
          <w:color w:val="000000"/>
          <w:highlight w:val="yellow"/>
        </w:rPr>
        <w:t>1. juli 2023.</w:t>
      </w:r>
    </w:p>
    <w:p w14:paraId="16A294E9" w14:textId="77777777" w:rsidR="00056AAB" w:rsidRPr="008650B4" w:rsidRDefault="00056AAB" w:rsidP="00870C22">
      <w:pPr>
        <w:spacing w:after="120"/>
        <w:jc w:val="both"/>
        <w:textAlignment w:val="baseline"/>
        <w:rPr>
          <w:rFonts w:asciiTheme="minorHAnsi" w:eastAsia="Times New Roman" w:hAnsiTheme="minorHAnsi"/>
          <w:color w:val="000000"/>
          <w:spacing w:val="2"/>
          <w:lang w:val="en-US"/>
        </w:rPr>
      </w:pPr>
    </w:p>
    <w:sectPr w:rsidR="00056AAB" w:rsidRPr="008650B4" w:rsidSect="00AD035F">
      <w:pgSz w:w="11904" w:h="16843"/>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Times New Roman">
    <w:charset w:val="00"/>
    <w:pitch w:val="variable"/>
    <w:family w:val="roman"/>
    <w:panose1 w:val="02020603050405020304"/>
  </w:font>
  <w:font w:name="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E5C"/>
    <w:multiLevelType w:val="hybridMultilevel"/>
    <w:tmpl w:val="8282418A"/>
    <w:lvl w:ilvl="0" w:tplc="9EE2D7E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5081E"/>
    <w:multiLevelType w:val="hybridMultilevel"/>
    <w:tmpl w:val="A1AA6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9764CB"/>
    <w:multiLevelType w:val="hybridMultilevel"/>
    <w:tmpl w:val="648E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E63DD5"/>
    <w:multiLevelType w:val="hybridMultilevel"/>
    <w:tmpl w:val="7E6A3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F6DA7"/>
    <w:multiLevelType w:val="hybridMultilevel"/>
    <w:tmpl w:val="5952024C"/>
    <w:lvl w:ilvl="0" w:tplc="8BDE2DF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8924DB"/>
    <w:multiLevelType w:val="hybridMultilevel"/>
    <w:tmpl w:val="38A47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293A6A"/>
    <w:multiLevelType w:val="hybridMultilevel"/>
    <w:tmpl w:val="68D8974C"/>
    <w:lvl w:ilvl="0" w:tplc="0C0A0001">
      <w:start w:val="1"/>
      <w:numFmt w:val="bullet"/>
      <w:lvlText w:val=""/>
      <w:lvlJc w:val="left"/>
      <w:pPr>
        <w:ind w:left="1080" w:hanging="360"/>
      </w:pPr>
      <w:rPr>
        <w:rFonts w:ascii="Symbol" w:hAnsi="Symbol" w:hint="default"/>
      </w:rPr>
    </w:lvl>
    <w:lvl w:ilvl="1" w:tplc="FEFEF88C">
      <w:numFmt w:val="bullet"/>
      <w:lvlText w:val="−"/>
      <w:lvlJc w:val="left"/>
      <w:pPr>
        <w:ind w:left="1800" w:hanging="360"/>
      </w:pPr>
      <w:rPr>
        <w:rFonts w:ascii="Symbol" w:eastAsia="Symbol" w:hAnsi="Symbol"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CBE5E98"/>
    <w:multiLevelType w:val="multilevel"/>
    <w:tmpl w:val="6BF032CE"/>
    <w:lvl w:ilvl="0">
      <w:start w:val="1"/>
      <w:numFmt w:val="lowerLetter"/>
      <w:lvlText w:val="%1)"/>
      <w:lvlJc w:val="left"/>
      <w:pPr>
        <w:tabs>
          <w:tab w:val="left" w:pos="288"/>
        </w:tabs>
        <w:ind w:left="720"/>
      </w:pPr>
      <w:rPr>
        <w:rFonts w:ascii="Times New Roman" w:eastAsia="Times New Roman" w:hAnsi="Times New Roman"/>
        <w:i/>
        <w:strike w:val="0"/>
        <w:color w:val="000000"/>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2145648">
    <w:abstractNumId w:val="7"/>
  </w:num>
  <w:num w:numId="2" w16cid:durableId="122771378">
    <w:abstractNumId w:val="6"/>
  </w:num>
  <w:num w:numId="3" w16cid:durableId="851191015">
    <w:abstractNumId w:val="1"/>
  </w:num>
  <w:num w:numId="4" w16cid:durableId="1200095656">
    <w:abstractNumId w:val="5"/>
  </w:num>
  <w:num w:numId="5" w16cid:durableId="781075475">
    <w:abstractNumId w:val="3"/>
  </w:num>
  <w:num w:numId="6" w16cid:durableId="1567036530">
    <w:abstractNumId w:val="2"/>
  </w:num>
  <w:num w:numId="7" w16cid:durableId="153647272">
    <w:abstractNumId w:val="0"/>
  </w:num>
  <w:num w:numId="8" w16cid:durableId="64239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AB"/>
    <w:rsid w:val="00002183"/>
    <w:rsid w:val="0003132D"/>
    <w:rsid w:val="0003636B"/>
    <w:rsid w:val="00056AAB"/>
    <w:rsid w:val="00066186"/>
    <w:rsid w:val="0008161F"/>
    <w:rsid w:val="000E2974"/>
    <w:rsid w:val="00104411"/>
    <w:rsid w:val="00130D08"/>
    <w:rsid w:val="00136068"/>
    <w:rsid w:val="0013710F"/>
    <w:rsid w:val="00152A30"/>
    <w:rsid w:val="001C12F0"/>
    <w:rsid w:val="001C2399"/>
    <w:rsid w:val="001D206B"/>
    <w:rsid w:val="001F1C94"/>
    <w:rsid w:val="00210209"/>
    <w:rsid w:val="002A3B32"/>
    <w:rsid w:val="002B1514"/>
    <w:rsid w:val="002C6DA3"/>
    <w:rsid w:val="002D0987"/>
    <w:rsid w:val="002D2E92"/>
    <w:rsid w:val="002E7538"/>
    <w:rsid w:val="0030003E"/>
    <w:rsid w:val="00342738"/>
    <w:rsid w:val="00365BA2"/>
    <w:rsid w:val="003667D0"/>
    <w:rsid w:val="00391221"/>
    <w:rsid w:val="003D354D"/>
    <w:rsid w:val="003F52BD"/>
    <w:rsid w:val="00401E8F"/>
    <w:rsid w:val="00434546"/>
    <w:rsid w:val="004459F4"/>
    <w:rsid w:val="00455175"/>
    <w:rsid w:val="0046432E"/>
    <w:rsid w:val="00474567"/>
    <w:rsid w:val="004B0B49"/>
    <w:rsid w:val="004B543F"/>
    <w:rsid w:val="004B66B6"/>
    <w:rsid w:val="004C145B"/>
    <w:rsid w:val="004C422D"/>
    <w:rsid w:val="004D7B7B"/>
    <w:rsid w:val="004E3665"/>
    <w:rsid w:val="004F7A2A"/>
    <w:rsid w:val="004F7A3E"/>
    <w:rsid w:val="00503AEE"/>
    <w:rsid w:val="00520FBD"/>
    <w:rsid w:val="0056199D"/>
    <w:rsid w:val="00561DF5"/>
    <w:rsid w:val="005941F1"/>
    <w:rsid w:val="005B5A4A"/>
    <w:rsid w:val="006258F9"/>
    <w:rsid w:val="00627472"/>
    <w:rsid w:val="00635ED0"/>
    <w:rsid w:val="0066229B"/>
    <w:rsid w:val="00671CE6"/>
    <w:rsid w:val="00684B40"/>
    <w:rsid w:val="006D4B4B"/>
    <w:rsid w:val="006F452F"/>
    <w:rsid w:val="00751B2B"/>
    <w:rsid w:val="00757E5B"/>
    <w:rsid w:val="007759A4"/>
    <w:rsid w:val="007779ED"/>
    <w:rsid w:val="007C0BC6"/>
    <w:rsid w:val="007C1533"/>
    <w:rsid w:val="007D1EA2"/>
    <w:rsid w:val="007D4EDB"/>
    <w:rsid w:val="007E79FC"/>
    <w:rsid w:val="007F2FE2"/>
    <w:rsid w:val="00812799"/>
    <w:rsid w:val="00816242"/>
    <w:rsid w:val="0085711C"/>
    <w:rsid w:val="008650B4"/>
    <w:rsid w:val="00870C22"/>
    <w:rsid w:val="0087216F"/>
    <w:rsid w:val="00875897"/>
    <w:rsid w:val="00875F75"/>
    <w:rsid w:val="008A1694"/>
    <w:rsid w:val="008A5EAC"/>
    <w:rsid w:val="008E3273"/>
    <w:rsid w:val="008F3B9A"/>
    <w:rsid w:val="008F448A"/>
    <w:rsid w:val="0090284B"/>
    <w:rsid w:val="0092197D"/>
    <w:rsid w:val="00941C30"/>
    <w:rsid w:val="00961FB7"/>
    <w:rsid w:val="0099627E"/>
    <w:rsid w:val="009A14BF"/>
    <w:rsid w:val="009C173C"/>
    <w:rsid w:val="00A03734"/>
    <w:rsid w:val="00A11575"/>
    <w:rsid w:val="00A23F54"/>
    <w:rsid w:val="00A4123A"/>
    <w:rsid w:val="00A44FF2"/>
    <w:rsid w:val="00A623A2"/>
    <w:rsid w:val="00A65116"/>
    <w:rsid w:val="00A8506E"/>
    <w:rsid w:val="00A86943"/>
    <w:rsid w:val="00A953ED"/>
    <w:rsid w:val="00AA0AA7"/>
    <w:rsid w:val="00AB2735"/>
    <w:rsid w:val="00AB4370"/>
    <w:rsid w:val="00AC62C6"/>
    <w:rsid w:val="00AD035F"/>
    <w:rsid w:val="00AD4F83"/>
    <w:rsid w:val="00AE18FE"/>
    <w:rsid w:val="00AE64D3"/>
    <w:rsid w:val="00B06375"/>
    <w:rsid w:val="00B15BD6"/>
    <w:rsid w:val="00B66C50"/>
    <w:rsid w:val="00B8158C"/>
    <w:rsid w:val="00B85F2E"/>
    <w:rsid w:val="00BC4DEC"/>
    <w:rsid w:val="00BF08C0"/>
    <w:rsid w:val="00C24625"/>
    <w:rsid w:val="00C25687"/>
    <w:rsid w:val="00C42C4C"/>
    <w:rsid w:val="00C56500"/>
    <w:rsid w:val="00C56E96"/>
    <w:rsid w:val="00C67310"/>
    <w:rsid w:val="00C67639"/>
    <w:rsid w:val="00C726AF"/>
    <w:rsid w:val="00C8179D"/>
    <w:rsid w:val="00CF1EDD"/>
    <w:rsid w:val="00D047F0"/>
    <w:rsid w:val="00D05ABE"/>
    <w:rsid w:val="00D06621"/>
    <w:rsid w:val="00D13113"/>
    <w:rsid w:val="00D32AC2"/>
    <w:rsid w:val="00D35EA2"/>
    <w:rsid w:val="00D3777E"/>
    <w:rsid w:val="00D42767"/>
    <w:rsid w:val="00D67613"/>
    <w:rsid w:val="00D85648"/>
    <w:rsid w:val="00DC7ED2"/>
    <w:rsid w:val="00DD25A7"/>
    <w:rsid w:val="00DD7DB5"/>
    <w:rsid w:val="00DF0C32"/>
    <w:rsid w:val="00E2216E"/>
    <w:rsid w:val="00E4356E"/>
    <w:rsid w:val="00E44A93"/>
    <w:rsid w:val="00E65D34"/>
    <w:rsid w:val="00E72C90"/>
    <w:rsid w:val="00E81F76"/>
    <w:rsid w:val="00E920E0"/>
    <w:rsid w:val="00EC6A57"/>
    <w:rsid w:val="00EE3876"/>
    <w:rsid w:val="00EE3B24"/>
    <w:rsid w:val="00EF3F4C"/>
    <w:rsid w:val="00F03832"/>
    <w:rsid w:val="00F04B63"/>
    <w:rsid w:val="00F82079"/>
    <w:rsid w:val="00F95923"/>
    <w:rsid w:val="00FC7390"/>
    <w:rsid w:val="00FD3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22A2"/>
  <w15:docId w15:val="{5A6698CD-469E-4174-8D24-404E854D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2B"/>
    <w:pPr>
      <w:ind w:left="720"/>
      <w:contextualSpacing/>
    </w:pPr>
  </w:style>
  <w:style w:type="paragraph" w:styleId="BalloonText">
    <w:name w:val="Balloon Text"/>
    <w:basedOn w:val="Normal"/>
    <w:link w:val="BalloonTextChar"/>
    <w:uiPriority w:val="99"/>
    <w:semiHidden/>
    <w:unhideWhenUsed/>
    <w:rsid w:val="00816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242"/>
    <w:rPr>
      <w:rFonts w:ascii="Segoe UI" w:hAnsi="Segoe UI" w:cs="Segoe UI"/>
      <w:sz w:val="18"/>
      <w:szCs w:val="18"/>
    </w:rPr>
  </w:style>
  <w:style w:type="paragraph" w:customStyle="1" w:styleId="parrafo">
    <w:name w:val="parrafo"/>
    <w:basedOn w:val="Normal"/>
    <w:rsid w:val="00671CE6"/>
    <w:pPr>
      <w:spacing w:before="100" w:beforeAutospacing="1" w:after="100" w:afterAutospacing="1"/>
    </w:pPr>
    <w:rPr>
      <w:rFonts w:eastAsia="Times New Roman"/>
      <w:sz w:val="24"/>
      <w:szCs w:val="24"/>
      <w:lang w:eastAsia="es-ES"/>
    </w:rPr>
  </w:style>
  <w:style w:type="character" w:styleId="CommentReference">
    <w:name w:val="annotation reference"/>
    <w:basedOn w:val="DefaultParagraphFont"/>
    <w:uiPriority w:val="99"/>
    <w:semiHidden/>
    <w:unhideWhenUsed/>
    <w:rsid w:val="0085711C"/>
    <w:rPr>
      <w:sz w:val="16"/>
      <w:szCs w:val="16"/>
    </w:rPr>
  </w:style>
  <w:style w:type="paragraph" w:styleId="CommentText">
    <w:name w:val="annotation text"/>
    <w:basedOn w:val="Normal"/>
    <w:link w:val="CommentTextChar"/>
    <w:uiPriority w:val="99"/>
    <w:unhideWhenUsed/>
    <w:rsid w:val="0085711C"/>
    <w:rPr>
      <w:sz w:val="20"/>
      <w:szCs w:val="20"/>
    </w:rPr>
  </w:style>
  <w:style w:type="character" w:customStyle="1" w:styleId="CommentTextChar">
    <w:name w:val="Comment Text Char"/>
    <w:basedOn w:val="DefaultParagraphFont"/>
    <w:link w:val="CommentText"/>
    <w:uiPriority w:val="99"/>
    <w:rsid w:val="0085711C"/>
    <w:rPr>
      <w:sz w:val="20"/>
      <w:szCs w:val="20"/>
    </w:rPr>
  </w:style>
  <w:style w:type="paragraph" w:styleId="CommentSubject">
    <w:name w:val="annotation subject"/>
    <w:basedOn w:val="CommentText"/>
    <w:next w:val="CommentText"/>
    <w:link w:val="CommentSubjectChar"/>
    <w:uiPriority w:val="99"/>
    <w:semiHidden/>
    <w:unhideWhenUsed/>
    <w:rsid w:val="0085711C"/>
    <w:rPr>
      <w:b/>
      <w:bCs/>
    </w:rPr>
  </w:style>
  <w:style w:type="character" w:customStyle="1" w:styleId="CommentSubjectChar">
    <w:name w:val="Comment Subject Char"/>
    <w:basedOn w:val="CommentTextChar"/>
    <w:link w:val="CommentSubject"/>
    <w:uiPriority w:val="99"/>
    <w:semiHidden/>
    <w:rsid w:val="0085711C"/>
    <w:rPr>
      <w:b/>
      <w:bCs/>
      <w:sz w:val="20"/>
      <w:szCs w:val="20"/>
    </w:rPr>
  </w:style>
  <w:style w:type="paragraph" w:styleId="Revision">
    <w:name w:val="Revision"/>
    <w:hidden/>
    <w:uiPriority w:val="99"/>
    <w:semiHidden/>
    <w:rsid w:val="00AE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40032">
      <w:bodyDiv w:val="1"/>
      <w:marLeft w:val="0"/>
      <w:marRight w:val="0"/>
      <w:marTop w:val="0"/>
      <w:marBottom w:val="0"/>
      <w:divBdr>
        <w:top w:val="none" w:sz="0" w:space="0" w:color="auto"/>
        <w:left w:val="none" w:sz="0" w:space="0" w:color="auto"/>
        <w:bottom w:val="none" w:sz="0" w:space="0" w:color="auto"/>
        <w:right w:val="none" w:sz="0" w:space="0" w:color="auto"/>
      </w:divBdr>
    </w:div>
    <w:div w:id="1107694819">
      <w:bodyDiv w:val="1"/>
      <w:marLeft w:val="0"/>
      <w:marRight w:val="0"/>
      <w:marTop w:val="0"/>
      <w:marBottom w:val="0"/>
      <w:divBdr>
        <w:top w:val="none" w:sz="0" w:space="0" w:color="auto"/>
        <w:left w:val="none" w:sz="0" w:space="0" w:color="auto"/>
        <w:bottom w:val="none" w:sz="0" w:space="0" w:color="auto"/>
        <w:right w:val="none" w:sz="0" w:space="0" w:color="auto"/>
      </w:divBdr>
    </w:div>
    <w:div w:id="199664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8A3F-B80B-403D-ADAD-BBAEBBAA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1577</Words>
  <Characters>8991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Groba López Mónica</dc:creator>
  <cp:lastModifiedBy>Anastasia Stavroulaki</cp:lastModifiedBy>
  <cp:revision>14</cp:revision>
  <cp:lastPrinted>2021-08-26T09:18:00Z</cp:lastPrinted>
  <dcterms:created xsi:type="dcterms:W3CDTF">2022-09-20T11:25:00Z</dcterms:created>
  <dcterms:modified xsi:type="dcterms:W3CDTF">2023-03-31T13:52:00Z</dcterms:modified>
</cp:coreProperties>
</file>