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FDF6A" w14:textId="231973C4" w:rsidR="00056AAB" w:rsidRDefault="00104411" w:rsidP="003667D0">
      <w:pPr>
        <w:tabs>
          <w:tab w:val="left" w:leader="dot" w:pos="3384"/>
          <w:tab w:val="left" w:leader="dot" w:pos="3888"/>
          <w:tab w:val="left" w:leader="dot" w:pos="4824"/>
        </w:tabs>
        <w:spacing w:line="276" w:lineRule="auto"/>
        <w:ind w:left="1296"/>
        <w:jc w:val="center"/>
        <w:textAlignment w:val="baseline"/>
        <w:rPr>
          <w:rFonts w:asciiTheme="minorHAnsi" w:eastAsia="Calibri" w:hAnsiTheme="minorHAnsi"/>
          <w:b/>
          <w:sz w:val="28"/>
        </w:rPr>
      </w:pPr>
      <w:r>
        <w:rPr>
          <w:rFonts w:asciiTheme="minorHAnsi" w:hAnsiTheme="minorHAnsi"/>
          <w:b/>
          <w:color w:val="000000"/>
          <w:sz w:val="28"/>
        </w:rPr>
        <w:t>ROYAL DECREE</w:t>
      </w:r>
      <w:r>
        <w:rPr>
          <w:rFonts w:asciiTheme="minorHAnsi" w:hAnsiTheme="minorHAnsi"/>
          <w:b/>
          <w:color w:val="000000"/>
          <w:sz w:val="28"/>
        </w:rPr>
        <w:tab/>
        <w:t>/</w:t>
      </w:r>
      <w:r>
        <w:rPr>
          <w:rFonts w:asciiTheme="minorHAnsi" w:hAnsiTheme="minorHAnsi"/>
          <w:b/>
          <w:color w:val="000000"/>
          <w:sz w:val="28"/>
        </w:rPr>
        <w:tab/>
        <w:t>, of</w:t>
      </w:r>
      <w:r>
        <w:rPr>
          <w:rFonts w:asciiTheme="minorHAnsi" w:hAnsiTheme="minorHAnsi"/>
          <w:b/>
          <w:color w:val="000000"/>
          <w:sz w:val="28"/>
        </w:rPr>
        <w:tab/>
        <w:t xml:space="preserve"> approving the Standard of Earthquake-Resistant Construction NCSR-</w:t>
      </w:r>
      <w:r>
        <w:rPr>
          <w:rFonts w:asciiTheme="minorHAnsi" w:hAnsiTheme="minorHAnsi"/>
          <w:b/>
          <w:sz w:val="28"/>
        </w:rPr>
        <w:t>23</w:t>
      </w:r>
    </w:p>
    <w:p w14:paraId="227AE49F" w14:textId="77777777" w:rsidR="003667D0" w:rsidRPr="006D4B4B" w:rsidRDefault="003667D0" w:rsidP="003667D0">
      <w:pPr>
        <w:tabs>
          <w:tab w:val="left" w:leader="dot" w:pos="3384"/>
          <w:tab w:val="left" w:leader="dot" w:pos="3888"/>
          <w:tab w:val="left" w:leader="dot" w:pos="4824"/>
        </w:tabs>
        <w:spacing w:line="276" w:lineRule="auto"/>
        <w:ind w:left="1296"/>
        <w:textAlignment w:val="baseline"/>
        <w:rPr>
          <w:rFonts w:asciiTheme="minorHAnsi" w:eastAsia="Calibri" w:hAnsiTheme="minorHAnsi"/>
          <w:b/>
          <w:sz w:val="28"/>
          <w:lang w:val="es-ES"/>
        </w:rPr>
      </w:pPr>
    </w:p>
    <w:p w14:paraId="418AC172" w14:textId="37EBFE33" w:rsidR="00A44FF2" w:rsidRDefault="00104411" w:rsidP="00870C22">
      <w:pPr>
        <w:suppressAutoHyphens/>
        <w:spacing w:after="240" w:line="276" w:lineRule="auto"/>
        <w:ind w:firstLine="425"/>
        <w:jc w:val="both"/>
        <w:rPr>
          <w:rFonts w:asciiTheme="minorHAnsi" w:eastAsia="Times New Roman" w:hAnsiTheme="minorHAnsi" w:cstheme="minorHAnsi"/>
          <w:color w:val="000000" w:themeColor="text1"/>
        </w:rPr>
      </w:pPr>
      <w:r>
        <w:rPr>
          <w:rFonts w:asciiTheme="minorHAnsi" w:hAnsiTheme="minorHAnsi"/>
          <w:color w:val="000000" w:themeColor="text1"/>
        </w:rPr>
        <w:t>The Standing Committee on Earthquake Resistant Standards, an inter-ministerial collegiate body, created by Decree 3209/1974 of 30 August, attached to the Ministry of Transport, Mobility and Urban Agenda and within the Directorate-General of the National Geographical Institute, as set out in Royal Decree 645/2020 of 7 July developing the basic organizational structure of the Ministry of Transport, Mobility and Urban Agenda, among its functions, is entrusted with updating the Earthquake-Resistance Regulations, as provided for in Article 2(B) of Royal Decree 518/1984 of 22 February, which reorganises its composition.</w:t>
      </w:r>
    </w:p>
    <w:p w14:paraId="032C0763" w14:textId="4901726A" w:rsidR="00C25687" w:rsidRDefault="00757E5B" w:rsidP="00870C22">
      <w:pPr>
        <w:suppressAutoHyphens/>
        <w:spacing w:after="240" w:line="276" w:lineRule="auto"/>
        <w:ind w:firstLine="425"/>
        <w:jc w:val="both"/>
        <w:rPr>
          <w:rFonts w:asciiTheme="minorHAnsi" w:eastAsia="Times New Roman" w:hAnsiTheme="minorHAnsi" w:cstheme="minorHAnsi"/>
          <w:color w:val="000000" w:themeColor="text1"/>
        </w:rPr>
      </w:pPr>
      <w:r>
        <w:rPr>
          <w:rFonts w:asciiTheme="minorHAnsi" w:hAnsiTheme="minorHAnsi"/>
          <w:color w:val="000000" w:themeColor="text1"/>
        </w:rPr>
        <w:t>Until now, the current regulations are included in the ‘Earthquake-Resistant Construction Standard: General Section and Building (NCSE-02)’ approved by Royal Decree 997/2002, of 27 September, and in the ‘Earthquake-Resistant Construction Standard: Bridges (NCSP-07)’ approved by Royal Decree 637/2007, of 18 May. The time elapsed since their approval requires that they be revised and updated, both for technical and regulatory reasons, in order to adapt the regulations to the current state of knowledge on seismology and seismic engineering, as well as to the regulatory framework in which it must operate.</w:t>
      </w:r>
    </w:p>
    <w:p w14:paraId="00D9E943" w14:textId="08D48EDA" w:rsidR="0008161F" w:rsidRDefault="0008161F" w:rsidP="00870C22">
      <w:pPr>
        <w:suppressAutoHyphens/>
        <w:spacing w:after="240" w:line="276" w:lineRule="auto"/>
        <w:ind w:firstLine="425"/>
        <w:jc w:val="both"/>
        <w:rPr>
          <w:rFonts w:asciiTheme="minorHAnsi" w:eastAsia="Times New Roman" w:hAnsiTheme="minorHAnsi" w:cstheme="minorHAnsi"/>
          <w:color w:val="000000" w:themeColor="text1"/>
        </w:rPr>
      </w:pPr>
      <w:r>
        <w:rPr>
          <w:rFonts w:asciiTheme="minorHAnsi" w:hAnsiTheme="minorHAnsi"/>
          <w:color w:val="000000" w:themeColor="text1"/>
        </w:rPr>
        <w:t>The Standing Committee on Earthquake-Resistant Standards, in exercising its functions, has drawn up a new Earthquake-Resistant Building Standard that replaces the aforementioned standards, incorporating the most relevant aspects of European regulations for the calculation of structures, in accordance with the procedures established in the Structural Eurocodes and expanding their content with more structural typologies. The new standard establishes the technical conditions to be met by building structures and civil engineering works, so that their behaviour, when facing seismic phenomena, avoids serious consequences for the health and safety of people, avoids economic losses and promotes the maintenance of basic services for society in cases of high intensity earthquakes.</w:t>
      </w:r>
    </w:p>
    <w:p w14:paraId="6F2451EE" w14:textId="77777777" w:rsidR="004459F4" w:rsidRPr="004459F4" w:rsidRDefault="004459F4" w:rsidP="00870C22">
      <w:pPr>
        <w:suppressAutoHyphens/>
        <w:spacing w:after="240" w:line="276" w:lineRule="auto"/>
        <w:ind w:firstLine="425"/>
        <w:jc w:val="both"/>
        <w:rPr>
          <w:rFonts w:asciiTheme="minorHAnsi" w:eastAsia="Times New Roman" w:hAnsiTheme="minorHAnsi" w:cstheme="minorHAnsi"/>
          <w:color w:val="000000" w:themeColor="text1"/>
        </w:rPr>
      </w:pPr>
      <w:r>
        <w:rPr>
          <w:rFonts w:asciiTheme="minorHAnsi" w:hAnsiTheme="minorHAnsi"/>
          <w:color w:val="000000" w:themeColor="text1"/>
        </w:rPr>
        <w:t xml:space="preserve">This Royal Decree complies with the principles of necessity, effectiveness, proportionality, legal certainty, transparency and efficiency established in Article 129 of Law 39/2015, of 1 October, on the Common Administrative Procedure of Public Administrations. </w:t>
      </w:r>
    </w:p>
    <w:p w14:paraId="4A3F3D5F" w14:textId="0682A2D0" w:rsidR="001D206B" w:rsidRDefault="007F2FE2" w:rsidP="00870C22">
      <w:pPr>
        <w:suppressAutoHyphens/>
        <w:spacing w:after="240" w:line="276" w:lineRule="auto"/>
        <w:ind w:firstLine="425"/>
        <w:jc w:val="both"/>
        <w:rPr>
          <w:rFonts w:asciiTheme="minorHAnsi" w:eastAsia="Times New Roman" w:hAnsiTheme="minorHAnsi" w:cstheme="minorHAnsi"/>
          <w:color w:val="000000" w:themeColor="text1"/>
        </w:rPr>
      </w:pPr>
      <w:r>
        <w:rPr>
          <w:rFonts w:asciiTheme="minorHAnsi" w:hAnsiTheme="minorHAnsi"/>
          <w:color w:val="000000" w:themeColor="text1"/>
        </w:rPr>
        <w:t>It complies with the principles of necessity and effectiveness, since the application of the new Earthquake-Resistant Standard represents, with respect to the previous regulations, an advance in the knowledge and determination of seismic activity and also a clarification in the use of the concepts and requirements of earthquake resistance and ductility that must be required of structures in seismic zones. The project does not distort competition in the market, but favours competition by regulating aspects not covered by the current regulations. It is also in line with the principle of proportionality, since the standard contains the rules necessary to meet the need described above, without there being any other measures which are less restrictive of rights or imposing fewer obligations on the addressees, and with the principle of legal certainty given their integration into the legal order, in full consistency with the national and European regulations in force. The principle of transparency is guaranteed, since all the information procedures indicated in the Government’s Law 50/1997 of 27 November have been complied with, and this has been published on the Spanish Government’s transparency portal. Finally, in application of the principle of efficiency, this standard does not entail an increase in additional administrative burdens or an increase in public expenditure.</w:t>
      </w:r>
    </w:p>
    <w:p w14:paraId="53F4DA01" w14:textId="712176A3" w:rsidR="004459F4" w:rsidRPr="004459F4" w:rsidRDefault="004459F4" w:rsidP="00870C22">
      <w:pPr>
        <w:suppressAutoHyphens/>
        <w:spacing w:after="240" w:line="276" w:lineRule="auto"/>
        <w:ind w:firstLine="425"/>
        <w:jc w:val="both"/>
        <w:rPr>
          <w:rFonts w:asciiTheme="minorHAnsi" w:eastAsia="Times New Roman" w:hAnsiTheme="minorHAnsi" w:cstheme="minorHAnsi"/>
          <w:color w:val="000000" w:themeColor="text1"/>
        </w:rPr>
      </w:pPr>
      <w:r>
        <w:rPr>
          <w:rFonts w:asciiTheme="minorHAnsi" w:hAnsiTheme="minorHAnsi"/>
          <w:color w:val="000000" w:themeColor="text1"/>
        </w:rPr>
        <w:lastRenderedPageBreak/>
        <w:t xml:space="preserve">This Royal Decree is issued under the provisions </w:t>
      </w:r>
      <w:r>
        <w:rPr>
          <w:rFonts w:asciiTheme="minorHAnsi" w:hAnsiTheme="minorHAnsi"/>
        </w:rPr>
        <w:t xml:space="preserve">in Article 149.1.13a of the Spanish Constitution, </w:t>
      </w:r>
      <w:r>
        <w:rPr>
          <w:rFonts w:asciiTheme="minorHAnsi" w:hAnsiTheme="minorHAnsi"/>
          <w:color w:val="000000" w:themeColor="text1"/>
        </w:rPr>
        <w:t>which attributes to the State competence in matters of bases and coordination of the general planning of economic activity.</w:t>
      </w:r>
    </w:p>
    <w:p w14:paraId="343DD835" w14:textId="77777777" w:rsidR="004459F4" w:rsidRPr="004459F4" w:rsidRDefault="004459F4" w:rsidP="00870C22">
      <w:pPr>
        <w:suppressAutoHyphens/>
        <w:spacing w:after="240" w:line="276" w:lineRule="auto"/>
        <w:ind w:firstLine="425"/>
        <w:jc w:val="both"/>
        <w:rPr>
          <w:rFonts w:asciiTheme="minorHAnsi" w:eastAsia="Times New Roman" w:hAnsiTheme="minorHAnsi" w:cstheme="minorHAnsi"/>
          <w:color w:val="000000" w:themeColor="text1"/>
        </w:rPr>
      </w:pPr>
      <w:r>
        <w:rPr>
          <w:rFonts w:asciiTheme="minorHAnsi" w:hAnsiTheme="minorHAnsi"/>
          <w:color w:val="000000" w:themeColor="text1"/>
        </w:rPr>
        <w:t xml:space="preserve">The drafting process for this Royal Decree completed the procedure set out in Law 50/1997 of 27 November of the Government, and in Directive (EU) 2015/1535 of the European Parliament and of the Council of 9 September laying down a procedure for the provision of information in the field of technical regulations and of rules on Information Society services, as well as Royal Decree 1337/1999 of 31 July, governing the provision of information in the area of technical rules and regulations and regulations related to information society services. </w:t>
      </w:r>
    </w:p>
    <w:p w14:paraId="288E1E12" w14:textId="6459E5E4" w:rsidR="004459F4" w:rsidRDefault="004459F4" w:rsidP="00870C22">
      <w:pPr>
        <w:suppressAutoHyphens/>
        <w:spacing w:after="240" w:line="276" w:lineRule="auto"/>
        <w:ind w:firstLine="425"/>
        <w:jc w:val="both"/>
        <w:rPr>
          <w:rFonts w:asciiTheme="minorHAnsi" w:eastAsia="Times New Roman" w:hAnsiTheme="minorHAnsi" w:cstheme="minorHAnsi"/>
          <w:color w:val="000000" w:themeColor="text1"/>
        </w:rPr>
      </w:pPr>
      <w:r>
        <w:rPr>
          <w:rFonts w:asciiTheme="minorHAnsi" w:hAnsiTheme="minorHAnsi"/>
          <w:color w:val="000000" w:themeColor="text1"/>
        </w:rPr>
        <w:t>This Royal Decree is adopted at the initiative of the Standing Committee on Earthquake-Resistant Standards.</w:t>
      </w:r>
    </w:p>
    <w:p w14:paraId="42144605" w14:textId="312B0DF6" w:rsidR="00056AAB" w:rsidRDefault="004459F4" w:rsidP="00870C22">
      <w:pPr>
        <w:suppressAutoHyphens/>
        <w:spacing w:after="240" w:line="276" w:lineRule="auto"/>
        <w:ind w:firstLine="425"/>
        <w:jc w:val="both"/>
        <w:rPr>
          <w:rFonts w:asciiTheme="minorHAnsi" w:eastAsia="Times New Roman" w:hAnsiTheme="minorHAnsi" w:cstheme="minorHAnsi"/>
          <w:color w:val="000000"/>
        </w:rPr>
      </w:pPr>
      <w:r>
        <w:rPr>
          <w:rFonts w:asciiTheme="minorHAnsi" w:hAnsiTheme="minorHAnsi"/>
          <w:color w:val="000000" w:themeColor="text1"/>
        </w:rPr>
        <w:t xml:space="preserve">By virtue thereof, at the proposal of the Minister for Transport, Mobility and Urban Agenda </w:t>
      </w:r>
      <w:r>
        <w:rPr>
          <w:rFonts w:asciiTheme="minorHAnsi" w:hAnsiTheme="minorHAnsi"/>
          <w:color w:val="000000"/>
        </w:rPr>
        <w:t>and after deliberation in the Council of Ministers on the day...</w:t>
      </w:r>
    </w:p>
    <w:p w14:paraId="01FC4263" w14:textId="77777777" w:rsidR="004459F4" w:rsidRPr="00D35EA2" w:rsidRDefault="004459F4" w:rsidP="004459F4">
      <w:pPr>
        <w:suppressAutoHyphens/>
        <w:ind w:firstLine="425"/>
        <w:jc w:val="both"/>
        <w:rPr>
          <w:rFonts w:asciiTheme="minorHAnsi" w:eastAsia="Times New Roman" w:hAnsiTheme="minorHAnsi" w:cstheme="minorHAnsi"/>
          <w:color w:val="000000"/>
          <w:lang w:val="es-ES"/>
        </w:rPr>
      </w:pPr>
    </w:p>
    <w:p w14:paraId="1ECEFAB2" w14:textId="77777777" w:rsidR="00056AAB" w:rsidRPr="006D4B4B" w:rsidRDefault="00104411" w:rsidP="00AD035F">
      <w:pPr>
        <w:spacing w:after="240" w:line="276" w:lineRule="auto"/>
        <w:jc w:val="center"/>
        <w:textAlignment w:val="baseline"/>
        <w:rPr>
          <w:rFonts w:asciiTheme="minorHAnsi" w:eastAsia="Times New Roman" w:hAnsiTheme="minorHAnsi"/>
          <w:color w:val="000000"/>
          <w:sz w:val="24"/>
          <w:szCs w:val="24"/>
        </w:rPr>
      </w:pPr>
      <w:r>
        <w:rPr>
          <w:rFonts w:asciiTheme="minorHAnsi" w:hAnsiTheme="minorHAnsi"/>
          <w:color w:val="000000"/>
          <w:sz w:val="24"/>
        </w:rPr>
        <w:t>I HEREBY DECREE</w:t>
      </w:r>
    </w:p>
    <w:p w14:paraId="05744015" w14:textId="77777777" w:rsidR="00056AAB" w:rsidRPr="00D35EA2" w:rsidRDefault="00104411" w:rsidP="00AD035F">
      <w:pPr>
        <w:spacing w:after="240" w:line="276" w:lineRule="auto"/>
        <w:textAlignment w:val="baseline"/>
        <w:rPr>
          <w:rFonts w:asciiTheme="minorHAnsi" w:eastAsia="Times New Roman" w:hAnsiTheme="minorHAnsi"/>
          <w:b/>
          <w:color w:val="000000"/>
        </w:rPr>
      </w:pPr>
      <w:r>
        <w:rPr>
          <w:rFonts w:asciiTheme="minorHAnsi" w:hAnsiTheme="minorHAnsi"/>
          <w:b/>
          <w:color w:val="000000"/>
        </w:rPr>
        <w:t>Article 1. Purpose</w:t>
      </w:r>
    </w:p>
    <w:p w14:paraId="721FFEF1" w14:textId="46A6063B" w:rsidR="0046432E" w:rsidRDefault="00104411" w:rsidP="00870C22">
      <w:pPr>
        <w:spacing w:after="240" w:line="276" w:lineRule="auto"/>
        <w:jc w:val="both"/>
        <w:textAlignment w:val="baseline"/>
        <w:rPr>
          <w:rFonts w:asciiTheme="minorHAnsi" w:eastAsia="Times New Roman" w:hAnsiTheme="minorHAnsi"/>
          <w:color w:val="000000"/>
        </w:rPr>
      </w:pPr>
      <w:r>
        <w:rPr>
          <w:rFonts w:asciiTheme="minorHAnsi" w:hAnsiTheme="minorHAnsi"/>
          <w:color w:val="000000"/>
        </w:rPr>
        <w:t xml:space="preserve">The Earthquake-Resistant Construction Standard, NCSR-23, is approved, which establishes the essential concepts and requirements to be met by structures located in seismic zones, in Spain, in addition to compliance with the rest of the specific regulations in force regarding structures. </w:t>
      </w:r>
    </w:p>
    <w:p w14:paraId="78734A0A" w14:textId="7654B8F0" w:rsidR="009C173C" w:rsidRPr="00870C22" w:rsidRDefault="009C173C" w:rsidP="00870C22">
      <w:pPr>
        <w:spacing w:after="240" w:line="276" w:lineRule="auto"/>
        <w:jc w:val="both"/>
        <w:textAlignment w:val="baseline"/>
        <w:rPr>
          <w:rFonts w:asciiTheme="minorHAnsi" w:eastAsia="Times New Roman" w:hAnsiTheme="minorHAnsi"/>
          <w:color w:val="000000"/>
        </w:rPr>
      </w:pPr>
      <w:r>
        <w:rPr>
          <w:rFonts w:asciiTheme="minorHAnsi" w:hAnsiTheme="minorHAnsi"/>
          <w:color w:val="000000"/>
        </w:rPr>
        <w:t>The structures and constructions that may be subjected to the activity of earthquakes shall be projected, executed and documented considering the seismic action in accordance with the provisions of the six Annexes that constitute this Earthquake-Resistant Standard and which are:</w:t>
      </w:r>
    </w:p>
    <w:p w14:paraId="79EC5159" w14:textId="77777777" w:rsidR="009C173C" w:rsidRPr="009C173C" w:rsidRDefault="009C173C" w:rsidP="006D4B4B">
      <w:pPr>
        <w:spacing w:line="276" w:lineRule="auto"/>
        <w:ind w:left="567"/>
        <w:jc w:val="both"/>
        <w:textAlignment w:val="baseline"/>
        <w:rPr>
          <w:rFonts w:asciiTheme="minorHAnsi" w:eastAsia="Times New Roman" w:hAnsiTheme="minorHAnsi"/>
          <w:color w:val="000000"/>
          <w:spacing w:val="2"/>
        </w:rPr>
      </w:pPr>
      <w:r>
        <w:rPr>
          <w:rFonts w:asciiTheme="minorHAnsi" w:hAnsiTheme="minorHAnsi"/>
          <w:color w:val="000000"/>
        </w:rPr>
        <w:t>Annex 1: General rules, seismic activities and building rules.</w:t>
      </w:r>
    </w:p>
    <w:p w14:paraId="79F9BCF0" w14:textId="77777777" w:rsidR="009C173C" w:rsidRPr="009C173C" w:rsidRDefault="009C173C" w:rsidP="006D4B4B">
      <w:pPr>
        <w:spacing w:line="276" w:lineRule="auto"/>
        <w:ind w:left="567"/>
        <w:jc w:val="both"/>
        <w:textAlignment w:val="baseline"/>
        <w:rPr>
          <w:rFonts w:asciiTheme="minorHAnsi" w:eastAsia="Times New Roman" w:hAnsiTheme="minorHAnsi"/>
          <w:color w:val="000000"/>
          <w:spacing w:val="2"/>
        </w:rPr>
      </w:pPr>
      <w:r>
        <w:rPr>
          <w:rFonts w:asciiTheme="minorHAnsi" w:hAnsiTheme="minorHAnsi"/>
          <w:color w:val="000000"/>
        </w:rPr>
        <w:t>Annex 2: Bridges.</w:t>
      </w:r>
    </w:p>
    <w:p w14:paraId="7CD23BE5" w14:textId="77777777" w:rsidR="009C173C" w:rsidRPr="009C173C" w:rsidRDefault="009C173C" w:rsidP="006D4B4B">
      <w:pPr>
        <w:spacing w:line="276" w:lineRule="auto"/>
        <w:ind w:left="567"/>
        <w:jc w:val="both"/>
        <w:textAlignment w:val="baseline"/>
        <w:rPr>
          <w:rFonts w:asciiTheme="minorHAnsi" w:eastAsia="Times New Roman" w:hAnsiTheme="minorHAnsi"/>
          <w:color w:val="000000"/>
          <w:spacing w:val="2"/>
        </w:rPr>
      </w:pPr>
      <w:r>
        <w:rPr>
          <w:rFonts w:asciiTheme="minorHAnsi" w:hAnsiTheme="minorHAnsi"/>
          <w:color w:val="000000"/>
        </w:rPr>
        <w:t>Annex 3: Assessment and seismic adaptation of buildings.</w:t>
      </w:r>
    </w:p>
    <w:p w14:paraId="2850B202" w14:textId="77777777" w:rsidR="009C173C" w:rsidRPr="009C173C" w:rsidRDefault="009C173C" w:rsidP="006D4B4B">
      <w:pPr>
        <w:spacing w:line="276" w:lineRule="auto"/>
        <w:ind w:left="567"/>
        <w:jc w:val="both"/>
        <w:textAlignment w:val="baseline"/>
        <w:rPr>
          <w:rFonts w:asciiTheme="minorHAnsi" w:eastAsia="Times New Roman" w:hAnsiTheme="minorHAnsi"/>
          <w:color w:val="000000"/>
          <w:spacing w:val="2"/>
        </w:rPr>
      </w:pPr>
      <w:r>
        <w:rPr>
          <w:rFonts w:asciiTheme="minorHAnsi" w:hAnsiTheme="minorHAnsi"/>
          <w:color w:val="000000"/>
        </w:rPr>
        <w:t>Annex 4: Silos, tanks and pipes.</w:t>
      </w:r>
    </w:p>
    <w:p w14:paraId="3AC9CD45" w14:textId="77777777" w:rsidR="009C173C" w:rsidRPr="009C173C" w:rsidRDefault="009C173C" w:rsidP="006D4B4B">
      <w:pPr>
        <w:spacing w:line="276" w:lineRule="auto"/>
        <w:ind w:left="567"/>
        <w:jc w:val="both"/>
        <w:textAlignment w:val="baseline"/>
        <w:rPr>
          <w:rFonts w:asciiTheme="minorHAnsi" w:eastAsia="Times New Roman" w:hAnsiTheme="minorHAnsi"/>
          <w:color w:val="000000"/>
          <w:spacing w:val="2"/>
        </w:rPr>
      </w:pPr>
      <w:r>
        <w:rPr>
          <w:rFonts w:asciiTheme="minorHAnsi" w:hAnsiTheme="minorHAnsi"/>
          <w:color w:val="000000"/>
        </w:rPr>
        <w:t>Annex 5: Foundations, containment structures and geotechnical aspects.</w:t>
      </w:r>
    </w:p>
    <w:p w14:paraId="6AD4A209" w14:textId="1CF81FB4" w:rsidR="009C173C" w:rsidRDefault="009C173C" w:rsidP="006D4B4B">
      <w:pPr>
        <w:spacing w:line="276" w:lineRule="auto"/>
        <w:ind w:left="567"/>
        <w:jc w:val="both"/>
        <w:textAlignment w:val="baseline"/>
        <w:rPr>
          <w:rFonts w:asciiTheme="minorHAnsi" w:eastAsia="Times New Roman" w:hAnsiTheme="minorHAnsi"/>
          <w:color w:val="000000"/>
          <w:spacing w:val="2"/>
        </w:rPr>
      </w:pPr>
      <w:r>
        <w:rPr>
          <w:rFonts w:asciiTheme="minorHAnsi" w:hAnsiTheme="minorHAnsi"/>
          <w:color w:val="000000"/>
        </w:rPr>
        <w:t>Annex 6: Towers, masts and chimneys.</w:t>
      </w:r>
    </w:p>
    <w:p w14:paraId="75E4EE37" w14:textId="77777777" w:rsidR="00870C22" w:rsidRDefault="00870C22" w:rsidP="006D4B4B">
      <w:pPr>
        <w:spacing w:line="276" w:lineRule="auto"/>
        <w:ind w:left="567"/>
        <w:jc w:val="both"/>
        <w:textAlignment w:val="baseline"/>
        <w:rPr>
          <w:rFonts w:asciiTheme="minorHAnsi" w:eastAsia="Times New Roman" w:hAnsiTheme="minorHAnsi"/>
          <w:color w:val="000000"/>
          <w:spacing w:val="2"/>
          <w:lang w:val="es-ES"/>
        </w:rPr>
      </w:pPr>
    </w:p>
    <w:p w14:paraId="7A592887" w14:textId="3BD133CC" w:rsidR="009C173C" w:rsidRPr="00870C22" w:rsidRDefault="009C173C" w:rsidP="00870C22">
      <w:pPr>
        <w:spacing w:after="240" w:line="276" w:lineRule="auto"/>
        <w:jc w:val="both"/>
        <w:textAlignment w:val="baseline"/>
        <w:rPr>
          <w:rFonts w:asciiTheme="minorHAnsi" w:eastAsia="Times New Roman" w:hAnsiTheme="minorHAnsi"/>
          <w:color w:val="000000"/>
        </w:rPr>
      </w:pPr>
      <w:r>
        <w:rPr>
          <w:rFonts w:asciiTheme="minorHAnsi" w:hAnsiTheme="minorHAnsi"/>
          <w:color w:val="000000"/>
        </w:rPr>
        <w:t>Alternatively, the author of the project and the optional management may, in using their powers, under their responsibility and prior agreement of the property, adopt other solutions that partially or totally depart from the procedures referred to in the preceding annexes (through different calculation systems, constructive arrangements, etc.), provided that it is documented that the structure complies with the requirements of this Earthquake-Resistant Standard, achieving at least equivalent services to those that would be obtained by the application of the procedures of this Standard.</w:t>
      </w:r>
    </w:p>
    <w:p w14:paraId="23196ECE" w14:textId="77777777" w:rsidR="00056AAB" w:rsidRPr="00D35EA2" w:rsidRDefault="00104411" w:rsidP="009A552F">
      <w:pPr>
        <w:keepNext/>
        <w:spacing w:after="240" w:line="276" w:lineRule="auto"/>
        <w:textAlignment w:val="baseline"/>
        <w:rPr>
          <w:rFonts w:asciiTheme="minorHAnsi" w:eastAsia="Times New Roman" w:hAnsiTheme="minorHAnsi"/>
          <w:b/>
          <w:color w:val="000000"/>
        </w:rPr>
      </w:pPr>
      <w:r>
        <w:rPr>
          <w:rFonts w:asciiTheme="minorHAnsi" w:hAnsiTheme="minorHAnsi"/>
          <w:b/>
          <w:color w:val="000000"/>
        </w:rPr>
        <w:lastRenderedPageBreak/>
        <w:t>Article 2. Scope of application</w:t>
      </w:r>
    </w:p>
    <w:p w14:paraId="1B40A98A" w14:textId="0DDD90E1" w:rsidR="00A623A2" w:rsidRPr="00870C22" w:rsidRDefault="00104411" w:rsidP="00870C22">
      <w:pPr>
        <w:spacing w:after="240" w:line="276" w:lineRule="auto"/>
        <w:jc w:val="both"/>
        <w:textAlignment w:val="baseline"/>
        <w:rPr>
          <w:rFonts w:asciiTheme="minorHAnsi" w:eastAsia="Times New Roman" w:hAnsiTheme="minorHAnsi"/>
          <w:color w:val="000000"/>
        </w:rPr>
      </w:pPr>
      <w:r>
        <w:rPr>
          <w:rFonts w:asciiTheme="minorHAnsi" w:hAnsiTheme="minorHAnsi"/>
          <w:color w:val="000000"/>
        </w:rPr>
        <w:t xml:space="preserve">The requirements for earthquake-resistant content of this Standard apply to all projects and construction works of new buildings, bridges, towers, masts, chimneys, silos, tanks, pipes, containment structures and their foundations, as well as to the geotechnical project. </w:t>
      </w:r>
    </w:p>
    <w:p w14:paraId="7968B2C8" w14:textId="3FBBAE08" w:rsidR="00A623A2" w:rsidRPr="00870C22" w:rsidRDefault="00A623A2" w:rsidP="00870C22">
      <w:pPr>
        <w:spacing w:after="240" w:line="276" w:lineRule="auto"/>
        <w:jc w:val="both"/>
        <w:textAlignment w:val="baseline"/>
        <w:rPr>
          <w:rFonts w:asciiTheme="minorHAnsi" w:eastAsia="Times New Roman" w:hAnsiTheme="minorHAnsi"/>
          <w:color w:val="000000"/>
        </w:rPr>
      </w:pPr>
      <w:r>
        <w:rPr>
          <w:rFonts w:asciiTheme="minorHAnsi" w:hAnsiTheme="minorHAnsi"/>
          <w:color w:val="000000"/>
        </w:rPr>
        <w:t>Likewise, this Standard applies to the seismic evaluation of existing buildings, and also, where appropriate, to the seismic adaptation thereof, in cases where works of renovation or structural restoration work of sufficient gravity are carried out or when such assessment or adaptation is required. For the purposes of this Earthquake-Resistant Standard, seismic adaptation covers both the reinforcement of undamaged structures and the reinforcement of structures damaged by an earthquake.</w:t>
      </w:r>
    </w:p>
    <w:p w14:paraId="3286098A" w14:textId="1B39F053" w:rsidR="00A623A2" w:rsidRPr="00870C22" w:rsidRDefault="00A623A2" w:rsidP="00870C22">
      <w:pPr>
        <w:spacing w:after="240" w:line="276" w:lineRule="auto"/>
        <w:jc w:val="both"/>
        <w:textAlignment w:val="baseline"/>
        <w:rPr>
          <w:rFonts w:asciiTheme="minorHAnsi" w:eastAsia="Times New Roman" w:hAnsiTheme="minorHAnsi"/>
          <w:color w:val="000000"/>
        </w:rPr>
      </w:pPr>
      <w:r>
        <w:rPr>
          <w:rFonts w:asciiTheme="minorHAnsi" w:hAnsiTheme="minorHAnsi"/>
          <w:color w:val="000000"/>
        </w:rPr>
        <w:t>The conditions that may necessitate the seismic assessment of individual buildings – possibly leading to seismic adequacy – fall outside the subject matter and scope of this Standard.</w:t>
      </w:r>
    </w:p>
    <w:p w14:paraId="2602E605" w14:textId="25143B7E" w:rsidR="00A623A2" w:rsidRPr="00870C22" w:rsidRDefault="00104411" w:rsidP="00870C22">
      <w:pPr>
        <w:spacing w:after="240" w:line="276" w:lineRule="auto"/>
        <w:jc w:val="both"/>
        <w:textAlignment w:val="baseline"/>
        <w:rPr>
          <w:rFonts w:asciiTheme="minorHAnsi" w:eastAsia="Times New Roman" w:hAnsiTheme="minorHAnsi"/>
          <w:color w:val="000000"/>
        </w:rPr>
      </w:pPr>
      <w:r>
        <w:rPr>
          <w:rFonts w:asciiTheme="minorHAnsi" w:hAnsiTheme="minorHAnsi"/>
          <w:color w:val="000000"/>
        </w:rPr>
        <w:t>As appropriate, this Earthquake-Resistant Standard may also be applied in addition to other structural types not explicitly included in its scope, where they do not exist for the same specific rules or provisions, and provided that they are not expressly excluded from its scope.</w:t>
      </w:r>
    </w:p>
    <w:p w14:paraId="163A6949" w14:textId="735DB3B4" w:rsidR="00671CE6" w:rsidRPr="00D35EA2" w:rsidRDefault="00671CE6" w:rsidP="00AD035F">
      <w:pPr>
        <w:pStyle w:val="parrafo"/>
        <w:shd w:val="clear" w:color="auto" w:fill="FFFFFF"/>
        <w:spacing w:before="0" w:beforeAutospacing="0" w:after="240" w:afterAutospacing="0" w:line="276" w:lineRule="auto"/>
        <w:jc w:val="both"/>
        <w:rPr>
          <w:rFonts w:asciiTheme="minorHAnsi" w:hAnsiTheme="minorHAnsi"/>
          <w:b/>
          <w:color w:val="000000"/>
          <w:sz w:val="22"/>
          <w:szCs w:val="22"/>
        </w:rPr>
      </w:pPr>
      <w:r>
        <w:rPr>
          <w:rFonts w:asciiTheme="minorHAnsi" w:hAnsiTheme="minorHAnsi"/>
          <w:b/>
          <w:color w:val="000000"/>
          <w:sz w:val="22"/>
        </w:rPr>
        <w:t>Sole transitional provision. Application to designs and works.</w:t>
      </w:r>
    </w:p>
    <w:p w14:paraId="7E1DEF06" w14:textId="77777777" w:rsidR="006D4B4B" w:rsidRPr="00870C22" w:rsidRDefault="006D4B4B" w:rsidP="00870C22">
      <w:pPr>
        <w:spacing w:after="240" w:line="276" w:lineRule="auto"/>
        <w:jc w:val="both"/>
        <w:textAlignment w:val="baseline"/>
        <w:rPr>
          <w:rFonts w:asciiTheme="minorHAnsi" w:eastAsia="Times New Roman" w:hAnsiTheme="minorHAnsi"/>
          <w:color w:val="000000"/>
        </w:rPr>
      </w:pPr>
      <w:r>
        <w:rPr>
          <w:rFonts w:asciiTheme="minorHAnsi" w:hAnsiTheme="minorHAnsi"/>
          <w:color w:val="000000"/>
        </w:rPr>
        <w:t xml:space="preserve">The provisions of this Royal Decree shall not apply in civil works to projects whose order of drafting or study, in the field of public administrations, or commission, in other cases, had been carried out prior to this Royal Decree entering into force, as well as to works carried out in the developing these, provided that they are initiated within a period not exceeding two years from that entry into force, unless the competent public administration, or, where appropriate, the promoter, agrees that it is mandatory. </w:t>
      </w:r>
    </w:p>
    <w:p w14:paraId="7A84DDAE" w14:textId="781A6671" w:rsidR="00870C22" w:rsidRPr="006D4B4B" w:rsidRDefault="006D4B4B" w:rsidP="00870C22">
      <w:pPr>
        <w:spacing w:after="240" w:line="276" w:lineRule="auto"/>
        <w:jc w:val="both"/>
        <w:textAlignment w:val="baseline"/>
        <w:rPr>
          <w:rFonts w:asciiTheme="minorHAnsi" w:eastAsia="Times New Roman" w:hAnsiTheme="minorHAnsi"/>
          <w:color w:val="000000"/>
          <w:spacing w:val="2"/>
        </w:rPr>
      </w:pPr>
      <w:r>
        <w:rPr>
          <w:rFonts w:asciiTheme="minorHAnsi" w:hAnsiTheme="minorHAnsi"/>
          <w:color w:val="000000"/>
        </w:rPr>
        <w:t xml:space="preserve">The provisions of this Royal Decree shall not be applicable in the field of building in projects that have requested municipal works licence, or request it within nine months of this Royal Decree entering into force, in this case with Royal Decree 997/2002, of 27 September, approving the Earthquake-Resistant Construction Standard, being applicable: General Section and Building (NCSE-02). Such works must start within the maximum period of effectiveness of said licence, in accordance with its regulatory regulations, and, failing that, within a period not exceeding six months from the date of granting of said licence. The projects must otherwise be adapted to the provisions of this Royal Decree. </w:t>
      </w:r>
    </w:p>
    <w:p w14:paraId="620031EA" w14:textId="77777777" w:rsidR="008A1694" w:rsidRPr="00D35EA2" w:rsidRDefault="008A1694" w:rsidP="00AD035F">
      <w:pPr>
        <w:spacing w:after="240" w:line="276" w:lineRule="auto"/>
        <w:jc w:val="both"/>
        <w:textAlignment w:val="baseline"/>
        <w:rPr>
          <w:rFonts w:asciiTheme="minorHAnsi" w:eastAsia="Times New Roman" w:hAnsiTheme="minorHAnsi"/>
          <w:b/>
          <w:color w:val="000000"/>
        </w:rPr>
      </w:pPr>
      <w:r>
        <w:rPr>
          <w:rFonts w:asciiTheme="minorHAnsi" w:hAnsiTheme="minorHAnsi"/>
          <w:b/>
          <w:color w:val="000000"/>
        </w:rPr>
        <w:t>Sole repealing provision. Repeal of regulations</w:t>
      </w:r>
    </w:p>
    <w:p w14:paraId="3C87D465" w14:textId="41A1036B" w:rsidR="002B1514" w:rsidRPr="00870C22" w:rsidRDefault="002B1514" w:rsidP="00870C22">
      <w:pPr>
        <w:spacing w:after="240" w:line="276" w:lineRule="auto"/>
        <w:jc w:val="both"/>
        <w:textAlignment w:val="baseline"/>
        <w:rPr>
          <w:rFonts w:asciiTheme="minorHAnsi" w:eastAsia="Times New Roman" w:hAnsiTheme="minorHAnsi"/>
          <w:color w:val="000000"/>
        </w:rPr>
      </w:pPr>
      <w:r>
        <w:rPr>
          <w:rFonts w:asciiTheme="minorHAnsi" w:hAnsiTheme="minorHAnsi"/>
          <w:color w:val="000000"/>
        </w:rPr>
        <w:t>As of the entry into force of this Royal Decree, Royal Decree 997/2002 of 27 September, approving the Earthquake-Resistant Construction Standard are repealed: General Section and Building (NCSE-02), and Royal Decree 637/2007, of 18 May, approving the Earthquake-Resistant Building Standard: Bridges (NCSP-07).</w:t>
      </w:r>
    </w:p>
    <w:p w14:paraId="590D095E" w14:textId="77777777" w:rsidR="00870C22" w:rsidRPr="00870C22" w:rsidRDefault="00870C22" w:rsidP="00870C22">
      <w:pPr>
        <w:spacing w:after="120"/>
        <w:jc w:val="both"/>
        <w:textAlignment w:val="baseline"/>
        <w:rPr>
          <w:rFonts w:asciiTheme="minorHAnsi" w:eastAsia="Times New Roman" w:hAnsiTheme="minorHAnsi"/>
          <w:color w:val="000000"/>
          <w:spacing w:val="2"/>
          <w:lang w:val="es-ES"/>
        </w:rPr>
      </w:pPr>
    </w:p>
    <w:p w14:paraId="41EC003B" w14:textId="24B0084C" w:rsidR="00EC6A57" w:rsidRPr="00D35EA2" w:rsidRDefault="00EC6A57" w:rsidP="009A552F">
      <w:pPr>
        <w:keepNext/>
        <w:spacing w:after="240" w:line="276" w:lineRule="auto"/>
        <w:jc w:val="both"/>
        <w:textAlignment w:val="baseline"/>
        <w:rPr>
          <w:rFonts w:asciiTheme="minorHAnsi" w:eastAsia="Times New Roman" w:hAnsiTheme="minorHAnsi" w:cstheme="minorHAnsi"/>
          <w:b/>
          <w:color w:val="000000"/>
        </w:rPr>
      </w:pPr>
      <w:r>
        <w:rPr>
          <w:rFonts w:asciiTheme="minorHAnsi" w:hAnsiTheme="minorHAnsi"/>
          <w:b/>
          <w:color w:val="000000"/>
        </w:rPr>
        <w:lastRenderedPageBreak/>
        <w:t>First final provision. Attribution of powers</w:t>
      </w:r>
    </w:p>
    <w:p w14:paraId="15D1B399" w14:textId="52F39719" w:rsidR="00EC6A57" w:rsidRPr="00870C22" w:rsidRDefault="00EC6A57" w:rsidP="00870C22">
      <w:pPr>
        <w:spacing w:after="240" w:line="276" w:lineRule="auto"/>
        <w:jc w:val="both"/>
        <w:textAlignment w:val="baseline"/>
        <w:rPr>
          <w:rFonts w:asciiTheme="minorHAnsi" w:eastAsia="Times New Roman" w:hAnsiTheme="minorHAnsi"/>
          <w:color w:val="000000"/>
        </w:rPr>
      </w:pPr>
      <w:r>
        <w:rPr>
          <w:rFonts w:asciiTheme="minorHAnsi" w:hAnsiTheme="minorHAnsi"/>
          <w:color w:val="000000"/>
        </w:rPr>
        <w:t xml:space="preserve">This Royal Decree is basic in nature, and issued under the provisions of Article 149.1.13a of the Spanish Constitution, which confers on the State exclusive competence over the basis and coordination of the general planning of economic activity. </w:t>
      </w:r>
    </w:p>
    <w:p w14:paraId="28E3B818" w14:textId="77777777" w:rsidR="00671CE6" w:rsidRPr="00AD035F" w:rsidRDefault="002B1514" w:rsidP="00AD035F">
      <w:pPr>
        <w:spacing w:after="240" w:line="276" w:lineRule="auto"/>
        <w:jc w:val="both"/>
        <w:textAlignment w:val="baseline"/>
        <w:rPr>
          <w:rFonts w:asciiTheme="minorHAnsi" w:eastAsia="Times New Roman" w:hAnsiTheme="minorHAnsi" w:cstheme="minorHAnsi"/>
          <w:b/>
          <w:color w:val="000000"/>
        </w:rPr>
      </w:pPr>
      <w:r>
        <w:rPr>
          <w:rFonts w:asciiTheme="minorHAnsi" w:hAnsiTheme="minorHAnsi"/>
          <w:b/>
          <w:color w:val="000000"/>
        </w:rPr>
        <w:t xml:space="preserve">Second final provision. </w:t>
      </w:r>
      <w:r>
        <w:rPr>
          <w:rFonts w:asciiTheme="minorHAnsi" w:hAnsiTheme="minorHAnsi"/>
          <w:b/>
          <w:color w:val="333333"/>
        </w:rPr>
        <w:t>Implementing authority</w:t>
      </w:r>
    </w:p>
    <w:p w14:paraId="431A3D72" w14:textId="7CF39534" w:rsidR="00671CE6" w:rsidRPr="00870C22" w:rsidRDefault="00671CE6" w:rsidP="00870C22">
      <w:pPr>
        <w:spacing w:after="240" w:line="276" w:lineRule="auto"/>
        <w:jc w:val="both"/>
        <w:textAlignment w:val="baseline"/>
        <w:rPr>
          <w:rFonts w:asciiTheme="minorHAnsi" w:eastAsia="Times New Roman" w:hAnsiTheme="minorHAnsi"/>
          <w:color w:val="000000"/>
        </w:rPr>
      </w:pPr>
      <w:r>
        <w:rPr>
          <w:rFonts w:asciiTheme="minorHAnsi" w:hAnsiTheme="minorHAnsi"/>
          <w:color w:val="000000"/>
        </w:rPr>
        <w:t>The holder of the Ministry of Transport, Mobility and Urban Agenda is empowered to issue the necessary provisions for developing and applying the provisions of this Royal Decree.</w:t>
      </w:r>
    </w:p>
    <w:p w14:paraId="3568A83D" w14:textId="72D1D66B" w:rsidR="00391221" w:rsidRDefault="00391221" w:rsidP="00391221">
      <w:pPr>
        <w:spacing w:after="240" w:line="276" w:lineRule="auto"/>
        <w:jc w:val="both"/>
        <w:textAlignment w:val="baseline"/>
        <w:rPr>
          <w:rFonts w:asciiTheme="minorHAnsi" w:eastAsia="Times New Roman" w:hAnsiTheme="minorHAnsi" w:cstheme="minorHAnsi"/>
          <w:b/>
          <w:color w:val="000000"/>
        </w:rPr>
      </w:pPr>
      <w:r>
        <w:rPr>
          <w:rFonts w:asciiTheme="minorHAnsi" w:hAnsiTheme="minorHAnsi"/>
          <w:b/>
          <w:color w:val="000000"/>
        </w:rPr>
        <w:t>Third final provision. Authorisation for the updating of Appendices E, F and G of Annex 1 to the Earthquake-Resistant Building Standard.</w:t>
      </w:r>
    </w:p>
    <w:p w14:paraId="272F5E7E" w14:textId="319390A4" w:rsidR="00391221" w:rsidRPr="00870C22" w:rsidRDefault="00391221" w:rsidP="00870C22">
      <w:pPr>
        <w:spacing w:after="240" w:line="276" w:lineRule="auto"/>
        <w:jc w:val="both"/>
        <w:textAlignment w:val="baseline"/>
        <w:rPr>
          <w:rFonts w:asciiTheme="minorHAnsi" w:eastAsia="Times New Roman" w:hAnsiTheme="minorHAnsi"/>
          <w:color w:val="000000"/>
        </w:rPr>
      </w:pPr>
      <w:r>
        <w:rPr>
          <w:rFonts w:asciiTheme="minorHAnsi" w:hAnsiTheme="minorHAnsi"/>
          <w:color w:val="000000"/>
        </w:rPr>
        <w:t>The holder of the Ministry of Transport, Mobility and Urban Agenda is authorised to update the hazard map defined in Appendices E and F to Annex 1 and the list of standards referred to in Appendix G to Annex 1, where such updates are intended to bring those contents in line with the progress of the technique or with Community legislation.</w:t>
      </w:r>
    </w:p>
    <w:p w14:paraId="60B41840" w14:textId="4C5BA609" w:rsidR="002B1514" w:rsidRPr="00D35EA2" w:rsidRDefault="00671CE6" w:rsidP="00AD035F">
      <w:pPr>
        <w:spacing w:after="240" w:line="276" w:lineRule="auto"/>
        <w:jc w:val="both"/>
        <w:textAlignment w:val="baseline"/>
        <w:rPr>
          <w:rFonts w:asciiTheme="minorHAnsi" w:eastAsia="Times New Roman" w:hAnsiTheme="minorHAnsi" w:cstheme="minorHAnsi"/>
          <w:b/>
          <w:color w:val="000000"/>
        </w:rPr>
      </w:pPr>
      <w:r>
        <w:rPr>
          <w:rFonts w:asciiTheme="minorHAnsi" w:hAnsiTheme="minorHAnsi"/>
          <w:b/>
          <w:color w:val="000000"/>
        </w:rPr>
        <w:t>Fourth final provision. Entry into force</w:t>
      </w:r>
    </w:p>
    <w:p w14:paraId="78134748" w14:textId="2E12FD18" w:rsidR="00066186" w:rsidRPr="00870C22" w:rsidRDefault="00066186" w:rsidP="00870C22">
      <w:pPr>
        <w:spacing w:after="240" w:line="276" w:lineRule="auto"/>
        <w:jc w:val="both"/>
        <w:textAlignment w:val="baseline"/>
        <w:rPr>
          <w:rFonts w:asciiTheme="minorHAnsi" w:eastAsia="Times New Roman" w:hAnsiTheme="minorHAnsi"/>
          <w:color w:val="000000"/>
        </w:rPr>
      </w:pPr>
      <w:r>
        <w:rPr>
          <w:rFonts w:asciiTheme="minorHAnsi" w:hAnsiTheme="minorHAnsi"/>
          <w:color w:val="000000"/>
        </w:rPr>
        <w:t xml:space="preserve">This Royal Decree shall enter into force on </w:t>
      </w:r>
      <w:r>
        <w:rPr>
          <w:rFonts w:asciiTheme="minorHAnsi" w:hAnsiTheme="minorHAnsi"/>
          <w:color w:val="000000"/>
          <w:highlight w:val="yellow"/>
        </w:rPr>
        <w:t>1 July 2023.</w:t>
      </w:r>
      <w:r>
        <w:rPr>
          <w:rFonts w:asciiTheme="minorHAnsi" w:hAnsiTheme="minorHAnsi"/>
          <w:color w:val="000000"/>
        </w:rPr>
        <w:t xml:space="preserve"> </w:t>
      </w:r>
    </w:p>
    <w:p w14:paraId="16A294E9" w14:textId="77777777" w:rsidR="00056AAB" w:rsidRPr="00870C22" w:rsidRDefault="00056AAB" w:rsidP="00870C22">
      <w:pPr>
        <w:spacing w:after="120"/>
        <w:jc w:val="both"/>
        <w:textAlignment w:val="baseline"/>
        <w:rPr>
          <w:rFonts w:asciiTheme="minorHAnsi" w:eastAsia="Times New Roman" w:hAnsiTheme="minorHAnsi"/>
          <w:color w:val="000000"/>
          <w:spacing w:val="2"/>
          <w:lang w:val="es-ES"/>
        </w:rPr>
      </w:pPr>
    </w:p>
    <w:sectPr w:rsidR="00056AAB" w:rsidRPr="00870C22" w:rsidSect="00AD035F">
      <w:pgSz w:w="11904" w:h="16843"/>
      <w:pgMar w:top="1418" w:right="1418" w:bottom="113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Calibri">
    <w:charset w:val="00"/>
    <w:pitch w:val="variable"/>
    <w:family w:val="swiss"/>
    <w:panose1 w:val="02020603050405020304"/>
  </w:font>
  <w:font w:name="Times New Roman">
    <w:charset w:val="00"/>
    <w:pitch w:val="variable"/>
    <w:family w:val="roman"/>
    <w:panose1 w:val="02020603050405020304"/>
  </w:font>
  <w:font w:name="Symbol">
    <w:charset w:val="00"/>
    <w:pitch w:val="variable"/>
    <w:family w:val="swiss"/>
    <w:panose1 w:val="0202060305040502030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0B4E5C"/>
    <w:multiLevelType w:val="hybridMultilevel"/>
    <w:tmpl w:val="8282418A"/>
    <w:lvl w:ilvl="0" w:tplc="9EE2D7E2">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4D5081E"/>
    <w:multiLevelType w:val="hybridMultilevel"/>
    <w:tmpl w:val="A1AA66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509764CB"/>
    <w:multiLevelType w:val="hybridMultilevel"/>
    <w:tmpl w:val="648E0C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50E63DD5"/>
    <w:multiLevelType w:val="hybridMultilevel"/>
    <w:tmpl w:val="7E6A3C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7CF6DA7"/>
    <w:multiLevelType w:val="hybridMultilevel"/>
    <w:tmpl w:val="5952024C"/>
    <w:lvl w:ilvl="0" w:tplc="8BDE2DF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688924DB"/>
    <w:multiLevelType w:val="hybridMultilevel"/>
    <w:tmpl w:val="38A478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73293A6A"/>
    <w:multiLevelType w:val="hybridMultilevel"/>
    <w:tmpl w:val="68D8974C"/>
    <w:lvl w:ilvl="0" w:tplc="0C0A0001">
      <w:start w:val="1"/>
      <w:numFmt w:val="bullet"/>
      <w:lvlText w:val=""/>
      <w:lvlJc w:val="left"/>
      <w:pPr>
        <w:ind w:left="1080" w:hanging="360"/>
      </w:pPr>
      <w:rPr>
        <w:rFonts w:ascii="Symbol" w:hAnsi="Symbol" w:hint="default"/>
      </w:rPr>
    </w:lvl>
    <w:lvl w:ilvl="1" w:tplc="FEFEF88C">
      <w:numFmt w:val="bullet"/>
      <w:lvlText w:val="−"/>
      <w:lvlJc w:val="left"/>
      <w:pPr>
        <w:ind w:left="1800" w:hanging="360"/>
      </w:pPr>
      <w:rPr>
        <w:rFonts w:ascii="Symbol" w:eastAsia="Symbol" w:hAnsi="Symbol" w:cs="Times New Roman"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7" w15:restartNumberingAfterBreak="0">
    <w:nsid w:val="7CBE5E98"/>
    <w:multiLevelType w:val="multilevel"/>
    <w:tmpl w:val="6BF032CE"/>
    <w:lvl w:ilvl="0">
      <w:start w:val="1"/>
      <w:numFmt w:val="lowerLetter"/>
      <w:lvlText w:val="%1)"/>
      <w:lvlJc w:val="left"/>
      <w:pPr>
        <w:tabs>
          <w:tab w:val="left" w:pos="288"/>
        </w:tabs>
        <w:ind w:left="720"/>
      </w:pPr>
      <w:rPr>
        <w:rFonts w:ascii="Times New Roman" w:eastAsia="Times New Roman" w:hAnsi="Times New Roman"/>
        <w:i/>
        <w:strike w:val="0"/>
        <w:color w:val="000000"/>
        <w:spacing w:val="-1"/>
        <w:w w:val="100"/>
        <w:sz w:val="22"/>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92145648">
    <w:abstractNumId w:val="7"/>
  </w:num>
  <w:num w:numId="2" w16cid:durableId="122771378">
    <w:abstractNumId w:val="6"/>
  </w:num>
  <w:num w:numId="3" w16cid:durableId="851191015">
    <w:abstractNumId w:val="1"/>
  </w:num>
  <w:num w:numId="4" w16cid:durableId="1200095656">
    <w:abstractNumId w:val="5"/>
  </w:num>
  <w:num w:numId="5" w16cid:durableId="781075475">
    <w:abstractNumId w:val="3"/>
  </w:num>
  <w:num w:numId="6" w16cid:durableId="1567036530">
    <w:abstractNumId w:val="2"/>
  </w:num>
  <w:num w:numId="7" w16cid:durableId="153647272">
    <w:abstractNumId w:val="0"/>
  </w:num>
  <w:num w:numId="8" w16cid:durableId="6423936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AAB"/>
    <w:rsid w:val="00002183"/>
    <w:rsid w:val="0003132D"/>
    <w:rsid w:val="0003636B"/>
    <w:rsid w:val="00056AAB"/>
    <w:rsid w:val="00066186"/>
    <w:rsid w:val="0008161F"/>
    <w:rsid w:val="000E2974"/>
    <w:rsid w:val="00104411"/>
    <w:rsid w:val="00130D08"/>
    <w:rsid w:val="00136068"/>
    <w:rsid w:val="0013710F"/>
    <w:rsid w:val="00152A30"/>
    <w:rsid w:val="001C12F0"/>
    <w:rsid w:val="001C2399"/>
    <w:rsid w:val="001D206B"/>
    <w:rsid w:val="001F1C94"/>
    <w:rsid w:val="00210209"/>
    <w:rsid w:val="002A3B32"/>
    <w:rsid w:val="002B1514"/>
    <w:rsid w:val="002C6DA3"/>
    <w:rsid w:val="002D0987"/>
    <w:rsid w:val="002D2E92"/>
    <w:rsid w:val="002E7538"/>
    <w:rsid w:val="0030003E"/>
    <w:rsid w:val="00342738"/>
    <w:rsid w:val="00365BA2"/>
    <w:rsid w:val="003667D0"/>
    <w:rsid w:val="00391221"/>
    <w:rsid w:val="003D354D"/>
    <w:rsid w:val="003F52BD"/>
    <w:rsid w:val="00401E8F"/>
    <w:rsid w:val="00434546"/>
    <w:rsid w:val="004459F4"/>
    <w:rsid w:val="00455175"/>
    <w:rsid w:val="0046432E"/>
    <w:rsid w:val="004B0B49"/>
    <w:rsid w:val="004B543F"/>
    <w:rsid w:val="004B66B6"/>
    <w:rsid w:val="004C145B"/>
    <w:rsid w:val="004C422D"/>
    <w:rsid w:val="004D7B7B"/>
    <w:rsid w:val="004E3665"/>
    <w:rsid w:val="004F7A2A"/>
    <w:rsid w:val="004F7A3E"/>
    <w:rsid w:val="00503AEE"/>
    <w:rsid w:val="00520FBD"/>
    <w:rsid w:val="0056199D"/>
    <w:rsid w:val="00561DF5"/>
    <w:rsid w:val="005941F1"/>
    <w:rsid w:val="005B5A4A"/>
    <w:rsid w:val="006258F9"/>
    <w:rsid w:val="00627472"/>
    <w:rsid w:val="00635ED0"/>
    <w:rsid w:val="0066229B"/>
    <w:rsid w:val="00671CE6"/>
    <w:rsid w:val="00684B40"/>
    <w:rsid w:val="006D4B4B"/>
    <w:rsid w:val="006F452F"/>
    <w:rsid w:val="00751B2B"/>
    <w:rsid w:val="00757E5B"/>
    <w:rsid w:val="007759A4"/>
    <w:rsid w:val="007779ED"/>
    <w:rsid w:val="007C0BC6"/>
    <w:rsid w:val="007C1533"/>
    <w:rsid w:val="007D1EA2"/>
    <w:rsid w:val="007D4EDB"/>
    <w:rsid w:val="007E79FC"/>
    <w:rsid w:val="007F2FE2"/>
    <w:rsid w:val="00812799"/>
    <w:rsid w:val="00816242"/>
    <w:rsid w:val="0085711C"/>
    <w:rsid w:val="00870C22"/>
    <w:rsid w:val="0087216F"/>
    <w:rsid w:val="00875897"/>
    <w:rsid w:val="00875F75"/>
    <w:rsid w:val="008A1694"/>
    <w:rsid w:val="008A5EAC"/>
    <w:rsid w:val="008F3B9A"/>
    <w:rsid w:val="008F448A"/>
    <w:rsid w:val="0090284B"/>
    <w:rsid w:val="0092197D"/>
    <w:rsid w:val="00941C30"/>
    <w:rsid w:val="00961FB7"/>
    <w:rsid w:val="0099627E"/>
    <w:rsid w:val="009A14BF"/>
    <w:rsid w:val="009A552F"/>
    <w:rsid w:val="009C173C"/>
    <w:rsid w:val="00A03734"/>
    <w:rsid w:val="00A11575"/>
    <w:rsid w:val="00A23F54"/>
    <w:rsid w:val="00A4123A"/>
    <w:rsid w:val="00A44FF2"/>
    <w:rsid w:val="00A623A2"/>
    <w:rsid w:val="00A65116"/>
    <w:rsid w:val="00A8506E"/>
    <w:rsid w:val="00A86943"/>
    <w:rsid w:val="00A953ED"/>
    <w:rsid w:val="00AA0AA7"/>
    <w:rsid w:val="00AB2735"/>
    <w:rsid w:val="00AB4370"/>
    <w:rsid w:val="00AC62C6"/>
    <w:rsid w:val="00AD035F"/>
    <w:rsid w:val="00AD4F83"/>
    <w:rsid w:val="00AE18FE"/>
    <w:rsid w:val="00AE64D3"/>
    <w:rsid w:val="00B06375"/>
    <w:rsid w:val="00B15BD6"/>
    <w:rsid w:val="00B66C50"/>
    <w:rsid w:val="00B8158C"/>
    <w:rsid w:val="00B85F2E"/>
    <w:rsid w:val="00BC4DEC"/>
    <w:rsid w:val="00BF08C0"/>
    <w:rsid w:val="00C24625"/>
    <w:rsid w:val="00C25687"/>
    <w:rsid w:val="00C42C4C"/>
    <w:rsid w:val="00C56500"/>
    <w:rsid w:val="00C56E96"/>
    <w:rsid w:val="00C67310"/>
    <w:rsid w:val="00C67639"/>
    <w:rsid w:val="00C726AF"/>
    <w:rsid w:val="00C8179D"/>
    <w:rsid w:val="00CF1EDD"/>
    <w:rsid w:val="00D047F0"/>
    <w:rsid w:val="00D05ABE"/>
    <w:rsid w:val="00D06621"/>
    <w:rsid w:val="00D13113"/>
    <w:rsid w:val="00D32AC2"/>
    <w:rsid w:val="00D35EA2"/>
    <w:rsid w:val="00D3777E"/>
    <w:rsid w:val="00D42767"/>
    <w:rsid w:val="00D67613"/>
    <w:rsid w:val="00D85648"/>
    <w:rsid w:val="00DC7ED2"/>
    <w:rsid w:val="00DD25A7"/>
    <w:rsid w:val="00DF0C32"/>
    <w:rsid w:val="00E2216E"/>
    <w:rsid w:val="00E4356E"/>
    <w:rsid w:val="00E44A93"/>
    <w:rsid w:val="00E65D34"/>
    <w:rsid w:val="00E72C90"/>
    <w:rsid w:val="00E920E0"/>
    <w:rsid w:val="00EC6A57"/>
    <w:rsid w:val="00EE3876"/>
    <w:rsid w:val="00EE3B24"/>
    <w:rsid w:val="00EF3F4C"/>
    <w:rsid w:val="00F03832"/>
    <w:rsid w:val="00F04B63"/>
    <w:rsid w:val="00F82079"/>
    <w:rsid w:val="00F95923"/>
    <w:rsid w:val="00FC7390"/>
    <w:rsid w:val="00FD341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122A2"/>
  <w15:docId w15:val="{5A6698CD-469E-4174-8D24-404E854D8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1B2B"/>
    <w:pPr>
      <w:ind w:left="720"/>
      <w:contextualSpacing/>
    </w:pPr>
  </w:style>
  <w:style w:type="paragraph" w:styleId="BalloonText">
    <w:name w:val="Balloon Text"/>
    <w:basedOn w:val="Normal"/>
    <w:link w:val="BalloonTextChar"/>
    <w:uiPriority w:val="99"/>
    <w:semiHidden/>
    <w:unhideWhenUsed/>
    <w:rsid w:val="008162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6242"/>
    <w:rPr>
      <w:rFonts w:ascii="Segoe UI" w:hAnsi="Segoe UI" w:cs="Segoe UI"/>
      <w:sz w:val="18"/>
      <w:szCs w:val="18"/>
    </w:rPr>
  </w:style>
  <w:style w:type="paragraph" w:customStyle="1" w:styleId="parrafo">
    <w:name w:val="parrafo"/>
    <w:basedOn w:val="Normal"/>
    <w:rsid w:val="00671CE6"/>
    <w:pPr>
      <w:spacing w:before="100" w:beforeAutospacing="1" w:after="100" w:afterAutospacing="1"/>
    </w:pPr>
    <w:rPr>
      <w:rFonts w:eastAsia="Times New Roman"/>
      <w:sz w:val="24"/>
      <w:szCs w:val="24"/>
      <w:lang w:eastAsia="es-ES"/>
    </w:rPr>
  </w:style>
  <w:style w:type="character" w:styleId="CommentReference">
    <w:name w:val="annotation reference"/>
    <w:basedOn w:val="DefaultParagraphFont"/>
    <w:uiPriority w:val="99"/>
    <w:semiHidden/>
    <w:unhideWhenUsed/>
    <w:rsid w:val="0085711C"/>
    <w:rPr>
      <w:sz w:val="16"/>
      <w:szCs w:val="16"/>
    </w:rPr>
  </w:style>
  <w:style w:type="paragraph" w:styleId="CommentText">
    <w:name w:val="annotation text"/>
    <w:basedOn w:val="Normal"/>
    <w:link w:val="CommentTextChar"/>
    <w:uiPriority w:val="99"/>
    <w:unhideWhenUsed/>
    <w:rsid w:val="0085711C"/>
    <w:rPr>
      <w:sz w:val="20"/>
      <w:szCs w:val="20"/>
    </w:rPr>
  </w:style>
  <w:style w:type="character" w:customStyle="1" w:styleId="CommentTextChar">
    <w:name w:val="Comment Text Char"/>
    <w:basedOn w:val="DefaultParagraphFont"/>
    <w:link w:val="CommentText"/>
    <w:uiPriority w:val="99"/>
    <w:rsid w:val="0085711C"/>
    <w:rPr>
      <w:sz w:val="20"/>
      <w:szCs w:val="20"/>
    </w:rPr>
  </w:style>
  <w:style w:type="paragraph" w:styleId="CommentSubject">
    <w:name w:val="annotation subject"/>
    <w:basedOn w:val="CommentText"/>
    <w:next w:val="CommentText"/>
    <w:link w:val="CommentSubjectChar"/>
    <w:uiPriority w:val="99"/>
    <w:semiHidden/>
    <w:unhideWhenUsed/>
    <w:rsid w:val="0085711C"/>
    <w:rPr>
      <w:b/>
      <w:bCs/>
    </w:rPr>
  </w:style>
  <w:style w:type="character" w:customStyle="1" w:styleId="CommentSubjectChar">
    <w:name w:val="Comment Subject Char"/>
    <w:basedOn w:val="CommentTextChar"/>
    <w:link w:val="CommentSubject"/>
    <w:uiPriority w:val="99"/>
    <w:semiHidden/>
    <w:rsid w:val="0085711C"/>
    <w:rPr>
      <w:b/>
      <w:bCs/>
      <w:sz w:val="20"/>
      <w:szCs w:val="20"/>
    </w:rPr>
  </w:style>
  <w:style w:type="paragraph" w:styleId="Revision">
    <w:name w:val="Revision"/>
    <w:hidden/>
    <w:uiPriority w:val="99"/>
    <w:semiHidden/>
    <w:rsid w:val="00AE18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340032">
      <w:bodyDiv w:val="1"/>
      <w:marLeft w:val="0"/>
      <w:marRight w:val="0"/>
      <w:marTop w:val="0"/>
      <w:marBottom w:val="0"/>
      <w:divBdr>
        <w:top w:val="none" w:sz="0" w:space="0" w:color="auto"/>
        <w:left w:val="none" w:sz="0" w:space="0" w:color="auto"/>
        <w:bottom w:val="none" w:sz="0" w:space="0" w:color="auto"/>
        <w:right w:val="none" w:sz="0" w:space="0" w:color="auto"/>
      </w:divBdr>
    </w:div>
    <w:div w:id="1107694819">
      <w:bodyDiv w:val="1"/>
      <w:marLeft w:val="0"/>
      <w:marRight w:val="0"/>
      <w:marTop w:val="0"/>
      <w:marBottom w:val="0"/>
      <w:divBdr>
        <w:top w:val="none" w:sz="0" w:space="0" w:color="auto"/>
        <w:left w:val="none" w:sz="0" w:space="0" w:color="auto"/>
        <w:bottom w:val="none" w:sz="0" w:space="0" w:color="auto"/>
        <w:right w:val="none" w:sz="0" w:space="0" w:color="auto"/>
      </w:divBdr>
    </w:div>
    <w:div w:id="19966433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drId2" Type="http://schemas.openxmlformats.org/wordprocessingml/2006/fontTable" Target="fontTable0.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118A3F-B80B-403D-ADAD-BBAEBBAA1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4</Pages>
  <Words>1532</Words>
  <Characters>8739</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Groba López Mónica</dc:creator>
  <cp:lastModifiedBy>Liana Brili</cp:lastModifiedBy>
  <cp:revision>10</cp:revision>
  <cp:lastPrinted>2021-08-26T09:18:00Z</cp:lastPrinted>
  <dcterms:created xsi:type="dcterms:W3CDTF">2022-09-20T11:25:00Z</dcterms:created>
  <dcterms:modified xsi:type="dcterms:W3CDTF">2023-03-29T15:03:00Z</dcterms:modified>
</cp:coreProperties>
</file>