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ab/>
        <w:t xml:space="preserve">-i </w:t>
      </w:r>
      <w:r>
        <w:rPr>
          <w:rFonts w:asciiTheme="minorHAnsi" w:hAnsiTheme="minorHAnsi"/>
          <w:b/>
          <w:color w:val="000000"/>
          <w:sz w:val="28"/>
        </w:rPr>
        <w:tab/>
        <w:t>/</w:t>
      </w:r>
      <w:r>
        <w:rPr>
          <w:rFonts w:asciiTheme="minorHAnsi" w:hAnsiTheme="minorHAnsi"/>
          <w:b/>
          <w:color w:val="000000"/>
          <w:sz w:val="28"/>
        </w:rPr>
        <w:tab/>
        <w:t>. sz. KIRÁLYI RENDELET a földrengésálló építkezés NCSR-</w:t>
      </w:r>
      <w:r>
        <w:rPr>
          <w:rFonts w:asciiTheme="minorHAnsi" w:hAnsiTheme="minorHAnsi"/>
          <w:b/>
          <w:sz w:val="28"/>
        </w:rPr>
        <w:t>23 szabványának jóváhagyásáról</w:t>
      </w:r>
    </w:p>
    <w:p w14:paraId="227AE49F" w14:textId="77777777" w:rsidR="003667D0" w:rsidRPr="00187BF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 Földrengésálló Szabványok Állandó Bizottsága egy tárcaközi testület, amelyet az augusztus 30-i 3209/1974. számú rendelet hozott létre, és a Közlekedési, Mobilitási és Városfejlesztési Minisztériumhoz tartozó Nemzeti Földrajzi Intézet Főigazgatóságán belül működik a Közlekedési, Mobilitási és Városfejlesztési Minisztérium alapvető szervezeti struktúrájának kialakításáról szóló, július 7-i 645/2020. számú királyi rendelet értelmében. Feladatai között szerepel a földrengésbiztos előírások aktualizálása, ahogyan azt a február 22-i 518/1984. számú királyi rendelet 2. cikkének B. pontja előírja, amely újraszervezi az összetételét.</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 jelenlegi szabályozást eddig a szeptember 27-i 997/2002. számú királyi rendelettel jóváhagyott „Földrengésálló építési szabvány: Általános szakasz és épület (NCSE-02)” és a május 18-i 637/2007. számú királyi rendelettel jóváhagyott „Földrengésálló építési szabvány: Hidak (NCSP-07)” tartalmazza. A jóváhagyásuk óta eltelt idő mind műszaki, mind szabályozási okokból szükségessé teszi azok felülvizsgálatát és frissítését, hogy a szabályozást a szeizmológiai és szeizmikus mérnöki ismeretek jelenlegi állapotához, valamint ahhoz a szabályozási kerethez igazítsák, amelyben működnie kell.</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A Földrengésálló Szabványok Állandó Bizottsága feladatai gyakorlása során új földrengésálló építési szabványt dolgozott ki, amely a fent említett szabványok helyébe lép, és amely a szerkezetek számítására vonatkozó európai előírások legfontosabb szempontjait tartalmazza, a szerkezeti eurokódokban meghatározott eljárásokkal összhangban, és több szerkezeti tipológiával bővíti azok tartalmát. Az új szabvány meghatározza azokat a műszaki feltételeket, amelyeknek az épületszerkezeteknek és a mélyépítési munkálatoknak meg kell felelniük, hogy szeizmikus jelenségekkel szemben tanúsított viselkedésük elkerülje az emberek egészségére és biztonságára gyakorolt súlyos következményeket, elkerülje a gazdasági veszteségeket, és elősegítse a társadalom számára az alapvető szolgáltatások fenntartását nagy erejű földrengések esetén.</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Ez a királyi rendelet megfelel a közigazgatás közös közigazgatási eljárásáról szóló, október 1-jei 39/2015. számú törvény 129. cikkében meghatározott szükségesség, hatékonyság, arányosság, jogbiztonság, átláthatóság és eredményesség elvének.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Megfelel a szükségesség és a hatékonyság elvének, mivel az új földrengésálló szabvány alkalmazása a korábbi előírásokhoz képest előrelépést jelent a szeizmikus aktivitás ismeretében és meghatározásában, valamint a földrengésállóság és az alakíthatóság fogalmai és követelményei használatának pontosításában, amelyeket a szeizmikus övezetekben lévő szerkezetektől meg kell követelni. A projekt nem torzítja a piaci versenyt, hanem a jelenlegi szabályozásban nem szereplő szempontok szabályozásával elősegíti a versenyt. Összhangban van továbbá az arányosság elvével, mivel a szabvány a fent leírt szükséglet kielégítéséhez szükséges szabályokat tartalmazza, anélkül, hogy léteznének más, a jogokat kevésbé korlátozó vagy a címzettekre kevesebb kötelezettséget előíró intézkedések, valamint a jogbiztonság elvével, mivel a jogrendbe való beilleszkedés miatt a hatályos nemzeti és európai szabályozással teljes összhangban van. Az átláthatóság elve biztosított, mivel a kormány november 27-i 50/1997. számú törvényében meghatározott valamennyi tájékoztatási eljárást betartották, és ezt a spanyol kormány átláthatósági portálján közzétették. Végül, a hatékonyság elvét alkalmazva, ez a szabvány nem vonja maga után a további adminisztratív terhek növekedését vagy a közkiadások növekedését.</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 xml:space="preserve">Ez a királyi rendelet a spanyol alkotmány </w:t>
      </w:r>
      <w:r>
        <w:rPr>
          <w:rFonts w:asciiTheme="minorHAnsi" w:hAnsiTheme="minorHAnsi"/>
        </w:rPr>
        <w:t xml:space="preserve">149.1.13a. cikkében foglalt rendelkezések alapján kerül kiadásra, </w:t>
      </w:r>
      <w:r>
        <w:rPr>
          <w:rFonts w:asciiTheme="minorHAnsi" w:hAnsiTheme="minorHAnsi"/>
          <w:color w:val="000000" w:themeColor="text1"/>
        </w:rPr>
        <w:t>amely az állam hatáskörébe rendeli a gazdasági tevékenység általános tervezésének alapjait és koordinálását.</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E királyi rendelet megszövegezése a kormány november 27-i 50/1997. sz. törvényében meghatározott eljárásnak, valamint a műszaki szabályokkal és az információs társadalom szolgáltatásaira vonatkozó szabályokkal kapcsolatos információszolgáltatási eljárás megállapításáról szóló, szeptember 9-i (EU) 2015/1535 európai parlamenti és tanácsi irányelvben, valamint a műszaki szabályok és előírások, illetve az információs társadalom szolgáltatásaihoz kapcsolódó szabályozások területén történő információnyújtás szabályozásáról szóló, július 31-i 1337/1999. számú királyi rendeletben meghatározott eljárásnak megfelelően zajlott le.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Ezt a királyi rendeletet a Földrengésálló Szabványok Állandó Bizottságának kezdeményezésére fogadták el.</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Ennek megfelelően a közlekedési, mobilitási és városfejlesztési miniszter javaslatára </w:t>
      </w:r>
      <w:r>
        <w:rPr>
          <w:rFonts w:asciiTheme="minorHAnsi" w:hAnsiTheme="minorHAnsi"/>
          <w:color w:val="000000"/>
        </w:rPr>
        <w:t>és a Minisztertanácsban ... napján folytatott tanácskozást követően</w:t>
      </w:r>
    </w:p>
    <w:p w14:paraId="01FC4263" w14:textId="77777777" w:rsidR="004459F4" w:rsidRPr="00187BFB"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AZ ALÁBBIAKAT RENDELEM EL:</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1. cikk Cél</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Jóváhagyják a földrengésálló építési szabványt, az NCSR-23-at, amely meghatározza azokat az alapvető fogalmakat és követelményeket, amelyeknek Spanyolországban a szeizmikus zónákban található szerkezeteknek meg kell felelniük, a szerkezetekre vonatkozó többi hatályos egyedi szabályozás betartása mellett.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 földrengésnek kitett szerkezeteket és építményeket a szeizmikus hatás figyelembevételével kell megtervezni, kivitelezni és dokumentálni, a jelen földrengésálló szabványt alkotó hat melléklet rendelkezéseivel összhangban, amelyek a következők:</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1. melléklet: Általános szabályok, szeizmikus tevékenységek és építési szabályok.</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2. melléklet: Hidak.</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3. melléklet: Épületek értékelése és szeizmikus adaptációja.</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4. melléklet: Silók, tartályok és csövek.</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5. melléklet: Alapozások, elszigetelő szerkezetek és geotechnikai szempontok.</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6. melléklet: Tornyok, árbócok és kémények.</w:t>
      </w:r>
    </w:p>
    <w:p w14:paraId="75E4EE37" w14:textId="77777777" w:rsidR="00870C22" w:rsidRPr="00187BFB"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Alternatív megoldásként a projekt szerzője és a fakultatív vezetés – saját felelősségükre és az ingatlan előzetes jóváhagyásával – hatáskörük gyakorlása során más megoldásokat is elfogadhatnak, amelyek részben vagy teljesen eltérnek az előző mellékletekben említett eljárásoktól (eltérő számítási rendszerek, konstruktív megoldások stb. révén), feltéve hogy dokumentáltan igazolják, hogy a szerkezet megfelel e földrengésálló szabvány követelményeinek, és legalább olyan szolgáltatásokat nyújt, mint amelyek e szabvány eljárásainak alkalmazásával elérhetők lennének.</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2. cikk Hatály</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 xml:space="preserve">E szabvány földrengésálló tartalmának követelményei az új épületek, hidak, tornyok, árbócok, kémények, silók, tartályok, csövek, elszigetelő szerkezetek és azok alapjai, valamint a geotechnikai projekt minden projektjére és építési munkájára vonatkoznak.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Hasonlóképpen, ez a szabvány vonatkozik a meglévő épületek szeizmikus értékelésére és adott esetben szeizmikus átalakítására is, amennyiben megfelelő súlyú felújítási vagy szerkezeti helyreállítási munkálatokat végeznek, vagy ha ilyen értékelésre vagy átalakításra van szükség. E földrengésálló szabvány alkalmazásában a szeizmikus alkalmazkodás mind a sértetlen szerkezetek megerősítését, mind a földrengés által károsodott szerkezetek megerősítését magában foglalja.</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Azok a körülmények, amelyek szükségessé tehetik az egyes épületek szeizmikus értékelését – ami esetleg a szeizmikus megfelelőséghez vezethet –, kívül esnek e szabvány tárgyán és alkalmazási körén.</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Adott esetben ez a földrengésálló szabvány más, a hatálya alá kifejezetten nem tartozó szerkezettípusokra is alkalmazható, amennyiben nem léteznek ugyanarra konkrét szabályok vagy rendelkezések, és feltéve hogy azokat nem zárják ki kifejezetten a hatálya alól.</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Egyetlen átmeneti rendelkezés. Alkalmazás tervekre és munkákra.</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E királyi rendelet rendelkezései nem alkalmazandók az olyan építési munkákra, amelyeknek a tervezési vagy tanulmányi megbízását a közigazgatás területén vagy megbízását egyéb esetekben e királyi rendelet hatálybalépése előtt végezték el, valamint az ezek kidolgozása során végzett munkákra, feltéve, hogy azokat a hatálybalépéstől számított legfeljebb két éven belül kezdik meg, kivéve ha az illetékes közigazgatási szerv vagy adott esetben a projektgazda beleegyezik abba, hogy az kötelező.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E királyi rendelet rendelkezései nem alkalmazandók az építés területén azon projektek esetében, amelyek önkormányzati építési engedélyt kértek, vagy azt a jelen királyi rendelet hatálybalépésétől számított kilenc hónapon belül kérik, ebben az esetben a földrengésálló építési szabványt jóváhagyó, szeptember 27-i 997/2002. számú királyi rendeletet kell alkalmazni: Általános szakasz és épület (NCSE-02). Az ilyen munkálatokat az említett engedély maximális érvényességi idején belül kell megkezdeni, annak szabályozási előírásaival összhangban, ennek hiányában pedig az említett engedély megadásának időpontjától számított legfeljebb hat hónapon belül. A projekteket egyébként e királyi rendelet rendelkezéseihez kell igazítani.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Egyetlen hatályon kívül helyező rendelkezés. Rendeletek hatályon kívül helyezése</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E királyi rendelet hatályba lépésével hatályát veszti a szeptember 27-i 997/2002. számú királyi rendelet a földrengésálló építési szabvány: Általános szakasz és épület (NCSE-02), valamint a május 18-i 637/2007. számú királyi rendelet a földrengésálló építési szabvány: Hidak (NCSP-07) jóváhagyásáról.</w:t>
      </w:r>
    </w:p>
    <w:p w14:paraId="590D095E" w14:textId="77777777" w:rsidR="00870C22" w:rsidRPr="00187BFB"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Első záró rendelkezés. Hatáskörök megadása</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Ez a királyi rendelet alapvető jellegű, és a spanyol alkotmány 149.1.13a. cikkének rendelkezései alapján került kiadásra, amely kizárólagos hatáskörrel ruházza fel az államot a gazdasági tevékenység általános tervezésének alapja és koordinálása tekintetében.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Második záró rendelkezés. </w:t>
      </w:r>
      <w:r>
        <w:rPr>
          <w:rFonts w:asciiTheme="minorHAnsi" w:hAnsiTheme="minorHAnsi"/>
          <w:b/>
          <w:color w:val="333333"/>
        </w:rPr>
        <w:t>Végrehajtó hatóság</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A Közlekedési, Mobilitási és Városfejlesztési Minisztérium vezetője jogosult kiadni e királyi rendelet rendelkezéseinek kidolgozásához és alkalmazásához szükséges rendelkezéseket.</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Harmadik záró rendelkezés. A földrengésálló építési szabvány 1. melléklete E., F. és G. függelékének naprakésszé tételére vonatkozó engedély.</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 Közlekedési, Mobilitási és Városfejlesztési Minisztérium vezetője jogosult az 1. melléklet E. és F. függelékében meghatározott veszélytérkép és az 1. melléklet G. függelékében említett szabványok jegyzékének naprakésszé tételére, amennyiben az ilyen frissítések célja, hogy e tartalmakat összhangba hozzák a technika fejlődésével vagy a közösségi jogszabályokkal.</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Negyedik záró rendelkezés. Hatálybalépés</w:t>
      </w:r>
    </w:p>
    <w:p w14:paraId="78134748" w14:textId="03124690"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Ez a királyi rendelet </w:t>
      </w:r>
      <w:r>
        <w:rPr>
          <w:rFonts w:asciiTheme="minorHAnsi" w:hAnsiTheme="minorHAnsi"/>
          <w:color w:val="000000"/>
          <w:highlight w:val="yellow"/>
        </w:rPr>
        <w:t>2023. július 1</w:t>
      </w:r>
      <w:r>
        <w:rPr>
          <w:rFonts w:asciiTheme="minorHAnsi" w:hAnsiTheme="minorHAnsi"/>
          <w:color w:val="000000"/>
        </w:rPr>
        <w:t>-jén lép hatályba.</w:t>
      </w:r>
    </w:p>
    <w:p w14:paraId="16A294E9" w14:textId="77777777" w:rsidR="00056AAB" w:rsidRPr="00187BFB" w:rsidRDefault="00056AAB" w:rsidP="00870C22">
      <w:pPr>
        <w:spacing w:after="120"/>
        <w:jc w:val="both"/>
        <w:textAlignment w:val="baseline"/>
        <w:rPr>
          <w:rFonts w:asciiTheme="minorHAnsi" w:eastAsia="Times New Roman" w:hAnsiTheme="minorHAnsi"/>
          <w:color w:val="000000"/>
          <w:spacing w:val="2"/>
        </w:rPr>
      </w:pPr>
    </w:p>
    <w:sectPr w:rsidR="00056AAB" w:rsidRPr="00187BFB"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87BFB"/>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67C97"/>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1532</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11</cp:revision>
  <cp:lastPrinted>2021-08-26T09:18:00Z</cp:lastPrinted>
  <dcterms:created xsi:type="dcterms:W3CDTF">2022-09-20T11:25:00Z</dcterms:created>
  <dcterms:modified xsi:type="dcterms:W3CDTF">2023-03-31T12:48:00Z</dcterms:modified>
</cp:coreProperties>
</file>