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KONINKLIJK BESLUIT</w:t>
      </w:r>
      <w:r>
        <w:rPr>
          <w:rFonts w:asciiTheme="minorHAnsi" w:hAnsiTheme="minorHAnsi"/>
          <w:b/>
          <w:color w:val="000000"/>
          <w:sz w:val="28"/>
        </w:rPr>
        <w:tab/>
        <w:t>/</w:t>
      </w:r>
      <w:r>
        <w:rPr>
          <w:rFonts w:asciiTheme="minorHAnsi" w:hAnsiTheme="minorHAnsi"/>
          <w:b/>
          <w:color w:val="000000"/>
          <w:sz w:val="28"/>
        </w:rPr>
        <w:tab/>
        <w:t>, van</w:t>
      </w:r>
      <w:r>
        <w:rPr>
          <w:rFonts w:asciiTheme="minorHAnsi" w:hAnsiTheme="minorHAnsi"/>
          <w:b/>
          <w:color w:val="000000"/>
          <w:sz w:val="28"/>
        </w:rPr>
        <w:tab/>
        <w:t xml:space="preserve"> tot goedkeuring van de norm voor aardbevingsbestendige bouw NCSR-</w:t>
      </w:r>
      <w:r>
        <w:rPr>
          <w:rFonts w:asciiTheme="minorHAnsi" w:hAnsiTheme="minorHAnsi"/>
          <w:b/>
          <w:sz w:val="28"/>
        </w:rPr>
        <w:t>23</w:t>
      </w:r>
    </w:p>
    <w:p w14:paraId="227AE49F" w14:textId="77777777" w:rsidR="003667D0" w:rsidRPr="006D4B4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s-ES"/>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Het permanente comité voor aardbevingsbestendige normen, een interministerieel collegiaal orgaan, opgericht bij besluit 3209/1974 van 30 augustus, gehecht aan het Ministerie van Vervoer, Mobiliteit en Stedelijke Agenda en binnen het directoraat-generaal van het Nationaal geografisch instituut, zoals uiteengezet in koninklijk besluit 645/2020 van 7 juli tot ontwikkeling van de basisorganisatiestructuur van het Ministerie van Vervoer, Mobiliteit en Stedelijke Agenda, is, als een van zijn taken, belast met de actualisering van de verordeningen inzake aardbevingsweerstand, zoals bepaald in artikel 2, B, van koninklijk besluit 518/1984 van 22 februari, dat de samenstelling ervan reorganiseert.</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Tot nu toe zijn de huidige verordeningen opgenomen in de “Norm voor aardbevingsbestendige bouw: Algemene afdeling en gebouw (NCSE-02)”, goedgekeurd bij koninklijk besluit 997/2002 van 27 september, en in de “Norm voor aardbevingsbestendige bouw: Bruggen (NCSP-07)”, goedgekeurd bij koninklijk besluit 637/2007 van 18 mei. De tijd die is verstreken sinds de goedkeuring hiervan, vereist dat ze worden herzien en bijgewerkt, zowel om technische als regelgevende redenen, om de verordeningen aan te passen aan de huidige stand van kennis op het gebied van seismologie en seismische engineering, alsmede aan het regelgevingskader waarin het moet functioneren.</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Het permanente comité voor aardbevingsbestendige normen heeft bij de uitoefening van de functies ervan, een nieuwe norm voor aardbevingsbestendige bouw opgesteld die de bovengenoemde normen vervangt, waarin de meest relevante aspecten van de Europese regelgeving voor de berekening van structuren zijn opgenomen, in overeenstemming met de procedures die zijn vastgesteld in de structurele eurocodes en als uitbreiding van de inhoud ervan met meer structurele typologieën. De nieuwe norm stelt de technische voorwaarden vast waaraan bouwwerken en civieltechnische werken dienen te voldoen, zodat hun gedrag, wanneer ze worden geconfronteerd met seismische verschijnselen, ernstige gevolgen voor de gezondheid en veiligheid van mensen vermijdt, economische verliezen vermijdt en het behoud van basisdiensten voor de samenleving in geval van aardbevingen met hoge intensiteit bevordert.</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Dit koninklijk besluit is in overeenstemming met de beginselen van noodzakelijkheid, doeltreffendheid, evenredigheid, rechtszekerheid, transparantie en efficiëntie die zijn vastgelegd in artikel 129 van wet 39/2015 van 1 oktober betreffende de gemeenschappelijke administratieve procedure van overheidsdiensten.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Het voldoet aan de beginselen van noodzakelijkheid en doeltreffendheid, aangezien de toepassing van de nieuwe norm voor aardbevingsbestendige bouw, met betrekking tot de vorige verordeningen, een vooruitgang in kennis en bepaling van seismische activiteiten vertegenwoordigt en ook een verduidelijking in het gebruik van de concepten en vereisten van aardbevingsweerstand en vervormbaarheid die vereist dienen te worden van structuren in seismische zones. Het project levert geen verstoorde mededinging op de markt op, maar bevordert mededinging door het reguleren van aspecten die niet onder de huidige regelgeving vallen. Het is ook in overeenstemming met het evenredigheidsbeginsel, aangezien de norm de regels bevat die nodig zijn om aan de hierboven beschreven behoefte te voldoen, zonder dat er andere maatregelen zijn die rechten minder beperken of minder verplichtingen opleggen aan de adressaten, en met het rechtszekerheidsbeginsel, gezien de </w:t>
      </w:r>
      <w:r>
        <w:rPr>
          <w:rFonts w:asciiTheme="minorHAnsi" w:hAnsiTheme="minorHAnsi"/>
          <w:color w:val="000000" w:themeColor="text1"/>
        </w:rPr>
        <w:lastRenderedPageBreak/>
        <w:t>integratie ervan in de rechtsorde, in volledige overeenstemming met de geldende nationale en Europese regelgeving. Het transparantiebeginsel is gewaarborgd, aangezien alle informatieprocedures aangeduid in de regeringswet 50/1997 van 27 november in acht zijn genomen en dit is gepubliceerd op het transparantieportaal van de Spaanse regering. Ten slotte brengt deze norm, met toepassing van het efficiëntiebeginsel, geen extra administratieve lasten of een verhoging van de overheidsuitgaven met zich mee.</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Dit koninklijk besluit wordt uitgevaardigd onder de bepalingen</w:t>
      </w:r>
      <w:r>
        <w:rPr>
          <w:rFonts w:asciiTheme="minorHAnsi" w:hAnsiTheme="minorHAnsi"/>
        </w:rPr>
        <w:t xml:space="preserve"> in artikel 149.1.13a van de Spaanse grondwet, </w:t>
      </w:r>
      <w:r>
        <w:rPr>
          <w:rFonts w:asciiTheme="minorHAnsi" w:hAnsiTheme="minorHAnsi"/>
          <w:color w:val="000000" w:themeColor="text1"/>
        </w:rPr>
        <w:t>dat bevoegdheid op het gebied van grondslagen en coördinatie van de algemene planning van de economische activiteit aan de staat toeschrijft.</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Het opstellen van dit koninklijk besluit voltooit de procedure die is vastgelegd in wet 50/1997 van de regering van 27 november en in Richtlijn (EU) 2015/1535 van het Europees Parlement en de Raad van 9 september betreffende een informatieprocedure op het gebied van technische voorschriften en regels betreffende de diensten van de informatiemaatschappij, alsmede koninklijk besluit 1337/1999 van 31 juli betreffende het verstrekken van informatie op het gebied van technische voorschriften en regels met betrekking tot diensten van de informatiemaatschappij.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Dit koninklijk besluit wordt aangenomen op initiatief van het permanent comité voor aardbevingsbestendige normen.</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Op grond daarvan, op voordracht van de minister van Vervoer, Mobiliteit en Stedelijke Agenda </w:t>
      </w:r>
      <w:r>
        <w:rPr>
          <w:rFonts w:asciiTheme="minorHAnsi" w:hAnsiTheme="minorHAnsi"/>
          <w:color w:val="000000"/>
        </w:rPr>
        <w:t>en na beraadslaging in de Raad van Ministers op de dag...</w:t>
      </w:r>
    </w:p>
    <w:p w14:paraId="01FC4263" w14:textId="77777777" w:rsidR="004459F4" w:rsidRPr="004D636C"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VERKLAAR IK HIERBIJ</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Artikel 1. Doelstelling</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De norm voor aardbevingsbestendige bouw, NCSR-23, is goedgekeurd. Hierin worden de essentiële concepten en eisen vastgesteld waaraan structuren in seismische zones dienen te voldoen, in Spanje, naast de naleving van de overige geldende specifieke voorschriften met betrekking tot structuren.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 structuren en constructies die aan de activiteiten van aardbevingen kunnen worden onderworpen, worden geprojecteerd, uitgevoerd en gedocumenteerd met inachtneming van de seismische actie overeenkomstig de bepalingen van de zes bijlagen waaruit deze norm voor aardbevingsbestendige bouw bestaat, en die als volgt luiden:</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Bijlage 1: Algemene regels, seismische activiteiten en bouwvoorschriften.</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Bijlage 2: Bruggen.</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Bijlage 3: Beoordeling en seismische aanpassing van gebouwen.</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Bijlage 4: Silo’s, tanks en pijpen.</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Bijlage 5: Funderingen, insluitingsstructuren en geotechnische aspecten.</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Bijlage 6: Torens, masten en schoorstenen.</w:t>
      </w:r>
    </w:p>
    <w:p w14:paraId="75E4EE37" w14:textId="77777777" w:rsidR="00870C22" w:rsidRPr="004D636C" w:rsidRDefault="00870C22" w:rsidP="006D4B4B">
      <w:pPr>
        <w:spacing w:line="276" w:lineRule="auto"/>
        <w:ind w:left="567"/>
        <w:jc w:val="both"/>
        <w:textAlignment w:val="baseline"/>
        <w:rPr>
          <w:rFonts w:asciiTheme="minorHAnsi" w:eastAsia="Times New Roman" w:hAnsiTheme="minorHAnsi"/>
          <w:color w:val="000000"/>
          <w:spacing w:val="2"/>
          <w:lang w:val="en-US"/>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Als alternatief kunnen de auteur van het project en het optionele management, door gebruik te maken van hun bevoegdheden, onder hun verantwoordelijkheid en onder voorafgaande instemming van het onroerend goed, andere oplossingen aannemen die geheel of gedeeltelijk afwijken van de in de </w:t>
      </w:r>
      <w:r>
        <w:rPr>
          <w:rFonts w:asciiTheme="minorHAnsi" w:hAnsiTheme="minorHAnsi"/>
          <w:color w:val="000000"/>
        </w:rPr>
        <w:lastRenderedPageBreak/>
        <w:t>voorgaande bijlagen bedoelde procedures (door middel van afwijkende berekeningssystemen, constructieve regelingen, enz.), mits wordt gedocumenteerd dat de structuur voldoet aan de eisen van deze norm voor aardbevingsbestendige bouw, waarbij ten minste gelijkwaardige diensten worden verkregen als die welke zouden worden verkregen door de toepassing van de procedures van deze norm.</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Artikel 2. Toepassingsgebied</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De eisen voor aardbevingsbestendige inhoud van deze norm zijn van toepassing op alle projecten en bouwwerken van nieuwe gebouwen, bruggen, torens, masten, schoorstenen, silo’s, tanks, pijpen, insluitingsstructuren en de funderingen ervan, evenals op het geotechnische project.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Evenzo is deze norm van toepassing op de seismische evaluatie van bestaande gebouwen, en, in voorkomend geval, op de seismische aanpassing daarvan, in gevallen waarin renovatiewerkzaamheden of structurele restauratiewerkzaamheden met een voldoende ernst worden uitgevoerd of wanneer een dergelijke beoordeling of aanpassing vereist is. Voor de toepassing van deze norm voor aardbevingsbestendige bouw omvat seismische aanpassing zowel de versterking van onbeschadigde structuren als de versterking van structuren die door een aardbeving zijn beschadigd.</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 voorwaarden die de seismische beoordeling van individuele gebouwen noodzakelijk kunnen maken – mogelijk leidend tot seismische toereikendheid – vallen buiten het onderwerp en het toepassingsgebied van deze norm.</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In voorkomend geval kan deze norm voor aardbevingsbestendige bouw ook worden toegepast als aanvulling op andere structurele typen die niet uitdrukkelijk in het toepassingsgebied ervan zijn opgenomen, wanneer zij niet bestaan voor dezelfde specifieke regels of bepalingen, en mits zij niet uitdrukkelijk van het toepassingsgebied ervan zijn uitgesloten.</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Enige overgangsbepaling. Toepassing op ontwerpen en werken.</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De bepalingen van dit koninklijk besluit zijn niet van toepassing in civiele werken op projecten waarvan het besluit over het opstellen of bestuderen ervan, op het gebied van overheidsdiensten of opdracht, in andere gevallen, vóór de inwerkingtreding van dit koninklijk besluit was uitgevoerd, alsmede op werkzaamheden die in het kader van de ontwikkeling ervan zijn uitgevoerd, mits zij binnen een termijn van ten hoogste twee jaar na die inwerkingtreding worden gestart, tenzij de bevoegde overheidsdienst of, in voorkomend geval, de promotor ermee instemt dat het verplicht is.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De bepalingen van dit koninklijk besluit zijn niet van toepassing op het gebied van de bouw in projecten die een vergunning voor gemeentelijke werken hebben aangevraagd, of dit binnen negen maanden na de inwerkingtreding van dit koninklijk besluit aanvragen, in dit geval met koninklijk besluit 997/2002 van 27 september, houdende goedkeuring van de norm voor aardbevingsbestendige bouw, die van toepassing is: Algemene afdeling en gebouw (NCSE-02). Dergelijke werken dienen aan te vangen binnen de maximale doeltreffendheidstermijn van voornoemde vergunning, overeenkomstig haar regelgeving en, bij gebreke daarvan, binnen een termijn van ten hoogste zes maanden te rekenen vanaf de datum van verlening van de vergunning. De projecten dienen anders te worden aangepast aan de bepalingen van dit koninklijk besluit.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t>Enige herroepingsbepaling. Intrekking van verordeningen</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Met ingang van de inwerkingtreding van dit koninklijk besluit worden koninklijk besluit 997/2002 van 27 september tot goedkeuring van de norm voor aardbevingsbestendige bouw: Algemene afdeling en gebouw (NCSE-02) en koninklijk besluit 637/2007 van 18 mei tot goedkeuring van de norm voor aardbevingsbestendige bouw: Bruggen (NCSP-07), ingetrokken.</w:t>
      </w:r>
    </w:p>
    <w:p w14:paraId="590D095E" w14:textId="77777777" w:rsidR="00870C22" w:rsidRPr="004D636C"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Eerste slotbepaling. Toekenning van bevoegdheden</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Dit koninklijk besluit is elementair van aard en wordt uitgevaardigd krachtens de bepalingen van artikel 149.1.13a van de Spaanse grondwet, dat de exclusieve bevoegdheid voor de basis en coördinatie van de algemene planning van de economische activiteit aan de staat overdraagt.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Tweede slotbepaling. </w:t>
      </w:r>
      <w:r>
        <w:rPr>
          <w:rFonts w:asciiTheme="minorHAnsi" w:hAnsiTheme="minorHAnsi"/>
          <w:b/>
          <w:color w:val="333333"/>
        </w:rPr>
        <w:t>Uitvoeringsautoriteit</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 houder van het Ministerie van Vervoer, Mobiliteit en Stedelijke Agenda is bevoegd om de nodige bepalingen vast te stellen voor de ontwikkeling en toepassing van de bepalingen van dit koninklijk besluit.</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Derde slotbepaling. Vergunning voor het bijwerken van de aanhangsels E, F en G van bijlage 1 bij de norm voor aardbevingsbestendige bouw.</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De houder van het Ministerie van Vervoer, Mobiliteit en Stedelijke Agenda is bevoegd om de in de aanhangsels E en F van bijlage 1 gedefinieerde risicokaart en de in aanhangsel G van bijlage 1 bedoelde lijst van normen bij te werken, indien deze updates zijn bedoeld om deze inhoud in overeenstemming te brengen met de vooruitgang van de techniek of met de communautaire wetgeving.</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Vierde slotbepaling. Inwerkingtreding</w:t>
      </w:r>
    </w:p>
    <w:p w14:paraId="78134748" w14:textId="2FD9F079"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Onderhavig koninklijk besluit treedt in werking op </w:t>
      </w:r>
      <w:r>
        <w:rPr>
          <w:rFonts w:asciiTheme="minorHAnsi" w:hAnsiTheme="minorHAnsi"/>
          <w:color w:val="000000"/>
          <w:highlight w:val="yellow"/>
        </w:rPr>
        <w:t>1 juli 2023</w:t>
      </w:r>
      <w:r>
        <w:rPr>
          <w:rFonts w:asciiTheme="minorHAnsi" w:hAnsiTheme="minorHAnsi"/>
          <w:color w:val="000000"/>
        </w:rPr>
        <w:t>.</w:t>
      </w:r>
    </w:p>
    <w:p w14:paraId="16A294E9" w14:textId="77777777" w:rsidR="00056AAB" w:rsidRPr="004D636C" w:rsidRDefault="00056AAB" w:rsidP="00870C22">
      <w:pPr>
        <w:spacing w:after="120"/>
        <w:jc w:val="both"/>
        <w:textAlignment w:val="baseline"/>
        <w:rPr>
          <w:rFonts w:asciiTheme="minorHAnsi" w:eastAsia="Times New Roman" w:hAnsiTheme="minorHAnsi"/>
          <w:color w:val="000000"/>
          <w:spacing w:val="2"/>
          <w:lang w:val="en-US"/>
        </w:rPr>
      </w:pPr>
    </w:p>
    <w:sectPr w:rsidR="00056AAB" w:rsidRPr="004D636C"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636C"/>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18E"/>
    <w:rsid w:val="00AE64D3"/>
    <w:rsid w:val="00B06375"/>
    <w:rsid w:val="00B15BD6"/>
    <w:rsid w:val="00B66C50"/>
    <w:rsid w:val="00B8158C"/>
    <w:rsid w:val="00B85F2E"/>
    <w:rsid w:val="00BC4DEC"/>
    <w:rsid w:val="00BF08C0"/>
    <w:rsid w:val="00C24625"/>
    <w:rsid w:val="00C25687"/>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1689</Words>
  <Characters>9629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13</cp:revision>
  <cp:lastPrinted>2021-08-26T09:18:00Z</cp:lastPrinted>
  <dcterms:created xsi:type="dcterms:W3CDTF">2022-09-20T11:25:00Z</dcterms:created>
  <dcterms:modified xsi:type="dcterms:W3CDTF">2023-03-31T12:57:00Z</dcterms:modified>
</cp:coreProperties>
</file>