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Order of 14 December 2021 on the environmental declaration of products intended for use in building works and the environmental declaration of the products used for calculating the environmental performance of buildings</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No 0296 of 21 December 2021</w:t>
      </w:r>
      <w:r>
        <w:rPr>
          <w:rFonts w:ascii="Times New Roman" w:hAnsi="Times New Roman"/>
          <w:sz w:val="24"/>
        </w:rPr>
        <w:br/>
        <w:t>Text No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Annex</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Annex</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Annex</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Annex</w:t>
      </w:r>
    </w:p>
    <w:p w14:paraId="06845229" w14:textId="61B4285B"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Audiences affected: registrants affected by construction and decoration products as well as electrical, electronic and climate engineering equipment intended for use in building works or used to calculate the environmental performance of buildings. </w:t>
      </w:r>
      <w:r>
        <w:rPr>
          <w:rFonts w:ascii="Times New Roman" w:hAnsi="Times New Roman"/>
          <w:sz w:val="24"/>
        </w:rPr>
        <w:br/>
        <w:t xml:space="preserve">Purpose: to specify the application of articles R. 171-14 to R. 171-22 and of Articles R. 171-23 to R. 171-31 of the Code on Construction and Housing. </w:t>
      </w:r>
      <w:r>
        <w:rPr>
          <w:rFonts w:ascii="Times New Roman" w:hAnsi="Times New Roman"/>
          <w:sz w:val="24"/>
        </w:rPr>
        <w:br/>
        <w:t xml:space="preserve">Entry into force: the text enters into force on 1 January 2022. </w:t>
      </w:r>
      <w:r>
        <w:rPr>
          <w:rFonts w:ascii="Times New Roman" w:hAnsi="Times New Roman"/>
          <w:sz w:val="24"/>
        </w:rPr>
        <w:br/>
        <w:t xml:space="preserve">Notice: the purpose of the Order is to specify the application of articles R. 171-14 to R. 171-22 and of Articles R. 171-23 to R. 171-31 of the Code on Construction and Housing. </w:t>
      </w:r>
      <w:r>
        <w:rPr>
          <w:rFonts w:ascii="Times New Roman" w:hAnsi="Times New Roman"/>
          <w:sz w:val="24"/>
        </w:rPr>
        <w:br/>
        <w:t xml:space="preserve">The Order establishes: </w:t>
      </w:r>
      <w:r>
        <w:rPr>
          <w:rFonts w:ascii="Times New Roman" w:hAnsi="Times New Roman"/>
          <w:sz w:val="24"/>
        </w:rPr>
        <w:br/>
        <w:t xml:space="preserve">- details of the information referred to in Article R. 171-17 of the Code on Construction and Housing; </w:t>
      </w:r>
      <w:r>
        <w:rPr>
          <w:rFonts w:ascii="Times New Roman" w:hAnsi="Times New Roman"/>
          <w:sz w:val="24"/>
        </w:rPr>
        <w:br/>
        <w:t xml:space="preserve">- the calculation methods of the indicators referred to in Article R. 171-17 of the Code on Construction and Housing; </w:t>
      </w:r>
      <w:r>
        <w:rPr>
          <w:rFonts w:ascii="Times New Roman" w:hAnsi="Times New Roman"/>
          <w:sz w:val="24"/>
        </w:rPr>
        <w:br/>
        <w:t xml:space="preserve">- the elements, referred to in Article R. 171-21 of the Code on Construction and Housing, which justify the information contained in the environmental declaration; </w:t>
      </w:r>
      <w:r>
        <w:rPr>
          <w:rFonts w:ascii="Times New Roman" w:hAnsi="Times New Roman"/>
          <w:sz w:val="24"/>
        </w:rPr>
        <w:br/>
        <w:t xml:space="preserve">- where the address of the database(s) where the environmental declarations, referred to in Article R. 171-17 of the Code on Construction and Housing, in possession of a verification certificate, referred to in Article R. 171-18 of the Code on Construction and Housing, are made available to the public is filled in; </w:t>
      </w:r>
      <w:r>
        <w:rPr>
          <w:rFonts w:ascii="Times New Roman" w:hAnsi="Times New Roman"/>
          <w:sz w:val="24"/>
        </w:rPr>
        <w:br/>
      </w:r>
      <w:r w:rsidR="00E65F49">
        <w:rPr>
          <w:rFonts w:ascii="Times New Roman" w:hAnsi="Times New Roman"/>
          <w:sz w:val="24"/>
        </w:rPr>
        <w:t>-</w:t>
      </w:r>
      <w:r>
        <w:rPr>
          <w:rFonts w:ascii="Times New Roman" w:hAnsi="Times New Roman"/>
          <w:sz w:val="24"/>
        </w:rPr>
        <w:t xml:space="preserve"> the conditions for drawing up collective environmental declarations relating to construction or decorating products or equipment by several registrants; </w:t>
      </w:r>
      <w:r>
        <w:rPr>
          <w:rFonts w:ascii="Times New Roman" w:hAnsi="Times New Roman"/>
          <w:sz w:val="24"/>
        </w:rPr>
        <w:br/>
      </w:r>
      <w:r w:rsidR="00E65F49">
        <w:rPr>
          <w:rFonts w:ascii="Times New Roman" w:hAnsi="Times New Roman"/>
          <w:sz w:val="24"/>
        </w:rPr>
        <w:t>-</w:t>
      </w:r>
      <w:r>
        <w:rPr>
          <w:rFonts w:ascii="Times New Roman" w:hAnsi="Times New Roman"/>
          <w:sz w:val="24"/>
        </w:rPr>
        <w:t xml:space="preserve"> the conditions for drawing up assignable declarations relating to construction or decorating products or equipment. </w:t>
      </w:r>
      <w:r>
        <w:rPr>
          <w:rFonts w:ascii="Times New Roman" w:hAnsi="Times New Roman"/>
          <w:sz w:val="24"/>
        </w:rPr>
        <w:br/>
        <w:t xml:space="preserve">References: texts created or modified by this Order can be consulted, in their wording resulting from this change, on the </w:t>
      </w:r>
      <w:proofErr w:type="spellStart"/>
      <w:r>
        <w:rPr>
          <w:rFonts w:ascii="Times New Roman" w:hAnsi="Times New Roman"/>
          <w:sz w:val="24"/>
        </w:rPr>
        <w:t>Légifrance</w:t>
      </w:r>
      <w:proofErr w:type="spellEnd"/>
      <w:r>
        <w:rPr>
          <w:rFonts w:ascii="Times New Roman" w:hAnsi="Times New Roman"/>
          <w:sz w:val="24"/>
        </w:rPr>
        <w:t xml:space="preserve"> website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Ecological Transition and the Associate Minister responsible for housing, attached to the Minister for Ecological Transition,</w:t>
      </w:r>
      <w:r>
        <w:rPr>
          <w:rFonts w:ascii="Times New Roman" w:hAnsi="Times New Roman"/>
          <w:sz w:val="24"/>
        </w:rPr>
        <w:br/>
        <w:t xml:space="preserve">Having regard to Directive (EU) 2015/1535 of the European Parliament and of the Council of 9 September 2015 laying down a procedure for the provision of information in the field of technical regulations and of rules on information society services and Notification No </w:t>
      </w:r>
      <w:r>
        <w:rPr>
          <w:rFonts w:ascii="Times New Roman" w:hAnsi="Times New Roman"/>
          <w:sz w:val="24"/>
        </w:rPr>
        <w:lastRenderedPageBreak/>
        <w:t>2021/257/F addressed to the European Commission on 28 April 2021 and the reply thereto on 29 July 2021;</w:t>
      </w:r>
      <w:r>
        <w:rPr>
          <w:rFonts w:ascii="Times New Roman" w:hAnsi="Times New Roman"/>
          <w:sz w:val="24"/>
        </w:rPr>
        <w:br/>
        <w:t>Having regard to the Consumer Code, in particular point 10 of Article L. 412-1 thereof;</w:t>
      </w:r>
      <w:r>
        <w:rPr>
          <w:rFonts w:ascii="Times New Roman" w:hAnsi="Times New Roman"/>
          <w:sz w:val="24"/>
        </w:rPr>
        <w:br/>
        <w:t>Having regard to the Code on Construction and Housing, in particular Articles R. 171-14 to R. 171-31 thereof;</w:t>
      </w:r>
      <w:r>
        <w:rPr>
          <w:rFonts w:ascii="Times New Roman" w:hAnsi="Times New Roman"/>
          <w:sz w:val="24"/>
        </w:rPr>
        <w:br/>
        <w:t>Having regard to the opinion of the High Council on Construction and Energy Efficiency, dated 13 April 2021;</w:t>
      </w:r>
      <w:r>
        <w:rPr>
          <w:rFonts w:ascii="Times New Roman" w:hAnsi="Times New Roman"/>
          <w:sz w:val="24"/>
        </w:rPr>
        <w:br/>
        <w:t>Having regard to the comments made during the public consultation carried out from 18 May to 8 June 2021, pursuant to Article L. 123-19-1 of the Environmental Code;</w:t>
      </w:r>
      <w:r>
        <w:rPr>
          <w:rFonts w:ascii="Times New Roman" w:hAnsi="Times New Roman"/>
          <w:sz w:val="24"/>
        </w:rPr>
        <w:br/>
        <w:t>Hereby order the following:</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provisions of this Order shall apply to construction products, decoration products and electrical, electronic and climate engineering equipment, referred to in Article R. 171-14 of the Code on Construction and Housing and Article R. 171-23 of the Code on Construction and Housing.</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For the purposes of this Order, the following definitions shall apply:</w:t>
      </w:r>
      <w:r>
        <w:rPr>
          <w:rFonts w:ascii="Times New Roman" w:hAnsi="Times New Roman"/>
          <w:sz w:val="24"/>
        </w:rPr>
        <w:br/>
        <w:t>‘Assignable declaration’: environmental declaration with rules for adapting the information mentioned therein to correspond to a particular product and a computer tool to apply those rules.</w:t>
      </w:r>
      <w:r>
        <w:rPr>
          <w:rFonts w:ascii="Times New Roman" w:hAnsi="Times New Roman"/>
          <w:sz w:val="24"/>
        </w:rPr>
        <w:br/>
        <w:t>In the following articles, the term ‘declarant’ is understood as meaning ‘declarant’ as defined in Article R. 171-15 of the Code on Construction and Housing or with the meaning of ‘responsible for placing on the market’ as defined in Article R. 171-24 of the Code on Construction and Housing.</w:t>
      </w:r>
      <w:r>
        <w:rPr>
          <w:rFonts w:ascii="Times New Roman" w:hAnsi="Times New Roman"/>
          <w:sz w:val="24"/>
        </w:rPr>
        <w:br/>
        <w:t>In the following articles, the term ‘product’ is understood to mean ‘construction products’, ‘decorating products’ and ‘electrical, electronic and climate engineering equipment’ as defined in Article R. 171-15 of the Code on Construction and Housing.</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environmental declaration shall contain the information referred to in Article R. 171-17 of the Code on Construction and Housing.</w:t>
      </w:r>
      <w:r>
        <w:rPr>
          <w:rFonts w:ascii="Times New Roman" w:hAnsi="Times New Roman"/>
          <w:sz w:val="24"/>
        </w:rPr>
        <w:br/>
        <w:t>Pursuant to point 1 of Article R. 171-17 of the Code on Construction and Housing, the environmental declaration shall contain, for the production stage, the stage of the construction process, the usage stage, the end-of-life stage and the sum of these stages, the values of the following indicators:</w:t>
      </w:r>
    </w:p>
    <w:p w14:paraId="1B8C0EF8" w14:textId="63840740"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describing the environmental impacts: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global warming (greenhouse gas emissions);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depletion of the ozone layer;</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acidification of soil and water;</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eutrophication;</w:t>
      </w:r>
      <w:r>
        <w:rPr>
          <w:rFonts w:ascii="Times New Roman" w:hAnsi="Times New Roman"/>
          <w:sz w:val="24"/>
        </w:rPr>
        <w:br/>
      </w:r>
      <w:r w:rsidR="00657670">
        <w:rPr>
          <w:rFonts w:ascii="Times New Roman" w:hAnsi="Times New Roman"/>
          <w:sz w:val="24"/>
        </w:rPr>
        <w:lastRenderedPageBreak/>
        <w:t xml:space="preserve">- </w:t>
      </w:r>
      <w:r>
        <w:rPr>
          <w:rFonts w:ascii="Times New Roman" w:hAnsi="Times New Roman"/>
          <w:sz w:val="24"/>
        </w:rPr>
        <w:t>photochemical ozone formation;</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depletion of abiotic resources – elements;</w:t>
      </w:r>
      <w:r>
        <w:rPr>
          <w:rFonts w:ascii="Times New Roman" w:hAnsi="Times New Roman"/>
          <w:sz w:val="24"/>
        </w:rPr>
        <w:br/>
        <w:t>- exhaustion of abiotic resources – fossil fuels.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describing the use of resources: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usage of renewable primary energy, excluding renewable primary energy resources used as raw materials;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use of renewable primary energy resources used as raw materials;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total usage of renewable primary energy resources (primary energy and primary energy resources used as raw materials);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usage of non-renewable primary energy, excluding non-renewable primary energy resources used as raw materials;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use of non-renewable primary energy resources used as raw materials;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total usage of non-renewable primary energy resources (primary energy and primary energy resources used as raw materials);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use of secondary material;</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use of renewable secondary fuels;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use of non-renewable secondary fuels;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net use of fresh water.</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describing the categories of waste:</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hazardous waste disposed of;</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non-hazardous waste disposed of;</w:t>
      </w:r>
      <w:r>
        <w:rPr>
          <w:rFonts w:ascii="Times New Roman" w:hAnsi="Times New Roman"/>
          <w:sz w:val="24"/>
        </w:rPr>
        <w:br/>
        <w:t>- radioactive waste disposed of.</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describing outgoing flows:</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components intended for reuse;</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materials intended for recycling;</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materials intended for energy recovery;</w:t>
      </w:r>
      <w:r>
        <w:rPr>
          <w:rFonts w:ascii="Times New Roman" w:hAnsi="Times New Roman"/>
          <w:sz w:val="24"/>
        </w:rPr>
        <w:br/>
      </w:r>
      <w:r w:rsidR="00657670">
        <w:rPr>
          <w:rFonts w:ascii="Times New Roman" w:hAnsi="Times New Roman"/>
          <w:sz w:val="24"/>
        </w:rPr>
        <w:t xml:space="preserve">- </w:t>
      </w:r>
      <w:r>
        <w:rPr>
          <w:rFonts w:ascii="Times New Roman" w:hAnsi="Times New Roman"/>
          <w:sz w:val="24"/>
        </w:rPr>
        <w:t>energy supplied outdoors.</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Pursuant to point 4 of Article R. 171-17 of the Code on Construction and Housing, in the event of an environmental declaration affected by the requirements of Article 8 of this Order, the environmental declaration shall contain the ranges of variation (maximum and minimum values) of the control indicators defined in Article 8 of this Order.</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registrant shall keep at the disposal of the inspecting authorities and the legal entity responsible for implementing an environmental declaration programme, as defined in Article R. 171-21 of the Code on Construction and Housing and in Article R. 171-26 of the Code on Construction and Housing, all the items, or the contact details of the natural or legal persons holding these items, to justify the information contained in the environmental declaration.</w:t>
      </w:r>
      <w:r>
        <w:rPr>
          <w:rFonts w:ascii="Times New Roman" w:hAnsi="Times New Roman"/>
          <w:sz w:val="24"/>
        </w:rPr>
        <w:br/>
        <w:t>The elements mentioned above are:</w:t>
      </w:r>
    </w:p>
    <w:p w14:paraId="4D6FBAE8" w14:textId="1E48329E"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the origin of the raw materials, materials and components of the product;</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identification of inputs not included in the life cycle inventory in accordance with the cut-off rule;</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the total mass of inputs not included in the life cycle inventory due to the cut-off rule;</w:t>
      </w:r>
      <w:r>
        <w:rPr>
          <w:rFonts w:ascii="Times New Roman" w:hAnsi="Times New Roman"/>
          <w:sz w:val="24"/>
        </w:rPr>
        <w:br/>
      </w:r>
      <w:r w:rsidR="00E65F49">
        <w:rPr>
          <w:rFonts w:ascii="Times New Roman" w:hAnsi="Times New Roman"/>
          <w:sz w:val="24"/>
        </w:rPr>
        <w:lastRenderedPageBreak/>
        <w:t xml:space="preserve">- </w:t>
      </w:r>
      <w:r>
        <w:rPr>
          <w:rFonts w:ascii="Times New Roman" w:hAnsi="Times New Roman"/>
          <w:sz w:val="24"/>
        </w:rPr>
        <w:t>the results of inventory calculations;</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supporting evidence for the reference life of the product;</w:t>
      </w:r>
      <w:r>
        <w:rPr>
          <w:rFonts w:ascii="Times New Roman" w:hAnsi="Times New Roman"/>
          <w:sz w:val="24"/>
        </w:rPr>
        <w:br/>
        <w:t>- documentation relating to how technologically, geographically and temporally representative the generic data used are, references of the databases from which they originate and references of the data modules used, in the event generic data have to be used that originate from public or private databases;</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the scenarios upon which the life cycle inventory is based;</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the production site(s) covered by the environmental declaration;</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the production of each site expressed with the unit of quantity defined in the functional unit;</w:t>
      </w:r>
      <w:r>
        <w:rPr>
          <w:rFonts w:ascii="Times New Roman" w:hAnsi="Times New Roman"/>
          <w:sz w:val="24"/>
        </w:rPr>
        <w:br/>
        <w:t>- the evidence that the sample used is representative, in particular from a geographical, temporal and technological point of view, of the production of the product, where a sampling method is used;</w:t>
      </w:r>
      <w:r>
        <w:rPr>
          <w:rFonts w:ascii="Times New Roman" w:hAnsi="Times New Roman"/>
          <w:sz w:val="24"/>
        </w:rPr>
        <w:br/>
        <w:t>- the constituent elements of the framework of validity for environmental declarations affected by the requirements of Article 8 of this Order;</w:t>
      </w:r>
      <w:r>
        <w:rPr>
          <w:rFonts w:ascii="Times New Roman" w:hAnsi="Times New Roman"/>
          <w:sz w:val="24"/>
        </w:rPr>
        <w:br/>
        <w:t>- the constituent elements of the assignable declaration referred to in Article 10 of this Order.</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functional unit formats, as defined in Article R. 171-15 of the Code on Construction and Housing, for each category of construction and decorating products are defined in Annex I to this Order.</w:t>
      </w:r>
      <w:r>
        <w:rPr>
          <w:rFonts w:ascii="Times New Roman" w:hAnsi="Times New Roman"/>
          <w:sz w:val="24"/>
        </w:rPr>
        <w:br/>
        <w:t>The formats of functional units or units declared, as defined in Article R. 171-15 of the Code on Construction and Housing, for electrical, electronic and climate engineering equipment are defined in Annex II to this Order.</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The methods for evaluating, calculating the </w:t>
      </w:r>
      <w:proofErr w:type="gramStart"/>
      <w:r>
        <w:rPr>
          <w:rFonts w:ascii="Times New Roman" w:hAnsi="Times New Roman"/>
          <w:sz w:val="24"/>
        </w:rPr>
        <w:t>information</w:t>
      </w:r>
      <w:proofErr w:type="gramEnd"/>
      <w:r>
        <w:rPr>
          <w:rFonts w:ascii="Times New Roman" w:hAnsi="Times New Roman"/>
          <w:sz w:val="24"/>
        </w:rPr>
        <w:t xml:space="preserve"> and determining the indicators referred to in points 1, 2, 3, 14 and 15 of Article R. 171-17 of the Code on Construction and Housing and specified in Article 3 of this Order, are assumed to satisfy the requirements of this Order if they comply with all of the following conditions:</w:t>
      </w:r>
    </w:p>
    <w:p w14:paraId="616E0A2A" w14:textId="63A622BA"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541DB">
        <w:rPr>
          <w:rFonts w:ascii="Times New Roman" w:hAnsi="Times New Roman"/>
          <w:sz w:val="24"/>
        </w:rPr>
        <w:t>- t</w:t>
      </w:r>
      <w:r>
        <w:rPr>
          <w:rFonts w:ascii="Times New Roman" w:hAnsi="Times New Roman"/>
          <w:sz w:val="24"/>
        </w:rPr>
        <w:t>hey do not result in omitting processes representing a total of more than 5% of the value of each of the items of information referred to;</w:t>
      </w:r>
      <w:r>
        <w:rPr>
          <w:rFonts w:ascii="Times New Roman" w:hAnsi="Times New Roman"/>
          <w:sz w:val="24"/>
        </w:rPr>
        <w:br/>
      </w:r>
      <w:r w:rsidR="003541DB">
        <w:rPr>
          <w:rFonts w:ascii="Times New Roman" w:hAnsi="Times New Roman"/>
          <w:sz w:val="24"/>
        </w:rPr>
        <w:t>- t</w:t>
      </w:r>
      <w:r>
        <w:rPr>
          <w:rFonts w:ascii="Times New Roman" w:hAnsi="Times New Roman"/>
          <w:sz w:val="24"/>
        </w:rPr>
        <w:t>hey do not result in a product being granted that is subject to the environmental declaration of benefits assigned to other products when calculating the items of information referred to, with the exception of indicators relating to profits and expenses associated with the end-of-life valuation;</w:t>
      </w:r>
      <w:r>
        <w:rPr>
          <w:rFonts w:ascii="Times New Roman" w:hAnsi="Times New Roman"/>
          <w:sz w:val="24"/>
        </w:rPr>
        <w:br/>
        <w:t>- they comply with either the NF EN 15804 + A1 standard: 2014-04, or the XP C08-100-1 standard: 2016-12 or the XP C08-100-1 standards: 2016-12 and the EN 50693: 2019-08 standards, or any equivalent standard;</w:t>
      </w:r>
      <w:r>
        <w:rPr>
          <w:rFonts w:ascii="Times New Roman" w:hAnsi="Times New Roman"/>
          <w:sz w:val="24"/>
        </w:rPr>
        <w:br/>
        <w:t>- they shall comply with the method of calculating the assessment of profits and expenses relating to end-of-life valuation as defined in Annex III to this Order.</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In addition, for environmental declarations in possession of a certificate of conformity after 1 October 2022, where the environmental declaration covers different ways of laying the product covered by it, the methods of assessing and calculating the information referred to shall comply with the following rules:</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the following control indicators are assessed for each of these installation modes: climate warming, non-renewable primary energy use other than non-renewable primary energy resources used as a raw materials, non-hazardous waste disposed of;</w:t>
      </w:r>
      <w:r>
        <w:rPr>
          <w:rFonts w:ascii="Times New Roman" w:hAnsi="Times New Roman"/>
          <w:sz w:val="24"/>
        </w:rPr>
        <w:br/>
        <w:t>- for each of these control indicators, the maximum value obtained for the sum of the steps referred to in Article 3 of this Order shall be compared with the average of the values obtained (i.e. the average impact of the different installation modes). If the maximum value for one of these indicators is greater than 1.1 times the mean value, it is therefore the worst value that has to be reported for each of the indicators listed in the environmental declaration (</w:t>
      </w:r>
      <w:proofErr w:type="gramStart"/>
      <w:r>
        <w:rPr>
          <w:rFonts w:ascii="Times New Roman" w:hAnsi="Times New Roman"/>
          <w:sz w:val="24"/>
        </w:rPr>
        <w:t>i.e.</w:t>
      </w:r>
      <w:proofErr w:type="gramEnd"/>
      <w:r>
        <w:rPr>
          <w:rFonts w:ascii="Times New Roman" w:hAnsi="Times New Roman"/>
          <w:sz w:val="24"/>
        </w:rPr>
        <w:t xml:space="preserve"> the worst values of the different laying modes). Otherwise, the average value can be reported for each indicator.</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address(es) of the database(s), referred to in Article R. 171-20 of the Code on Construction and Housing, where the service’s environmental data and default environmental data are available, as defined in Article R. 171-16 of the Code on Construction and Housing, as well as the environmental declarations, are provided on the site of the Ministry responsible for construction.</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environmental declaration may be based on a collective environmental declaration of similar products from several registrants.</w:t>
      </w:r>
      <w:r>
        <w:rPr>
          <w:rFonts w:ascii="Times New Roman" w:hAnsi="Times New Roman"/>
          <w:sz w:val="24"/>
        </w:rPr>
        <w:br/>
        <w:t>1. This collective environmental declaration meets the following conditions:</w:t>
      </w:r>
    </w:p>
    <w:p w14:paraId="7E91553F" w14:textId="672B55A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541DB">
        <w:rPr>
          <w:rFonts w:ascii="Times New Roman" w:hAnsi="Times New Roman"/>
          <w:sz w:val="24"/>
        </w:rPr>
        <w:t xml:space="preserve">- </w:t>
      </w:r>
      <w:r>
        <w:rPr>
          <w:rFonts w:ascii="Times New Roman" w:hAnsi="Times New Roman"/>
          <w:sz w:val="24"/>
        </w:rPr>
        <w:t>It concerns a ‘standard product’;</w:t>
      </w:r>
      <w:r>
        <w:rPr>
          <w:rFonts w:ascii="Times New Roman" w:hAnsi="Times New Roman"/>
          <w:sz w:val="24"/>
        </w:rPr>
        <w:br/>
      </w:r>
      <w:r w:rsidR="003541DB">
        <w:rPr>
          <w:rFonts w:ascii="Times New Roman" w:hAnsi="Times New Roman"/>
          <w:sz w:val="24"/>
        </w:rPr>
        <w:t xml:space="preserve">- </w:t>
      </w:r>
      <w:r>
        <w:rPr>
          <w:rFonts w:ascii="Times New Roman" w:hAnsi="Times New Roman"/>
          <w:sz w:val="24"/>
        </w:rPr>
        <w:t>It shall be established under the conditions referred to in the preceding Articles;</w:t>
      </w:r>
      <w:r>
        <w:rPr>
          <w:rFonts w:ascii="Times New Roman" w:hAnsi="Times New Roman"/>
          <w:sz w:val="24"/>
        </w:rPr>
        <w:br/>
        <w:t>- the homogeneity of parameters that significantly influence the value of each indicator must be ensured; to this end, the collective environmental declaration shall contain a validity framework, as defined in Annex IV to this Order, which gathers the following information:</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The identification of the influential parameters, specifying whether they are completed with generic or specific data;</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The periods of validity of these parameters.</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The registrant who submitted the collective environmental declaration is responsible for the information it contains, including a list of the products concerned and the conditions under which products may be linked to it, if necessary;</w:t>
      </w:r>
      <w:r>
        <w:rPr>
          <w:rFonts w:ascii="Times New Roman" w:hAnsi="Times New Roman"/>
          <w:sz w:val="24"/>
        </w:rPr>
        <w:br/>
      </w:r>
      <w:r>
        <w:rPr>
          <w:rFonts w:ascii="Times New Roman" w:hAnsi="Times New Roman"/>
          <w:sz w:val="24"/>
        </w:rPr>
        <w:lastRenderedPageBreak/>
        <w:t>3. The registrants of the products covered by this collective environmental declaration shall meet the following conditions:</w:t>
      </w:r>
    </w:p>
    <w:p w14:paraId="5C7B5DE1" w14:textId="67907A8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541DB">
        <w:rPr>
          <w:rFonts w:ascii="Times New Roman" w:hAnsi="Times New Roman"/>
          <w:sz w:val="24"/>
        </w:rPr>
        <w:t xml:space="preserve">- </w:t>
      </w:r>
      <w:r>
        <w:rPr>
          <w:rFonts w:ascii="Times New Roman" w:hAnsi="Times New Roman"/>
          <w:sz w:val="24"/>
        </w:rPr>
        <w:t>They are responsible for the information they transmit to the above-mentioned registrant;</w:t>
      </w:r>
      <w:r>
        <w:rPr>
          <w:rFonts w:ascii="Times New Roman" w:hAnsi="Times New Roman"/>
          <w:sz w:val="24"/>
        </w:rPr>
        <w:br/>
      </w:r>
      <w:r w:rsidR="003541DB">
        <w:rPr>
          <w:rFonts w:ascii="Times New Roman" w:hAnsi="Times New Roman"/>
          <w:sz w:val="24"/>
        </w:rPr>
        <w:t xml:space="preserve">- </w:t>
      </w:r>
      <w:r>
        <w:rPr>
          <w:rFonts w:ascii="Times New Roman" w:hAnsi="Times New Roman"/>
          <w:sz w:val="24"/>
        </w:rPr>
        <w:t>They shall respect the validity framework of the collective environmental declaration;</w:t>
      </w:r>
      <w:r>
        <w:rPr>
          <w:rFonts w:ascii="Times New Roman" w:hAnsi="Times New Roman"/>
          <w:sz w:val="24"/>
        </w:rPr>
        <w:br/>
      </w:r>
      <w:r w:rsidR="003541DB">
        <w:rPr>
          <w:rFonts w:ascii="Times New Roman" w:hAnsi="Times New Roman"/>
          <w:sz w:val="24"/>
        </w:rPr>
        <w:t xml:space="preserve">- </w:t>
      </w:r>
      <w:r>
        <w:rPr>
          <w:rFonts w:ascii="Times New Roman" w:hAnsi="Times New Roman"/>
          <w:sz w:val="24"/>
        </w:rPr>
        <w:t>They shall provide a certificate indicating compliance with the validity framework of the collective environmental declaration;</w:t>
      </w:r>
      <w:r>
        <w:rPr>
          <w:rFonts w:ascii="Times New Roman" w:hAnsi="Times New Roman"/>
          <w:sz w:val="24"/>
        </w:rPr>
        <w:br/>
        <w:t>- they shall keep available for the inspection authorities and the legal entity responsible for implementing an environmental declarations programme the supporting evidence of compliance with the validity framework.</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The collective environmental declaration complies with the verification requirements of independent third party verification defined in Article R. 171-18 of the Code on Construction and Housing and referred to in Article R. 171-29 of the Code on Construction and Housing.</w:t>
      </w:r>
      <w:r>
        <w:rPr>
          <w:rFonts w:ascii="Times New Roman" w:hAnsi="Times New Roman"/>
          <w:sz w:val="24"/>
        </w:rPr>
        <w:br/>
        <w:t>5. The control indicators to be considered shall be, as a minimum: climate warming, non-renewable primary energy use other than non-renewable primary energy resources used as raw materials, non-hazardous waste disposed of;</w:t>
      </w:r>
      <w:r>
        <w:rPr>
          <w:rFonts w:ascii="Times New Roman" w:hAnsi="Times New Roman"/>
          <w:sz w:val="24"/>
        </w:rPr>
        <w:br/>
        <w:t>6. Collective environmental declarations must meet the following requirements: where the maximum value of each control indicator, obtained for the sum of the steps referred to in Article 3 to this Order and through the calculation of the variability described in Annex IV to this Order, is less than or equal to the average value of the indicator multiplied by a limit value, then the values of the indicators may be calculated with the mean values of the sensitive parameters. Otherwise, the least favourable threshold must be declared (the maximum value the indicator can achieve if it reflects an expense and the minimum value if it reflects a profit).</w:t>
      </w:r>
      <w:r>
        <w:rPr>
          <w:rFonts w:ascii="Times New Roman" w:hAnsi="Times New Roman"/>
          <w:sz w:val="24"/>
        </w:rPr>
        <w:br/>
        <w:t>For collective environmental declarations with a certificate of conformity before 1 October 2022, the above-mentioned limit value is “1.4” and the calculation of the variability mentioned above shall at least cover the sensitive parameters relating to:</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the composition of the product: mass and type of materials;</w:t>
      </w:r>
      <w:r>
        <w:rPr>
          <w:rFonts w:ascii="Times New Roman" w:hAnsi="Times New Roman"/>
          <w:sz w:val="24"/>
        </w:rPr>
        <w:br/>
        <w:t>- the packaging masses;</w:t>
      </w:r>
      <w:r>
        <w:rPr>
          <w:rFonts w:ascii="Times New Roman" w:hAnsi="Times New Roman"/>
          <w:sz w:val="24"/>
        </w:rPr>
        <w:br/>
        <w:t>- manufacturing processes apart from the extraction and processing of raw materials (stages A2 and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For collective environmental declarations with a certificate of conformity after 1 October 2022, the above-mentioned limit value is “1.35” and the calculation of the variability referred to above shall at least cover the sensitive parameters relating to:</w:t>
      </w:r>
    </w:p>
    <w:p w14:paraId="40F7CD3B" w14:textId="66593778"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the composition of the product: mass and type of materials;</w:t>
      </w:r>
      <w:r>
        <w:rPr>
          <w:rFonts w:ascii="Times New Roman" w:hAnsi="Times New Roman"/>
          <w:sz w:val="24"/>
        </w:rPr>
        <w:br/>
        <w:t>- the packaging masses;</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Manufacturing processes apart from the extraction and processing of raw materials (stages A2 and A3);</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Transport to the site (stage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Article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environmental declaration may be based on similar products from the same registrant. These environmental declarations must meet the requirements for collective environmental declarations defined in Article 8 to this Order.</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environmental declaration may be based on an assignable declaration.</w:t>
      </w:r>
      <w:r>
        <w:rPr>
          <w:rFonts w:ascii="Times New Roman" w:hAnsi="Times New Roman"/>
          <w:sz w:val="24"/>
        </w:rPr>
        <w:br/>
        <w:t>This assignable declaration meets the following conditions:</w:t>
      </w:r>
    </w:p>
    <w:p w14:paraId="6A4F1CB3" w14:textId="03D8530B"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It concerns a ‘standard product’;</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It shall be established under the conditions referred to in the preceding Articles;</w:t>
      </w:r>
      <w:r>
        <w:rPr>
          <w:rFonts w:ascii="Times New Roman" w:hAnsi="Times New Roman"/>
          <w:sz w:val="24"/>
        </w:rPr>
        <w:br/>
      </w:r>
      <w:r w:rsidR="00E65F49">
        <w:rPr>
          <w:rFonts w:ascii="Times New Roman" w:hAnsi="Times New Roman"/>
          <w:sz w:val="24"/>
        </w:rPr>
        <w:t xml:space="preserve">- </w:t>
      </w:r>
      <w:r>
        <w:rPr>
          <w:rFonts w:ascii="Times New Roman" w:hAnsi="Times New Roman"/>
          <w:sz w:val="24"/>
        </w:rPr>
        <w:t>It shall contain a set of calculation rules for adapting, on the basis of changeable parameters, the information mentioned therein to correspond to a product similar to the standard product but the dimensions, composition or certain life-cycle processes of which differ;</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The value of the changeable parameters referred to above must be able to be verifiable upon delivery of a building;</w:t>
      </w:r>
      <w:r>
        <w:rPr>
          <w:rFonts w:ascii="Times New Roman" w:hAnsi="Times New Roman"/>
          <w:sz w:val="24"/>
        </w:rPr>
        <w:br/>
        <w:t>- it contains a conformity framework defining the values that may be taken by the aforementioned changeable parameters and the characteristics to be met by the aforementioned similar product.</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Any assignable declaration with a certificate of conformity after 1 October 2022 shall be accompanied by a computer calculation tool for applying the above-mentioned calculation rules and for exporting the information required in Article R. 171-17 of the Code on Construction and Housing and in Article 3 of this Order, together with the list of the above-mentioned changeable parameters and their associated values. All this information is exported as a computer file according to the format defined on the website of the Ministry in charge of construction.</w:t>
      </w:r>
      <w:r>
        <w:rPr>
          <w:rFonts w:ascii="Times New Roman" w:hAnsi="Times New Roman"/>
          <w:sz w:val="24"/>
        </w:rPr>
        <w:br/>
        <w:t>The independent third-party verification defined to in Article R. 171-18 of the Code on Construction and Housing and mentioned in Article R. 171-29 of the Code on Construction and Housing shall also, in the case of an assignable declaration, cover the calculation rules referred to in this article and the computer calculation tool referred to in the preceding paragraph.</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The certification of environmental characteristics referred to in Article R. 171-27 of the Code on Construction and Housing is presumed to conform if it </w:t>
      </w:r>
      <w:proofErr w:type="gramStart"/>
      <w:r>
        <w:rPr>
          <w:rFonts w:ascii="Times New Roman" w:hAnsi="Times New Roman"/>
          <w:sz w:val="24"/>
        </w:rPr>
        <w:t>takes into account</w:t>
      </w:r>
      <w:proofErr w:type="gramEnd"/>
      <w:r>
        <w:rPr>
          <w:rFonts w:ascii="Times New Roman" w:hAnsi="Times New Roman"/>
          <w:sz w:val="24"/>
        </w:rPr>
        <w:t xml:space="preserve"> all the requirements of standard NF EN ISO 14024: 2018-03. This certification of construction or decorating products or equipment is issued by an organisation accredited for this purpose by the French Accreditation Committee (COFRAC) or by another accreditation body signatory to multilateral mutual recognition agreements.</w:t>
      </w:r>
      <w:r>
        <w:rPr>
          <w:rFonts w:ascii="Times New Roman" w:hAnsi="Times New Roman"/>
          <w:sz w:val="24"/>
        </w:rPr>
        <w:br/>
      </w:r>
      <w:r>
        <w:rPr>
          <w:rFonts w:ascii="Times New Roman" w:hAnsi="Times New Roman"/>
          <w:sz w:val="24"/>
        </w:rPr>
        <w:lastRenderedPageBreak/>
        <w:t>This section does not apply to environmental declarations used in the calculation of the environmental performance of buildings.</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Order of 23 December 2013 concerning the environmental declaration of construction and decoration products for use in building works is repealed.</w:t>
      </w:r>
      <w:r>
        <w:rPr>
          <w:rFonts w:ascii="Times New Roman" w:hAnsi="Times New Roman"/>
          <w:sz w:val="24"/>
        </w:rPr>
        <w:br/>
        <w:t>The Order of 31 August 2015 on the environmental declaration of electrical, electronic and climate engineering equipment for use in building works is repealed.</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provisions of this Order shall enter into force on 1 January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Director of Housing, Urban Development and Landscapes shall be responsible for implementing this Order which shall be published in the Official Journal of the French Republic.</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ANNEXES</w:t>
      </w:r>
      <w:r>
        <w:rPr>
          <w:rFonts w:ascii="Times New Roman" w:hAnsi="Times New Roman"/>
          <w:sz w:val="24"/>
        </w:rPr>
        <w:br/>
        <w:t>ANNEX I</w:t>
      </w:r>
      <w:r>
        <w:rPr>
          <w:rFonts w:ascii="Times New Roman" w:hAnsi="Times New Roman"/>
          <w:sz w:val="24"/>
        </w:rPr>
        <w:br/>
        <w:t>FUNCTIONAL UNIT FORMATS FOR EACH CATEGORY OF CONSTRUCTION OR DECORATING PRODUCTS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9"/>
        <w:gridCol w:w="2124"/>
        <w:gridCol w:w="3082"/>
        <w:gridCol w:w="3280"/>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UNIT FORMAT</w:t>
            </w:r>
            <w:r>
              <w:rPr>
                <w:rFonts w:ascii="Times New Roman" w:hAnsi="Times New Roman"/>
                <w:b/>
                <w:sz w:val="24"/>
              </w:rPr>
              <w:br/>
              <w:t>functional in units</w:t>
            </w:r>
            <w:r>
              <w:rPr>
                <w:rFonts w:ascii="Times New Roman" w:hAnsi="Times New Roman"/>
                <w:b/>
                <w:sz w:val="24"/>
              </w:rPr>
              <w:br/>
              <w:t>of the international system</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Roads, miscellaneous networks (including internal networks)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Tanks and reservoirs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 unit of a given volume</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Drainage and sanitation networks (rainwater and waste water)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Water supply networks (interior and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Gas supply networks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Drainage 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Roads and external surfacing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surfacing for a given use (external terrace, low traffic roads, parking, etc.)</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Fencing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of fencing</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Sheaths/ducts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Structure, masonry, major work, frame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Flue blocks and chimney flue pipes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of given inner section duct</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Screeds/floating screeds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for a given thickness</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Frames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covered area or m</w:t>
            </w:r>
            <w:r>
              <w:rPr>
                <w:rFonts w:ascii="Times New Roman" w:hAnsi="Times New Roman"/>
                <w:sz w:val="24"/>
                <w:vertAlign w:val="superscript"/>
              </w:rPr>
              <w:t>3</w:t>
            </w:r>
            <w:r>
              <w:rPr>
                <w:rFonts w:ascii="Times New Roman" w:hAnsi="Times New Roman"/>
                <w:sz w:val="24"/>
              </w:rPr>
              <w:t xml:space="preserve"> or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Braces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bracing or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Slabs and pre-cast slabs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Horizontal bearing elements (beams, joists, insulation, hollow-core slabs, voided slabs, lintels)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of load-bearing element (specify scope and section) or m² (for surfacing element) or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Vertical load-bearing elements (posts/columns/pillars)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of element (specify section) or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Stairs (internal and external)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 unit for a given height elevation</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Foundations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Small masonry components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(specify thermal resistance)</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Floors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flooring (specify the load supported)</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Walls (architectural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(specify thickness)</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Façades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Cladding (dressing, weatherboarding, cladding)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façade</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Curtain walls and skylights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façade (specify percentage of opaque surface)</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External surfacing of façades (including composite external thermal insulation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façade (specify the thermal resistance if relevant)</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Roofing/sealing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Large roofing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coverage</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Small roofing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coverage</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Waterproofing and sealing products for buried walls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coverage</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Products for roofing sealing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coverage</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Green roofing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coverage (specify the type of vegetation supported and the thermal characteristics if relevant)</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Internal and external carpentry, closures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Windows, French windows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joinery (open surface area before fitting) (specify U-value, solar factor, air water wind rating and light transmission)</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Guardrails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of guardrails</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Doors (internal, external, portal,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(open surface area before installation)</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lang w:val="da-DK"/>
              </w:rPr>
            </w:pPr>
            <w:r w:rsidRPr="00E65F49">
              <w:rPr>
                <w:rFonts w:ascii="Times New Roman" w:hAnsi="Times New Roman"/>
                <w:sz w:val="24"/>
                <w:lang w:val="en-US"/>
              </w:rPr>
              <w:br/>
            </w:r>
            <w:proofErr w:type="spellStart"/>
            <w:r w:rsidRPr="00657670">
              <w:rPr>
                <w:rFonts w:ascii="Times New Roman" w:hAnsi="Times New Roman"/>
                <w:sz w:val="24"/>
                <w:lang w:val="da-DK"/>
              </w:rPr>
              <w:t>Shutters</w:t>
            </w:r>
            <w:proofErr w:type="spellEnd"/>
            <w:r w:rsidRPr="00657670">
              <w:rPr>
                <w:rFonts w:ascii="Times New Roman" w:hAnsi="Times New Roman"/>
                <w:sz w:val="24"/>
                <w:lang w:val="da-DK"/>
              </w:rPr>
              <w:t xml:space="preserve">, roller </w:t>
            </w:r>
            <w:proofErr w:type="spellStart"/>
            <w:r w:rsidRPr="00657670">
              <w:rPr>
                <w:rFonts w:ascii="Times New Roman" w:hAnsi="Times New Roman"/>
                <w:sz w:val="24"/>
                <w:lang w:val="da-DK"/>
              </w:rPr>
              <w:t>blinds</w:t>
            </w:r>
            <w:proofErr w:type="spellEnd"/>
            <w:r w:rsidRPr="00657670">
              <w:rPr>
                <w:rFonts w:ascii="Times New Roman" w:hAnsi="Times New Roman"/>
                <w:sz w:val="24"/>
                <w:lang w:val="da-DK"/>
              </w:rPr>
              <w:t xml:space="preserve">, </w:t>
            </w:r>
            <w:proofErr w:type="spellStart"/>
            <w:r w:rsidRPr="00657670">
              <w:rPr>
                <w:rFonts w:ascii="Times New Roman" w:hAnsi="Times New Roman"/>
                <w:sz w:val="24"/>
                <w:lang w:val="da-DK"/>
              </w:rPr>
              <w:t>louvres</w:t>
            </w:r>
            <w:proofErr w:type="spellEnd"/>
            <w:r w:rsidRPr="00657670">
              <w:rPr>
                <w:rFonts w:ascii="Times New Roman" w:hAnsi="Times New Roman"/>
                <w:sz w:val="24"/>
                <w:lang w:val="da-DK"/>
              </w:rPr>
              <w:t>, sun-breaks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sidRPr="00657670">
              <w:rPr>
                <w:rFonts w:ascii="Times New Roman" w:hAnsi="Times New Roman"/>
                <w:sz w:val="24"/>
                <w:lang w:val="en-US"/>
              </w:rPr>
              <w:br/>
            </w:r>
            <w:r>
              <w:rPr>
                <w:rFonts w:ascii="Times New Roman" w:hAnsi="Times New Roman"/>
                <w:sz w:val="24"/>
              </w:rPr>
              <w:t>m² of opaque/protected surface area</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Skylights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joinery (open surface area before fitting) (specify U-value, solar factor, air water wind rating and light transmission)</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Insulation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Chevroned boxes, roof panels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thermal resistance)</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Lining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thermal resistance)</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Additional insulation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thermal resistance)</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Hollow-core slabs, insulating panels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thermal resistance)</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Thermal and acoustic wall insulators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 or sound performance)</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Thermal and acoustic insulators for attics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Heat and sound insulation, in 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Heat and sound insulators for roofing terraces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Under-screed heat and sound insulation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 or sound performance)</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Non-load-bearing distributed insulation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Heat and sound insulators for walls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Sound insulators for partitions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sound performance)</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Heat and sound insulation under slabs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 or sound performance)</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Insulation under paving and ground slabs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insulation (specify heat resistance)</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Partitioning, suspended ceilings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Partitioning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partitioning (specify an acoustic performance if relevant)</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Suspended ceilings, stretch ceilings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suspended ceiling (specify acoustic performance)</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Flooring and wall coverings, paints, decorating products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Paints, stains and varnishes, paint renders (without saturators)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covered area</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Skirting boards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of skirtings</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Wall and ceiling coatings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coating</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Hard floor coverings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coating (specify the class of use or classification of resistance to wear and punching, water behaviour and resistance to chemical agents, or equivalent)</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Soft floor coverings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coating (specify the class of use or classification of resistance to wear and punching, water behaviour and resistance to chemical agents, or equivalent)</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Acoustic products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coating (specify the class of use or classification of resistance to wear and punching, water behaviour and resistance to chemical agents, or equivalent)</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Saturators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covered area</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Preparation and implementation products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Carpentry adhesives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(specify density)</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Repairs and assembly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(specify density)</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of adhesive to the ground</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Masonry mortars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(specify density)</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Tiling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tiled</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Decoration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(specify density)</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Mastics and polyurethane foams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(specify linear mass)</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Building chemistry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(specify density)</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Products for concrete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(specify density)</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Synthetic resins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(specify density)</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Sanitary and bathroom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Taps and shower columns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 (specify type)</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Bathtub</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 (specify volume of capacity in litre and shape)</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Shower 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 (specify dimensions: width and length)</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Unit (specify dimensions: width, </w:t>
            </w:r>
            <w:proofErr w:type="gramStart"/>
            <w:r>
              <w:rPr>
                <w:rFonts w:ascii="Times New Roman" w:hAnsi="Times New Roman"/>
                <w:sz w:val="24"/>
              </w:rPr>
              <w:t>length</w:t>
            </w:r>
            <w:proofErr w:type="gramEnd"/>
            <w:r>
              <w:rPr>
                <w:rFonts w:ascii="Times New Roman" w:hAnsi="Times New Roman"/>
                <w:sz w:val="24"/>
              </w:rPr>
              <w:t xml:space="preserve"> and number of bins)</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Wash basin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Unit (specify dimensions: width, </w:t>
            </w:r>
            <w:proofErr w:type="gramStart"/>
            <w:r>
              <w:rPr>
                <w:rFonts w:ascii="Times New Roman" w:hAnsi="Times New Roman"/>
                <w:sz w:val="24"/>
              </w:rPr>
              <w:t>length</w:t>
            </w:r>
            <w:proofErr w:type="gramEnd"/>
            <w:r>
              <w:rPr>
                <w:rFonts w:ascii="Times New Roman" w:hAnsi="Times New Roman"/>
                <w:sz w:val="24"/>
              </w:rPr>
              <w:t xml:space="preserve"> and number of bins)</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Toilet – Bowl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 (specify dimensions: width and length)</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Other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ANNEX II</w:t>
      </w:r>
      <w:r>
        <w:rPr>
          <w:rFonts w:ascii="Times New Roman" w:hAnsi="Times New Roman"/>
          <w:sz w:val="24"/>
        </w:rPr>
        <w:br/>
        <w:t>FORMATS OF FUNCTIONAL UNITS OR UNITS DECLARED FOR THE FACILITIES</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9"/>
        <w:gridCol w:w="1583"/>
        <w:gridCol w:w="1583"/>
        <w:gridCol w:w="1197"/>
        <w:gridCol w:w="1010"/>
        <w:gridCol w:w="2050"/>
        <w:gridCol w:w="2118"/>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Category</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Functional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Declared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Solution</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Installation facility for the electricity and communication networks</w:t>
            </w:r>
            <w:r>
              <w:rPr>
                <w:rFonts w:ascii="Times New Roman" w:hAnsi="Times New Roman"/>
                <w:sz w:val="24"/>
              </w:rPr>
              <w:br/>
              <w:t>≤ 63 Amp.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Wall fittings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Automated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Motion sensors</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Thermostats</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Dimmers</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Equipment boxes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For drywalling</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For masonry</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Controls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Switches</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Push buttons</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Others: Ducted ventilation, roller blind, etc.</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Plates and supports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Wall equipment sub-assembly</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Sockets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Low current outlets</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High current sockets</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Various sockets (TV, loudspeaker, IT, etc.)</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Audio output: loudspeaker</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Audio output: bells and chimes</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Indicator lights</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Remote controls, shutters, clamps</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Modular equipment for enclosures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General protective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Connections</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Circuit breakers</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Mains connection circuit breakers</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Switches/isolators</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Source inverters</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Differential relays</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Protection against lightning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Lightning rods</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Telecommunications lightning rods</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Line protection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Circuit breakers</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Divisional circuit breakers</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 circuit breakers</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Fuses</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Earth leakage protection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Differential blocks</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 circuit breakers</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 switches</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Lighting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Photocell switches</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Solar management</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Dimmers</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Energy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Load shedders</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Energy managers</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Blind and shutter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Blind and shutter management</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Time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Intersecting schedules</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Timers</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Timer relays</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Thermal management </w:t>
            </w:r>
            <w:r>
              <w:rPr>
                <w:rFonts w:ascii="Times New Roman" w:hAnsi="Times New Roman"/>
                <w:sz w:val="24"/>
              </w:rPr>
              <w:lastRenderedPageBreak/>
              <w:t>(heating, ventilation)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Thermostats</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Measurement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Energy meters</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Rain, sun sensors, etc.</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Voltmeters, ammeters</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Control devices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Push buttons</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Contactors</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Switches, inverters, commutators, etc.</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Remote impulse switches</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Signalling devices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Chimes and ringtones</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Indicator lights</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Home automation and communication systems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Multimedia networks and VDI (Voice Data Image)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Modular equipment for home automation</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Home automation terminal equipment</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Signalling/detection distributors</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Wi-Fi access points</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Enclosures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Cabinets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Polyester cabinets</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Metal cabinets</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Connections</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Cabinet equipment</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 covers</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Flush-fitting boxes</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Watertight boxes</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Protruding boxes</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VDI boxes</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Junction boxes</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Desks, heat management of enclosures</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Cable routing solutions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Metre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Cable routing systems and cable racks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Wire cable paths</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Tiled cable trays</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Cable racks</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Trunking systems and ducts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Ducts</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Profiled ducts</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Rigid tubes and ducts</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Supply ducts</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Floor ducts</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Installation ducts</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Mouldings and skirting boards</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Other point products for cable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Technical installation housing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Floor ducts</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Splitter boxes and vertical installation columns</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Cable trunking for cabinets</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Other and accessories</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Other</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Connection/junction (outside enclosure)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Junction blocks</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Connectors</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Industrial sockets</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Power supplies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Transformers</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 sources</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Mobile electrical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Inspection light</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Multi-socket adaptor blocks, telephone splitter sockets, other</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Flap opening motor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Motorisation of doors, gates, etc.</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Motorisation of roller blinds</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Wires and cables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Electrical networks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Medium voltage cables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Low voltage cables &lt;1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Electrical network accessories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Electricity and data transfer inside the building</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Energy wires and cables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Copper and optical fibre communication cables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Accessories inside the building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Other wires and cables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Uninsulated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Heating cables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Safety of individuals and access control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 detection and control</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Intruder detection 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Intruder detection equipment</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Control equipment (keyboard, remote control, etc.)</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 consoles</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Signalling equipment (siren, transmitter, etc.)</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 control 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Audio door entry</w:t>
            </w:r>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Video door entry</w:t>
            </w:r>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 surveillance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 surveillance 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Image capture equipment (cameras)</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Image management equipment</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Interconnections</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Security of the building</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Security lighting system</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Surroundings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Self-contained emergency lighting units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Light fitting for central source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Floodlight units</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Evacuation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Self-contained emergency lighting units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Independent residential lighting units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Dual function unit (B.A.E.S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Light fitting for central source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(lighting device)</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(enhanced identification device)</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Emergency lighting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Independent residential lighting units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Dual function unit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Portable stand-alone </w:t>
            </w:r>
            <w:r>
              <w:rPr>
                <w:rFonts w:ascii="Times New Roman" w:hAnsi="Times New Roman"/>
                <w:sz w:val="24"/>
              </w:rPr>
              <w:lastRenderedPageBreak/>
              <w:t>intervention units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Supply</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 source for emergency light fitting</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Fire safety</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Fire safety and technical alarm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Independent smoke detectors/alarms</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Technical alarms and detectors (flooding, gas, etc.)</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Self-contained carbon monoxide detectors</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Technical alarms and detectors</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HVAC equipment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Heating and/or cooling and/or domestic hot water production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Boiler (heating alone)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 boiler</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Fuel oil boiler</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 boiler</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Biomass boiler</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Mixed boiler (heating and domestic hot water)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 boiler</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Fuel oil boiler</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Independent biomass appliances</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Heat pump</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Electric compression heat pump</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 heat pump</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Water circulation pump</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Heated towel rail</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Direct electrical heating via a visible fixed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Convector</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Radiant</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Equipment with a secondary function as a heated towel rail</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Domestic hot water production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Litre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Individual storage water heater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Electric water heater</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Thermodynamic water heater</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 water heater</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Individual solar water heater</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End comfort units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Fan heaters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Fan heaters</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or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Climate beams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Passive climate beams</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Active climate beams</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Dynamic radiators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Dynamic radiators</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Ducts and network accessories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Bends and accessories</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Flexible ducts</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Rigid ducts</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Air diffusion</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Air inlets</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Passive terminals</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Diffusers</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Air filter</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Extractor and blower openings</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Air treatment</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Air treatment plant</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Double flow unit</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Ventilation box</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Single flow mechanically controlled ventilation (VMC)</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Double flow mechanically controlled ventilation (VMC)</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Ventilation box</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Refrigeration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Ice water production unit</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Cooling tower</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Air coolers</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Mechanical smoke extractor</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Turret, fan</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Fire damper or firewall, damper, shutter</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Relay box</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Local </w:t>
            </w:r>
            <w:r>
              <w:rPr>
                <w:rFonts w:ascii="Times New Roman" w:hAnsi="Times New Roman"/>
                <w:sz w:val="24"/>
              </w:rPr>
              <w:lastRenderedPageBreak/>
              <w:t>electricity production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Electricity generator</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Photovoltaic modules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Crystalline silicon </w:t>
            </w:r>
            <w:r>
              <w:rPr>
                <w:rFonts w:ascii="Times New Roman" w:hAnsi="Times New Roman"/>
                <w:sz w:val="24"/>
              </w:rPr>
              <w:lastRenderedPageBreak/>
              <w:t>(monocrystalline or polycrystalline)</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Thin layers</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Wind turbines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Horizontal</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Vertical</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Conversion and regulation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Synchronous inverters</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Autonomous inverters</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DC/DC converter</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AC/DC converter</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Load controller</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Storage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Electrochemical battery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Lead - acid</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Lithium - ion</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Other</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Monitoring</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Monitoring equipment</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Lighting equipment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Equipment for indoor lighting and power supplies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Recessed lighting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Linear interior flush-fitting lighting for office lighting</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Non-linear interior recessed lighting for office lighting</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Indoor recessed </w:t>
            </w:r>
            <w:r>
              <w:rPr>
                <w:rFonts w:ascii="Times New Roman" w:hAnsi="Times New Roman"/>
                <w:sz w:val="24"/>
              </w:rPr>
              <w:lastRenderedPageBreak/>
              <w:t>accent lighting (spots)</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Surface-mounted lights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Ceiling lights, linear internal suspended fittings for office or industrial lighting</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Functional internal linear surface-mounted wall lighting</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Ceiling lights, surface-mounted wall lighting, decorative internal suspended fittings</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Internal portholes</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Interior lighting strips (with no optical devices, in contrast to linear products)</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Internal spotlights, wall or rail-mounted or suspended, for accent lighting</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Water-resistant internal light fittings</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LED flexible bars and strips (including power supply)</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Suspended fittings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Industrial fittings</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Continuous on-line structures for industrial or commercial lighting</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Mountings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Spotlight supply rails</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Equipment for outdoor lighting and power supplies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Spotlights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Spotlights for sports and large areas</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Outdoor spotlights for decorative lighting</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Light fittings for outdoor lighting, other than spotlights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Light fittings for decorative lighting</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Light fittings for functional lighting</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Period lighting</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Recessed spotlights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Outdoor spotlights to be recessed in flooring or walls</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Recessed lighting for orientation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Outdoor orientation lighting fixtures to be recessed in the floor or walls</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Posts and columns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Decorative external terminals</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Decorative external light columns</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Water-resistant light fittings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Surface-mounted wall lights and waterproof portholes</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Submersible recessed lighting for swimming pools or fountains</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Submersible spotlights for </w:t>
            </w:r>
            <w:r>
              <w:rPr>
                <w:rFonts w:ascii="Times New Roman" w:hAnsi="Times New Roman"/>
                <w:sz w:val="24"/>
              </w:rPr>
              <w:lastRenderedPageBreak/>
              <w:t>swimming pools or fountains</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Masts and mountings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Masts</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Butts</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Various mountings for outdoor light fittings</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Miscellaneous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sidRPr="004C6E58">
        <w:rPr>
          <w:rFonts w:ascii="Times New Roman" w:hAnsi="Times New Roman"/>
          <w:caps/>
          <w:sz w:val="24"/>
        </w:rPr>
        <w:t>Annex III</w:t>
      </w:r>
      <w:r w:rsidRPr="004C6E58">
        <w:rPr>
          <w:rFonts w:ascii="Times New Roman" w:hAnsi="Times New Roman"/>
          <w:caps/>
          <w:sz w:val="24"/>
        </w:rPr>
        <w:br/>
        <w:t>Calculation of profits and expenses relating to end-of-life valuation.</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sidRPr="004C6E58">
        <w:rPr>
          <w:rFonts w:ascii="Times New Roman" w:hAnsi="Times New Roman"/>
          <w:caps/>
          <w:sz w:val="24"/>
        </w:rPr>
        <w:br/>
      </w:r>
      <w:r>
        <w:rPr>
          <w:rFonts w:ascii="Times New Roman" w:hAnsi="Times New Roman"/>
          <w:sz w:val="24"/>
        </w:rPr>
        <w:t xml:space="preserve">The display of a positive value results in a net charge and a </w:t>
      </w:r>
      <w:proofErr w:type="gramStart"/>
      <w:r>
        <w:rPr>
          <w:rFonts w:ascii="Times New Roman" w:hAnsi="Times New Roman"/>
          <w:sz w:val="24"/>
        </w:rPr>
        <w:t>negative value results</w:t>
      </w:r>
      <w:proofErr w:type="gramEnd"/>
      <w:r>
        <w:rPr>
          <w:rFonts w:ascii="Times New Roman" w:hAnsi="Times New Roman"/>
          <w:sz w:val="24"/>
        </w:rPr>
        <w:t xml:space="preserve"> in a net profit.</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In the event of recycling, for a given flow of recycled waste (and thus a given lambda material), the following formula applies:</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ChargeNetRecycl</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 – MS (IS – IV),</w:t>
      </w:r>
      <w:r>
        <w:rPr>
          <w:rFonts w:ascii="Times New Roman" w:hAnsi="Times New Roman"/>
          <w:sz w:val="24"/>
        </w:rPr>
        <w:br/>
        <w:t>where</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mass (kg) of secondary material actually recovered from the mass of stock collected (lambda component of material in the ‘materials destined for recycling’ flow);</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production inventory (per kg) of material (or mixture) for which the recycled lambda secondary material is substituted in the downstream system using it (i.e. not the production inventory of the downstream product, but the production inventory material that makes up this downstream product);</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inventory (per kg) of production of ready-to-use secondary material in the downstream system from the stock;</w:t>
      </w:r>
      <w:r>
        <w:rPr>
          <w:rFonts w:ascii="Times New Roman" w:hAnsi="Times New Roman"/>
          <w:sz w:val="24"/>
        </w:rPr>
        <w:br/>
        <w:t>MS = mass (kg) of secondary material incorporated into the product to which the declaration applies at manufacture (lambda component of material in the ‘use of secondary materials’ flow);</w:t>
      </w:r>
      <w:r>
        <w:rPr>
          <w:rFonts w:ascii="Times New Roman" w:hAnsi="Times New Roman"/>
          <w:sz w:val="24"/>
        </w:rPr>
        <w:br/>
        <w:t xml:space="preserve">IV = production inventory (per kg) of virgin material used to produce the product to </w:t>
      </w:r>
      <w:r>
        <w:rPr>
          <w:rFonts w:ascii="Times New Roman" w:hAnsi="Times New Roman"/>
          <w:sz w:val="24"/>
        </w:rPr>
        <w:lastRenderedPageBreak/>
        <w:t>which the declaration applies, in the absence of any recycling of the material;</w:t>
      </w:r>
      <w:r>
        <w:rPr>
          <w:rFonts w:ascii="Times New Roman" w:hAnsi="Times New Roman"/>
          <w:sz w:val="24"/>
        </w:rPr>
        <w:br/>
        <w:t>IS = inventory (per kg) of production of the ready-to-use secondary material used to produce the product to which the declaration applies.</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In the case of energy recovery, for a given flow of recycled waste, the following formula applies:</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ChargeNetValoNRJ</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PCISval</w:t>
      </w:r>
      <w:proofErr w:type="spellEnd"/>
      <w:r>
        <w:rPr>
          <w:rFonts w:ascii="Times New Roman" w:hAnsi="Times New Roman"/>
          <w:sz w:val="24"/>
        </w:rPr>
        <w:t xml:space="preserve"> × </w:t>
      </w:r>
      <w:proofErr w:type="spellStart"/>
      <w:r>
        <w:rPr>
          <w:rFonts w:ascii="Times New Roman" w:hAnsi="Times New Roman"/>
          <w:sz w:val="24"/>
        </w:rPr>
        <w:t>REval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w:t>
      </w:r>
      <w:r>
        <w:rPr>
          <w:rFonts w:ascii="Times New Roman" w:hAnsi="Times New Roman"/>
          <w:sz w:val="24"/>
        </w:rPr>
        <w:br/>
        <w:t>where</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mass (in kg) of secondary material actually recovered from the collected mass of stock (lambda component(s) of ‘energy recovery materials’ flow material);</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production inventory (per kg) of the energy for which the energy recovered by energy recycling of the secondary materials is substituted in the downstream system (i.e. not the production inventory of the downstream system to which the secondary material will contribute, but the production inventory of energy consumed by the downstream system, expressed in MJ delivered);</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inventory (per kg) of energy recycling of the secondary material from stock, for which the reference flow is the mass of recycled secondary material;</w:t>
      </w:r>
      <w:r>
        <w:rPr>
          <w:rFonts w:ascii="Times New Roman" w:hAnsi="Times New Roman"/>
          <w:sz w:val="24"/>
        </w:rPr>
        <w:br/>
      </w:r>
      <w:proofErr w:type="spellStart"/>
      <w:r>
        <w:rPr>
          <w:rFonts w:ascii="Times New Roman" w:hAnsi="Times New Roman"/>
          <w:sz w:val="24"/>
        </w:rPr>
        <w:t>PCISval</w:t>
      </w:r>
      <w:proofErr w:type="spellEnd"/>
      <w:r>
        <w:rPr>
          <w:rFonts w:ascii="Times New Roman" w:hAnsi="Times New Roman"/>
          <w:sz w:val="24"/>
        </w:rPr>
        <w:t xml:space="preserve"> = IBD (MJ/kg) of secondary material recovered;</w:t>
      </w:r>
      <w:r>
        <w:rPr>
          <w:rFonts w:ascii="Times New Roman" w:hAnsi="Times New Roman"/>
          <w:sz w:val="24"/>
        </w:rPr>
        <w:br/>
      </w:r>
      <w:proofErr w:type="spellStart"/>
      <w:r>
        <w:rPr>
          <w:rFonts w:ascii="Times New Roman" w:hAnsi="Times New Roman"/>
          <w:sz w:val="24"/>
        </w:rPr>
        <w:t>REval</w:t>
      </w:r>
      <w:proofErr w:type="spellEnd"/>
      <w:r>
        <w:rPr>
          <w:rFonts w:ascii="Times New Roman" w:hAnsi="Times New Roman"/>
          <w:sz w:val="24"/>
        </w:rPr>
        <w:t xml:space="preserve"> = energy output of the recovered secondary material energy recycling installation.</w:t>
      </w:r>
      <w:r>
        <w:rPr>
          <w:rFonts w:ascii="Times New Roman" w:hAnsi="Times New Roman"/>
          <w:sz w:val="24"/>
        </w:rPr>
        <w:br/>
        <w:t>The overall benefit for the product declared is then obtained as the sum of all the collective benefits calculated for each of the materials/flows.</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ANNEX IV</w:t>
      </w:r>
      <w:r>
        <w:rPr>
          <w:rFonts w:ascii="Times New Roman" w:hAnsi="Times New Roman"/>
          <w:sz w:val="24"/>
        </w:rPr>
        <w:br/>
        <w:t>FRAMEWORK FOR THE VALIDITY OF COLLECTIVE ENVIRONMENTAL DECLARATIONS FOR PRODUCTS</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Homogeneity</w:t>
      </w:r>
      <w:r>
        <w:rPr>
          <w:rFonts w:ascii="Times New Roman" w:hAnsi="Times New Roman"/>
          <w:sz w:val="24"/>
        </w:rPr>
        <w:br/>
        <w:t xml:space="preserve">A life cycle analysis (LCA) involves a large amount of data for numerous scenarios. Certain data are collected on-site, some are </w:t>
      </w:r>
      <w:proofErr w:type="gramStart"/>
      <w:r>
        <w:rPr>
          <w:rFonts w:ascii="Times New Roman" w:hAnsi="Times New Roman"/>
          <w:sz w:val="24"/>
        </w:rPr>
        <w:t>calculated</w:t>
      </w:r>
      <w:proofErr w:type="gramEnd"/>
      <w:r>
        <w:rPr>
          <w:rFonts w:ascii="Times New Roman" w:hAnsi="Times New Roman"/>
          <w:sz w:val="24"/>
        </w:rPr>
        <w:t xml:space="preserve"> and some are estimated. The data supplying an LCA are therefore data with a certain level of uncertainty. </w:t>
      </w:r>
      <w:proofErr w:type="gramStart"/>
      <w:r>
        <w:rPr>
          <w:rFonts w:ascii="Times New Roman" w:hAnsi="Times New Roman"/>
          <w:sz w:val="24"/>
        </w:rPr>
        <w:t>Thus</w:t>
      </w:r>
      <w:proofErr w:type="gramEnd"/>
      <w:r>
        <w:rPr>
          <w:rFonts w:ascii="Times New Roman" w:hAnsi="Times New Roman"/>
          <w:sz w:val="24"/>
        </w:rPr>
        <w:t xml:space="preserve"> the result of an LCA is fairly sensitive to variations in input data.</w:t>
      </w:r>
      <w:r>
        <w:rPr>
          <w:rFonts w:ascii="Times New Roman" w:hAnsi="Times New Roman"/>
          <w:sz w:val="24"/>
        </w:rPr>
        <w:br/>
        <w:t>Article 8 to this Order requires that the environmental impacts of registrants using the same collective environmental declaration be homogeneous. Thus, a collective environmental declaration will cover environmentally homogeneous products if it is possible to ensure that all products covered declare environmental impacts below a limit value if they comply with the validity framework associated with this collective environmental declaration.</w:t>
      </w:r>
      <w:r>
        <w:rPr>
          <w:rFonts w:ascii="Times New Roman" w:hAnsi="Times New Roman"/>
          <w:sz w:val="24"/>
        </w:rPr>
        <w:br/>
        <w:t>It is accepted that this homogeneity should only be demonstrated for certain control indicators.</w:t>
      </w:r>
      <w:r>
        <w:rPr>
          <w:rFonts w:ascii="Times New Roman" w:hAnsi="Times New Roman"/>
          <w:sz w:val="24"/>
        </w:rPr>
        <w:br/>
        <w:t xml:space="preserve">For LCA indicators, the demonstration of homogeneity is carried out through a </w:t>
      </w:r>
      <w:r>
        <w:rPr>
          <w:rFonts w:ascii="Times New Roman" w:hAnsi="Times New Roman"/>
          <w:sz w:val="24"/>
        </w:rPr>
        <w:lastRenderedPageBreak/>
        <w:t xml:space="preserve">sensitivity analysis of uncertain parameters and parameters varying from one registrant to another. It is strongly recommended that this analysis be carried out early in the LCA process and that the collective environmental declaration be built </w:t>
      </w:r>
      <w:proofErr w:type="gramStart"/>
      <w:r>
        <w:rPr>
          <w:rFonts w:ascii="Times New Roman" w:hAnsi="Times New Roman"/>
          <w:sz w:val="24"/>
        </w:rPr>
        <w:t>on the basis of</w:t>
      </w:r>
      <w:proofErr w:type="gramEnd"/>
      <w:r>
        <w:rPr>
          <w:rFonts w:ascii="Times New Roman" w:hAnsi="Times New Roman"/>
          <w:sz w:val="24"/>
        </w:rPr>
        <w:t xml:space="preserve"> this analysis.</w:t>
      </w:r>
      <w:r>
        <w:rPr>
          <w:rFonts w:ascii="Times New Roman" w:hAnsi="Times New Roman"/>
          <w:sz w:val="24"/>
        </w:rPr>
        <w:br/>
        <w:t>2. Sensitivity analysis</w:t>
      </w:r>
      <w:r>
        <w:rPr>
          <w:rFonts w:ascii="Times New Roman" w:hAnsi="Times New Roman"/>
          <w:sz w:val="24"/>
        </w:rPr>
        <w:br/>
        <w:t>An LCA sensitivity analysis must involve the following stages:</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Selection of control indicators;</w:t>
      </w:r>
      <w:r>
        <w:rPr>
          <w:rFonts w:ascii="Times New Roman" w:hAnsi="Times New Roman"/>
          <w:sz w:val="24"/>
        </w:rPr>
        <w:br/>
        <w:t>b) Identification of sensitive parameters: study of the contribution to identify input parameters that contribute most to explaining the value of control indicators (results of the LCA);</w:t>
      </w:r>
      <w:r>
        <w:rPr>
          <w:rFonts w:ascii="Times New Roman" w:hAnsi="Times New Roman"/>
          <w:sz w:val="24"/>
        </w:rPr>
        <w:br/>
        <w:t>c) Determining the ranges of variation in the sensitive parameters (limit parameters and any statistical distribution);</w:t>
      </w:r>
      <w:r>
        <w:rPr>
          <w:rFonts w:ascii="Times New Roman" w:hAnsi="Times New Roman"/>
          <w:sz w:val="24"/>
        </w:rPr>
        <w:br/>
        <w:t>d) Parameterised simulations based on stages b and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The sensitivity analysis may be iterative. The result of the sensitivity analysis must be:</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A list of factors that influence the results of LCA (sensitive parameters) and their authorised fields of variation (this list is the validity field);</w:t>
      </w:r>
      <w:r>
        <w:rPr>
          <w:rFonts w:ascii="Times New Roman" w:hAnsi="Times New Roman"/>
          <w:sz w:val="24"/>
        </w:rPr>
        <w:br/>
        <w:t>b) for each control indicator, a probable variation interval (95% confidence interval) of the indicator values obtained by the parameter simulations.</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Stage 1: selection of control indicators</w:t>
      </w:r>
      <w:r>
        <w:rPr>
          <w:rFonts w:ascii="Times New Roman" w:hAnsi="Times New Roman"/>
          <w:sz w:val="24"/>
        </w:rPr>
        <w:br/>
        <w:t>The selection of control indicators must be reasonable. They may be chosen on a case-by-case basis from those referred to in Article 3 of this Order. Their selection must be justified. The following indicators should be studied as a minimum:</w:t>
      </w:r>
    </w:p>
    <w:p w14:paraId="3EA16B40" w14:textId="06D22180"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global warming;</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use of non-renewable primary energy, excluding non-renewable primary energy resources used as raw materials;</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non-hazardous waste disposed of.</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Stage 2: identification of sensitive parameters</w:t>
      </w:r>
      <w:r>
        <w:rPr>
          <w:rFonts w:ascii="Times New Roman" w:hAnsi="Times New Roman"/>
          <w:sz w:val="24"/>
        </w:rPr>
        <w:br/>
        <w:t>An analysis of sensitive parameters should be carried out for each control indicator. To this end, it is proposed that, as an initial approach, the impacts be divided according to processes included in the life cycle. This analysis should be based on the reference scenario described in the sensitivity analysis.</w:t>
      </w:r>
      <w:r>
        <w:rPr>
          <w:rFonts w:ascii="Times New Roman" w:hAnsi="Times New Roman"/>
          <w:sz w:val="24"/>
        </w:rPr>
        <w:br/>
        <w:t>It is recommended that consideration be given to all processes with:</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a contribution to of more than 5% to one of the control indicators the baseline scenario;</w:t>
      </w:r>
      <w:r>
        <w:rPr>
          <w:rFonts w:ascii="Times New Roman" w:hAnsi="Times New Roman"/>
          <w:sz w:val="24"/>
        </w:rPr>
        <w:br/>
        <w:t>- or cumulative impacts representing at least 80% of the impacts of one of the control indicators.</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The parameters of the LCA model (entering or leaving the process, internal process modelling parameter, etc.) that change this contribution should then be identified. These are the parameters considered sensitive.</w:t>
      </w:r>
      <w:r>
        <w:rPr>
          <w:rFonts w:ascii="Times New Roman" w:hAnsi="Times New Roman"/>
          <w:sz w:val="24"/>
        </w:rPr>
        <w:br/>
        <w:t>At the end of this analysis, the registrant will have a list of the processes that contribute most to the control indicators throughout the entire life cycle and a list of sensitive parameters.</w:t>
      </w:r>
      <w:r>
        <w:rPr>
          <w:rFonts w:ascii="Times New Roman" w:hAnsi="Times New Roman"/>
          <w:sz w:val="24"/>
        </w:rPr>
        <w:br/>
        <w:t>Stage 3: definition of ranges of variation of sensitive parameters</w:t>
      </w:r>
      <w:r>
        <w:rPr>
          <w:rFonts w:ascii="Times New Roman" w:hAnsi="Times New Roman"/>
          <w:sz w:val="24"/>
        </w:rPr>
        <w:br/>
        <w:t>This stage consists of defining the range of variation of each sensitive parameter. This range should then be proposed as a minimum in the form of intervals. If known, a law may be provided for the distribution of the parameter in the interval defined above.</w:t>
      </w:r>
      <w:r>
        <w:rPr>
          <w:rFonts w:ascii="Times New Roman" w:hAnsi="Times New Roman"/>
          <w:sz w:val="24"/>
        </w:rPr>
        <w:br/>
        <w:t>Following this stage, each sensitive parameter is associated with a range of variation.</w:t>
      </w:r>
      <w:r>
        <w:rPr>
          <w:rFonts w:ascii="Times New Roman" w:hAnsi="Times New Roman"/>
          <w:sz w:val="24"/>
        </w:rPr>
        <w:br/>
        <w:t>Stage 4: Calculating the variability of indicators</w:t>
      </w:r>
      <w:r>
        <w:rPr>
          <w:rFonts w:ascii="Times New Roman" w:hAnsi="Times New Roman"/>
          <w:sz w:val="24"/>
        </w:rPr>
        <w:br/>
        <w:t>Based on Stages 2 and 3, this stage involves using an appropriate mathematical method to determine the ranges of variation of the indicators (maximum values, mean values and minimum values) when subjecting the LCA model to variations in sensitive parameters.</w:t>
      </w:r>
      <w:r>
        <w:rPr>
          <w:rFonts w:ascii="Times New Roman" w:hAnsi="Times New Roman"/>
          <w:sz w:val="24"/>
        </w:rPr>
        <w:br/>
        <w:t>The result of stage 4 is a set of ranges of values taken by each of the indicators covered by the sensitivity analysis.</w:t>
      </w:r>
      <w:r>
        <w:rPr>
          <w:rFonts w:ascii="Times New Roman" w:hAnsi="Times New Roman"/>
          <w:sz w:val="24"/>
        </w:rPr>
        <w:br/>
        <w:t>The calculation of the variability of indicators shall at least cover sensitive parameters relating to the elements referred to in Article 8 of this Order.</w:t>
      </w:r>
      <w:r>
        <w:rPr>
          <w:rFonts w:ascii="Times New Roman" w:hAnsi="Times New Roman"/>
          <w:sz w:val="24"/>
        </w:rPr>
        <w:br/>
        <w:t>Stages 3 and 4 can be performed by iteration to adapt the range of sensitive parameters to the homogeneity conditions required.</w:t>
      </w:r>
      <w:r>
        <w:rPr>
          <w:rFonts w:ascii="Times New Roman" w:hAnsi="Times New Roman"/>
          <w:sz w:val="24"/>
        </w:rPr>
        <w:br/>
        <w:t>Sensitivity analysis report</w:t>
      </w:r>
      <w:r>
        <w:rPr>
          <w:rFonts w:ascii="Times New Roman" w:hAnsi="Times New Roman"/>
          <w:sz w:val="24"/>
        </w:rPr>
        <w:br/>
        <w:t>The report shall contain the items corresponding to the four stages of the sensitivity analysis and the final outcome of the sensitivity analysis, including the scope of validity of the collective environmental declaration and the ranges of variation of the control indicators.</w:t>
      </w:r>
      <w:r>
        <w:rPr>
          <w:rFonts w:ascii="Times New Roman" w:hAnsi="Times New Roman"/>
          <w:sz w:val="24"/>
        </w:rPr>
        <w:br/>
        <w:t>3. Sensitivity analysis and environmental values declared</w:t>
      </w:r>
      <w:r>
        <w:rPr>
          <w:rFonts w:ascii="Times New Roman" w:hAnsi="Times New Roman"/>
          <w:sz w:val="24"/>
        </w:rPr>
        <w:br/>
        <w:t>The results of the sensitivity analysis condition the environmental values reported in the collective environmental declaration as specified in Article 8 of this Order.</w:t>
      </w:r>
      <w:r>
        <w:rPr>
          <w:rFonts w:ascii="Times New Roman" w:hAnsi="Times New Roman"/>
          <w:sz w:val="24"/>
        </w:rPr>
        <w:br/>
        <w:t xml:space="preserve">When the maximum value (or maximum at 95% confidence, if a statistical approach is used) of the range of variation of each environmental impact control indicator is less than or equal to the mean value of the indicator multiplied by a limit value (specified in Article 8 of this Order), then the values of the declared environmental impact indicators shall be calculated with the mean values of the sensitive parameters. If not, </w:t>
      </w:r>
      <w:proofErr w:type="gramStart"/>
      <w:r>
        <w:rPr>
          <w:rFonts w:ascii="Times New Roman" w:hAnsi="Times New Roman"/>
          <w:sz w:val="24"/>
        </w:rPr>
        <w:t>i.e.</w:t>
      </w:r>
      <w:proofErr w:type="gramEnd"/>
      <w:r>
        <w:rPr>
          <w:rFonts w:ascii="Times New Roman" w:hAnsi="Times New Roman"/>
          <w:sz w:val="24"/>
        </w:rPr>
        <w:t xml:space="preserve"> if at least one of the environmental impact control indicators has a maximum value greater than the average value of the indicator multiplied by a limit value (specified in Article 8 of this Order), then the least favourable limit must be declared (the maximum value the indicator can achieve if it reflects an expense and the minimum value if it reflects a profit). If the indicators reflect an expense, this limit corresponds to the value of the indicators obtained when the maximum values (or maximum with a probability of 95%, if a statistical approach is used) of the sensitive parameters are used.</w:t>
      </w:r>
      <w:r>
        <w:rPr>
          <w:rFonts w:ascii="Times New Roman" w:hAnsi="Times New Roman"/>
          <w:sz w:val="24"/>
        </w:rPr>
        <w:br/>
        <w:t>4. Precise identification of products covered by a declaration</w:t>
      </w:r>
      <w:r>
        <w:rPr>
          <w:rFonts w:ascii="Times New Roman" w:hAnsi="Times New Roman"/>
          <w:sz w:val="24"/>
        </w:rPr>
        <w:br/>
        <w:t>To determine whether a product is likely to be covered by a collective environmental declaration, it needs to be established whether the product is similar to the standard covered product and whether the registrant of that product is authorised to use this collective environmental declaration.</w:t>
      </w:r>
      <w:r>
        <w:rPr>
          <w:rFonts w:ascii="Times New Roman" w:hAnsi="Times New Roman"/>
          <w:sz w:val="24"/>
        </w:rPr>
        <w:br/>
        <w:t>Identification of the standard product</w:t>
      </w:r>
      <w:r>
        <w:rPr>
          <w:rFonts w:ascii="Times New Roman" w:hAnsi="Times New Roman"/>
          <w:sz w:val="24"/>
        </w:rPr>
        <w:br/>
      </w:r>
      <w:r>
        <w:rPr>
          <w:rFonts w:ascii="Times New Roman" w:hAnsi="Times New Roman"/>
          <w:sz w:val="24"/>
        </w:rPr>
        <w:lastRenderedPageBreak/>
        <w:t>The standard product must be correctly defined and described in order to facilitate reconciliation between the description of a product and that of the standard product. The description of the standard product must include the following as a minimum:</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A list of the main components or predominant materials;</w:t>
      </w:r>
      <w:r>
        <w:rPr>
          <w:rFonts w:ascii="Times New Roman" w:hAnsi="Times New Roman"/>
          <w:sz w:val="24"/>
        </w:rPr>
        <w:br/>
        <w:t>b) Information on the functionality or level of performance.</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This identification must be sufficient to find out quickly and unequivocally whether a particular product may be covered by the collective declaration.</w:t>
      </w:r>
      <w:r>
        <w:rPr>
          <w:rFonts w:ascii="Times New Roman" w:hAnsi="Times New Roman"/>
          <w:sz w:val="24"/>
        </w:rPr>
        <w:br/>
        <w:t>Identification of registrants who may use the collective environmental declaration</w:t>
      </w:r>
      <w:r>
        <w:rPr>
          <w:rFonts w:ascii="Times New Roman" w:hAnsi="Times New Roman"/>
          <w:sz w:val="24"/>
        </w:rPr>
        <w:br/>
        <w:t>Since the collective environmental declaration is the property and responsibility of a community, that community may decide that only some registrants can use this collective environmental declaration.</w:t>
      </w:r>
      <w:r>
        <w:rPr>
          <w:rFonts w:ascii="Times New Roman" w:hAnsi="Times New Roman"/>
          <w:sz w:val="24"/>
        </w:rPr>
        <w:br/>
        <w:t>A list of registrants authorised to use a collective environmental declaration must be provided:</w:t>
      </w:r>
    </w:p>
    <w:p w14:paraId="2AB81917" w14:textId="440E5A51"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either in the form of an exhaustive list of names;</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or in the form of a condition of membership of a collective entity (association, trade union, signatories to a charter of good practice, etc.). In this case, the list of members of that community must be publicly available.</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Content of the framework of validity</w:t>
      </w:r>
      <w:r>
        <w:rPr>
          <w:rFonts w:ascii="Times New Roman" w:hAnsi="Times New Roman"/>
          <w:sz w:val="24"/>
        </w:rPr>
        <w:br/>
        <w:t>The framework of validity contains as a minimum:</w:t>
      </w:r>
    </w:p>
    <w:p w14:paraId="76B32132" w14:textId="10C0CC5B"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Identification of the standard product (mandatory);</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Products covered by the collective environmental declaration;</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Identification of registrants who can use the collective environmental declaration;</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The sensitivity study report including the range of validity and providing evidence that the declared values of the indicators are homogeneous.</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Use of the framework of validity</w:t>
      </w:r>
      <w:r>
        <w:rPr>
          <w:rFonts w:ascii="Times New Roman" w:hAnsi="Times New Roman"/>
          <w:sz w:val="24"/>
        </w:rPr>
        <w:br/>
        <w:t>In order for a registrant to use a collective environmental declaration for his or her product, he or she must provide evidence:</w:t>
      </w:r>
    </w:p>
    <w:p w14:paraId="0B262F36" w14:textId="0E6E3BE0"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That their product complies with the ‘standard product’ covered by the collective environmental declaration;</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It is on the list of registrants authorised for this collective environmental declaration;</w:t>
      </w:r>
      <w:r>
        <w:rPr>
          <w:rFonts w:ascii="Times New Roman" w:hAnsi="Times New Roman"/>
          <w:sz w:val="24"/>
        </w:rPr>
        <w:br/>
      </w:r>
      <w:r w:rsidR="00B53DF3">
        <w:rPr>
          <w:rFonts w:ascii="Times New Roman" w:hAnsi="Times New Roman"/>
          <w:sz w:val="24"/>
        </w:rPr>
        <w:t xml:space="preserve">- </w:t>
      </w:r>
      <w:r>
        <w:rPr>
          <w:rFonts w:ascii="Times New Roman" w:hAnsi="Times New Roman"/>
          <w:sz w:val="24"/>
        </w:rPr>
        <w:t>That it complies with the range of validity of the collective environmental declaration in question.</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Made on 14 December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The </w:t>
      </w:r>
      <w:proofErr w:type="gramStart"/>
      <w:r>
        <w:rPr>
          <w:rFonts w:ascii="Times New Roman" w:hAnsi="Times New Roman"/>
          <w:sz w:val="24"/>
        </w:rPr>
        <w:t>Delegate Minister</w:t>
      </w:r>
      <w:proofErr w:type="gramEnd"/>
      <w:r>
        <w:rPr>
          <w:rFonts w:ascii="Times New Roman" w:hAnsi="Times New Roman"/>
          <w:sz w:val="24"/>
        </w:rPr>
        <w:t xml:space="preserve"> to the Minister of Ecological Transition, in charge of housing,</w:t>
      </w:r>
      <w:r>
        <w:rPr>
          <w:rFonts w:ascii="Times New Roman" w:hAnsi="Times New Roman"/>
          <w:sz w:val="24"/>
        </w:rPr>
        <w:br/>
        <w:t>For the Minister and by delegation:</w:t>
      </w:r>
      <w:r>
        <w:rPr>
          <w:rFonts w:ascii="Times New Roman" w:hAnsi="Times New Roman"/>
          <w:sz w:val="24"/>
        </w:rPr>
        <w:br/>
        <w:t>The Director of Housing, Urban Development and Landscapes,</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for Ecological Transition,</w:t>
      </w:r>
      <w:r>
        <w:rPr>
          <w:rFonts w:ascii="Times New Roman" w:hAnsi="Times New Roman"/>
          <w:sz w:val="24"/>
        </w:rPr>
        <w:br/>
        <w:t>For the Minister and by delegation:</w:t>
      </w:r>
      <w:r>
        <w:rPr>
          <w:rFonts w:ascii="Times New Roman" w:hAnsi="Times New Roman"/>
          <w:sz w:val="24"/>
        </w:rPr>
        <w:br/>
        <w:t>The Director of Housing, Urban Development and Landscapes,</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05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B53DF3"/>
    <w:rsid w:val="00B77F10"/>
    <w:rsid w:val="00D64750"/>
    <w:rsid w:val="00E65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6937</Words>
  <Characters>39823</Characters>
  <Application>Microsoft Office Word</Application>
  <DocSecurity>0</DocSecurity>
  <Lines>3620</Lines>
  <Paragraphs>820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2022-05-04T11:06:00Z</dcterms:created>
  <dcterms:modified xsi:type="dcterms:W3CDTF">2022-05-04T11:06:00Z</dcterms:modified>
</cp:coreProperties>
</file>