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Rozporządzenie z dnia 14 grudnia 2021 r. w sprawie deklaracji środowiskowych produktów przeznaczonych do wykorzystania w obiektach budowlanych oraz deklaracji środowiskowych produktów stosowanych do obliczania efektywności środowiskowej budynków</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NOR: LOGL2113185A</w:t>
      </w:r>
      <w:r>
        <w:rPr>
          <w:rFonts w:ascii="Times New Roman" w:hAnsi="Times New Roman"/>
          <w:sz w:val="24"/>
        </w:rPr>
        <w:br/>
        <w:t>ELI: https://www.legifrance.gouv.fr/eli/arrete/2021/12/14/LOGL2113185A/jo/texte</w:t>
      </w:r>
      <w:r>
        <w:rPr>
          <w:rFonts w:ascii="Times New Roman" w:hAnsi="Times New Roman"/>
          <w:sz w:val="24"/>
        </w:rPr>
        <w:br/>
        <w:t>Dziennik Urzędowy Republiki Francuskiej nr 0296 z dnia 21 grudnia 2021 r.</w:t>
      </w:r>
      <w:r>
        <w:rPr>
          <w:rFonts w:ascii="Times New Roman" w:hAnsi="Times New Roman"/>
          <w:sz w:val="24"/>
        </w:rPr>
        <w:br/>
        <w:t>Tekst nr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Załącznik</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Załącznik</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Załącznik</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Załącznik</w:t>
      </w:r>
    </w:p>
    <w:p w14:paraId="06845229" w14:textId="4A4FCB4C"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Odbiorcy, których dotyczy: osoby rejestrujące, których dotyczą produkty budowlane i dekoracyjne, a także sprzęt elektryczny, elektroniczny i klimatyczny przeznaczony do użytku w obiektach budowlanych wykorzystywany do obliczania efektywności środowiskowej budynków. </w:t>
      </w:r>
      <w:r>
        <w:rPr>
          <w:rFonts w:ascii="Times New Roman" w:hAnsi="Times New Roman"/>
          <w:sz w:val="24"/>
        </w:rPr>
        <w:br/>
        <w:t xml:space="preserve">Cel: określenie warunków stosowania artykułów od R. 171-14 do R. 171-22 oraz artykułów od R. 171-23 do R. 171-31 kodeksu budownictwa i mieszkalnictwa. </w:t>
      </w:r>
      <w:r>
        <w:rPr>
          <w:rFonts w:ascii="Times New Roman" w:hAnsi="Times New Roman"/>
          <w:sz w:val="24"/>
        </w:rPr>
        <w:br/>
        <w:t xml:space="preserve">Wejście w życie: tekst wchodzi w życie z dniem 1 stycznia 2022 r. </w:t>
      </w:r>
      <w:r>
        <w:rPr>
          <w:rFonts w:ascii="Times New Roman" w:hAnsi="Times New Roman"/>
          <w:sz w:val="24"/>
        </w:rPr>
        <w:br/>
        <w:t xml:space="preserve">Powiadomienie: celem niniejszego rozporządzenia jest określenie warunków stosowania artykułów od R. 171-14 do R. 171-22 oraz artykułów od R. 171-23 do R. 171-31 kodeksu budownictwa i mieszkalnictwa. </w:t>
      </w:r>
      <w:r>
        <w:rPr>
          <w:rFonts w:ascii="Times New Roman" w:hAnsi="Times New Roman"/>
          <w:sz w:val="24"/>
        </w:rPr>
        <w:br/>
        <w:t xml:space="preserve">Rozporządzanie ustanawia: </w:t>
      </w:r>
      <w:r>
        <w:rPr>
          <w:rFonts w:ascii="Times New Roman" w:hAnsi="Times New Roman"/>
          <w:sz w:val="24"/>
        </w:rPr>
        <w:br/>
        <w:t xml:space="preserve">- szczegółowe informacje, o których mowa w art. R. 171-17 kodeksu budownictwa i mieszkalnictwa; </w:t>
      </w:r>
      <w:r>
        <w:rPr>
          <w:rFonts w:ascii="Times New Roman" w:hAnsi="Times New Roman"/>
          <w:sz w:val="24"/>
        </w:rPr>
        <w:br/>
        <w:t xml:space="preserve">- metody obliczania wskaźników, o których mowa w art. R. 171-17 kodeksu budownictwa i mieszkalnictwa; </w:t>
      </w:r>
      <w:r>
        <w:rPr>
          <w:rFonts w:ascii="Times New Roman" w:hAnsi="Times New Roman"/>
          <w:sz w:val="24"/>
        </w:rPr>
        <w:br/>
        <w:t xml:space="preserve">- elementy, o których mowa w art. R. 171-21 kodeksu budownictwa i mieszkalnictwa, które uzasadniają informacje zawarte w deklaracji środowiskowej; </w:t>
      </w:r>
      <w:r>
        <w:rPr>
          <w:rFonts w:ascii="Times New Roman" w:hAnsi="Times New Roman"/>
          <w:sz w:val="24"/>
        </w:rPr>
        <w:br/>
        <w:t xml:space="preserve">- jeżeli wypełnia się adres bazy (baz) danych, w której (których) publicznie udostępnia się deklaracje środowiskowe, o których mowa w art. R. 171-17 kodeksu budownictwa i mieszkalnictwa, posiadające certyfikat weryfikacji, o którym mowa w art. R. 171-18 kodeksu budownictwa i mieszkalnictwa; </w:t>
      </w:r>
      <w:r>
        <w:rPr>
          <w:rFonts w:ascii="Times New Roman" w:hAnsi="Times New Roman"/>
          <w:sz w:val="24"/>
        </w:rPr>
        <w:br/>
      </w:r>
      <w:r w:rsidR="00C05034">
        <w:rPr>
          <w:rFonts w:ascii="Times New Roman" w:hAnsi="Times New Roman"/>
          <w:sz w:val="24"/>
        </w:rPr>
        <w:t>-</w:t>
      </w:r>
      <w:r>
        <w:rPr>
          <w:rFonts w:ascii="Times New Roman" w:hAnsi="Times New Roman"/>
          <w:sz w:val="24"/>
        </w:rPr>
        <w:t xml:space="preserve"> warunki sporządzania przez kilka osób rejestrujących wspólnych deklaracji środowiskowych dotyczących wyrobów budowlanych lub dekoracyjnych bądź sprzętu; </w:t>
      </w:r>
      <w:r>
        <w:rPr>
          <w:rFonts w:ascii="Times New Roman" w:hAnsi="Times New Roman"/>
          <w:sz w:val="24"/>
        </w:rPr>
        <w:br/>
      </w:r>
      <w:r w:rsidR="00C05034">
        <w:rPr>
          <w:rFonts w:ascii="Times New Roman" w:hAnsi="Times New Roman"/>
          <w:sz w:val="24"/>
        </w:rPr>
        <w:t>-</w:t>
      </w:r>
      <w:r>
        <w:rPr>
          <w:rFonts w:ascii="Times New Roman" w:hAnsi="Times New Roman"/>
          <w:sz w:val="24"/>
        </w:rPr>
        <w:t xml:space="preserve"> warunki opracowywania parametryzowanych deklaracji dotyczących wyrobów budowlanych lub dekoracyjnych bądź sprzętu. </w:t>
      </w:r>
      <w:r>
        <w:rPr>
          <w:rFonts w:ascii="Times New Roman" w:hAnsi="Times New Roman"/>
          <w:sz w:val="24"/>
        </w:rPr>
        <w:br/>
        <w:t xml:space="preserve">Odesłania: teksty powstałe lub zmienione na mocy niniejszego rozporządzenia są dostępne, w wersji powstałej w wyniku tej zmiany, na stronie internetowej Légifrance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Minister ds. Transformacji Ekologicznej oraz wiceminister właściwy do spraw </w:t>
      </w:r>
      <w:r>
        <w:rPr>
          <w:rFonts w:ascii="Times New Roman" w:hAnsi="Times New Roman"/>
          <w:sz w:val="24"/>
        </w:rPr>
        <w:lastRenderedPageBreak/>
        <w:t>mieszkalnictwa przy Ministrze ds. Transformacji Ekologicznej,</w:t>
      </w:r>
      <w:r>
        <w:rPr>
          <w:rFonts w:ascii="Times New Roman" w:hAnsi="Times New Roman"/>
          <w:sz w:val="24"/>
        </w:rPr>
        <w:br/>
        <w:t>uwzględniając dyrektywę (UE) 2015/1535 Parlamentu Europejskiego i Rady z dnia 9 września 2015 r. ustanawiająca procedurę udzielania informacji w dziedzinie przepisów technicznych oraz zasad dotyczących usług społeczeństwa informacyjnego (tekst jednolity) i powiadomienie nr 2021/257/F skierowane do Komisji Europejskiej w dniu 28 kwietnia 2021 r. i odpowiedź na nie w dniu 29 lipca 2021 r.;</w:t>
      </w:r>
      <w:r>
        <w:rPr>
          <w:rFonts w:ascii="Times New Roman" w:hAnsi="Times New Roman"/>
          <w:sz w:val="24"/>
        </w:rPr>
        <w:br/>
        <w:t>uwzględniając kodeks konsumenta, w szczególności art. L. 412-1 pkt 10;</w:t>
      </w:r>
      <w:r>
        <w:rPr>
          <w:rFonts w:ascii="Times New Roman" w:hAnsi="Times New Roman"/>
          <w:sz w:val="24"/>
        </w:rPr>
        <w:br/>
        <w:t>uwzględniając kodeks budownictwa i mieszkalnictwa, w szczególności art. R. 171-14 do R. 171-31;</w:t>
      </w:r>
      <w:r>
        <w:rPr>
          <w:rFonts w:ascii="Times New Roman" w:hAnsi="Times New Roman"/>
          <w:sz w:val="24"/>
        </w:rPr>
        <w:br/>
        <w:t>uwzględniając opinię Wysokiej Rady ds. Budownictwa i Efektywności Energetycznej z dnia 13 kwietnia 2021 r.,</w:t>
      </w:r>
      <w:r>
        <w:rPr>
          <w:rFonts w:ascii="Times New Roman" w:hAnsi="Times New Roman"/>
          <w:sz w:val="24"/>
        </w:rPr>
        <w:br/>
        <w:t>uwzględniając uwagi zgłoszone w trakcie konsultacji społecznych przeprowadzonych w dniach od 18 maja do 8 czerwca 2021 r., zgodnie z art. L. 123-19-1 kodeksu ochrony środowiska;</w:t>
      </w:r>
      <w:r>
        <w:rPr>
          <w:rFonts w:ascii="Times New Roman" w:hAnsi="Times New Roman"/>
          <w:sz w:val="24"/>
        </w:rPr>
        <w:br/>
        <w:t>niniejszym rozporządza, co następuje:</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Przepisy niniejszego rozporządzenia stosuje się do wyrobów budowlanych, wyrobów dekoracyjnych oraz sprzętu elektrycznego, elektronicznego i klimatycznego, o których mowa w art. R. 171-14 kodeksu budownictwa i mieszkalnictwa oraz w art. R. 171-23 kodeksu budownictwa i mieszkalnictwa.</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Dla celów niniejszego rozporządzenia stosuje się następujące definicje:</w:t>
      </w:r>
      <w:r>
        <w:rPr>
          <w:rFonts w:ascii="Times New Roman" w:hAnsi="Times New Roman"/>
          <w:sz w:val="24"/>
        </w:rPr>
        <w:br/>
        <w:t>„Deklaracja parametryzowana”: deklaracja środowiskowa z zasadami dostosowywania zawartych w niej informacji do konkretnego produktu oraz narzędziem komputerowym do stosowania tych zasad.</w:t>
      </w:r>
      <w:r>
        <w:rPr>
          <w:rFonts w:ascii="Times New Roman" w:hAnsi="Times New Roman"/>
          <w:sz w:val="24"/>
        </w:rPr>
        <w:br/>
        <w:t>W poniższych artykułach termin „zgłaszający” rozumiany jest jako „zgłaszający” w rozumieniu art. R. 171-15 kodeksu budownictwa i mieszkalnictwa. lub w rozumieniu „odpowiedzialny za wprowadzanie do obrotu” w rozumieniu art. R. 171-24 kodeksu budownictwa i mieszkalnictwa.</w:t>
      </w:r>
      <w:r>
        <w:rPr>
          <w:rFonts w:ascii="Times New Roman" w:hAnsi="Times New Roman"/>
          <w:sz w:val="24"/>
        </w:rPr>
        <w:br/>
        <w:t>W poniższych artykułach termin „produkt” oznacza „wyrób budowlany”, „wyrób dekoracyjny” oraz „sprzęt elektryczny, elektroniczny i geoinżynieryjny” zdefiniowane w art. R. 171-15 kodeksu budownictwa i mieszkalnictwa.</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Deklaracja środowiskowa powinna zawierać informacje, o których mowa w art. R. 171-17 kodeksu budownictwa i mieszkalnictwa.</w:t>
      </w:r>
      <w:r>
        <w:rPr>
          <w:rFonts w:ascii="Times New Roman" w:hAnsi="Times New Roman"/>
          <w:sz w:val="24"/>
        </w:rPr>
        <w:br/>
        <w:t>Zgodnie z art. R. 171-17 pkt 1 kodeksu budownictwa i mieszkalnictwa, deklaracja środowiskowa powinna zawierać, wartości niżej wymienionych wskaźników dla etapu produkcji, etapu budowy, etapu użytkowania, etapu wycofania z eksploatacji i sumy tych etapów:</w:t>
      </w:r>
    </w:p>
    <w:p w14:paraId="1B8C0EF8" w14:textId="62B75A9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r>
      <w:r w:rsidR="00C05034">
        <w:rPr>
          <w:rFonts w:ascii="Times New Roman" w:hAnsi="Times New Roman"/>
          <w:sz w:val="24"/>
        </w:rPr>
        <w:t xml:space="preserve">- </w:t>
      </w:r>
      <w:r>
        <w:rPr>
          <w:rFonts w:ascii="Times New Roman" w:hAnsi="Times New Roman"/>
          <w:sz w:val="24"/>
        </w:rPr>
        <w:t>opis wpływu na środowisko:</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globalne ocieplenie (emisje gazów cieplarnianych);</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zubożenie warstwy ozonowej;</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zakwaszanie gleby i wody;</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eutrofizacja;</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fotochemiczne tworzenie ozonu;</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wyczerpanie zasobów abiotycznych - pierwiastki;</w:t>
      </w:r>
      <w:r>
        <w:rPr>
          <w:rFonts w:ascii="Times New Roman" w:hAnsi="Times New Roman"/>
          <w:sz w:val="24"/>
        </w:rPr>
        <w:br/>
        <w:t>- wyczerpanie zasobów abiotycznych – paliwa kopalne.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opis wykorzystania zasobów:</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wykorzystanie odnawialnych źródeł energii pierwotnej, z wyłączeniem odnawialnych zasobów energii pierwotnej wykorzystywanych jako surowce;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wykorzystanie odnawialnych zasobów energii pierwotnej wykorzystywanych jako surowce;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łączne wykorzystanie odnawialnych źródeł energii pierwotnej (energia pierwotna i zasoby energii pierwotnej wykorzystywane jako surowce);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wykorzystanie nieodnawialnej energii pierwotnej, z wyłączeniem nieodnawialnych zasobów energii pierwotnej wykorzystywanych jako surowce;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wykorzystanie nieodnawialnych zasobów energii pierwotnej wykorzystywanych jako surowce;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całkowite wykorzystanie nieodnawialnych zasobów energii pierwotnej (energia pierwotna i zasoby energii pierwotnej wykorzystywane jako surowce);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wykorzystanie materiału wtórnego;</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wykorzystanie odnawialnych paliw wtórnych;</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wykorzystanie nieodnawialnych paliw wtórnych;</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wykorzystanie wody słodkiej netto.</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opis kategorii odpadów:</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unieszkodliwiane odpady niebezpieczne;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unieszkodliwiane odpady inne niż niebezpieczne;</w:t>
      </w:r>
      <w:r>
        <w:rPr>
          <w:rFonts w:ascii="Times New Roman" w:hAnsi="Times New Roman"/>
          <w:sz w:val="24"/>
        </w:rPr>
        <w:br/>
        <w:t>- unieszkodliwiane odpady promieniotwórcze.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opis strumieni wychodzących:</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komponenty przeznaczone do ponownego wykorzystania;</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materiały przeznaczone do recyklingu;</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materiały przeznaczone do odzysku energii;</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energia dostarczana z zewnątrz.</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Zgodnie z art. R. 171-17 pkt 4 kodeksu budownictwa i mieszkalnictwa, w przypadku deklaracji środowiskowej, której dotyczą wymogi art. 8 niniejszego rozporządzenia, deklaracja środowiskowa powinna zawierać zakresy zmienności (wartości maksymalne i minimalne) wskaźników kontroli określonych w art. 8 niniejszego rozporządzenia.</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Osoba rejestrująca udostępnia organom kontrolnym oraz osobie prawnej odpowiedzialnej za wdrożenie programu deklaracji środowiskowych, zgodnie z definicją zawartą w art. R. 171-21 kodeksu budownictwa i mieszkalnictwa oraz w art. R. 171-26 kodeksu budownictwa i mieszkalnictwa, wszystkie elementy lub dane kontaktowe osób fizycznych lub prawnych będących w ich posiadaniu w celu uzasadnienia informacji </w:t>
      </w:r>
      <w:r>
        <w:rPr>
          <w:rFonts w:ascii="Times New Roman" w:hAnsi="Times New Roman"/>
          <w:sz w:val="24"/>
        </w:rPr>
        <w:lastRenderedPageBreak/>
        <w:t>zawartych w deklaracji środowiskowej.</w:t>
      </w:r>
      <w:r>
        <w:rPr>
          <w:rFonts w:ascii="Times New Roman" w:hAnsi="Times New Roman"/>
          <w:sz w:val="24"/>
        </w:rPr>
        <w:br/>
        <w:t>Wyżej wymienione elementy to:</w:t>
      </w:r>
    </w:p>
    <w:p w14:paraId="4D6FBAE8" w14:textId="3E7A8825"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pochodzenie surowców, materiałów i składników produktu;</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identyfikację czynników produkcji nieuwzględnionych w wykazie cyklu życia zgodnie z zasadą wyłączania;</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całkowitą masę czynników produkcji nieuwzględnionych w wykazie cyklu życia zgodnie z zasadą wyłączania;</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wyniki obliczeń inwentaryzacyjnych;</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dowody potwierdzające okres referencyjny okres trwałości użytkowej produktu;</w:t>
      </w:r>
      <w:r>
        <w:rPr>
          <w:rFonts w:ascii="Times New Roman" w:hAnsi="Times New Roman"/>
          <w:sz w:val="24"/>
        </w:rPr>
        <w:br/>
        <w:t>- dokumentacja dotycząca technologicznej, geograficznej i czasowej reprezentatywności wykorzystanych danych ogólnych, odniesienia do baz danych, z których zostały pobrane, oraz odniesienia do wykorzystanych modułów danych, w przypadku gdy wykorzystywane są ogólne dane z publicznych lub prywatnych baz danych;</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scenariusze, na podstawie których sporządza się inwentaryzację cyklu życia;</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miejsce(-a) produkcji objęte deklaracją środowiskową;</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produkcja każdego miejsca wyrażona w jednostce ilościowej określonej w jednostce funkcjonalnej;</w:t>
      </w:r>
      <w:r>
        <w:rPr>
          <w:rFonts w:ascii="Times New Roman" w:hAnsi="Times New Roman"/>
          <w:sz w:val="24"/>
        </w:rPr>
        <w:br/>
        <w:t>- dowód, że zastosowana próbka jest reprezentatywna dla produkcji produktu, w szczególności z punktu widzenia geograficznego, czasowego i technologicznego, jeżeli stosowana jest metoda doboru próby;</w:t>
      </w:r>
      <w:r>
        <w:rPr>
          <w:rFonts w:ascii="Times New Roman" w:hAnsi="Times New Roman"/>
          <w:sz w:val="24"/>
        </w:rPr>
        <w:br/>
        <w:t>- elementy składowe ram ważności deklaracji środowiskowych, których dotyczą wymogi art. 8 niniejszego rozporządzenia;</w:t>
      </w:r>
      <w:r>
        <w:rPr>
          <w:rFonts w:ascii="Times New Roman" w:hAnsi="Times New Roman"/>
          <w:sz w:val="24"/>
        </w:rPr>
        <w:br/>
        <w:t>- elementy składowe deklaracji dającej się przypisać, o której mowa w art. 10 niniejszego rozporządzenia.</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Wielkości jednostek funkcjonalnych określone w art. R. 171-15 kodeksu budownictwa i mieszkalnictwa, dla każdej kategorii wyrobów budowlanych i dekoracyjnych są określone w załączniku I do niniejszego rozporządzenia.</w:t>
      </w:r>
      <w:r>
        <w:rPr>
          <w:rFonts w:ascii="Times New Roman" w:hAnsi="Times New Roman"/>
          <w:sz w:val="24"/>
        </w:rPr>
        <w:br/>
        <w:t>Wielkości jednostek funkcjonalnych lub jednostek zadeklarowanych, zgodnie z definicją zawartą w artykule R. 171-15 kodeksu budownictwa i mieszkalnictwa, dla sprzętu elektrycznego, elektronicznego i geoinżynieryjnego są określone w załączniku II do niniejszego rozporządzenia.</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Przyjmuje się, że metody oceny, obliczania informacji i określania wskaźników, o których mowa w punktach 1, 2, 3, 14 i 15 artykułu R. 171-17 kodeksu budownictwa i mieszkalnictwa i określonych w artykule 3 niniejszego rozporządzenia, spełniają wymagania niniejszego rozporządzenia, jeżeli są zgodne ze wszystkimi poniższymi warunkami:</w:t>
      </w:r>
    </w:p>
    <w:p w14:paraId="616E0A2A" w14:textId="7A5AAFA9"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Nie mogą one prowadzić do pominięcia procesów stanowiących łącznie więcej niż 5% wartości każdej z wymienionych informacji;</w:t>
      </w:r>
      <w:r>
        <w:rPr>
          <w:rFonts w:ascii="Times New Roman" w:hAnsi="Times New Roman"/>
          <w:sz w:val="24"/>
        </w:rPr>
        <w:br/>
      </w:r>
      <w:r w:rsidR="00C05034">
        <w:rPr>
          <w:rFonts w:ascii="Times New Roman" w:hAnsi="Times New Roman"/>
          <w:sz w:val="24"/>
        </w:rPr>
        <w:lastRenderedPageBreak/>
        <w:t xml:space="preserve">- </w:t>
      </w:r>
      <w:r>
        <w:rPr>
          <w:rFonts w:ascii="Times New Roman" w:hAnsi="Times New Roman"/>
          <w:sz w:val="24"/>
        </w:rPr>
        <w:t>Nie skutkują przyznaniem produktu podlegającego deklaracji środowiskowej o korzyściach przypisanych innym produktom przy obliczaniu danych informacji, z wyjątkiem wskaźników odnoszących się do zysków i wydatków związanych z wyceną z eksploatacji;</w:t>
      </w:r>
      <w:r>
        <w:rPr>
          <w:rFonts w:ascii="Times New Roman" w:hAnsi="Times New Roman"/>
          <w:sz w:val="24"/>
        </w:rPr>
        <w:br/>
        <w:t>- są zgodne z normą NF EN 15804 + A1: 2014-04 lub normą XP C08-100-1: 2016-12 lub normą XP C08-100-1: 2016-12 i EN 50693: normą 2019-08 lub jakąkolwiek równoważną normą;</w:t>
      </w:r>
      <w:r>
        <w:rPr>
          <w:rFonts w:ascii="Times New Roman" w:hAnsi="Times New Roman"/>
          <w:sz w:val="24"/>
        </w:rPr>
        <w:br/>
        <w:t>- są one zgodne z metodą obliczania zysków i kosztów związanych z odzyskiem po wycofaniu z eksploatacji określoną w załączniku III do niniejszego rozporządzenia.</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Ponadto w odniesieniu do deklaracji środowiskowych posiadających deklarację zgodności złożonych po 1 października 2022 r., jeżeli deklaracja środowiskowa obejmuje różne sposoby instalacji produktu objętego tą deklaracją, to metody oceny i obliczania wspomnianych informacji muszą być zgodne z następującymi zasadami:</w:t>
      </w:r>
    </w:p>
    <w:p w14:paraId="7CAC82D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dla każdego z tych sposobów instalacji ocenia się następujące wskaźniki kontroli: całkowite ocieplenie klimatu, wykorzystanie nieodnawialnej energii pierwotnej innej niż nieodnawialne zasoby energii pierwotnej wykorzystywane jako surowce, unieszkodliwione odpady inne niż niebezpieczne;</w:t>
      </w:r>
      <w:r>
        <w:rPr>
          <w:rFonts w:ascii="Times New Roman" w:hAnsi="Times New Roman"/>
          <w:sz w:val="24"/>
        </w:rPr>
        <w:br/>
        <w:t>- dla każdego z tych wskaźników kontroli maksymalną wartość uzyskaną dla sumy etapów, o których mowa w art. 3 niniejszego rozporządzenia porównuje się ze średnią uzyskanych wartości (tj. ze średnim wpływem różnych sposobów instalacji). Jeżeli maksymalna wartość jednego z tych wskaźników jest większa niż 1,1-krotność wartości średniej, to w odniesieniu do każdego ze wskaźników wymienionych w deklaracji środowiskowej należy określić najgorszą wartość (tj. najgorsze wartości dla różnych sposobów instalacji). W przeciwnym razie dla każdego wskaźnika można określić średnią wartość.</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Adres(y) bazy (baz) danych, o których mowa w art. R. 171-20 kodeksu budownictwa i mieszkalnictwa, w których dostępne są dane środowiskowe usługi oraz domyślne dane środowiskowe zdefiniowane w art. R. 171-16 kodeksu budownictwa i mieszkalnictwa, a także deklaracje środowiskowe, znajdują się na stronie internetowej ministerstwa właściwego ds. budownictwa.</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Deklaracja środowiskowa może być oparta na zbiorczej deklaracji środowiskowej obejmującej podobne produkty kilku osób rejestrujących.</w:t>
      </w:r>
      <w:r>
        <w:rPr>
          <w:rFonts w:ascii="Times New Roman" w:hAnsi="Times New Roman"/>
          <w:sz w:val="24"/>
        </w:rPr>
        <w:br/>
        <w:t>1. Ta zbiorcza deklaracja środowiskowa spełnia następujące warunki:</w:t>
      </w:r>
    </w:p>
    <w:p w14:paraId="7E91553F" w14:textId="3D5EDAD6"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Dotyczy „typowego produktu”;</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Ustanawia się ją na warunkach, o których mowa w poprzednich artykułach;</w:t>
      </w:r>
      <w:r>
        <w:rPr>
          <w:rFonts w:ascii="Times New Roman" w:hAnsi="Times New Roman"/>
          <w:sz w:val="24"/>
        </w:rPr>
        <w:br/>
        <w:t xml:space="preserve">- należy zapewnić jednorodność parametrów, które znacząco wpływają na wartość </w:t>
      </w:r>
      <w:r>
        <w:rPr>
          <w:rFonts w:ascii="Times New Roman" w:hAnsi="Times New Roman"/>
          <w:sz w:val="24"/>
        </w:rPr>
        <w:lastRenderedPageBreak/>
        <w:t>każdego wskaźnika; w tym celu zbiorowa deklaracja środowiskowa zawiera ramy ważności określone w załączniku IV do niniejszego rozporządzenia, które zawierają następujące informacje: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Określenie wpływowych parametrów, ze wskazaniem, czy są one uzupełnione o dane ogólne czy szczegółowe;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Okresy ważności tych parametrów.</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Osoba rejestrująca, która przekazała zbiorczą deklarację środowiskową, jest odpowiedzialna za zawarte w niej informacje, w tym za wykaz odnośnych produktów oraz warunki, na jakich produkty mogą być z nią powiązane, o ile dotyczy;</w:t>
      </w:r>
      <w:r>
        <w:rPr>
          <w:rFonts w:ascii="Times New Roman" w:hAnsi="Times New Roman"/>
          <w:sz w:val="24"/>
        </w:rPr>
        <w:br/>
        <w:t>3. Osoby rejestrujące produkty objęte niniejszą zbiorczą deklaracją środowiskową spełniają następujące warunki:</w:t>
      </w:r>
    </w:p>
    <w:p w14:paraId="5C7B5DE1" w14:textId="1E10E4DB"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są odpowiedzialni za informacje, które przekazują wyżej wymienionej osobie rejestrującej;</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przestrzegają ram ważności zbiorczej deklaracji środowiskowej;</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dostarczają świadectwo potwierdzające zgodność zbiorczej deklaracji środowiskowej z ramami ważności;</w:t>
      </w:r>
      <w:r>
        <w:rPr>
          <w:rFonts w:ascii="Times New Roman" w:hAnsi="Times New Roman"/>
          <w:sz w:val="24"/>
        </w:rPr>
        <w:br/>
        <w:t>- udostępniają one organom odpowiedzialnym za kontrole i osobie prawnej odpowiedzialnej za wdrażanie programu deklaracji środowiskowych dowody potwierdzające zgodność z ramami ważności.</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4. Zbiorowa deklaracja środowiskowa spełnia wymogi weryfikacji przez niezależną stronę trzecią określone w art. R. 171-18 kodeksu budownictwa i mieszkalnictwa, o których mowa w art. R. 171-29 kodeksu budownictwa i mieszkalnictwa.</w:t>
      </w:r>
      <w:r>
        <w:rPr>
          <w:rFonts w:ascii="Times New Roman" w:hAnsi="Times New Roman"/>
          <w:sz w:val="24"/>
        </w:rPr>
        <w:br/>
        <w:t>5. Wskaźniki kontroli, które należy uwzględnić, to co najmniej: ocieplenie klimatu, zużycie nieodnawialnej energii pierwotnej inne niż nieodnawialne zasoby energii pierwotnej wykorzystywane jako surowce, unieszkodliwiane odpady inne niż niebezpieczne;</w:t>
      </w:r>
      <w:r>
        <w:rPr>
          <w:rFonts w:ascii="Times New Roman" w:hAnsi="Times New Roman"/>
          <w:sz w:val="24"/>
        </w:rPr>
        <w:br/>
        <w:t>6. Zbiorowe deklaracje środowiskowe muszą spełniać następujące wymogi:</w:t>
      </w:r>
      <w:r>
        <w:rPr>
          <w:rFonts w:ascii="Times New Roman" w:hAnsi="Times New Roman"/>
          <w:sz w:val="24"/>
        </w:rPr>
        <w:br/>
        <w:t>w przypadku gdy maksymalna wartość każdego wskaźnika kontrolnego, uzyskana w wyniku sumy etapów wymienionych w art. 3 niniejszego rozporządzenia i poprzez obliczenie zmienności opisanej w załączniku IV do niniejszego rozporządzenia, jest mniejsza lub równa średniej wartości wskaźnika pomnożonej przez wartość dopuszczalną, wówczas wartości wskaźników można obliczyć na podstawie średnich wartości parametrów wrażliwych. W przeciwnym razie należy zadeklarować najmniej korzystny próg (maksymalna wartość, jaką wskaźnik może osiągnąć, jeśli odzwierciedla koszt, i minimalna wartość, jeśli odzwierciedla zysk).</w:t>
      </w:r>
      <w:r>
        <w:rPr>
          <w:rFonts w:ascii="Times New Roman" w:hAnsi="Times New Roman"/>
          <w:sz w:val="24"/>
        </w:rPr>
        <w:br/>
        <w:t>Dla zbiorczych deklaracji środowiskowych z deklaracją zgodności złożonych przed dniem 1 października 2022 r. wartość graniczna, o której mowa powyżej, wynosi „1,4”, a obliczanie zmienności, o której mowa powyżej, obejmuje co najmniej parametry wrażliwe odnoszące się do:</w:t>
      </w:r>
    </w:p>
    <w:p w14:paraId="79ADFF3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składu produktu: masy i rodzaju materiałów;</w:t>
      </w:r>
      <w:r>
        <w:rPr>
          <w:rFonts w:ascii="Times New Roman" w:hAnsi="Times New Roman"/>
          <w:sz w:val="24"/>
        </w:rPr>
        <w:br/>
        <w:t>- masy opakowań;</w:t>
      </w:r>
      <w:r>
        <w:rPr>
          <w:rFonts w:ascii="Times New Roman" w:hAnsi="Times New Roman"/>
          <w:sz w:val="24"/>
        </w:rPr>
        <w:br/>
      </w:r>
      <w:r>
        <w:rPr>
          <w:rFonts w:ascii="Times New Roman" w:hAnsi="Times New Roman"/>
          <w:sz w:val="24"/>
        </w:rPr>
        <w:lastRenderedPageBreak/>
        <w:t>- procesów produkcyjnych innych niż wydobycie i przetworzenie surowców (etapy A2 i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Dla zbiorczych deklaracji środowiskowych z deklaracją zgodności składanych po 1 października 2022 r. wartość dopuszczalna, o której mowa powyżej, wynosi „1,35”, a obliczanie zmienności, o której mowa powyżej, obejmuje co najmniej parametry wrażliwe odnoszące się do:</w:t>
      </w:r>
    </w:p>
    <w:p w14:paraId="40F7CD3B" w14:textId="33F3553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składu produktu: masy i rodzaju materiałów;</w:t>
      </w:r>
      <w:r>
        <w:rPr>
          <w:rFonts w:ascii="Times New Roman" w:hAnsi="Times New Roman"/>
          <w:sz w:val="24"/>
        </w:rPr>
        <w:br/>
        <w:t>- masy opakowań;</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procesów produkcyjnych poza wydobyciem i przetwarzaniem surowców (etapy A2 i A3);</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transportu na miejsce (etap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Deklaracja środowiskowa może opierać się na podobnych produktach tej samej osoby rejestrującej. Te deklaracje środowiskowe muszą spełniać wymogi dotyczące zbiorczych deklaracji środowiskowych określone w art. 8 niniejszego rozporządzenia.</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Deklaracja środowiskowa może być oparta na deklaracji parametryzowanej.</w:t>
      </w:r>
      <w:r>
        <w:rPr>
          <w:rFonts w:ascii="Times New Roman" w:hAnsi="Times New Roman"/>
          <w:sz w:val="24"/>
        </w:rPr>
        <w:br/>
        <w:t>Deklaracja ta spełnia następujące warunki:</w:t>
      </w:r>
    </w:p>
    <w:p w14:paraId="6A4F1CB3" w14:textId="4D784ECE"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Dotyczy „typowego produktu”;</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Ustanawia się ją na warunkach, o których mowa w poprzednich artykułach;</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Obejmuje ona zestaw reguł obliczeniowych umożliwiających dostosowanie wymienionych w niej informacji, na podstawie modyfikowalnych parametrów, tak aby odpowiadały produktowi podobnemu do produktu standardowego, ale o innych wymiarach, składzie lub niektórych procesach cyklu życia;</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Wartość zmiennych parametrów, o których mowa powyżej, musi być możliwa do zweryfikowania po oddaniu budynku;</w:t>
      </w:r>
      <w:r>
        <w:rPr>
          <w:rFonts w:ascii="Times New Roman" w:hAnsi="Times New Roman"/>
          <w:sz w:val="24"/>
        </w:rPr>
        <w:br/>
        <w:t>- zawiera ramy zgodności określające wartości, które mogą być przyjęte przez wyżej wymienione zmienne parametry oraz cechy, które mają być spełnione przez wyżej wymieniony podobny produkt.</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Każdej deklaracji parametryzowanej z deklaracją zgodności złożonej po 1 października 2022 r. towarzyszy komputerowe narzędzie obliczeniowe do celów stosowania wyżej wymienionych zasad obliczania i eksportu informacji wymaganych na mocy art. R. 171-17 kodeksu budownictwa i mieszkalnictwa i art. 3 niniejszego rozporządzenia, wraz z wykazem wyżej wymienionych zmiennych parametrów i ich powiązanych wartości. Wszystkie te informacje zostają wyeksportowane jako plik komputerowy w formacie określonym na stronie internetowej ministerstwa odpowiedzialnego za budownictwo.</w:t>
      </w:r>
      <w:r>
        <w:rPr>
          <w:rFonts w:ascii="Times New Roman" w:hAnsi="Times New Roman"/>
          <w:sz w:val="24"/>
        </w:rPr>
        <w:br/>
      </w:r>
      <w:r>
        <w:rPr>
          <w:rFonts w:ascii="Times New Roman" w:hAnsi="Times New Roman"/>
          <w:sz w:val="24"/>
        </w:rPr>
        <w:lastRenderedPageBreak/>
        <w:t>Weryfikacja przez niezależną osobę trzecią, określona w art. R. 171-18 kodeksu budownictwa i mieszkalnictwa i wymieniona w artykule R. 171-29 kodeksu budowlanego i mieszkaniowego, obejmuje również, w przypadku deklaracji parametryzowanej, zasady obliczania, o których mowa w niniejszym artykule, oraz narzędzie do obliczeń komputerowych wymienione w poprzednim akapicie.</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Uznaje się, że certyfikacja cech środowiskowych, o których mowa w art. R. 171-27 kodeksu budownictwa i mieszkalnictwa, jest zgodna z wymogami, jeżeli uwzględnia wszystkie wymagania normy NF EN ISO 14024: 2018/03. Certyfikację wyrobów budowlanych, dekoracyjnych lub urządzeń przeprowadza organizacja akredytowana w tym celu przez francuski komitet akredytacji (COFRAC) lub przez inną jednostkę akredytującą będącą sygnatariuszem wielostronnych umów o wzajemnym uznawaniu.</w:t>
      </w:r>
      <w:r>
        <w:rPr>
          <w:rFonts w:ascii="Times New Roman" w:hAnsi="Times New Roman"/>
          <w:sz w:val="24"/>
        </w:rPr>
        <w:br/>
        <w:t>Niniejszy artykuł nie ma zastosowania do deklaracji środowiskowych stosowanych przy obliczaniu efektywności środowiskowej budynków.</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Uchyla się rozporządzenie z dnia 23 grudnia 2013 r. w sprawie deklaracji środowiskowej wyrobów budowlanych i dekoracyjnych przeznaczonych do stosowania w obiektach budowlanych.</w:t>
      </w:r>
      <w:r>
        <w:rPr>
          <w:rFonts w:ascii="Times New Roman" w:hAnsi="Times New Roman"/>
          <w:sz w:val="24"/>
        </w:rPr>
        <w:br/>
        <w:t>Uchyla się rozporządzenie z dnia 31 sierpnia 2015 r. w sprawie deklaracji środowiskowej urządzeń elektrycznych, elektronicznych i klimatycznych przeznaczonych do użytku w obiektach budowlanych.</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13</w:t>
      </w:r>
    </w:p>
    <w:p w14:paraId="5C96245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Przepisy niniejszego rozporządzenia wchodzą w życie z dniem 1 stycznia 2022 r.</w:t>
      </w: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Artykuł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wykonanie niniejszego rozporządzenia, które zostanie opublikowane w Dzienniku Urzędowym Republiki Francuskiej, odpowiada dyrektor ds. mieszkalnictwa, rozwoju obszarów miejskich i krajobrazów.</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Załącznik</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ZAŁĄCZNIKI</w:t>
      </w:r>
      <w:r>
        <w:rPr>
          <w:rFonts w:ascii="Times New Roman" w:hAnsi="Times New Roman"/>
          <w:sz w:val="24"/>
        </w:rPr>
        <w:br/>
        <w:t>ZAŁĄCZNIK I</w:t>
      </w:r>
      <w:r>
        <w:rPr>
          <w:rFonts w:ascii="Times New Roman" w:hAnsi="Times New Roman"/>
          <w:sz w:val="24"/>
        </w:rPr>
        <w:br/>
        <w:t>FORMATY JEDNOSTEK FUNKCJONALNYCH DLA KAŻDEJ KATEGORII WYROBÓW BUDOWLANYCH LUB DEKORACYJNYCH</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5"/>
        <w:gridCol w:w="2453"/>
        <w:gridCol w:w="2590"/>
        <w:gridCol w:w="3517"/>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FORMAT JEDNOSTKI</w:t>
            </w:r>
            <w:r>
              <w:rPr>
                <w:rFonts w:ascii="Times New Roman" w:hAnsi="Times New Roman"/>
                <w:b/>
                <w:sz w:val="24"/>
              </w:rPr>
              <w:br/>
              <w:t>funkcjonalnej w jednostkach</w:t>
            </w:r>
            <w:r>
              <w:rPr>
                <w:rFonts w:ascii="Times New Roman" w:hAnsi="Times New Roman"/>
                <w:b/>
                <w:sz w:val="24"/>
              </w:rPr>
              <w:br/>
              <w:t>systemu międzynarodowego</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Drogi, różne sieci (w tym sieci wewnętrzne)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Kadzie i zbiorniki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Jednostka danej objętości</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Sieci odwadniające i kanalizacyjne (wody deszczowe i ścieki)</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Sieci wodociągowe (wewnętrzne i zewnętrzne)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Sieci dostaw gazu</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System odwadniający</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medium</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Drogi i nawierzchnie zewnętrzne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nawierzchni do danego zastosowania (taras zewnętrzny, drogi o niskim natężeniu ruchu, parking itp.)</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Ogrodzenie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ogrodzenia</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Osłony/kanały</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Konstrukcja, murarstwo, roboty budowlane, ciesielstwo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Kominy i przewody dymowe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przewodu o danym przekroju wewnętrznym</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Jastrychy/pływające jastrychy</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dla danej grubości</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Konstrukcje nośne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powierzchni pokrytej lub m</w:t>
            </w:r>
            <w:r>
              <w:rPr>
                <w:rFonts w:ascii="Times New Roman" w:hAnsi="Times New Roman"/>
                <w:sz w:val="24"/>
                <w:vertAlign w:val="superscript"/>
              </w:rPr>
              <w:t>3</w:t>
            </w:r>
            <w:r>
              <w:rPr>
                <w:rFonts w:ascii="Times New Roman" w:hAnsi="Times New Roman"/>
                <w:sz w:val="24"/>
              </w:rPr>
              <w:t xml:space="preserve"> lub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Wiatrownice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wiatrownicy lub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Płyty i płyty prefabrykowane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Poziome elementy nośne (belki, dźwigary, pustaki, pustaki stropowe, nadproża)</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elementu nośnego (określić rozpiętość i przekrój) lub m² (dla elementu powierzchniowego) lub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Pionowe elementy nośne (słupy/kolumny/filary)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elementu (określić przekrój) lub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Schody (wewnętrzne i zewnętrzne)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Jednostka dla danej wysokości elewacji</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Fundamenty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Małe elementy murarskie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(określić opór cieplny)</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Podłogi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podłogi (określić obciążenie użytkowe)</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Ściany (elementy architektoniczne)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(określić grubość)</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Elewacje</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Okładziny ścienne (izolujące panele elewacyjne, oblicówka, okładziny)</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elewacji</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Ściany osłonowe i świetliki dachowe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elewacji (określić procent nieprzezroczystej powierzchni)</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Zewnętrzne powierzchnie elewacji (w tym kompozytowe systemy zewnętrznej izolacji cieplnej)</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elewacji (określić, w stosownych przypadkach, opór cieplny)</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Pokrycia dachowe/uszczelnienia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Duże elementy pokrycia dachowego</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pokrycia dachowego</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Małe elementy pokrycia dachowego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pokrycia dachowego</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Produkty hydroizolacyjne i uszczelniające do ścian szczelinowych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pokrycia dachowego</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Produkty do uszczelniania dachów</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pokrycia dachowego</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Elementy zielonego dachu</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pokrycia dachowego (określić rodzaj wspieranej roślinności i, w stosownych przypadkach, charakterystykę cieplną)</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Stolarka wewnętrzna i zewnętrzna, zamknięcia</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Okna, okna francuskie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stolarki (powierzchnia otwartej powierzchni przed montażem) (określić wartość U, współczynnik słoneczny, klasyfikację powietrzno-wodno-wiatrową i przepuszczalność światła)</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Poręcze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poręczy</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Drzwi (wewnętrzne, zewnętrzne, bramy itp.)</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(powierzchnia otwarta przed montażem)</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Żaluzje, rolety, żaluzje poziome, story, osłony przeciwsłoneczne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powierzchni nieprzezroczystej/chronionej</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Okna dachowe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stolarki (powierzchnia otwartej powierzchni przed montażem) (określić wartość U, współczynnik słoneczny, klasyfikację powietrzno-wodno-wiatrową i przepuszczalność światła)</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Izolacja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Skrzynki krokwiowe, panele dachowe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opór cieplny)</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Systemy okładzin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opór cieplny)</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Izolacja dodatkowa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opór cieplny)</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Płyty drążone, panele izolacyjne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opór cieplny)</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Materiały do izolacji cieplnej i akustycznej ścian (ITI)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wytrzymałość cieplną i izolacyjność akustyczną)</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Materiały do izolacji cieplnej i akustycznej poddaszy</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wytrzymałość cieplną)</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Materiały do izolacji cieplnej i akustycznej, luzem</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wytrzymałość cieplną)</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Materiały do izolacji cieplnej i akustycznej tarasów dachowych</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wytrzymałość cieplną)</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Materiały do izolacji cieplnej i akustycznej pod jastrychem</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wytrzymałość cieplną i izolacyjność akustyczną)</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Nienośna izolacja rozproszona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wytrzymałość cieplną)</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Materiały do izolacji cieplnej i akustycznej ścian (ITE)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wytrzymałość cieplną)</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Materiały do izolacji akustycznej przegród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izolacyjność akustyczną)</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Materiały do izolacji cieplnej i akustycznej pod płytami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wytrzymałość cieplną i izolacyjność akustyczną)</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Izolacja pod chodnikami i płytami fundamentowymi</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izolacji (określić wytrzymałość cieplną)</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Ścianki działowe, sufity podwieszane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Ścianki działowe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ścianki wewnętrznej (określić, w stosownych przypadkach, charakterystykę akustyczną)</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Sufity podwieszane, sufity napinane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sufitu podwieszanego (określić charakterystykę akustyczną)</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Pokrycia podłogowe i ścienne, farby, wyroby dekoracyjne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Farby, bejce i lakiery, tynki malarskie (bez saturatorów)</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pokrytej powierzchni</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Listwy przypodłogowe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listew przypodłogowych</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Okładziny ścienne i sufitowe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pokrycia</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Twarde wykładziny podłogowe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pokrycia (określić klasę użytkowania lub klasyfikację odporności na zużycie i przebicie, reakcja na wodę i odporność na czynniki chemiczne lub równoważne)</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Miękkie wykładziny podłogowe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pokrycia (określić klasę użytkowania lub klasyfikację odporności na zużycie i przebicie, reakcja na wodę i odporność na czynniki chemiczne lub równoważne)</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Wyroby akustyczne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pokrycia (określić klasę użytkowania lub klasyfikację odporności na zużycie i przebicie, reakcja na wodę i odporność na czynniki chemiczne lub równoważne)</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Saturatory</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pokrytej powierzchni</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Produkty do przygotowania i realizacji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Kleje strukturalne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(określić gęstość)</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Naprawy i montaż</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(określić gęstość)</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Posadzki</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kleju do posadzki</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Zaprawy murarskie</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(określić gęstość)</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Płytki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płytek</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Dekoracja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(określić gęstość)</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Uszczelniacze i pianki poliuretanowe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(określić gęstość liniową)</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Chemia budowlana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(określić gęstość)</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Produkty do betonu</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(określić gęstość)</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Żywice syntetyczne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(określić gęstość)</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Wyposażenie sanitarne i łazienkowe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Baterie i zestawy prysznicowe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Jednostka (określić typ)</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Wanna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Jednostka (określić pojemność w litrach i kształt)</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Brodzik natryskowy</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Jednostka (określić wymiary: szerokość i długość)</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Zlewozmywak</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Jednostka (określić wymiary: szerokość, długość i liczbę komór)</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Umywalka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Jednostka (określić wymiary: szerokość, długość i liczbę komór)</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toaleta - miska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Jednostka (określić wymiary: szerokość i długość)</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Inne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Różne</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E94B252" w14:textId="77777777" w:rsidR="00C05034" w:rsidRDefault="00C05034" w:rsidP="00B77F10">
      <w:pPr>
        <w:spacing w:before="100" w:beforeAutospacing="1" w:after="100" w:afterAutospacing="1" w:line="240" w:lineRule="auto"/>
        <w:outlineLvl w:val="2"/>
        <w:rPr>
          <w:rFonts w:ascii="Times New Roman" w:hAnsi="Times New Roman"/>
          <w:b/>
          <w:sz w:val="27"/>
        </w:rPr>
      </w:pPr>
    </w:p>
    <w:p w14:paraId="7791006C" w14:textId="77777777" w:rsidR="00C05034" w:rsidRDefault="00C05034" w:rsidP="00B77F10">
      <w:pPr>
        <w:spacing w:before="100" w:beforeAutospacing="1" w:after="100" w:afterAutospacing="1" w:line="240" w:lineRule="auto"/>
        <w:outlineLvl w:val="2"/>
        <w:rPr>
          <w:rFonts w:ascii="Times New Roman" w:hAnsi="Times New Roman"/>
          <w:b/>
          <w:sz w:val="27"/>
        </w:rPr>
      </w:pPr>
    </w:p>
    <w:p w14:paraId="432DD491" w14:textId="3989D3D9"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Załącznik</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Załącznik II</w:t>
      </w:r>
      <w:r>
        <w:rPr>
          <w:rFonts w:ascii="Times New Roman" w:hAnsi="Times New Roman"/>
          <w:sz w:val="24"/>
        </w:rPr>
        <w:br/>
        <w:t>Formaty jednostek funkcjonalnych lub jednostek zadeklarowanych dla sprzętu.</w:t>
      </w:r>
    </w:p>
    <w:tbl>
      <w:tblPr>
        <w:tblW w:w="9056"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18"/>
        <w:gridCol w:w="1417"/>
        <w:gridCol w:w="1276"/>
        <w:gridCol w:w="1268"/>
        <w:gridCol w:w="1425"/>
        <w:gridCol w:w="1418"/>
        <w:gridCol w:w="1834"/>
      </w:tblGrid>
      <w:tr w:rsidR="00B77F10" w:rsidRPr="00B77F10" w14:paraId="503F1C5D" w14:textId="77777777" w:rsidTr="00C05034">
        <w:trPr>
          <w:tblCellSpacing w:w="15" w:type="dxa"/>
          <w:jc w:val="center"/>
        </w:trPr>
        <w:tc>
          <w:tcPr>
            <w:tcW w:w="373" w:type="dxa"/>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Nr</w:t>
            </w:r>
          </w:p>
        </w:tc>
        <w:tc>
          <w:tcPr>
            <w:tcW w:w="1387" w:type="dxa"/>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Funkcja</w:t>
            </w:r>
          </w:p>
        </w:tc>
        <w:tc>
          <w:tcPr>
            <w:tcW w:w="1246" w:type="dxa"/>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Kategoria</w:t>
            </w:r>
          </w:p>
        </w:tc>
        <w:tc>
          <w:tcPr>
            <w:tcW w:w="1238"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Jednostka funkcjonalna</w:t>
            </w:r>
          </w:p>
        </w:tc>
        <w:tc>
          <w:tcPr>
            <w:tcW w:w="1395" w:type="dxa"/>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Zadeklarowana jednostka</w:t>
            </w:r>
          </w:p>
        </w:tc>
        <w:tc>
          <w:tcPr>
            <w:tcW w:w="1388" w:type="dxa"/>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Grupa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Rozwiązanie</w:t>
            </w:r>
          </w:p>
        </w:tc>
      </w:tr>
      <w:tr w:rsidR="00B77F10" w:rsidRPr="00B77F10" w14:paraId="039605FC" w14:textId="77777777" w:rsidTr="00C05034">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1387" w:type="dxa"/>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Aparatura instalacyjna sieci elektroenergetycznych i komunikacyjnych</w:t>
            </w:r>
            <w:r>
              <w:rPr>
                <w:rFonts w:ascii="Times New Roman" w:hAnsi="Times New Roman"/>
                <w:sz w:val="24"/>
              </w:rPr>
              <w:br/>
              <w:t>≤ 63 Amp.</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Aparatura naścienna</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Systemy zautomatyzowane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Czujniki ruchu</w:t>
            </w:r>
          </w:p>
        </w:tc>
      </w:tr>
      <w:tr w:rsidR="00B77F10" w:rsidRPr="00B77F10" w14:paraId="7811C1B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Termostaty</w:t>
            </w:r>
          </w:p>
        </w:tc>
      </w:tr>
      <w:tr w:rsidR="00B77F10" w:rsidRPr="00B77F10" w14:paraId="0E80301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Ściemniacze</w:t>
            </w:r>
          </w:p>
        </w:tc>
      </w:tr>
      <w:tr w:rsidR="00B77F10" w:rsidRPr="00B77F10" w14:paraId="260BEE0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Skrzynki na urządzenia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 suchej zabudowy</w:t>
            </w:r>
          </w:p>
        </w:tc>
      </w:tr>
      <w:tr w:rsidR="00B77F10" w:rsidRPr="00B77F10" w14:paraId="0CCBABC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 wmurowania</w:t>
            </w:r>
          </w:p>
        </w:tc>
      </w:tr>
      <w:tr w:rsidR="00B77F10" w:rsidRPr="00B77F10" w14:paraId="242C8C2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Elementy sterujące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Przełączniki</w:t>
            </w:r>
          </w:p>
        </w:tc>
      </w:tr>
      <w:tr w:rsidR="00B77F10" w:rsidRPr="00B77F10" w14:paraId="6C0F1CB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Przyciski</w:t>
            </w:r>
          </w:p>
        </w:tc>
      </w:tr>
      <w:tr w:rsidR="00B77F10" w:rsidRPr="00B77F10" w14:paraId="1D20722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Inne: Kontrolowana wentylacja mechaniczna, roleta itp.</w:t>
            </w:r>
          </w:p>
        </w:tc>
      </w:tr>
      <w:tr w:rsidR="00B77F10" w:rsidRPr="00B77F10" w14:paraId="3795B33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Płyty i wsporniki</w:t>
            </w:r>
          </w:p>
        </w:tc>
        <w:tc>
          <w:tcPr>
            <w:tcW w:w="1789" w:type="dxa"/>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Podzespół wyposażenia ściennego</w:t>
            </w:r>
          </w:p>
        </w:tc>
      </w:tr>
      <w:tr w:rsidR="00B77F10" w:rsidRPr="00B77F10" w14:paraId="7A5C470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Gniazda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Gniazda wtykowe niskoprądowe</w:t>
            </w:r>
          </w:p>
        </w:tc>
      </w:tr>
      <w:tr w:rsidR="00B77F10" w:rsidRPr="00B77F10" w14:paraId="1060CBC5"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Gniazda wysokoprądowe</w:t>
            </w:r>
          </w:p>
        </w:tc>
      </w:tr>
      <w:tr w:rsidR="00B77F10" w:rsidRPr="00B77F10" w14:paraId="35853E2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Różne gniazda </w:t>
            </w:r>
            <w:r>
              <w:rPr>
                <w:rFonts w:ascii="Times New Roman" w:hAnsi="Times New Roman"/>
                <w:sz w:val="24"/>
              </w:rPr>
              <w:lastRenderedPageBreak/>
              <w:t>(telewizja, głośnik, komputer itp.)</w:t>
            </w:r>
          </w:p>
        </w:tc>
      </w:tr>
      <w:tr w:rsidR="00B77F10" w:rsidRPr="00B77F10" w14:paraId="0891FD7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Sygnalizacja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Rozpraszanie dźwięku: głośniki</w:t>
            </w:r>
          </w:p>
        </w:tc>
      </w:tr>
      <w:tr w:rsidR="00B77F10" w:rsidRPr="00B77F10" w14:paraId="3E0878D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Rozpraszanie dźwięku: dzwonek i gong</w:t>
            </w:r>
          </w:p>
        </w:tc>
      </w:tr>
      <w:tr w:rsidR="00B77F10" w:rsidRPr="00B77F10" w14:paraId="4139425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Kontrolki</w:t>
            </w:r>
          </w:p>
        </w:tc>
      </w:tr>
      <w:tr w:rsidR="00B77F10" w:rsidRPr="00B77F10" w14:paraId="74E8770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Akcesoria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Piloty zdalnego sterowania, żaluzje, zaciski</w:t>
            </w:r>
          </w:p>
        </w:tc>
      </w:tr>
      <w:tr w:rsidR="00B77F10" w:rsidRPr="00B77F10" w14:paraId="691E7C6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Modułowe wyposażenie do obudów</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Ogólne wyposażenie ochronne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Przyłącza</w:t>
            </w:r>
          </w:p>
        </w:tc>
      </w:tr>
      <w:tr w:rsidR="00B77F10" w:rsidRPr="00B77F10" w14:paraId="530F263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Wyłączniki automatyczne</w:t>
            </w:r>
          </w:p>
        </w:tc>
      </w:tr>
      <w:tr w:rsidR="00B77F10" w:rsidRPr="00B77F10" w14:paraId="1FBAD29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Wyłączniki sieciowe</w:t>
            </w:r>
          </w:p>
        </w:tc>
      </w:tr>
      <w:tr w:rsidR="00B77F10" w:rsidRPr="00B77F10" w14:paraId="4F2D53A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Przełączniki/odłączniki</w:t>
            </w:r>
          </w:p>
        </w:tc>
      </w:tr>
      <w:tr w:rsidR="00B77F10" w:rsidRPr="00B77F10" w14:paraId="1653AFE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Falowniki źródłowe</w:t>
            </w:r>
          </w:p>
        </w:tc>
      </w:tr>
      <w:tr w:rsidR="00B77F10" w:rsidRPr="00B77F10" w14:paraId="54DF41A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Przekaźniki różnicowe</w:t>
            </w:r>
          </w:p>
        </w:tc>
      </w:tr>
      <w:tr w:rsidR="00B77F10" w:rsidRPr="00B77F10" w14:paraId="333082B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Ochrona odgromowa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Odgromniki</w:t>
            </w:r>
          </w:p>
        </w:tc>
      </w:tr>
      <w:tr w:rsidR="00B77F10" w:rsidRPr="00B77F10" w14:paraId="38BFC67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Telefoniczne ograniczniki przepięć</w:t>
            </w:r>
          </w:p>
        </w:tc>
      </w:tr>
      <w:tr w:rsidR="00B77F10" w:rsidRPr="00B77F10" w14:paraId="1202F0C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Zabezpieczenie linii</w:t>
            </w:r>
          </w:p>
        </w:tc>
        <w:tc>
          <w:tcPr>
            <w:tcW w:w="1789" w:type="dxa"/>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Wyłączniki automatyczne</w:t>
            </w:r>
          </w:p>
        </w:tc>
      </w:tr>
      <w:tr w:rsidR="00B77F10" w:rsidRPr="00B77F10" w14:paraId="580793B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Wyłączniki rozdzielcze</w:t>
            </w:r>
          </w:p>
        </w:tc>
      </w:tr>
      <w:tr w:rsidR="00B77F10" w:rsidRPr="00B77F10" w14:paraId="3D78045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Wyłączniki silnikowe</w:t>
            </w:r>
          </w:p>
        </w:tc>
      </w:tr>
      <w:tr w:rsidR="00B77F10" w:rsidRPr="00B77F10" w14:paraId="09A5DDF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Bezpieczniki</w:t>
            </w:r>
          </w:p>
        </w:tc>
      </w:tr>
      <w:tr w:rsidR="00B77F10" w:rsidRPr="00B77F10" w14:paraId="43734CD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Zabezpieczenie upływowe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Bloki różnicowe</w:t>
            </w:r>
          </w:p>
        </w:tc>
      </w:tr>
      <w:tr w:rsidR="00B77F10" w:rsidRPr="00B77F10" w14:paraId="6C7E03D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Wyłączniki różnicowoprądowe</w:t>
            </w:r>
          </w:p>
        </w:tc>
      </w:tr>
      <w:tr w:rsidR="00B77F10" w:rsidRPr="00B77F10" w14:paraId="60A9675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Przełączniki różnicowoprądowe</w:t>
            </w:r>
          </w:p>
        </w:tc>
      </w:tr>
      <w:tr w:rsidR="00B77F10" w:rsidRPr="00B77F10" w14:paraId="6427271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Zarządzanie oświetleniem</w:t>
            </w:r>
          </w:p>
        </w:tc>
        <w:tc>
          <w:tcPr>
            <w:tcW w:w="1789" w:type="dxa"/>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Wyłączniki zmierzchowe</w:t>
            </w:r>
          </w:p>
        </w:tc>
      </w:tr>
      <w:tr w:rsidR="00B77F10" w:rsidRPr="00B77F10" w14:paraId="0DFC128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Zarządzanie energią słoneczną</w:t>
            </w:r>
          </w:p>
        </w:tc>
      </w:tr>
      <w:tr w:rsidR="00B77F10" w:rsidRPr="00B77F10" w14:paraId="2BDC0B6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Ściemniacze</w:t>
            </w:r>
          </w:p>
        </w:tc>
      </w:tr>
      <w:tr w:rsidR="00B77F10" w:rsidRPr="00B77F10" w14:paraId="2BED940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Zarządzanie energią</w:t>
            </w:r>
          </w:p>
        </w:tc>
        <w:tc>
          <w:tcPr>
            <w:tcW w:w="1789" w:type="dxa"/>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Odłączniki obciążenia</w:t>
            </w:r>
          </w:p>
        </w:tc>
      </w:tr>
      <w:tr w:rsidR="00B77F10" w:rsidRPr="00B77F10" w14:paraId="269954B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Urządzenia do zarządzenia energią</w:t>
            </w:r>
          </w:p>
        </w:tc>
      </w:tr>
      <w:tr w:rsidR="00B77F10" w:rsidRPr="00B77F10" w14:paraId="127CAD5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Zarządzanie oknami i roletami</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Zarządzanie oknami i roletami</w:t>
            </w:r>
          </w:p>
        </w:tc>
      </w:tr>
      <w:tr w:rsidR="00B77F10" w:rsidRPr="00B77F10" w14:paraId="5C7BF1E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Zarządzanie czasem</w:t>
            </w:r>
          </w:p>
        </w:tc>
        <w:tc>
          <w:tcPr>
            <w:tcW w:w="1789" w:type="dxa"/>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Wyłączniki czasowe</w:t>
            </w:r>
          </w:p>
        </w:tc>
      </w:tr>
      <w:tr w:rsidR="00B77F10" w:rsidRPr="00B77F10" w14:paraId="78BF2AD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Timery</w:t>
            </w:r>
          </w:p>
        </w:tc>
      </w:tr>
      <w:tr w:rsidR="00B77F10" w:rsidRPr="00B77F10" w14:paraId="5BF9846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Przekaźniki czasowe</w:t>
            </w:r>
          </w:p>
        </w:tc>
      </w:tr>
      <w:tr w:rsidR="00B77F10" w:rsidRPr="00B77F10" w14:paraId="60C6A08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Zarządzanie ciepłem </w:t>
            </w:r>
            <w:r>
              <w:rPr>
                <w:rFonts w:ascii="Times New Roman" w:hAnsi="Times New Roman"/>
                <w:sz w:val="24"/>
              </w:rPr>
              <w:lastRenderedPageBreak/>
              <w:t>(ogrzewanie, wentylacja)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Termostaty</w:t>
            </w:r>
          </w:p>
        </w:tc>
      </w:tr>
      <w:tr w:rsidR="00B77F10" w:rsidRPr="00B77F10" w14:paraId="3BCC0BE4"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Pomiar</w:t>
            </w:r>
          </w:p>
        </w:tc>
        <w:tc>
          <w:tcPr>
            <w:tcW w:w="1789" w:type="dxa"/>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Liczniki energii</w:t>
            </w:r>
          </w:p>
        </w:tc>
      </w:tr>
      <w:tr w:rsidR="00B77F10" w:rsidRPr="00B77F10" w14:paraId="3AD6C6D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Czujniki deszczu, słońca itp.</w:t>
            </w:r>
          </w:p>
        </w:tc>
      </w:tr>
      <w:tr w:rsidR="00B77F10" w:rsidRPr="00B77F10" w14:paraId="0D7FD6A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Woltomierze, amperomierze</w:t>
            </w:r>
          </w:p>
        </w:tc>
      </w:tr>
      <w:tr w:rsidR="00B77F10" w:rsidRPr="00B77F10" w14:paraId="103C5FA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Urządzenia sterujące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Przyciski</w:t>
            </w:r>
          </w:p>
        </w:tc>
      </w:tr>
      <w:tr w:rsidR="00B77F10" w:rsidRPr="00B77F10" w14:paraId="150B06D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Styczniki</w:t>
            </w:r>
          </w:p>
        </w:tc>
      </w:tr>
      <w:tr w:rsidR="00B77F10" w:rsidRPr="00B77F10" w14:paraId="333E4B7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Przełączniki, falowniki, komutatory itp.</w:t>
            </w:r>
          </w:p>
        </w:tc>
      </w:tr>
      <w:tr w:rsidR="00B77F10" w:rsidRPr="00B77F10" w14:paraId="19AE77E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Zdalne przełączniki impulsowe</w:t>
            </w:r>
          </w:p>
        </w:tc>
      </w:tr>
      <w:tr w:rsidR="00B77F10" w:rsidRPr="00B77F10" w14:paraId="5A025F1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Urządzenia sygnalizacyjne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Gongi i dzwonki</w:t>
            </w:r>
          </w:p>
        </w:tc>
      </w:tr>
      <w:tr w:rsidR="00B77F10" w:rsidRPr="00B77F10" w14:paraId="054F7F1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Kontrolki</w:t>
            </w:r>
          </w:p>
        </w:tc>
      </w:tr>
      <w:tr w:rsidR="00B77F10" w:rsidRPr="00B77F10" w14:paraId="0286331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Automatyka domowa i systemy komunikacyjne</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Sieci multimedialne i VDI (do transmisji głosu, danych i obrazu)</w:t>
            </w:r>
          </w:p>
        </w:tc>
        <w:tc>
          <w:tcPr>
            <w:tcW w:w="1789" w:type="dxa"/>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Modułowe wyposażenie automatyki domowej</w:t>
            </w:r>
          </w:p>
        </w:tc>
      </w:tr>
      <w:tr w:rsidR="00B77F10" w:rsidRPr="00B77F10" w14:paraId="39DA306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Urządzenia końcowe automatyki domowej</w:t>
            </w:r>
          </w:p>
        </w:tc>
      </w:tr>
      <w:tr w:rsidR="00B77F10" w:rsidRPr="00B77F10" w14:paraId="30BE1D9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Rozgałęźniki sygnalizacyjne/detekcyjne</w:t>
            </w:r>
          </w:p>
        </w:tc>
      </w:tr>
      <w:tr w:rsidR="00B77F10" w:rsidRPr="00B77F10" w14:paraId="0E3B738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Punkty dostępowe Wi-Fi</w:t>
            </w:r>
          </w:p>
        </w:tc>
      </w:tr>
      <w:tr w:rsidR="00B77F10" w:rsidRPr="00B77F10" w14:paraId="1BA4C94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Obudowy</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Szafki kablowo-rozdzielcze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Szafki poliestrowe</w:t>
            </w:r>
          </w:p>
        </w:tc>
      </w:tr>
      <w:tr w:rsidR="00B77F10" w:rsidRPr="00B77F10" w14:paraId="665E1A2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Szafki metalowe</w:t>
            </w:r>
          </w:p>
        </w:tc>
      </w:tr>
      <w:tr w:rsidR="00B77F10" w:rsidRPr="00B77F10" w14:paraId="3E28A64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Przyłącza</w:t>
            </w:r>
          </w:p>
        </w:tc>
      </w:tr>
      <w:tr w:rsidR="00B77F10" w:rsidRPr="00B77F10" w14:paraId="23DC5F8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Wyposażenie szafek</w:t>
            </w:r>
          </w:p>
        </w:tc>
      </w:tr>
      <w:tr w:rsidR="00B77F10" w:rsidRPr="00B77F10" w14:paraId="279CFC14"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Skrzynki</w:t>
            </w:r>
          </w:p>
        </w:tc>
        <w:tc>
          <w:tcPr>
            <w:tcW w:w="1789" w:type="dxa"/>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Skrzynki zaciskowe</w:t>
            </w:r>
          </w:p>
        </w:tc>
      </w:tr>
      <w:tr w:rsidR="00B77F10" w:rsidRPr="00B77F10" w14:paraId="061BB32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Skrzynki wpuszczane</w:t>
            </w:r>
          </w:p>
        </w:tc>
      </w:tr>
      <w:tr w:rsidR="00B77F10" w:rsidRPr="00B77F10" w14:paraId="1D6E2D6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Skrzynki wodoszczelne</w:t>
            </w:r>
          </w:p>
        </w:tc>
      </w:tr>
      <w:tr w:rsidR="00B77F10" w:rsidRPr="00B77F10" w14:paraId="4042A32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Skrzynki do montażu natynkowego</w:t>
            </w:r>
          </w:p>
        </w:tc>
      </w:tr>
      <w:tr w:rsidR="00B77F10" w:rsidRPr="00B77F10" w14:paraId="02F2534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Skrzynki VDI (do transmisji głosu, danych i obrazu)</w:t>
            </w:r>
          </w:p>
        </w:tc>
      </w:tr>
      <w:tr w:rsidR="00B77F10" w:rsidRPr="00B77F10" w14:paraId="161B3FB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Skrzynki przyłączeniowe</w:t>
            </w:r>
          </w:p>
        </w:tc>
      </w:tr>
      <w:tr w:rsidR="00B77F10" w:rsidRPr="00B77F10" w14:paraId="65A59F3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Biurka, zarządzanie ciepłem w obudowach</w:t>
            </w:r>
          </w:p>
        </w:tc>
      </w:tr>
      <w:tr w:rsidR="00B77F10" w:rsidRPr="00B77F10" w14:paraId="4BB012F5"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Rozwiązania do trasowania kabli</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Metr</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Systemy trasowania kabli i stojaki kablowe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Rury osłonowe karbowane z pilotem</w:t>
            </w:r>
          </w:p>
        </w:tc>
      </w:tr>
      <w:tr w:rsidR="00B77F10" w:rsidRPr="00B77F10" w14:paraId="674B908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Korytka kablowe natynkowe</w:t>
            </w:r>
          </w:p>
        </w:tc>
      </w:tr>
      <w:tr w:rsidR="00B77F10" w:rsidRPr="00B77F10" w14:paraId="26E0BE34"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Stojaki kablowe</w:t>
            </w:r>
          </w:p>
        </w:tc>
      </w:tr>
      <w:tr w:rsidR="00B77F10" w:rsidRPr="00B77F10" w14:paraId="50D79C6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Systemy listew instalacyjnych i kanały kablowe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Kanały kablowe</w:t>
            </w:r>
          </w:p>
        </w:tc>
      </w:tr>
      <w:tr w:rsidR="00B77F10" w:rsidRPr="00B77F10" w14:paraId="6930BA2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Kanały kablowe profilowane</w:t>
            </w:r>
          </w:p>
        </w:tc>
      </w:tr>
      <w:tr w:rsidR="00B77F10" w:rsidRPr="00B77F10" w14:paraId="435D71D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Rury i kanały kablowe sztywne</w:t>
            </w:r>
          </w:p>
        </w:tc>
      </w:tr>
      <w:tr w:rsidR="00B77F10" w:rsidRPr="00B77F10" w14:paraId="3932E3A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Kanały zasilające</w:t>
            </w:r>
          </w:p>
        </w:tc>
      </w:tr>
      <w:tr w:rsidR="00B77F10" w:rsidRPr="00B77F10" w14:paraId="7F34156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Kanały podłogowe</w:t>
            </w:r>
          </w:p>
        </w:tc>
      </w:tr>
      <w:tr w:rsidR="00B77F10" w:rsidRPr="00B77F10" w14:paraId="4D2766A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Kanały instalacyjne</w:t>
            </w:r>
          </w:p>
        </w:tc>
      </w:tr>
      <w:tr w:rsidR="00B77F10" w:rsidRPr="00B77F10" w14:paraId="24B9244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Listwy i listwy przypodłogowe</w:t>
            </w:r>
          </w:p>
        </w:tc>
      </w:tr>
      <w:tr w:rsidR="00B77F10" w:rsidRPr="00B77F10" w14:paraId="04064FD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Inne produkty do prowadzenia kabli</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Obudowa instalacji technicznej (GTL)</w:t>
            </w:r>
          </w:p>
        </w:tc>
      </w:tr>
      <w:tr w:rsidR="00B77F10" w:rsidRPr="00B77F10" w14:paraId="5A9BE34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Kanały podłogowe</w:t>
            </w:r>
          </w:p>
        </w:tc>
      </w:tr>
      <w:tr w:rsidR="00B77F10" w:rsidRPr="00B77F10" w14:paraId="2D465B3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Skrzynki rozdzielcze i kolumny montażowe pionowe</w:t>
            </w:r>
          </w:p>
        </w:tc>
      </w:tr>
      <w:tr w:rsidR="00B77F10" w:rsidRPr="00B77F10" w14:paraId="3C99A8F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Korytka kablowe do szafek</w:t>
            </w:r>
          </w:p>
        </w:tc>
      </w:tr>
      <w:tr w:rsidR="00B77F10" w:rsidRPr="00B77F10" w14:paraId="7EDFC08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Pozostałe i akcesoria</w:t>
            </w:r>
          </w:p>
        </w:tc>
      </w:tr>
      <w:tr w:rsidR="00B77F10" w:rsidRPr="00B77F10" w14:paraId="5B608A6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Inne</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Przyłącze / podłączenie (poza obudową)</w:t>
            </w:r>
          </w:p>
        </w:tc>
        <w:tc>
          <w:tcPr>
            <w:tcW w:w="1789" w:type="dxa"/>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Bloki przyłączeniowe</w:t>
            </w:r>
          </w:p>
        </w:tc>
      </w:tr>
      <w:tr w:rsidR="00B77F10" w:rsidRPr="00B77F10" w14:paraId="30FBE9E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Złącza</w:t>
            </w:r>
          </w:p>
        </w:tc>
      </w:tr>
      <w:tr w:rsidR="00B77F10" w:rsidRPr="00B77F10" w14:paraId="0BE3976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Gniazda przemysłowe</w:t>
            </w:r>
          </w:p>
        </w:tc>
      </w:tr>
      <w:tr w:rsidR="00B77F10" w:rsidRPr="00B77F10" w14:paraId="1A06494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Zasilacze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Transformatory</w:t>
            </w:r>
          </w:p>
        </w:tc>
      </w:tr>
      <w:tr w:rsidR="00B77F10" w:rsidRPr="00B77F10" w14:paraId="37211C8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Źródła centralne</w:t>
            </w:r>
          </w:p>
        </w:tc>
      </w:tr>
      <w:tr w:rsidR="00B77F10" w:rsidRPr="00B77F10" w14:paraId="5EDD812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Mobilny sprzęt elektryczny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Lampy przenośne</w:t>
            </w:r>
          </w:p>
        </w:tc>
      </w:tr>
      <w:tr w:rsidR="00B77F10" w:rsidRPr="00B77F10" w14:paraId="1FEA93D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Bloki adapterów wielogniazdowych, gniazda rozdzielacza telefonicznego, pozostałe</w:t>
            </w:r>
          </w:p>
        </w:tc>
      </w:tr>
      <w:tr w:rsidR="00B77F10" w:rsidRPr="00B77F10" w14:paraId="176BC775"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Silnik mechanizmu okiennic</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Silnik mechanizmu drzwi, bram itp.</w:t>
            </w:r>
          </w:p>
        </w:tc>
      </w:tr>
      <w:tr w:rsidR="00B77F10" w:rsidRPr="00B77F10" w14:paraId="62761E5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Silnik mechanizmu rolet</w:t>
            </w:r>
          </w:p>
        </w:tc>
      </w:tr>
      <w:tr w:rsidR="00B77F10" w:rsidRPr="00B77F10" w14:paraId="7815C73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Różne</w:t>
            </w:r>
          </w:p>
        </w:tc>
        <w:tc>
          <w:tcPr>
            <w:tcW w:w="1238"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C05034">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1387" w:type="dxa"/>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Przewody i kable</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Sieci elektryczne</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Kable średniego napięcia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Kable niskiego napięcia &lt; 1 kV</w:t>
            </w:r>
          </w:p>
        </w:tc>
        <w:tc>
          <w:tcPr>
            <w:tcW w:w="1789" w:type="dxa"/>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Akcesoria do sieci elektrycznych</w:t>
            </w:r>
          </w:p>
        </w:tc>
        <w:tc>
          <w:tcPr>
            <w:tcW w:w="1789" w:type="dxa"/>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Przesył energii elektrycznej i danych wewnątrz budynku</w:t>
            </w:r>
          </w:p>
        </w:tc>
        <w:tc>
          <w:tcPr>
            <w:tcW w:w="1238"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Przewody i kable energetyczne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395" w:type="dxa"/>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Kable komunikacyj</w:t>
            </w:r>
            <w:r>
              <w:rPr>
                <w:rFonts w:ascii="Times New Roman" w:hAnsi="Times New Roman"/>
                <w:sz w:val="24"/>
              </w:rPr>
              <w:lastRenderedPageBreak/>
              <w:t>ne miedziane i światłowodowe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Akcesoria wewnątrz budynku</w:t>
            </w:r>
          </w:p>
        </w:tc>
        <w:tc>
          <w:tcPr>
            <w:tcW w:w="1789" w:type="dxa"/>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Pozostałe przewody i kable</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Nieizolowane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Kable grzewcze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Różne</w:t>
            </w:r>
          </w:p>
        </w:tc>
        <w:tc>
          <w:tcPr>
            <w:tcW w:w="1238"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C05034">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1387" w:type="dxa"/>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Bezpieczeństwo osób fizycznych i kontrola dostępu</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Wykrywanie i kontrola dostępu</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System wykrywania włamań</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Sprzęt do wykrywania włamań</w:t>
            </w:r>
          </w:p>
        </w:tc>
      </w:tr>
      <w:tr w:rsidR="00B77F10" w:rsidRPr="00B77F10" w14:paraId="3772E83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Urządzenia sterujące (klawiatura, pilot itp.)</w:t>
            </w:r>
          </w:p>
        </w:tc>
      </w:tr>
      <w:tr w:rsidR="00B77F10" w:rsidRPr="00B77F10" w14:paraId="6408C67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Jednostki sterujące alarmem</w:t>
            </w:r>
          </w:p>
        </w:tc>
      </w:tr>
      <w:tr w:rsidR="00B77F10" w:rsidRPr="00B77F10" w14:paraId="06CA08D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Urządzenia sygnalizacyjne (syrena, nadajnik itp.)</w:t>
            </w:r>
          </w:p>
        </w:tc>
      </w:tr>
      <w:tr w:rsidR="00B77F10" w:rsidRPr="00B77F10" w14:paraId="3C0ACEE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System kontroli dostępu</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Bramofony audio</w:t>
            </w:r>
          </w:p>
        </w:tc>
      </w:tr>
      <w:tr w:rsidR="00B77F10" w:rsidRPr="00B77F10" w14:paraId="4C7010E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Wideodomofony</w:t>
            </w:r>
          </w:p>
        </w:tc>
      </w:tr>
      <w:tr w:rsidR="00B77F10" w:rsidRPr="00B77F10" w14:paraId="1CE281A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Monitoring wideo</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System monitoringu wideo</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Sprzęt do przechwytywania obrazu (kamery)</w:t>
            </w:r>
          </w:p>
        </w:tc>
      </w:tr>
      <w:tr w:rsidR="00B77F10" w:rsidRPr="00B77F10" w14:paraId="3384284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Sprzęt do zarządzania obrazem</w:t>
            </w:r>
          </w:p>
        </w:tc>
      </w:tr>
      <w:tr w:rsidR="00B77F10" w:rsidRPr="00B77F10" w14:paraId="2A62D05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Połączenia</w:t>
            </w:r>
          </w:p>
        </w:tc>
      </w:tr>
      <w:tr w:rsidR="00B77F10" w:rsidRPr="00B77F10" w14:paraId="5AC9846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Różne</w:t>
            </w:r>
          </w:p>
        </w:tc>
        <w:tc>
          <w:tcPr>
            <w:tcW w:w="1238"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C05034">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1387" w:type="dxa"/>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Bezpieczeństwo budynku</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System oświetlenia bezpieczeństwa</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Otoczenie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Samodzielne jednostki oświetlenia awaryjnego (B.A.E.S)</w:t>
            </w:r>
          </w:p>
        </w:tc>
      </w:tr>
      <w:tr w:rsidR="00B77F10" w:rsidRPr="00B77F10" w14:paraId="0E7BF1B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Oprawa oświetleniowa do źródła centralnego (L.S.C)</w:t>
            </w:r>
          </w:p>
        </w:tc>
      </w:tr>
      <w:tr w:rsidR="00B77F10" w:rsidRPr="00B77F10" w14:paraId="0B957AD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Zespoły reflektorów</w:t>
            </w:r>
          </w:p>
        </w:tc>
      </w:tr>
      <w:tr w:rsidR="00B77F10" w:rsidRPr="00B77F10" w14:paraId="32107BC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Ewakuacja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Samodzielne jednostki oświetlenia awaryjnego (B.A.E.S)</w:t>
            </w:r>
          </w:p>
        </w:tc>
      </w:tr>
      <w:tr w:rsidR="00B77F10" w:rsidRPr="00B77F10" w14:paraId="1A9A618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Niezależne jednostki oświetlenia mieszkalnego (B.A.E.H)</w:t>
            </w:r>
          </w:p>
        </w:tc>
      </w:tr>
      <w:tr w:rsidR="00B77F10" w:rsidRPr="00B77F10" w14:paraId="5B5B786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Jednostka dwufunkcyjna (B.A.E.S + B.A.E.H)</w:t>
            </w:r>
          </w:p>
        </w:tc>
      </w:tr>
      <w:tr w:rsidR="00B77F10" w:rsidRPr="00B77F10" w14:paraId="60BD07B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Oprawa oświetleniowa do źródła centralnego (L.S.C)</w:t>
            </w:r>
          </w:p>
        </w:tc>
      </w:tr>
      <w:tr w:rsidR="00B77F10" w:rsidRPr="00B77F10" w14:paraId="461F472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(urządzenie oświetleniowe)</w:t>
            </w:r>
          </w:p>
        </w:tc>
      </w:tr>
      <w:tr w:rsidR="00B77F10" w:rsidRPr="00B77F10" w14:paraId="585B07A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(ulepszone urządzenie identyfikacyjne)</w:t>
            </w:r>
          </w:p>
        </w:tc>
      </w:tr>
      <w:tr w:rsidR="00B77F10" w:rsidRPr="00B77F10" w14:paraId="56CA429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Oświetlenie awaryjne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Niezależne jednostki oświetlenia mieszkalnego (B.A.E.H)</w:t>
            </w:r>
          </w:p>
        </w:tc>
      </w:tr>
      <w:tr w:rsidR="00B77F10" w:rsidRPr="00B77F10" w14:paraId="06EF702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Jednostka dwufunkcyjna (B.A.E.S + B.A.E.H)</w:t>
            </w:r>
          </w:p>
        </w:tc>
      </w:tr>
      <w:tr w:rsidR="00B77F10" w:rsidRPr="00B77F10" w14:paraId="3310E95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Interwencja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Przenośne samodzielne jednostki interwencyjne (B.A.P.I)</w:t>
            </w:r>
          </w:p>
        </w:tc>
      </w:tr>
      <w:tr w:rsidR="00B77F10" w:rsidRPr="00B77F10" w14:paraId="6C04FF8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Zasilanie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Centralne źródło oświetlenia awaryjnego</w:t>
            </w:r>
          </w:p>
        </w:tc>
      </w:tr>
      <w:tr w:rsidR="00B77F10" w:rsidRPr="00B77F10" w14:paraId="0476AE1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Bezpieczeństwo pożarowe</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Bezpieczeństwo pożarowe i alarm techniczny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Niezależne czujniki dymu/alarmy</w:t>
            </w:r>
          </w:p>
        </w:tc>
      </w:tr>
      <w:tr w:rsidR="00B77F10" w:rsidRPr="00B77F10" w14:paraId="0108CDE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Czujki i alarmy techniczne (zalanie, gaz itp.)</w:t>
            </w:r>
          </w:p>
        </w:tc>
      </w:tr>
      <w:tr w:rsidR="00B77F10" w:rsidRPr="00B77F10" w14:paraId="07BE589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Samodzielne czujniki tlenku węgla</w:t>
            </w:r>
          </w:p>
        </w:tc>
      </w:tr>
      <w:tr w:rsidR="00B77F10" w:rsidRPr="00B77F10" w14:paraId="2E560DD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Alarmy techniczne i czujki</w:t>
            </w:r>
          </w:p>
        </w:tc>
      </w:tr>
      <w:tr w:rsidR="00B77F10" w:rsidRPr="00B77F10" w14:paraId="6FB63ED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Różne</w:t>
            </w:r>
          </w:p>
        </w:tc>
        <w:tc>
          <w:tcPr>
            <w:tcW w:w="1238"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C05034">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5</w:t>
            </w:r>
          </w:p>
        </w:tc>
        <w:tc>
          <w:tcPr>
            <w:tcW w:w="1387" w:type="dxa"/>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Urządzenia inżynierii sanitarnej</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Ogrzewanie i/lub chłodzenie i/lub produkcja ciepłej wody użytkowej</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Kocioł (samodzielne ogrzewanie)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Kocioł gazowy</w:t>
            </w:r>
          </w:p>
        </w:tc>
      </w:tr>
      <w:tr w:rsidR="00B77F10" w:rsidRPr="00B77F10" w14:paraId="7D6145E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Kocioł na olej opałowy</w:t>
            </w:r>
          </w:p>
        </w:tc>
      </w:tr>
      <w:tr w:rsidR="00B77F10" w:rsidRPr="00B77F10" w14:paraId="67AC5EA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Kocioł hybrydowy</w:t>
            </w:r>
          </w:p>
        </w:tc>
      </w:tr>
      <w:tr w:rsidR="00B77F10" w:rsidRPr="00B77F10" w14:paraId="599CC5D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Kocioł na biomasę</w:t>
            </w:r>
          </w:p>
        </w:tc>
      </w:tr>
      <w:tr w:rsidR="00B77F10" w:rsidRPr="00B77F10" w14:paraId="0B6DC1C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Kocioł mieszany (ogrzewanie i ciepła woda użytkowa)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Kocioł gazowy</w:t>
            </w:r>
          </w:p>
        </w:tc>
      </w:tr>
      <w:tr w:rsidR="00B77F10" w:rsidRPr="00B77F10" w14:paraId="0972193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Kocioł na olej opałowy</w:t>
            </w:r>
          </w:p>
        </w:tc>
      </w:tr>
      <w:tr w:rsidR="00B77F10" w:rsidRPr="00B77F10" w14:paraId="4D2C85B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95" w:type="dxa"/>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Niezależne urządzenia wykorzystujące biomasę</w:t>
            </w:r>
          </w:p>
        </w:tc>
      </w:tr>
      <w:tr w:rsidR="00B77F10" w:rsidRPr="00B77F10" w14:paraId="169653E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Pompa ciepła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Elektryczna sprężarkowa pompa ciepła</w:t>
            </w:r>
          </w:p>
        </w:tc>
      </w:tr>
      <w:tr w:rsidR="00B77F10" w:rsidRPr="00B77F10" w14:paraId="03D84A0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Hybrydowa pompa ciepła</w:t>
            </w:r>
          </w:p>
        </w:tc>
      </w:tr>
      <w:tr w:rsidR="00B77F10" w:rsidRPr="00B77F10" w14:paraId="4917C6A5"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Pompa cyrkulacyjna wody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Grzejnik</w:t>
            </w:r>
          </w:p>
        </w:tc>
      </w:tr>
      <w:tr w:rsidR="00B77F10" w:rsidRPr="00B77F10" w14:paraId="5ADCA85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Suszarka do ręczników</w:t>
            </w:r>
          </w:p>
        </w:tc>
      </w:tr>
      <w:tr w:rsidR="00B77F10" w:rsidRPr="00B77F10" w14:paraId="0831CE6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Bezpośrednie ogrzewanie elektryczne ze stale widocznym odczytem</w:t>
            </w:r>
          </w:p>
        </w:tc>
        <w:tc>
          <w:tcPr>
            <w:tcW w:w="1789" w:type="dxa"/>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Konwektor</w:t>
            </w:r>
          </w:p>
        </w:tc>
      </w:tr>
      <w:tr w:rsidR="00B77F10" w:rsidRPr="00B77F10" w14:paraId="5BC7E97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Promiennik</w:t>
            </w:r>
          </w:p>
        </w:tc>
      </w:tr>
      <w:tr w:rsidR="00B77F10" w:rsidRPr="00B77F10" w14:paraId="6AD73E2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Grzejnik</w:t>
            </w:r>
          </w:p>
        </w:tc>
      </w:tr>
      <w:tr w:rsidR="00B77F10" w:rsidRPr="00B77F10" w14:paraId="2D47234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Urządzenie z dodatkową funkcją suszarki do ręczników</w:t>
            </w:r>
          </w:p>
        </w:tc>
      </w:tr>
      <w:tr w:rsidR="00B77F10" w:rsidRPr="00B77F10" w14:paraId="34BF4304"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Produkcja ciepłej wody użytkowej</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Litr</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Indywidualny magazynowy podgrzewacz wody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Elektryczny podgrzewacz wody</w:t>
            </w:r>
          </w:p>
        </w:tc>
      </w:tr>
      <w:tr w:rsidR="00B77F10" w:rsidRPr="00B77F10" w14:paraId="5FD5115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Termodynamiczny podgrzewacz wody</w:t>
            </w:r>
          </w:p>
        </w:tc>
      </w:tr>
      <w:tr w:rsidR="00B77F10" w:rsidRPr="00B77F10" w14:paraId="477AF58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Gazowy podgrzewacz wody</w:t>
            </w:r>
          </w:p>
        </w:tc>
      </w:tr>
      <w:tr w:rsidR="00B77F10" w:rsidRPr="00B77F10" w14:paraId="54472814"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Indywidualny solarny podgrzewacz wody</w:t>
            </w:r>
          </w:p>
        </w:tc>
      </w:tr>
      <w:tr w:rsidR="00B77F10" w:rsidRPr="00B77F10" w14:paraId="5112EFC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Końcowe urządzenia klimatyzacji komfortowej</w:t>
            </w:r>
          </w:p>
        </w:tc>
        <w:tc>
          <w:tcPr>
            <w:tcW w:w="1238"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95" w:type="dxa"/>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Klimakonwektory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Klimakonwektory</w:t>
            </w:r>
          </w:p>
        </w:tc>
      </w:tr>
      <w:tr w:rsidR="00B77F10" w:rsidRPr="00B77F10" w14:paraId="384F2CA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dł. x szer. x wys. (m) lub m³</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Wiązki klimatyczne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Pasywne wiązki klimatyczne</w:t>
            </w:r>
          </w:p>
        </w:tc>
      </w:tr>
      <w:tr w:rsidR="00B77F10" w:rsidRPr="00B77F10" w14:paraId="2936C72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Aktywne wiązki klimatyczne</w:t>
            </w:r>
          </w:p>
        </w:tc>
      </w:tr>
      <w:tr w:rsidR="00B77F10" w:rsidRPr="00B77F10" w14:paraId="04B7CB4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Grzejniki dynamiczne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Grzejniki dynamiczne</w:t>
            </w:r>
          </w:p>
        </w:tc>
      </w:tr>
      <w:tr w:rsidR="00B77F10" w:rsidRPr="00B77F10" w14:paraId="17CA868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Przewody i akcesoria sieciowe</w:t>
            </w:r>
          </w:p>
        </w:tc>
        <w:tc>
          <w:tcPr>
            <w:tcW w:w="1238"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Kolanka i akcesoria</w:t>
            </w:r>
          </w:p>
        </w:tc>
      </w:tr>
      <w:tr w:rsidR="00B77F10" w:rsidRPr="00B77F10" w14:paraId="75AAB13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Przewody elastyczne</w:t>
            </w:r>
          </w:p>
        </w:tc>
      </w:tr>
      <w:tr w:rsidR="00B77F10" w:rsidRPr="00B77F10" w14:paraId="146D6AC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Przewody sztywne</w:t>
            </w:r>
          </w:p>
        </w:tc>
      </w:tr>
      <w:tr w:rsidR="00B77F10" w:rsidRPr="00B77F10" w14:paraId="63144C0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Dyfuzja powietrza</w:t>
            </w:r>
          </w:p>
        </w:tc>
        <w:tc>
          <w:tcPr>
            <w:tcW w:w="1238"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m³/godz.</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Wloty powietrza</w:t>
            </w:r>
          </w:p>
        </w:tc>
      </w:tr>
      <w:tr w:rsidR="00B77F10" w:rsidRPr="00B77F10" w14:paraId="23380AA2"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Terminale pasywne</w:t>
            </w:r>
          </w:p>
        </w:tc>
      </w:tr>
      <w:tr w:rsidR="00B77F10" w:rsidRPr="00B77F10" w14:paraId="47C6081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Dyfuzory</w:t>
            </w:r>
          </w:p>
        </w:tc>
      </w:tr>
      <w:tr w:rsidR="00B77F10" w:rsidRPr="00B77F10" w14:paraId="7D78275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Filtr powietrza</w:t>
            </w:r>
          </w:p>
        </w:tc>
      </w:tr>
      <w:tr w:rsidR="00B77F10" w:rsidRPr="00B77F10" w14:paraId="7776850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Otwory wyciągowe i dmuchawy</w:t>
            </w:r>
          </w:p>
        </w:tc>
      </w:tr>
      <w:tr w:rsidR="00B77F10" w:rsidRPr="00B77F10" w14:paraId="0DB009C4"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Oczyszczanie powietrza</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m³/godz.</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Oczyszczalnia powietrza</w:t>
            </w:r>
          </w:p>
        </w:tc>
      </w:tr>
      <w:tr w:rsidR="00B77F10" w:rsidRPr="00B77F10" w14:paraId="28F80E4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Jednostka o podwójnym przepływie</w:t>
            </w:r>
          </w:p>
        </w:tc>
      </w:tr>
      <w:tr w:rsidR="00B77F10" w:rsidRPr="00B77F10" w14:paraId="1125088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Skrzynka wentylacyjna</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m³/godz.</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Wentylacja sterowana mechanicznie z pojedynczym przepływem (VMC)</w:t>
            </w:r>
          </w:p>
        </w:tc>
      </w:tr>
      <w:tr w:rsidR="00B77F10" w:rsidRPr="00B77F10" w14:paraId="33D5133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Dwubiegowa wentylacja sterowana mechanicznie (VMC)</w:t>
            </w:r>
          </w:p>
        </w:tc>
      </w:tr>
      <w:tr w:rsidR="00B77F10" w:rsidRPr="00B77F10" w14:paraId="4C8E159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Skrzynka wentylacyjna</w:t>
            </w:r>
          </w:p>
        </w:tc>
      </w:tr>
      <w:tr w:rsidR="00B77F10" w:rsidRPr="00B77F10" w14:paraId="40A02F5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Chłodnictwo</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Jednostka do produkcji wody lodowej</w:t>
            </w:r>
          </w:p>
        </w:tc>
      </w:tr>
      <w:tr w:rsidR="00B77F10" w:rsidRPr="00B77F10" w14:paraId="70B8C49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Wieża chłodząca</w:t>
            </w:r>
          </w:p>
        </w:tc>
      </w:tr>
      <w:tr w:rsidR="00B77F10" w:rsidRPr="00B77F10" w14:paraId="32625D6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Chłodnice powietrza</w:t>
            </w:r>
          </w:p>
        </w:tc>
      </w:tr>
      <w:tr w:rsidR="00B77F10" w:rsidRPr="00B77F10" w14:paraId="4344006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Mechaniczny wyciąg dymu</w:t>
            </w:r>
          </w:p>
        </w:tc>
        <w:tc>
          <w:tcPr>
            <w:tcW w:w="1238"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m³/godz.</w:t>
            </w:r>
          </w:p>
        </w:tc>
        <w:tc>
          <w:tcPr>
            <w:tcW w:w="1395" w:type="dxa"/>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Wieża, wentylator</w:t>
            </w:r>
          </w:p>
        </w:tc>
      </w:tr>
      <w:tr w:rsidR="00B77F10" w:rsidRPr="00B77F10" w14:paraId="5AE6905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Klapa pożarowa lub zapora ogniowa, </w:t>
            </w:r>
            <w:r>
              <w:rPr>
                <w:rFonts w:ascii="Times New Roman" w:hAnsi="Times New Roman"/>
                <w:sz w:val="24"/>
              </w:rPr>
              <w:lastRenderedPageBreak/>
              <w:t>przepustnica, przegroda</w:t>
            </w:r>
          </w:p>
        </w:tc>
      </w:tr>
      <w:tr w:rsidR="00B77F10" w:rsidRPr="00B77F10" w14:paraId="1F0F102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Skrzynka przekaźnikowa</w:t>
            </w:r>
          </w:p>
        </w:tc>
      </w:tr>
      <w:tr w:rsidR="00B77F10" w:rsidRPr="00B77F10" w14:paraId="72709895"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Różne</w:t>
            </w:r>
          </w:p>
        </w:tc>
        <w:tc>
          <w:tcPr>
            <w:tcW w:w="1238"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C05034">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1387" w:type="dxa"/>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Lokalna produkcja energii elektrycznej</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Generator energii elektrycznej</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Moduły fotowoltaiczne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Krzem krystaliczny (monokrystaliczny lub polikrystaliczny)</w:t>
            </w:r>
          </w:p>
        </w:tc>
      </w:tr>
      <w:tr w:rsidR="00B77F10" w:rsidRPr="00B77F10" w14:paraId="627A81A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Cienkowarstwowe</w:t>
            </w:r>
          </w:p>
        </w:tc>
      </w:tr>
      <w:tr w:rsidR="00B77F10" w:rsidRPr="00B77F10" w14:paraId="5DA7E0E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Turbiny wiatrowe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Poziome</w:t>
            </w:r>
          </w:p>
        </w:tc>
      </w:tr>
      <w:tr w:rsidR="00B77F10" w:rsidRPr="00B77F10" w14:paraId="5A5971A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Pionowe</w:t>
            </w:r>
          </w:p>
        </w:tc>
      </w:tr>
      <w:tr w:rsidR="00B77F10" w:rsidRPr="00B77F10" w14:paraId="1250AAB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Przetwarzanie i regulacja</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Przetwarzanie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Falowniki synchroniczne</w:t>
            </w:r>
          </w:p>
        </w:tc>
      </w:tr>
      <w:tr w:rsidR="00B77F10" w:rsidRPr="00B77F10" w14:paraId="57FF554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Falowniki autonomiczne</w:t>
            </w:r>
          </w:p>
        </w:tc>
      </w:tr>
      <w:tr w:rsidR="00B77F10" w:rsidRPr="00B77F10" w14:paraId="34A2A70F"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Przetwornik DC/DC</w:t>
            </w:r>
          </w:p>
        </w:tc>
      </w:tr>
      <w:tr w:rsidR="00B77F10" w:rsidRPr="00B77F10" w14:paraId="6D974E8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Przetwornik AC/DC</w:t>
            </w:r>
          </w:p>
        </w:tc>
      </w:tr>
      <w:tr w:rsidR="00B77F10" w:rsidRPr="00B77F10" w14:paraId="0B46150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Regulacja</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Regulator ładowania</w:t>
            </w:r>
          </w:p>
        </w:tc>
      </w:tr>
      <w:tr w:rsidR="00B77F10" w:rsidRPr="00B77F10" w14:paraId="053A13A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Gromadzenie</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Akumulator elektrochemiczny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kwasowo-ołowiowy</w:t>
            </w:r>
          </w:p>
        </w:tc>
      </w:tr>
      <w:tr w:rsidR="00B77F10" w:rsidRPr="00B77F10" w14:paraId="17CBB55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litowo-jonowy</w:t>
            </w:r>
          </w:p>
        </w:tc>
      </w:tr>
      <w:tr w:rsidR="00B77F10" w:rsidRPr="00B77F10" w14:paraId="34A8F9B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Inne</w:t>
            </w:r>
          </w:p>
        </w:tc>
      </w:tr>
      <w:tr w:rsidR="00B77F10" w:rsidRPr="00B77F10" w14:paraId="592D3F5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Różne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Monitoring</w:t>
            </w:r>
          </w:p>
        </w:tc>
        <w:tc>
          <w:tcPr>
            <w:tcW w:w="1238"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Monitoring</w:t>
            </w:r>
          </w:p>
        </w:tc>
        <w:tc>
          <w:tcPr>
            <w:tcW w:w="1789" w:type="dxa"/>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Sprzęt monitorujący</w:t>
            </w:r>
          </w:p>
        </w:tc>
      </w:tr>
      <w:tr w:rsidR="00B77F10" w:rsidRPr="00B77F10" w14:paraId="221F3F4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Różne</w:t>
            </w:r>
          </w:p>
        </w:tc>
        <w:tc>
          <w:tcPr>
            <w:tcW w:w="1238"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C05034">
        <w:trPr>
          <w:tblCellSpacing w:w="15" w:type="dxa"/>
          <w:jc w:val="center"/>
        </w:trPr>
        <w:tc>
          <w:tcPr>
            <w:tcW w:w="373" w:type="dxa"/>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1387" w:type="dxa"/>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Sprzęt oświetleniowy</w:t>
            </w: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Sprzęt do oświetlenia wewnętrznego i zasilaczy</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Oprawy wpuszczane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Oprawy liniowe wpuszczane do zastosowań wewnętrznych w obiektach komercyjnych</w:t>
            </w:r>
          </w:p>
        </w:tc>
      </w:tr>
      <w:tr w:rsidR="00B77F10" w:rsidRPr="00B77F10" w14:paraId="36EC666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Oprawy nieliniowe wpuszczane do zastosowań wewnętrznych w obiektach komercyjnych</w:t>
            </w:r>
          </w:p>
        </w:tc>
      </w:tr>
      <w:tr w:rsidR="00B77F10" w:rsidRPr="00B77F10" w14:paraId="74700B34"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Wewnętrzne oprawy akcentowe wpuszczane (reflektory punktowe)</w:t>
            </w:r>
          </w:p>
        </w:tc>
      </w:tr>
      <w:tr w:rsidR="00B77F10" w:rsidRPr="00B77F10" w14:paraId="07CBA84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Oprawy oświetleniowe montowane na powierzchni</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Oprawy ścienne, sufitowe i zwieszane do oświetlenia komercyjnego i przemysłowego</w:t>
            </w:r>
          </w:p>
        </w:tc>
      </w:tr>
      <w:tr w:rsidR="00B77F10" w:rsidRPr="00B77F10" w14:paraId="2031FCE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Oprawy ścienne liniowe do oświetlenia funkcjonalnego</w:t>
            </w:r>
          </w:p>
        </w:tc>
      </w:tr>
      <w:tr w:rsidR="00B77F10" w:rsidRPr="00B77F10" w14:paraId="6339BED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Wewnętrzne dekoracyjne lampy sufitowe, lampy ścienne, lampy wiszące</w:t>
            </w:r>
          </w:p>
        </w:tc>
      </w:tr>
      <w:tr w:rsidR="00B77F10" w:rsidRPr="00B77F10" w14:paraId="4354D510"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Bulaje wewnętrzne</w:t>
            </w:r>
          </w:p>
        </w:tc>
      </w:tr>
      <w:tr w:rsidR="00B77F10" w:rsidRPr="00B77F10" w14:paraId="2E27CB7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Wewnętrzne paski oświetleniowe (bez urządzeń optycznych, w przeciwieństwie do produktów liniowych)</w:t>
            </w:r>
          </w:p>
        </w:tc>
      </w:tr>
      <w:tr w:rsidR="00B77F10" w:rsidRPr="00B77F10" w14:paraId="4090BDC5"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Reflektory wewnętrzne natynkowe, montowane na szynach lub podwieszane do oświetlenia akcentującego</w:t>
            </w:r>
          </w:p>
        </w:tc>
      </w:tr>
      <w:tr w:rsidR="00B77F10" w:rsidRPr="00B77F10" w14:paraId="4B95AF7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Wodoodporne oprawy oświetleniowe wewnętrzne</w:t>
            </w:r>
          </w:p>
        </w:tc>
      </w:tr>
      <w:tr w:rsidR="00B77F10" w:rsidRPr="00B77F10" w14:paraId="791B7F6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Taśmy LED i taśmy elastyczne (wraz z zasilaczem)</w:t>
            </w:r>
          </w:p>
        </w:tc>
      </w:tr>
      <w:tr w:rsidR="00B77F10" w:rsidRPr="00B77F10" w14:paraId="254F281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Okucia podwieszane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Okucia przemysłowe</w:t>
            </w:r>
          </w:p>
        </w:tc>
      </w:tr>
      <w:tr w:rsidR="00B77F10" w:rsidRPr="00B77F10" w14:paraId="0A270755"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Ciągłe konstrukcje liniowe do oświetlenia przemysłowego lub komercyjnego</w:t>
            </w:r>
          </w:p>
        </w:tc>
      </w:tr>
      <w:tr w:rsidR="00B77F10" w:rsidRPr="00B77F10" w14:paraId="7C7BF219"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Uchwyty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Szyny zasilające do naświetlaczy</w:t>
            </w:r>
          </w:p>
        </w:tc>
      </w:tr>
      <w:tr w:rsidR="00B77F10" w:rsidRPr="00B77F10" w14:paraId="2AA11EE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Sprzęt do </w:t>
            </w:r>
            <w:r>
              <w:rPr>
                <w:rFonts w:ascii="Times New Roman" w:hAnsi="Times New Roman"/>
                <w:sz w:val="24"/>
              </w:rPr>
              <w:lastRenderedPageBreak/>
              <w:t>oświetlenia zewnętrznego i zasilacze</w:t>
            </w: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Lumen</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Reflektory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Reflektory </w:t>
            </w:r>
            <w:r>
              <w:rPr>
                <w:rFonts w:ascii="Times New Roman" w:hAnsi="Times New Roman"/>
                <w:sz w:val="24"/>
              </w:rPr>
              <w:lastRenderedPageBreak/>
              <w:t>sportowe i na tereny otwarte</w:t>
            </w:r>
          </w:p>
        </w:tc>
      </w:tr>
      <w:tr w:rsidR="00B77F10" w:rsidRPr="00B77F10" w14:paraId="02FC734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Reflektory zewnętrzne do oświetlenia dekoracyjnego</w:t>
            </w:r>
          </w:p>
        </w:tc>
      </w:tr>
      <w:tr w:rsidR="00B77F10" w:rsidRPr="00B77F10" w14:paraId="354680A3"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Oprawy oświetleniowe do oświetlenia zewnętrznego, inne niż reflektory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Oprawy oświetleniowe do oświetlenia dekoracyjnego</w:t>
            </w:r>
          </w:p>
        </w:tc>
      </w:tr>
      <w:tr w:rsidR="00B77F10" w:rsidRPr="00B77F10" w14:paraId="61B17E4A"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Oprawy oświetleniowe do oświetlenia funkcjonalnego</w:t>
            </w:r>
          </w:p>
        </w:tc>
      </w:tr>
      <w:tr w:rsidR="00B77F10" w:rsidRPr="00B77F10" w14:paraId="4367BB7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Oświetlenie okresowe</w:t>
            </w:r>
          </w:p>
        </w:tc>
      </w:tr>
      <w:tr w:rsidR="00B77F10" w:rsidRPr="00B77F10" w14:paraId="09C1E3F8"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Reflektory wpuszczane</w:t>
            </w:r>
          </w:p>
        </w:tc>
        <w:tc>
          <w:tcPr>
            <w:tcW w:w="1789" w:type="dxa"/>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Zewnętrzne reflektory montowane w podłogach lub ścianach</w:t>
            </w:r>
          </w:p>
        </w:tc>
      </w:tr>
      <w:tr w:rsidR="00B77F10" w:rsidRPr="00B77F10" w14:paraId="410EBC7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Oświetlenie wpuszczane ułatwiające orientację</w:t>
            </w:r>
          </w:p>
        </w:tc>
        <w:tc>
          <w:tcPr>
            <w:tcW w:w="1789" w:type="dxa"/>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Zewnętrzne oprawy oświetleniowe montowane w podłodze lub ścianach</w:t>
            </w:r>
          </w:p>
        </w:tc>
      </w:tr>
      <w:tr w:rsidR="00B77F10" w:rsidRPr="00B77F10" w14:paraId="746257F1"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Pachołki i kolumny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Ozdobne zaciski zewnętrzne</w:t>
            </w:r>
          </w:p>
        </w:tc>
      </w:tr>
      <w:tr w:rsidR="00B77F10" w:rsidRPr="00B77F10" w14:paraId="2408F687"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Dekoracyjne zewnętrzne kolumny świetlne</w:t>
            </w:r>
          </w:p>
        </w:tc>
      </w:tr>
      <w:tr w:rsidR="00B77F10" w:rsidRPr="00B77F10" w14:paraId="2982017D"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Wodoodporne oprawy oświetleniowe IP &gt; 54</w:t>
            </w:r>
          </w:p>
        </w:tc>
        <w:tc>
          <w:tcPr>
            <w:tcW w:w="1789" w:type="dxa"/>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Lampy ścienne montowane na powierzchni i wodoodporne bulaje</w:t>
            </w:r>
          </w:p>
        </w:tc>
      </w:tr>
      <w:tr w:rsidR="00B77F10" w:rsidRPr="00B77F10" w14:paraId="08159624"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Zatapialne oświetlenie wpuszczane do basenów lub fontann</w:t>
            </w:r>
          </w:p>
        </w:tc>
      </w:tr>
      <w:tr w:rsidR="00B77F10" w:rsidRPr="00B77F10" w14:paraId="73BFCE9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Zatapialne reflektory do basenów lub fontann</w:t>
            </w:r>
          </w:p>
        </w:tc>
      </w:tr>
      <w:tr w:rsidR="00B77F10" w:rsidRPr="00B77F10" w14:paraId="29AC050E"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95" w:type="dxa"/>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jednostka</w:t>
            </w:r>
          </w:p>
        </w:tc>
        <w:tc>
          <w:tcPr>
            <w:tcW w:w="1388" w:type="dxa"/>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Maszty i oprawy</w:t>
            </w:r>
          </w:p>
        </w:tc>
        <w:tc>
          <w:tcPr>
            <w:tcW w:w="1789" w:type="dxa"/>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Maszty</w:t>
            </w:r>
          </w:p>
        </w:tc>
      </w:tr>
      <w:tr w:rsidR="00B77F10" w:rsidRPr="00B77F10" w14:paraId="38416726"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Krzyżyki</w:t>
            </w:r>
          </w:p>
        </w:tc>
      </w:tr>
      <w:tr w:rsidR="00B77F10" w:rsidRPr="00B77F10" w14:paraId="3B70497B"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38"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95" w:type="dxa"/>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8" w:type="dxa"/>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Różne mocowania do opraw oświetleniowych na zewnątrz</w:t>
            </w:r>
          </w:p>
        </w:tc>
      </w:tr>
      <w:tr w:rsidR="00B77F10" w:rsidRPr="00B77F10" w14:paraId="7FE45DDC" w14:textId="77777777" w:rsidTr="00C05034">
        <w:trPr>
          <w:tblCellSpacing w:w="15" w:type="dxa"/>
          <w:jc w:val="center"/>
        </w:trPr>
        <w:tc>
          <w:tcPr>
            <w:tcW w:w="373" w:type="dxa"/>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387" w:type="dxa"/>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246" w:type="dxa"/>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Różne</w:t>
            </w:r>
          </w:p>
        </w:tc>
        <w:tc>
          <w:tcPr>
            <w:tcW w:w="1238"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C05034">
        <w:trPr>
          <w:tblCellSpacing w:w="15" w:type="dxa"/>
          <w:jc w:val="center"/>
        </w:trPr>
        <w:tc>
          <w:tcPr>
            <w:tcW w:w="373" w:type="dxa"/>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1387" w:type="dxa"/>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Inne</w:t>
            </w:r>
          </w:p>
        </w:tc>
        <w:tc>
          <w:tcPr>
            <w:tcW w:w="1246" w:type="dxa"/>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Różne</w:t>
            </w:r>
          </w:p>
        </w:tc>
        <w:tc>
          <w:tcPr>
            <w:tcW w:w="1238"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1395" w:type="dxa"/>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388" w:type="dxa"/>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1789" w:type="dxa"/>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Załącznik</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Załącznik III</w:t>
      </w:r>
      <w:r>
        <w:rPr>
          <w:rFonts w:ascii="Times New Roman" w:hAnsi="Times New Roman"/>
          <w:caps/>
          <w:sz w:val="24"/>
        </w:rPr>
        <w:br/>
        <w:t>Obliczanie zysków i kosztów związanych z odzyskiem odpadów po zakończeniu eksploatacji.</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Wyświetlona wartość dodatnia odzwierciedla koszt netto, a wartość ujemna - zysk netto.</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W przypadku odzysku materiałów, w odniesieniu do danego odzyskanego strumienia odpadów (a tym samym danego materiału lambda), stosuje się następujący wzór:</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ChargeNetRecycl = MSval (ISval – IVval) – MS (IS – IV),</w:t>
      </w:r>
      <w:r>
        <w:rPr>
          <w:rFonts w:ascii="Times New Roman" w:hAnsi="Times New Roman"/>
          <w:sz w:val="24"/>
        </w:rPr>
        <w:br/>
        <w:t>gdzie:</w:t>
      </w:r>
      <w:r>
        <w:rPr>
          <w:rFonts w:ascii="Times New Roman" w:hAnsi="Times New Roman"/>
          <w:sz w:val="24"/>
        </w:rPr>
        <w:br/>
        <w:t xml:space="preserve">MSval = masa (w kg) materiału wtórnego faktycznie odzyskanego z masy </w:t>
      </w:r>
      <w:r>
        <w:rPr>
          <w:rFonts w:ascii="Times New Roman" w:hAnsi="Times New Roman"/>
          <w:sz w:val="24"/>
        </w:rPr>
        <w:lastRenderedPageBreak/>
        <w:t>zgromadzonych zasobów (udział lambda materiału w strumieniu „materiałów przeznaczonych do odzysku”);</w:t>
      </w:r>
      <w:r>
        <w:rPr>
          <w:rFonts w:ascii="Times New Roman" w:hAnsi="Times New Roman"/>
          <w:sz w:val="24"/>
        </w:rPr>
        <w:br/>
        <w:t>IVval = inwentarz produkcyjny (na kg) materiału (lub mieszaniny), który odzyskany materiał wtórny lambda zastępuje w wykorzystującym go systemie niższego szczebla (nie jest to inwentarz produkcyjny produktu niższego szczebla, lecz inwentarz produkcyjny materiału składowego tego produktu niższego szczebla);</w:t>
      </w:r>
      <w:r>
        <w:rPr>
          <w:rFonts w:ascii="Times New Roman" w:hAnsi="Times New Roman"/>
          <w:sz w:val="24"/>
        </w:rPr>
        <w:br/>
        <w:t>Isval = inwentarz produkcyjny (na kg) gotowego do użycia materiału wtórnego w systemie niższego szczebla z magazynu;</w:t>
      </w:r>
      <w:r>
        <w:rPr>
          <w:rFonts w:ascii="Times New Roman" w:hAnsi="Times New Roman"/>
          <w:sz w:val="24"/>
        </w:rPr>
        <w:br/>
        <w:t>MS = masa (w kg) materiału wtórnego wprowadzonego do produktu objętego deklaracją podczas jego wytwarzania (składnik(i) lambda materiału w strumieniu „wykorzystania materiału wtórnego”);</w:t>
      </w:r>
      <w:r>
        <w:rPr>
          <w:rFonts w:ascii="Times New Roman" w:hAnsi="Times New Roman"/>
          <w:sz w:val="24"/>
        </w:rPr>
        <w:br/>
        <w:t>IV = inwentarz produkcyjny (na kg) materiału pierwotnego użytego do wytworzenia produktu, do którego ma zastosowanie deklaracja, w przypadku braku odzysku materiału;</w:t>
      </w:r>
      <w:r>
        <w:rPr>
          <w:rFonts w:ascii="Times New Roman" w:hAnsi="Times New Roman"/>
          <w:sz w:val="24"/>
        </w:rPr>
        <w:br/>
        <w:t>Is = inwentarz produkcyjny (na kg) gotowego do użycia materiału wtórnego użytego do wytworzenia produktu, do którego ma zastosowanie deklaracja.</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W przypadku odzysku energii dla danego odzyskanego strumienia odpadów stosuje się następujący wzór:</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ChargeNetValoNRJ = MSval (ISval – PCISval × REval × IVval),</w:t>
      </w:r>
      <w:r>
        <w:rPr>
          <w:rFonts w:ascii="Times New Roman" w:hAnsi="Times New Roman"/>
          <w:sz w:val="24"/>
        </w:rPr>
        <w:br/>
        <w:t>gdzie:</w:t>
      </w:r>
      <w:r>
        <w:rPr>
          <w:rFonts w:ascii="Times New Roman" w:hAnsi="Times New Roman"/>
          <w:sz w:val="24"/>
        </w:rPr>
        <w:br/>
        <w:t>MSval = masa (w kg) materiału wtórnego faktycznie odzyskanego z masy zgromadzonych zapasów (udział(y) lambda materiału w strumieniu „materiałów do odzysku energii”);</w:t>
      </w:r>
      <w:r>
        <w:rPr>
          <w:rFonts w:ascii="Times New Roman" w:hAnsi="Times New Roman"/>
          <w:sz w:val="24"/>
        </w:rPr>
        <w:br/>
        <w:t>IVval = inwentarz produkcyjny (na kg) energii, dla której energia odzyskana w wyniku odzysku energii materiałów wtórnych jest zastępowana w systemie niższego szczebla (tj. nie w inwentarzu produkcyjnym systemu niższego szczebla, do którego przyczyni się materiał wtórny, lecz w inwentarzu produkcyjnym energii zużytej przez system niższego szczebla, wyrażonym w dostarczonym MJ);</w:t>
      </w:r>
      <w:r>
        <w:rPr>
          <w:rFonts w:ascii="Times New Roman" w:hAnsi="Times New Roman"/>
          <w:sz w:val="24"/>
        </w:rPr>
        <w:br/>
        <w:t>Isval = inwentarz (na kg) odzysku energii materiału wtórnego z zapasów, dla którego strumieniem odniesienia jest masa odzyskanego materiału wtórnego;</w:t>
      </w:r>
      <w:r>
        <w:rPr>
          <w:rFonts w:ascii="Times New Roman" w:hAnsi="Times New Roman"/>
          <w:sz w:val="24"/>
        </w:rPr>
        <w:br/>
        <w:t>PCISval = IBD (MJ/kg) odzyskanego materiału wtórnego;</w:t>
      </w:r>
      <w:r>
        <w:rPr>
          <w:rFonts w:ascii="Times New Roman" w:hAnsi="Times New Roman"/>
          <w:sz w:val="24"/>
        </w:rPr>
        <w:br/>
        <w:t>REval = sprawność energetyczna instalacji odzysku energii dla odzyskanego materiału wtórnego.</w:t>
      </w:r>
      <w:r>
        <w:rPr>
          <w:rFonts w:ascii="Times New Roman" w:hAnsi="Times New Roman"/>
          <w:sz w:val="24"/>
        </w:rPr>
        <w:br/>
        <w:t>Całkowity zysk dla produktu objętego deklaracją uzyskuje się następnie poprzez zsumowanie wszystkich zysków obliczonych dla każdego materiału/strumienia.</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Załącznik</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Artykuł</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ZAŁĄCZNIK IV</w:t>
      </w:r>
      <w:r>
        <w:rPr>
          <w:rFonts w:ascii="Times New Roman" w:hAnsi="Times New Roman"/>
          <w:sz w:val="24"/>
        </w:rPr>
        <w:br/>
        <w:t>RAMY WAŻNOŚCI ZBIOROWYCH DEKLARACJI ŚRODOWISKOWYCH DOTYCZĄCYCH PRODUKTÓW</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1. Jednorodność</w:t>
      </w:r>
      <w:r>
        <w:rPr>
          <w:rFonts w:ascii="Times New Roman" w:hAnsi="Times New Roman"/>
          <w:sz w:val="24"/>
        </w:rPr>
        <w:br/>
        <w:t>Analiza cyklu życia (LCA) obejmuje dużą ilość danych dla wielu scenariuszy. Niektóre dane są gromadzone na miejscu, niektóre są obliczane, a niektóre szacowane. Dane zawierające ocenę cyklu życia są zatem danymi o pewnym poziomie niepewności. W związku z tym wynik oceny cyklu życia jest dość wrażliwy na zmiany danych wejściowych.</w:t>
      </w:r>
      <w:r>
        <w:rPr>
          <w:rFonts w:ascii="Times New Roman" w:hAnsi="Times New Roman"/>
          <w:sz w:val="24"/>
        </w:rPr>
        <w:br/>
        <w:t>Art. 8 rozporządzenia wymaga, aby wpływ na środowisko ze strony osób rejestrujących stosujących tę samą zbiorową deklarację środowiskową był jednorodny. W związku z tym zbiorowa deklaracja środowiskowa będzie obejmować produkty jednorodne pod względem środowiskowym, jeżeli możliwe będzie zapewnienie, że wszystkie objęte nim produkty zadeklarują wpływ na środowisko poniżej wartości dopuszczalnej, jeżeli są one zgodne z ramami ważności związanymi z tą zbiorczą deklaracją środowiskową.</w:t>
      </w:r>
      <w:r>
        <w:rPr>
          <w:rFonts w:ascii="Times New Roman" w:hAnsi="Times New Roman"/>
          <w:sz w:val="24"/>
        </w:rPr>
        <w:br/>
        <w:t>Przyjmuje się, że tę jednorodność należy wykazać jedynie w odniesieniu do niektórych wskaźników kontroli.</w:t>
      </w:r>
      <w:r>
        <w:rPr>
          <w:rFonts w:ascii="Times New Roman" w:hAnsi="Times New Roman"/>
          <w:sz w:val="24"/>
        </w:rPr>
        <w:br/>
        <w:t>W przypadku wskaźników oceny cyklu życia wykazanie jednorodności przeprowadza się poprzez analizę wrażliwości niepewnych parametrów i parametrów różniących się w zależności od osoby rejestrującej. Zdecydowanie zaleca się przeprowadzenie tej analizy na wczesnym etapie procesu oceny cyklu życia oraz opracowanie zbiorczej deklaracji środowiskowej na podstawie tej analizy.</w:t>
      </w:r>
      <w:r>
        <w:rPr>
          <w:rFonts w:ascii="Times New Roman" w:hAnsi="Times New Roman"/>
          <w:sz w:val="24"/>
        </w:rPr>
        <w:br/>
        <w:t>2. Analiza wrażliwości</w:t>
      </w:r>
      <w:r>
        <w:rPr>
          <w:rFonts w:ascii="Times New Roman" w:hAnsi="Times New Roman"/>
          <w:sz w:val="24"/>
        </w:rPr>
        <w:br/>
        <w:t>Analiza wrażliwości oceny cyklu życia musi obejmować następujące etapy:</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Wybór wskaźników kontroli;</w:t>
      </w:r>
      <w:r>
        <w:rPr>
          <w:rFonts w:ascii="Times New Roman" w:hAnsi="Times New Roman"/>
          <w:sz w:val="24"/>
        </w:rPr>
        <w:br/>
        <w:t>b) Identyfikacja wrażliwych parametrów: badanie podmiotów przekazujących dane w celu zidentyfikowania parametrów wejściowych, które w największym stopniu przyczyniają się do wyjaśnienia wartości wskaźników kontroli (wyniki oceny cyklu życia);</w:t>
      </w:r>
      <w:r>
        <w:rPr>
          <w:rFonts w:ascii="Times New Roman" w:hAnsi="Times New Roman"/>
          <w:sz w:val="24"/>
        </w:rPr>
        <w:br/>
        <w:t>c) Określenie zakresów zmienności wrażliwych parametrów (parametry graniczne i rozkład statystyczny);</w:t>
      </w:r>
      <w:r>
        <w:rPr>
          <w:rFonts w:ascii="Times New Roman" w:hAnsi="Times New Roman"/>
          <w:sz w:val="24"/>
        </w:rPr>
        <w:br/>
        <w:t>d) Parametryzowane symulacje oparte na etapach b i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Analiza wrażliwości może być iteracyjna. Wynikiem analizy wrażliwości musi być:</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Wykaz czynników, które wpływają na wyniki oceny cyklu życia (parametry wrażliwe) i ich dozwolone pola zmienności (wykaz ten jest polem ważności);</w:t>
      </w:r>
      <w:r>
        <w:rPr>
          <w:rFonts w:ascii="Times New Roman" w:hAnsi="Times New Roman"/>
          <w:sz w:val="24"/>
        </w:rPr>
        <w:br/>
        <w:t>b) dla każdego wskaźnika kontrolnego, prawdopodobny przedział zmienności (95% przedział ufności) wartości wskaźnika uzyskanych w wyniku symulacji parametrów.</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Etap 1: wybór wskaźników kontroli</w:t>
      </w:r>
      <w:r>
        <w:rPr>
          <w:rFonts w:ascii="Times New Roman" w:hAnsi="Times New Roman"/>
          <w:sz w:val="24"/>
        </w:rPr>
        <w:br/>
        <w:t>Wybór wskaźników kontroli musi być rozsądny. Mogą one być wybierane indywidualnie dla każdego przypadku spośród tych, o których mowa w art. 3 niniejszego rozporządzenia. Ich wybór musi być uzasadniony. Należy przeanalizować co najmniej następujące wskaźniki:</w:t>
      </w:r>
    </w:p>
    <w:p w14:paraId="3EA16B40" w14:textId="157C637F"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r>
      <w:r w:rsidR="00C05034">
        <w:rPr>
          <w:rFonts w:ascii="Times New Roman" w:hAnsi="Times New Roman"/>
          <w:sz w:val="24"/>
        </w:rPr>
        <w:t xml:space="preserve">- </w:t>
      </w:r>
      <w:r>
        <w:rPr>
          <w:rFonts w:ascii="Times New Roman" w:hAnsi="Times New Roman"/>
          <w:sz w:val="24"/>
        </w:rPr>
        <w:t>globalne ocieplenie;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wykorzystanie nieodnawialnej energii pierwotnej, z wyłączeniem nieodnawialnych zasobów energii pierwotnej wykorzystywanych jako surowce;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unieszkodliwiane odpady inne niż niebezpieczne.</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Etap 2: identyfikacja wrażliwych parametrów</w:t>
      </w:r>
      <w:r>
        <w:rPr>
          <w:rFonts w:ascii="Times New Roman" w:hAnsi="Times New Roman"/>
          <w:sz w:val="24"/>
        </w:rPr>
        <w:br/>
        <w:t>Dla każdego wskaźnika kontroli należy przeprowadzić analizę wrażliwych parametrów. W tym celu proponuje się, aby w ramach podejścia początkowego skutki zostały podzielone według procesów uwzględnionych w cyklu życia. Analiza ta powinna opierać się na scenariuszu odniesienia opisanym w analizie wrażliwości.</w:t>
      </w:r>
      <w:r>
        <w:rPr>
          <w:rFonts w:ascii="Times New Roman" w:hAnsi="Times New Roman"/>
          <w:sz w:val="24"/>
        </w:rPr>
        <w:br/>
        <w:t>Zaleca się uwzględnienie wszystkich procesów:</w:t>
      </w:r>
    </w:p>
    <w:p w14:paraId="76853F55"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które przyczyniły się w stopniu większym niż 5% do jednego ze wskaźników kontrolnych scenariusza bazowego;</w:t>
      </w:r>
      <w:r>
        <w:rPr>
          <w:rFonts w:ascii="Times New Roman" w:hAnsi="Times New Roman"/>
          <w:sz w:val="24"/>
        </w:rPr>
        <w:br/>
        <w:t>- lub skumulowanych skutków stanowiących co najmniej 80% skutków jednego ze wskaźników kontrolnych.</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Należy następnie określić parametry modelu oceny cyklu życia (wprowadzanie lub opuszczanie procesu, parametr modelowania procesów wewnętrznych itp.), które zmieniają ten wkład. Są to parametry uważane za wrażliwe.</w:t>
      </w:r>
      <w:r>
        <w:rPr>
          <w:rFonts w:ascii="Times New Roman" w:hAnsi="Times New Roman"/>
          <w:sz w:val="24"/>
        </w:rPr>
        <w:br/>
        <w:t>Na koniec tej analizy osoba rejestrująca uzyska wykaz procesów, które w największym stopniu przyczyniają się do wskaźników kontroli w całym cyklu życia, oraz wykaz wrażliwych parametrów.</w:t>
      </w:r>
      <w:r>
        <w:rPr>
          <w:rFonts w:ascii="Times New Roman" w:hAnsi="Times New Roman"/>
          <w:sz w:val="24"/>
        </w:rPr>
        <w:br/>
        <w:t>Etap 3: definicja zakresów zmienności wrażliwych parametrów</w:t>
      </w:r>
      <w:r>
        <w:rPr>
          <w:rFonts w:ascii="Times New Roman" w:hAnsi="Times New Roman"/>
          <w:sz w:val="24"/>
        </w:rPr>
        <w:br/>
        <w:t>Etap ten polega na określeniu zakresu zmienności każdego wrażliwego parametru. Zakres ten należy następnie zaproponować jako minimum w formie odstępów czasu. Jeżeli jest znany, można przewidzieć ustawę o rozkładzie parametru w określonym powyżej przedziale czasu.</w:t>
      </w:r>
      <w:r>
        <w:rPr>
          <w:rFonts w:ascii="Times New Roman" w:hAnsi="Times New Roman"/>
          <w:sz w:val="24"/>
        </w:rPr>
        <w:br/>
        <w:t>Po tym etapie każdy parametr wrażliwy jest powiązany z szeregiem zmian.</w:t>
      </w:r>
      <w:r>
        <w:rPr>
          <w:rFonts w:ascii="Times New Roman" w:hAnsi="Times New Roman"/>
          <w:sz w:val="24"/>
        </w:rPr>
        <w:br/>
        <w:t>Etap 4: Obliczanie zmienności wskaźników</w:t>
      </w:r>
      <w:r>
        <w:rPr>
          <w:rFonts w:ascii="Times New Roman" w:hAnsi="Times New Roman"/>
          <w:sz w:val="24"/>
        </w:rPr>
        <w:br/>
        <w:t>Na podstawie etapów 2 i 3 etap ten obejmuje zastosowanie odpowiedniej metody matematycznej w celu określenia zakresów zmienności wskaźników (wartości maksymalne, wartości średnie i wartości minimalne) przy poddaniu modelu oceny cyklu życia wahaniom wrażliwych parametrów.</w:t>
      </w:r>
      <w:r>
        <w:rPr>
          <w:rFonts w:ascii="Times New Roman" w:hAnsi="Times New Roman"/>
          <w:sz w:val="24"/>
        </w:rPr>
        <w:br/>
        <w:t>Wynikiem etapu 4 jest zbiór zakresów wartości przyjmowanych przez każdy ze wskaźników objętych analizą wrażliwości.</w:t>
      </w:r>
      <w:r>
        <w:rPr>
          <w:rFonts w:ascii="Times New Roman" w:hAnsi="Times New Roman"/>
          <w:sz w:val="24"/>
        </w:rPr>
        <w:br/>
        <w:t>Obliczanie zmienności wskaźników obejmuje co najmniej wrażliwe parametry odnoszące się do elementów, o których mowa w art. 8 niniejszego rozporządzenia.</w:t>
      </w:r>
      <w:r>
        <w:rPr>
          <w:rFonts w:ascii="Times New Roman" w:hAnsi="Times New Roman"/>
          <w:sz w:val="24"/>
        </w:rPr>
        <w:br/>
        <w:t>Etapy 3 i 4 można wykonać za pomocą iteracji, aby dostosować zakres wrażliwych parametrów do wymaganych warunków jednorodności.</w:t>
      </w:r>
      <w:r>
        <w:rPr>
          <w:rFonts w:ascii="Times New Roman" w:hAnsi="Times New Roman"/>
          <w:sz w:val="24"/>
        </w:rPr>
        <w:br/>
        <w:t>Sprawozdanie z analizy wrażliwości</w:t>
      </w:r>
      <w:r>
        <w:rPr>
          <w:rFonts w:ascii="Times New Roman" w:hAnsi="Times New Roman"/>
          <w:sz w:val="24"/>
        </w:rPr>
        <w:br/>
        <w:t>Sprawozdanie zawiera pozycje odpowiadające czterem etapom analizy wrażliwości i wynikowi końcowemu analizy wrażliwości, w tym zakres ważności wspólnej deklaracji środowiskowej oraz zakresy zmienności wskaźników kontroli.</w:t>
      </w:r>
      <w:r>
        <w:rPr>
          <w:rFonts w:ascii="Times New Roman" w:hAnsi="Times New Roman"/>
          <w:sz w:val="24"/>
        </w:rPr>
        <w:br/>
        <w:t>3. Zadeklarowana analiza wrażliwości i wartości środowiskowe</w:t>
      </w:r>
      <w:r>
        <w:rPr>
          <w:rFonts w:ascii="Times New Roman" w:hAnsi="Times New Roman"/>
          <w:sz w:val="24"/>
        </w:rPr>
        <w:br/>
        <w:t xml:space="preserve">Wyniki warunku analizy wrażliwości, wartości środowiskowe podane we wspólnej </w:t>
      </w:r>
      <w:r>
        <w:rPr>
          <w:rFonts w:ascii="Times New Roman" w:hAnsi="Times New Roman"/>
          <w:sz w:val="24"/>
        </w:rPr>
        <w:lastRenderedPageBreak/>
        <w:t>deklaracji środowiskowej, jak określono w art. 8 niniejszego rozporządzenia.</w:t>
      </w:r>
      <w:r>
        <w:rPr>
          <w:rFonts w:ascii="Times New Roman" w:hAnsi="Times New Roman"/>
          <w:sz w:val="24"/>
        </w:rPr>
        <w:br/>
        <w:t>Jeżeli maksymalna wartość (lub maksymalna przy 95% ufności, jeżeli stosowana jest metoda statystyczna) zakresu zmienności każdego wskaźnika kontroli oddziaływania na środowisko jest mniejsza lub równa średniej wartości wskaźnika pomnożonej przez wartość dopuszczalną (określoną w art. 8 niniejszego rozporządzenia), wówczas wartości deklarowanych wskaźników oddziaływania na środowisko oblicza się na podstawie średnich wartości wrażliwych parametrów. Jeśli nie, tzn. jeśli co najmniej jeden ze wskaźników kontroli oddziaływania na środowisko ma wartość maksymalną większą niż średnia wartość wskaźnika pomnożona przez wartość dopuszczalną (określoną w art. 8 niniejszego rozporządzenia), wówczas należy zadeklarować najmniej korzystną wartość dopuszczalną (maksymalna wartość, jaką może osiągnąć wskaźnik, jeśli odzwierciedla koszt, i minimalna wartość, jeśli odzwierciedla zysk). Jeżeli wskaźniki odzwierciedlają wydatek, ta wartość dopuszczalna odpowiada wartości wskaźników uzyskanych w przypadku zastosowania maksymalnych wartości (lub maksymalnych z prawdopodobieństwem 95%, jeżeli stosuje się podejście statystyczne) wrażliwych parametrów.</w:t>
      </w:r>
      <w:r>
        <w:rPr>
          <w:rFonts w:ascii="Times New Roman" w:hAnsi="Times New Roman"/>
          <w:sz w:val="24"/>
        </w:rPr>
        <w:br/>
        <w:t>4. Dokładna identyfikacja produktów objętych deklaracją</w:t>
      </w:r>
      <w:r>
        <w:rPr>
          <w:rFonts w:ascii="Times New Roman" w:hAnsi="Times New Roman"/>
          <w:sz w:val="24"/>
        </w:rPr>
        <w:br/>
        <w:t>Aby ustalić, czy produkt może być objęty zbiorczą deklaracją środowiskową, należy ustalić, czy produkt jest podobny do standardowego produktu objętego ochroną oraz czy osoba rejestrująca ten produkt jest upoważniona do stosowania tej wspólnej deklaracji środowiskowej.</w:t>
      </w:r>
      <w:r>
        <w:rPr>
          <w:rFonts w:ascii="Times New Roman" w:hAnsi="Times New Roman"/>
          <w:sz w:val="24"/>
        </w:rPr>
        <w:br/>
        <w:t>Identyfikacja produktu standardowego</w:t>
      </w:r>
      <w:r>
        <w:rPr>
          <w:rFonts w:ascii="Times New Roman" w:hAnsi="Times New Roman"/>
          <w:sz w:val="24"/>
        </w:rPr>
        <w:br/>
        <w:t>Produkt standardowy musi być właściwie określony i opisany, aby ułatwić uzgodnienie opisu produktu z opisem produktu standardowego. Opis produktu standardowego musi zawierać co najmniej następujące elementy:</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Lista głównych komponentów lub przeważających materiałów;</w:t>
      </w:r>
      <w:r>
        <w:rPr>
          <w:rFonts w:ascii="Times New Roman" w:hAnsi="Times New Roman"/>
          <w:sz w:val="24"/>
        </w:rPr>
        <w:br/>
        <w:t>b) Informacje o funkcjonalności lub poziomie wydajności.</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Identyfikacja ta musi być wystarczająca, aby szybko i jednoznacznie ustalić, czy dany produkt może być objęty deklaracją zbiorczą.</w:t>
      </w:r>
      <w:r>
        <w:rPr>
          <w:rFonts w:ascii="Times New Roman" w:hAnsi="Times New Roman"/>
          <w:sz w:val="24"/>
        </w:rPr>
        <w:br/>
        <w:t>Identyfikacja osób rejestrujących, które mogą korzystać ze zbiorczej deklaracji środowiskowej</w:t>
      </w:r>
      <w:r>
        <w:rPr>
          <w:rFonts w:ascii="Times New Roman" w:hAnsi="Times New Roman"/>
          <w:sz w:val="24"/>
        </w:rPr>
        <w:br/>
        <w:t>Ponieważ zbiorcza deklaracja środowiskowa jest własnością danej zbiorowości, która ponosi za nią odpowiedzialność, może ona zdecydować, że tylko niektóre osoby rejestrujące mogą z niej korzystać.</w:t>
      </w:r>
      <w:r>
        <w:rPr>
          <w:rFonts w:ascii="Times New Roman" w:hAnsi="Times New Roman"/>
          <w:sz w:val="24"/>
        </w:rPr>
        <w:br/>
        <w:t>Należy przedstawić wykaz zarejestrowanych podmiotów upoważnionych do stosowania zbiorczej deklaracji środowiskowej:</w:t>
      </w:r>
    </w:p>
    <w:p w14:paraId="2AB81917" w14:textId="51C12B3F"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albo w formie wyczerpującej listy nazw;</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lub w formie warunku członkostwa w organizacji zbiorowej (stowarzyszenie, związek zawodowy, sygnatariusze karty dobrych praktyk itp.). W takim przypadku lista członków tej społeczności musi być publicznie dostępna.</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Treść ram ważności</w:t>
      </w:r>
      <w:r>
        <w:rPr>
          <w:rFonts w:ascii="Times New Roman" w:hAnsi="Times New Roman"/>
          <w:sz w:val="24"/>
        </w:rPr>
        <w:br/>
        <w:t>Ramy ważności zawierają co najmniej:</w:t>
      </w:r>
    </w:p>
    <w:p w14:paraId="76B32132" w14:textId="51BCAFAB"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r>
      <w:r w:rsidR="00C05034">
        <w:rPr>
          <w:rFonts w:ascii="Times New Roman" w:hAnsi="Times New Roman"/>
          <w:sz w:val="24"/>
        </w:rPr>
        <w:t xml:space="preserve">- </w:t>
      </w:r>
      <w:r>
        <w:rPr>
          <w:rFonts w:ascii="Times New Roman" w:hAnsi="Times New Roman"/>
          <w:sz w:val="24"/>
        </w:rPr>
        <w:t>Identyfikację typowego produktu (obowiązkowe);</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Produkty objęte zbiorczą deklaracją środowiskową;</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Wskazanie osób rejestrujących, które mogą korzystać ze zbiorowej deklaracji środowiskowej;</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Sprawozdanie z badania wrażliwości obejmujące zakres ważności i dowody na to, że deklarowane wartości wskaźników są jednorodne.</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Stosowanie ram ważności</w:t>
      </w:r>
      <w:r>
        <w:rPr>
          <w:rFonts w:ascii="Times New Roman" w:hAnsi="Times New Roman"/>
          <w:sz w:val="24"/>
        </w:rPr>
        <w:br/>
        <w:t>Aby osoba rejestrująca mogła stosować wspólną deklarację środowiskową w odniesieniu do swojego produktu, musi przedstawić dowody:</w:t>
      </w:r>
    </w:p>
    <w:p w14:paraId="0B262F36" w14:textId="5A20D0F2"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Czy jego produkt jest zgodny z „typowym produktem” objętym zbiorczą deklaracją środowiskową;</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Znajduje się w wykazie zarejestrowanych podmiotów upoważnionych do składania zbiorczej deklaracji środowiskowej;</w:t>
      </w:r>
      <w:r>
        <w:rPr>
          <w:rFonts w:ascii="Times New Roman" w:hAnsi="Times New Roman"/>
          <w:sz w:val="24"/>
        </w:rPr>
        <w:br/>
      </w:r>
      <w:r w:rsidR="00C05034">
        <w:rPr>
          <w:rFonts w:ascii="Times New Roman" w:hAnsi="Times New Roman"/>
          <w:sz w:val="24"/>
        </w:rPr>
        <w:t xml:space="preserve">- </w:t>
      </w:r>
      <w:r>
        <w:rPr>
          <w:rFonts w:ascii="Times New Roman" w:hAnsi="Times New Roman"/>
          <w:sz w:val="24"/>
        </w:rPr>
        <w:t>Że jest on zgodny z zakresem ważności danej zbiorczej deklaracji środowiskowej.</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Sporządzono w dniu 14 grudnia 2021 r.</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delegowany przy Ministrze ds. Transformacji Ekologicznej, odpowiedzialny za mieszkalnictwo,</w:t>
      </w:r>
      <w:r>
        <w:rPr>
          <w:rFonts w:ascii="Times New Roman" w:hAnsi="Times New Roman"/>
          <w:sz w:val="24"/>
        </w:rPr>
        <w:br/>
        <w:t>w imieniu Ministra i z upoważnienia:</w:t>
      </w:r>
      <w:r>
        <w:rPr>
          <w:rFonts w:ascii="Times New Roman" w:hAnsi="Times New Roman"/>
          <w:sz w:val="24"/>
        </w:rPr>
        <w:br/>
        <w:t>Dyrektor ds. mieszkalnictwa, rozwoju obszarów miejskich i krajobrazów,</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Minister ds. Transformacji Ekologicznej,</w:t>
      </w:r>
      <w:r>
        <w:rPr>
          <w:rFonts w:ascii="Times New Roman" w:hAnsi="Times New Roman"/>
          <w:sz w:val="24"/>
        </w:rPr>
        <w:br/>
        <w:t>w imieniu i z upoważnienia Ministra:</w:t>
      </w:r>
      <w:r>
        <w:rPr>
          <w:rFonts w:ascii="Times New Roman" w:hAnsi="Times New Roman"/>
          <w:sz w:val="24"/>
        </w:rPr>
        <w:br/>
        <w:t>Dyrektor ds. mieszkalnictwa, rozwoju obszarów miejskich i krajobrazów,</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07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3541DB"/>
    <w:rsid w:val="003F2E4D"/>
    <w:rsid w:val="004C6E58"/>
    <w:rsid w:val="00657670"/>
    <w:rsid w:val="00B77F10"/>
    <w:rsid w:val="00C05034"/>
    <w:rsid w:val="00D64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6029</Words>
  <Characters>42570</Characters>
  <Application>Microsoft Office Word</Application>
  <DocSecurity>0</DocSecurity>
  <Lines>4257</Lines>
  <Paragraphs>796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2022-05-04T13:32:00Z</dcterms:created>
  <dcterms:modified xsi:type="dcterms:W3CDTF">2022-05-04T13:32:00Z</dcterms:modified>
</cp:coreProperties>
</file>