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Odredba z dne 14. decembra 2021 o okoljski izjavi proizvodov, namenjenih za uporabo v gradbenih objektih, in okoljski izjavi proizvodov, ki služi za izračun okoljske učinkovitosti stavb</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 xml:space="preserve">ŠT.: LOGL2113185A </w:t>
      </w:r>
      <w:r>
        <w:rPr>
          <w:rFonts w:ascii="Times New Roman" w:hAnsi="Times New Roman"/>
          <w:sz w:val="24"/>
        </w:rPr>
        <w:br/>
        <w:t xml:space="preserve">ELI: https://www.legifrance.gouv.fr/eli/arrete/2021/12/14/LOGL2113185A/jo/texte JORF št. 0296 z dne 21. decembra 2021 </w:t>
      </w:r>
      <w:r>
        <w:rPr>
          <w:rFonts w:ascii="Times New Roman" w:hAnsi="Times New Roman"/>
          <w:sz w:val="24"/>
        </w:rPr>
        <w:br/>
        <w:t>Besedilo št.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Priloga</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Priloga</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Priloga</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Priloga</w:t>
      </w:r>
    </w:p>
    <w:p w14:paraId="06845229" w14:textId="6AC182D5"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Ciljna javnost: registracijski zavezanci, ki imajo dolžnosti v zvezi z gradbenimi in dekorativnimi izdelki ter električno in elektronsko opremo ter klimatskimi napravami, ki so namenjeni za uporabo pri gradbenih delih ali ki se upoštevajo pri izračunu okoljske učinkovitosti stavb. </w:t>
      </w:r>
      <w:r>
        <w:rPr>
          <w:rFonts w:ascii="Times New Roman" w:hAnsi="Times New Roman"/>
          <w:sz w:val="24"/>
        </w:rPr>
        <w:br/>
        <w:t xml:space="preserve">Namen: opredelitev uporabe členov R. 171-14 do R. 171-22 in členov R. 171-23 to R. 171-31 Zakonika o gradbeništvu in stanovanjih. </w:t>
      </w:r>
      <w:r>
        <w:rPr>
          <w:rFonts w:ascii="Times New Roman" w:hAnsi="Times New Roman"/>
          <w:sz w:val="24"/>
        </w:rPr>
        <w:br/>
        <w:t xml:space="preserve">Začetek veljavnosti: besedilo začne veljati 1. januarja 2022. </w:t>
      </w:r>
      <w:r>
        <w:rPr>
          <w:rFonts w:ascii="Times New Roman" w:hAnsi="Times New Roman"/>
          <w:sz w:val="24"/>
        </w:rPr>
        <w:br/>
        <w:t xml:space="preserve">Obvestilo: namen odredbe je opredeliti uporabo členov R. 171-14 do R. 171-22 in členov R. 171-23 do R. 171-31 Zakonika o gradbeništvu in stanovanjih. </w:t>
      </w:r>
      <w:r>
        <w:rPr>
          <w:rFonts w:ascii="Times New Roman" w:hAnsi="Times New Roman"/>
          <w:sz w:val="24"/>
        </w:rPr>
        <w:br/>
        <w:t xml:space="preserve">Odredba določa: </w:t>
      </w:r>
      <w:r>
        <w:rPr>
          <w:rFonts w:ascii="Times New Roman" w:hAnsi="Times New Roman"/>
          <w:sz w:val="24"/>
        </w:rPr>
        <w:br/>
        <w:t xml:space="preserve">- podrobnosti o informacijah iz člena R. 171–17 zakonika o gradbeništvu in stanovanjih; </w:t>
      </w:r>
      <w:r>
        <w:rPr>
          <w:rFonts w:ascii="Times New Roman" w:hAnsi="Times New Roman"/>
          <w:sz w:val="24"/>
        </w:rPr>
        <w:br/>
        <w:t xml:space="preserve">- metode izračuna kazalnikov iz člena R. 171–17 zakonika o gradbeništvu in stanovanjih; </w:t>
      </w:r>
      <w:r>
        <w:rPr>
          <w:rFonts w:ascii="Times New Roman" w:hAnsi="Times New Roman"/>
          <w:sz w:val="24"/>
        </w:rPr>
        <w:br/>
        <w:t xml:space="preserve">- elementi iz člena R. 171-21 zakonika o gradbeništvu in stanovanjih, ki utemeljuje informacije iz okoljske izjave; </w:t>
      </w:r>
      <w:r>
        <w:rPr>
          <w:rFonts w:ascii="Times New Roman" w:hAnsi="Times New Roman"/>
          <w:sz w:val="24"/>
        </w:rPr>
        <w:br/>
        <w:t xml:space="preserve">- kjer je naslov podatkovne zbirke ali podatkovnih zbirk, preko katerih so okoljske izjave iz člena R. 171-17 Zakonika o gradnji in stanovanjih, in imajo potrdilo o preverjanju iz člena R. 171-18 Zakonika o gradnji in stanovanjih, so na voljo javnosti se izpolni; </w:t>
      </w:r>
      <w:r>
        <w:rPr>
          <w:rFonts w:ascii="Times New Roman" w:hAnsi="Times New Roman"/>
          <w:sz w:val="24"/>
        </w:rPr>
        <w:br/>
      </w:r>
      <w:r w:rsidR="00A77396">
        <w:rPr>
          <w:rFonts w:ascii="Times New Roman" w:hAnsi="Times New Roman"/>
          <w:sz w:val="24"/>
        </w:rPr>
        <w:t>-</w:t>
      </w:r>
      <w:r>
        <w:rPr>
          <w:rFonts w:ascii="Times New Roman" w:hAnsi="Times New Roman"/>
          <w:sz w:val="24"/>
        </w:rPr>
        <w:t xml:space="preserve"> pogoje za pripravo skupnih okoljskih izjav v zvezi z gradbenimi ali dekorativnimi izdelki ali opremo, ki jih pripravi več registracijskih zavezancev; </w:t>
      </w:r>
      <w:r>
        <w:rPr>
          <w:rFonts w:ascii="Times New Roman" w:hAnsi="Times New Roman"/>
          <w:sz w:val="24"/>
        </w:rPr>
        <w:br/>
      </w:r>
      <w:r w:rsidR="00A77396">
        <w:rPr>
          <w:rFonts w:ascii="Times New Roman" w:hAnsi="Times New Roman"/>
          <w:sz w:val="24"/>
        </w:rPr>
        <w:t>-</w:t>
      </w:r>
      <w:r>
        <w:rPr>
          <w:rFonts w:ascii="Times New Roman" w:hAnsi="Times New Roman"/>
          <w:sz w:val="24"/>
        </w:rPr>
        <w:t xml:space="preserve"> pogoje za pripravo prenosljivih izjav v zvezi z gradbenimi ali dekorativnimi izdelki ali opremo. </w:t>
      </w:r>
      <w:r>
        <w:rPr>
          <w:rFonts w:ascii="Times New Roman" w:hAnsi="Times New Roman"/>
          <w:sz w:val="24"/>
        </w:rPr>
        <w:br/>
        <w:t xml:space="preserve">Sklicevanje: besedila, ki so nastala na podlagi te odredbe ali so spremenjena na podlagi nje, so v končni obliki, ki izhaja iz teh sprememb, dostopna na spletni strani Légifrance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ekološki prehod in sodelujoči minister, pristojen za stanovanja, skupaj z ministrom za ekološki prehod,</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 in uradnega obvestila št. 2021/257/F naslovljenega na Evropsko komisijo 28. aprila 2021 in odgovor nanj 29. julija 2021;</w:t>
      </w:r>
      <w:r>
        <w:rPr>
          <w:rFonts w:ascii="Times New Roman" w:hAnsi="Times New Roman"/>
          <w:sz w:val="24"/>
        </w:rPr>
        <w:br/>
      </w:r>
      <w:r>
        <w:rPr>
          <w:rFonts w:ascii="Times New Roman" w:hAnsi="Times New Roman"/>
          <w:sz w:val="24"/>
        </w:rPr>
        <w:lastRenderedPageBreak/>
        <w:t>ob upoštevanju Zakonika o varstvu potrošnikov, zlasti točke 10 člena L. 412-1;</w:t>
      </w:r>
      <w:r>
        <w:rPr>
          <w:rFonts w:ascii="Times New Roman" w:hAnsi="Times New Roman"/>
          <w:sz w:val="24"/>
        </w:rPr>
        <w:br/>
        <w:t>ob upoštevanju Zakonika o gradnji in stanovanjih, zlasti členov L. 171-14 do R. 171-31;</w:t>
      </w:r>
      <w:r>
        <w:rPr>
          <w:rFonts w:ascii="Times New Roman" w:hAnsi="Times New Roman"/>
          <w:sz w:val="24"/>
        </w:rPr>
        <w:br/>
        <w:t>ob upoštevanju mnenja visokega sveta za gradbeništvo in energetsko učinkovitost z dne 13. aprila 2021;</w:t>
      </w:r>
      <w:r>
        <w:rPr>
          <w:rFonts w:ascii="Times New Roman" w:hAnsi="Times New Roman"/>
          <w:sz w:val="24"/>
        </w:rPr>
        <w:br/>
        <w:t>ob upoštevanju pripomb, danih med javnim posvetovanjem, izvedenim od 18. maja do 8. junija 2021 v skladu s členom L. 123-19-1 Okoljskega zakonika;</w:t>
      </w:r>
      <w:r>
        <w:rPr>
          <w:rFonts w:ascii="Times New Roman" w:hAnsi="Times New Roman"/>
          <w:sz w:val="24"/>
        </w:rPr>
        <w:br/>
        <w:t>Odreja:</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Določbe tega odloka se uporabljajo za gradbene proizvode, izdelke za dekoracijo ter električno, elektronsko in podnebno inženirsko opremo iz člena R. 171–14 zakonika o gradbeništvu in stanovanjih ter člena R. 171–23 zakonika o gradbeništvu in stanovanjih.</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namene te odredbe se uporabljajo naslednje opredelitve pojmov:</w:t>
      </w:r>
      <w:r>
        <w:rPr>
          <w:rFonts w:ascii="Times New Roman" w:hAnsi="Times New Roman"/>
          <w:sz w:val="24"/>
        </w:rPr>
        <w:br/>
        <w:t>„Izjava o namembnosti“: okoljska izjava s pravili za prilagoditev v njej navedenih informacij, ki ustrezajo določenemu izdelku, in računalniško orodje za uporabo teh pravil.</w:t>
      </w:r>
      <w:r>
        <w:rPr>
          <w:rFonts w:ascii="Times New Roman" w:hAnsi="Times New Roman"/>
          <w:sz w:val="24"/>
        </w:rPr>
        <w:br/>
        <w:t>V naslednjih členih se izraz „deklarant“ razume kot „deklarant“, kot je opredeljeno v členu R. 171-15 Zakonika o gradbeništvu in stanovanjih ali s pomenom „odgovoren za dajanje v promet“, kot je opredeljeno v čl. R. 171-24 Zakonika o gradbeništvu in stanovanjih.</w:t>
      </w:r>
      <w:r>
        <w:rPr>
          <w:rFonts w:ascii="Times New Roman" w:hAnsi="Times New Roman"/>
          <w:sz w:val="24"/>
        </w:rPr>
        <w:br/>
        <w:t>V naslednjih členih se izraz „proizvod“ razume kot „gradbeni proizvodi“, „dekorativni proizvod“ in „električna, elektronska in klimatska oprema“, kot je opredeljeno v členu R. 171–15 Zakonika o gradbeništvu in stanovanjih.</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Okoljska izjava mora vsebovati podatke iz člena R. 171-17 Zakonika o gradbeništvu in stanovanjih.</w:t>
      </w:r>
      <w:r>
        <w:rPr>
          <w:rFonts w:ascii="Times New Roman" w:hAnsi="Times New Roman"/>
          <w:sz w:val="24"/>
        </w:rPr>
        <w:br/>
        <w:t>V skladu s točko 1 člena R. 171-17 Zakonika o gradbeništvu in stanovanjih, okoljska deklaracija vsebuje za fazo proizvodnje, fazo gradbenega postopka, fazo uporabe, fazo izrabljenosti in vsoto teh faz, vrednosti naslednjih kazalnikov:</w:t>
      </w:r>
    </w:p>
    <w:p w14:paraId="1B8C0EF8" w14:textId="24178DE2"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opis vplivov na okolje: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globalno segrevanje (emisije toplogrednih plinov);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tanjšanje ozonske plasti;</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zakisljevanje tal in vode;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evtrofikacija;</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nastanek fotokemičnega ozona;</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izčrpavanje abiotskih virov – elementov;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izčrpavanje abiotskih virov – fosilnih goriv.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opis uporabe virov: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 xml:space="preserve">uporaba obnovljive primarne energije, razen obnovljivih virov primarne energije, ki se </w:t>
      </w:r>
      <w:r>
        <w:rPr>
          <w:rFonts w:ascii="Times New Roman" w:hAnsi="Times New Roman"/>
          <w:sz w:val="24"/>
        </w:rPr>
        <w:lastRenderedPageBreak/>
        <w:t>uporabljajo kot surovine;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uporaba obnovljivih virov primarne energije, ki se uporabljajo kot surovine;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skupna uporaba obnovljivih virov primarne energije (primarna energija in viri primarne energije, ki se uporabljajo kot surovine);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uporaba neobnovljive primarne energije, razen neobnovljivih primarnih virov energije, ki se uporabljajo kot surovine;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uporaba neobnovljivih primarnih virov energije, ki se uporabljajo kot surovine;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skupna uporaba neobnovljivih primarnih virov energije (primarna energija in viri primarne energije, ki se uporabljajo kot surovine);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uporaba sekundarnega materiala;</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uporaba obnovljivih sekundarnih goriv;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uporaba neobnovljivih sekundarnih goriv;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neto uporaba sveže vode;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opis kategorij odpadkov: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nevarni odpadki, ki se odstranjujejo;</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nenevarni odpadki, ki se odstranjujejo;</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radioaktivni odpadki, ki se odstranjujejo.</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opis izhodnih tokov: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sestavni deli, namenjeni za ponovno uporabo;</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materiali, namenjeni za recikliranje;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materiali, namenjeni za energetsko predelavo;</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energija, dobavljena na prostem;</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 skladu s točko 4 člena R. 171-17 Zakonika o gradbeništvu in stanovanjih, v primeru okoljske izjave, na katero vplivajo zahteve 8. člena te odredbe, okoljska izjava vsebuje razpone variacij (največjih in najmanjših vrednosti) kontrolnih kazalnikov, opredeljenih v členu 8 te odredbe.</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Registracijski zavezanec hrani na voljo za inšpekcijske organe in pravno osebo, ki je odgovorna za izvajanje programa okoljske deklaracije, kot je opredeljeno v členu R. 171-21 Zakonika o gradbeništvu in stanovanjih in v členu R. 171-26 Zakonika o gradbeništvu in stanovanjih, vse proizvode in kontaktne podatke fizičnih ali pravnih oseb, ki imajo te proizvode, s čimer lahko utemelji informacije iz okoljske izjave.</w:t>
      </w:r>
      <w:r>
        <w:rPr>
          <w:rFonts w:ascii="Times New Roman" w:hAnsi="Times New Roman"/>
          <w:sz w:val="24"/>
        </w:rPr>
        <w:br/>
        <w:t>Zgoraj navedeni elementi so:</w:t>
      </w:r>
    </w:p>
    <w:p w14:paraId="4D6FBAE8" w14:textId="5F3EC82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poreklo surovin, materialov in sestavnih delov izdelka;</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opredelitev vhodnih podatkov, ki niso vključeni v popis življenjskega cikla v skladu s presečnim pravilom;</w:t>
      </w:r>
      <w:r>
        <w:rPr>
          <w:rFonts w:ascii="Times New Roman" w:hAnsi="Times New Roman"/>
          <w:sz w:val="24"/>
        </w:rPr>
        <w:br/>
      </w:r>
      <w:r w:rsidR="00A77396">
        <w:rPr>
          <w:rFonts w:ascii="Times New Roman" w:hAnsi="Times New Roman"/>
          <w:sz w:val="24"/>
        </w:rPr>
        <w:t>- -</w:t>
      </w:r>
      <w:r>
        <w:rPr>
          <w:rFonts w:ascii="Times New Roman" w:hAnsi="Times New Roman"/>
          <w:sz w:val="24"/>
        </w:rPr>
        <w:t>skupno maso vnosov, ki niso vključeni v popis življenjskega cikla zaradi presečnega pravila;</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rezultate izračunov zalog;</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dokazila o referenčni življenjski dobi proizvoda;</w:t>
      </w:r>
      <w:r>
        <w:rPr>
          <w:rFonts w:ascii="Times New Roman" w:hAnsi="Times New Roman"/>
          <w:sz w:val="24"/>
        </w:rPr>
        <w:br/>
        <w:t xml:space="preserve">- dokumentacijo o tem, kako tehnološko, geografsko in časovno reprezentativno so uporabljeni splošni podatki, sklici na podatkovne zbirke, iz katerih izvirajo, in sklici na uporabljene podatkovne module, v primeru, da je treba uporabiti splošne podatke, ki </w:t>
      </w:r>
      <w:r>
        <w:rPr>
          <w:rFonts w:ascii="Times New Roman" w:hAnsi="Times New Roman"/>
          <w:sz w:val="24"/>
        </w:rPr>
        <w:lastRenderedPageBreak/>
        <w:t>izvirajo iz javnih ali zasebnih zbirk podatkov;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scenarije, na katerih temelji popis življenjskega cikla;</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proizvodni(-e) obrat(-e), zajet(-e) v okoljsko izjavo;</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proizvodnjo vsakega obrata, izraženo z enoto količine, določeno v funkcionalni enoti;</w:t>
      </w:r>
      <w:r>
        <w:rPr>
          <w:rFonts w:ascii="Times New Roman" w:hAnsi="Times New Roman"/>
          <w:sz w:val="24"/>
        </w:rPr>
        <w:br/>
        <w:t>- dokaze, da je uporabljeni vzorec reprezentativen, zlasti z geografskega, časovnega in tehnološkega vidika proizvodnje proizvoda, kadar se uporablja metoda vzorčenja;</w:t>
      </w:r>
      <w:r>
        <w:rPr>
          <w:rFonts w:ascii="Times New Roman" w:hAnsi="Times New Roman"/>
          <w:sz w:val="24"/>
        </w:rPr>
        <w:br/>
        <w:t>- sestavne elemente okvira veljavnosti okoljskih izjav, na katere se nanašajo zahteve člena 8 te odredbe;</w:t>
      </w:r>
      <w:r>
        <w:rPr>
          <w:rFonts w:ascii="Times New Roman" w:hAnsi="Times New Roman"/>
          <w:sz w:val="24"/>
        </w:rPr>
        <w:br/>
        <w:t>- sestavne elemente prenosljive izjave iz člena 10 te odredbe.</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Oblike funkcionalnih enot, opredeljene v členu R. 171-15 Zakonika o gradbeništvu in stanovanjih, za vsako kategorijo gradbenih proizvodov ali izdelkov za dekoracijo so opredeljene v Prilogi I te odredbe.</w:t>
      </w:r>
      <w:r>
        <w:rPr>
          <w:rFonts w:ascii="Times New Roman" w:hAnsi="Times New Roman"/>
          <w:sz w:val="24"/>
        </w:rPr>
        <w:br/>
        <w:t>Oblike funkcionalnih enot ali enot, priglašenih za opremo, opredeljene v členu R. 171-15 Zakonika o gradbeništvu in stanovanjih za električno, elektronsko in klimatsko opremo so opredeljene v Prilogi II te odredbe.</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metode vrednotenja, izračunavanja informacij in določanja kazalnikov iz točk 1, 2, 3, 14 in 15 člena R. 171-17 Zakonika o gradbeništvu in stanovanjih in določenih v členu 3 te odredbe, se domneva, da izpolnjujejo zahteve odredbe, če izpolnjujejo vse naslednje pogoje:</w:t>
      </w:r>
    </w:p>
    <w:p w14:paraId="616E0A2A" w14:textId="63A622BA"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Ne vodijo k opustitvi postopkov, ki skupaj predstavljajo več kot 5 % vrednosti vsake od navedenih postavk informacij.</w:t>
      </w:r>
      <w:r>
        <w:rPr>
          <w:rFonts w:ascii="Times New Roman" w:hAnsi="Times New Roman"/>
          <w:sz w:val="24"/>
        </w:rPr>
        <w:br/>
        <w:t>Ne vodijo v odobritev proizvoda, za katerega velja okoljska izjava o ugodnostih, dodeljenih drugim proizvodom pri izračunu navedenih postavk informacij, razen kazalnikov v zvezi s koristmi in izdatki, povezanimi z vrednotenjem ob koncu življenjske dobe.</w:t>
      </w:r>
      <w:r>
        <w:rPr>
          <w:rFonts w:ascii="Times New Roman" w:hAnsi="Times New Roman"/>
          <w:sz w:val="24"/>
        </w:rPr>
        <w:br/>
        <w:t>Ustrezajo bodisi standardu NF EN 15804 + A1: 2014-04 ali standardu XP C08-100-1: 2016-12 ali standardom XP C08-100-1: 2016–12 in EN 50693: standardom 2019-08 ali kateremu koli enakovrednemu standardu.</w:t>
      </w:r>
      <w:r>
        <w:rPr>
          <w:rFonts w:ascii="Times New Roman" w:hAnsi="Times New Roman"/>
          <w:sz w:val="24"/>
        </w:rPr>
        <w:br/>
        <w:t>Upoštevajo metodo izračunavanja koristi in izdatkov v zvezi z vrednotenjem ob koncu življenjske dobe, kot je opredeljeno v Prilogi III te odredbe.</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Poleg tega morajo za okoljske izjave, ki imajo certifikat o skladnosti po 1. oktobru 2022, kadar okoljska izjava zajema različne načine namestitve proizvoda, ki ga zadeva, biti metode ocenjevanja in izračunavanja navedenih informacij v skladu z naslednjimi pravili:</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za vsakega od teh načinov namestitve se ocenijo naslednji kontrolni kazalniki: segrevanje podnebja, raba neobnovljive primarne energije, razen neobnovljivih primarnih </w:t>
      </w:r>
      <w:r>
        <w:rPr>
          <w:rFonts w:ascii="Times New Roman" w:hAnsi="Times New Roman"/>
          <w:sz w:val="24"/>
        </w:rPr>
        <w:lastRenderedPageBreak/>
        <w:t>energetskih virov, ki se uporabljajo kot surovine, nenevarni odpadki, ki se odstranjujejo.</w:t>
      </w:r>
      <w:r>
        <w:rPr>
          <w:rFonts w:ascii="Times New Roman" w:hAnsi="Times New Roman"/>
          <w:sz w:val="24"/>
        </w:rPr>
        <w:br/>
        <w:t>- za vsakega od teh kontrolnih kazalnikov se največja vrednost, dobljena za vsoto korakov iz člena 3 te odredbe, primerja s povprečjem dobljenih vrednosti (tj. povprečnega vpliva različnih načinov namestitve). Če je največja vrednost za enega od teh kazalnikov večja od 1,1-kratne povprečne vrednosti, je treba za vsakega od kazalnikov, navedenih v okoljski izjavi, navesti najslabšo vrednost (tj. najslabše vrednosti glede na različne načine namestitve). V nasprotnem primeru se lahko za vsak kazalnik navede povprečna vrednost.</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Naslov(-i) baze podatkov iz člena R. 171-20 Zakonika o gradbeništvu in stanovanjih, kjer so na voljo okoljski podatki storitve in privzeti okoljski podatki, kot je opredeljeno v členu R. 171-16. Zakonika o gradbeništvu in stanovanjih ter okoljske deklaracije so na voljo na spletni strani ministrstva, pristojnega za gradbeništvo.</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Okoljska izjava lahko temelji na skupni okoljski izjavi podobnih proizvodov, ki jo predloži več registracijskih zavezancev.</w:t>
      </w:r>
      <w:r>
        <w:rPr>
          <w:rFonts w:ascii="Times New Roman" w:hAnsi="Times New Roman"/>
          <w:sz w:val="24"/>
        </w:rPr>
        <w:br/>
        <w:t>1. Ta skupna okoljska izjava mora izpolnjevati naslednje pogoje:</w:t>
      </w:r>
    </w:p>
    <w:p w14:paraId="7E91553F" w14:textId="243DA2A8"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zadeva „standardni proizvod“;</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določi se pod pogoji iz prejšnjih členov;</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zagotoviti je treba homogenost parametrov, ki pomembno vplivajo na vrednost vsakega kazalnika; v ta namen skupna okoljska izjava vsebuje okvir veljavnosti, opredeljen v Prilogi IV te odredbe, v katerem so zbrane naslednje informacije: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opredelitev vplivnih parametrov z navedbo, ali so dopolnjeni s splošnimi ali specifičnimi podatki;</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obdobja veljavnosti teh parametrov.</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Registracijski zavezanec, ki je predložil skupno okoljsko izjavo, je odgovoren za informacije, ki jih ta vsebuje, vključno s seznamom zadevnih proizvodov in pogoji, pod katerimi se lahko proizvodi po potrebi povežejo z njo.</w:t>
      </w:r>
      <w:r>
        <w:rPr>
          <w:rFonts w:ascii="Times New Roman" w:hAnsi="Times New Roman"/>
          <w:sz w:val="24"/>
        </w:rPr>
        <w:br/>
        <w:t>3. Registracijski zavezanci proizvodov, zajetih v tej skupni okoljski izjavi, morajo izpolnjevati naslednje pogoje:</w:t>
      </w:r>
    </w:p>
    <w:p w14:paraId="5C7B5DE1" w14:textId="0463D90C"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Odgovorni so za informacije, ki jih posredujejo navedenemu registracijskemu zavezancu.</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Spoštujejo okvir veljavnosti skupne okoljske izjave.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Predložijo potrdilo o skladnosti z okvirom veljavnosti skupne okoljske izjave.</w:t>
      </w:r>
      <w:r>
        <w:rPr>
          <w:rFonts w:ascii="Times New Roman" w:hAnsi="Times New Roman"/>
          <w:sz w:val="24"/>
        </w:rPr>
        <w:br/>
        <w:t>- zagotavljajo, da so inšpekcijskim organom in pravni osebi, odgovorni za izvajanje programa okoljskih izjav na voljo ustrezna dokazila o skladnosti z okvirom veljavnosti.</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4. Kolektivna okoljska izjava je v skladu z zahtevami preverjanja neodvisnega preverjanja tretjih oseb, opredeljenih v členu R. 171-18 Zakonika o gradnji in stanovanjih in iz člena R. 171-29 Zakonika o gradnji in stanovanjih.</w:t>
      </w:r>
      <w:r>
        <w:rPr>
          <w:rFonts w:ascii="Times New Roman" w:hAnsi="Times New Roman"/>
          <w:sz w:val="24"/>
        </w:rPr>
        <w:br/>
        <w:t>5. Kontrolni kazalniki, ki jih je treba upoštevati, so najmanj: segrevanje podnebja, neobnovljiva poraba primarne energije, razen neobnovljivih primarnih virov energije, ki se uporabljajo kot surovine, nenevarni odpadki, ki se odstranjujejo;</w:t>
      </w:r>
      <w:r>
        <w:rPr>
          <w:rFonts w:ascii="Times New Roman" w:hAnsi="Times New Roman"/>
          <w:sz w:val="24"/>
        </w:rPr>
        <w:br/>
        <w:t>6. Skupne okoljske izjave morajo izpolnjevati naslednje zahteve:</w:t>
      </w:r>
      <w:r>
        <w:rPr>
          <w:rFonts w:ascii="Times New Roman" w:hAnsi="Times New Roman"/>
          <w:sz w:val="24"/>
        </w:rPr>
        <w:br/>
        <w:t>kadar je največja vrednost vsakega kontrolnega kazalnika, dobljena za vsoto korakov iz člena 3 te odredbe in z izračunom variabilnosti iz Priloge IV te odredbe, manjša ali enaka povprečni vrednosti kazalnika, pomnoženi z mejno vrednostjo, se lahko vrednosti kazalnikov izračunajo s pomočjo poprečnih vrednosti občutljivih parametrov. V nasprotnem primeru je treba navesti najmanj ugoden prag (največja vrednost, ki jo lahko doseže kazalnik, če odraža odhodek in najmanjšo vrednost, če odraža dobiček).</w:t>
      </w:r>
      <w:r>
        <w:rPr>
          <w:rFonts w:ascii="Times New Roman" w:hAnsi="Times New Roman"/>
          <w:sz w:val="24"/>
        </w:rPr>
        <w:br/>
        <w:t>Za skupne okoljske izjave s potrdilom o skladnosti sestavljene pred 1. oktobrom 2022 dalje, je zgoraj navedena mejna vrednost „1,4“, zgoraj navedeni izračun variabilnosti pa mora zajemati vsaj tiste občutljive parametre, ki se nanašajo na:</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sestavo proizvoda: maso in vrsto materialov;</w:t>
      </w:r>
      <w:r>
        <w:rPr>
          <w:rFonts w:ascii="Times New Roman" w:hAnsi="Times New Roman"/>
          <w:sz w:val="24"/>
        </w:rPr>
        <w:br/>
        <w:t>- mase embalaže;</w:t>
      </w:r>
      <w:r>
        <w:rPr>
          <w:rFonts w:ascii="Times New Roman" w:hAnsi="Times New Roman"/>
          <w:sz w:val="24"/>
        </w:rPr>
        <w:br/>
        <w:t>- proizvodne procese, razen pridobivanja in predelave surovin (stopnji A2 in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skupne okoljske izjave, s potrdilom o skladnosti po 1. oktobru 2022, je zgoraj navedena mejna vrednost „1,35“, zgoraj navedeni izračun variabilnosti pa mora zajemati vsaj tiste občutljive parametre, ki se nanašajo na:</w:t>
      </w:r>
    </w:p>
    <w:p w14:paraId="40F7CD3B"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sestavo proizvoda: maso in vrsto materialov;</w:t>
      </w:r>
      <w:r>
        <w:rPr>
          <w:rFonts w:ascii="Times New Roman" w:hAnsi="Times New Roman"/>
          <w:sz w:val="24"/>
        </w:rPr>
        <w:br/>
        <w:t>- mase embalaže;</w:t>
      </w:r>
      <w:r>
        <w:rPr>
          <w:rFonts w:ascii="Times New Roman" w:hAnsi="Times New Roman"/>
          <w:sz w:val="24"/>
        </w:rPr>
        <w:br/>
        <w:t>proizvodne procese, razen pridobivanja in predelave surovin (stopnji A2 in A3);</w:t>
      </w:r>
      <w:r>
        <w:rPr>
          <w:rFonts w:ascii="Times New Roman" w:hAnsi="Times New Roman"/>
          <w:sz w:val="24"/>
        </w:rPr>
        <w:br/>
        <w:t>prevoz do lokacije (faza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Okoljska izjava lahko temelji na podobnih proizvodih istega registracijskega zavezanca. Te okoljske izjave morajo izpolnjevati zahteve za skupne okoljske izjave določene v členu 8 te odredbe.</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Okoljska izjava lahko temelji na prenosljivi izjavi.</w:t>
      </w:r>
      <w:r>
        <w:rPr>
          <w:rFonts w:ascii="Times New Roman" w:hAnsi="Times New Roman"/>
          <w:sz w:val="24"/>
        </w:rPr>
        <w:br/>
        <w:t>Ta prenosljiva izjava mora izpolnjevati naslednje pogoje:</w:t>
      </w:r>
    </w:p>
    <w:p w14:paraId="6A4F1CB3" w14:textId="39B5F9E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zadeva „standardni proizvod“;</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določi se pod pogoji iz prejšnjih členov;</w:t>
      </w:r>
      <w:r>
        <w:rPr>
          <w:rFonts w:ascii="Times New Roman" w:hAnsi="Times New Roman"/>
          <w:sz w:val="24"/>
        </w:rPr>
        <w:br/>
      </w:r>
      <w:r w:rsidR="00A77396">
        <w:rPr>
          <w:rFonts w:ascii="Times New Roman" w:hAnsi="Times New Roman"/>
          <w:sz w:val="24"/>
        </w:rPr>
        <w:lastRenderedPageBreak/>
        <w:t xml:space="preserve">- </w:t>
      </w:r>
      <w:r>
        <w:rPr>
          <w:rFonts w:ascii="Times New Roman" w:hAnsi="Times New Roman"/>
          <w:sz w:val="24"/>
        </w:rPr>
        <w:t>vsebuje sklop pravil za izračun, s katerimi se na podlagi spremenljivih parametrov navedene informacije prilagodijo proizvodu, ki je podoben standardnemu proizvodu, vendar se njegove dimenzije, sestava ali nekateri postopki življenjskega cikla razlikujejo;</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omogočeno mora biti preverjanje vrednosti spremenljivih parametrov, navedenih zgoraj, ob dobavi stavbe;</w:t>
      </w:r>
      <w:r>
        <w:rPr>
          <w:rFonts w:ascii="Times New Roman" w:hAnsi="Times New Roman"/>
          <w:sz w:val="24"/>
        </w:rPr>
        <w:br/>
        <w:t>- vsebuje okvir skladnosti, ki opredeljuje vrednosti, ki jih je mogoče prevzeti glede na prej omenjene spremenljive parametre, in značilnosti, ki jih mora izpolnjevati prej omenjeni podoben proizvod.</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Vsaki prenosljivi izjavi s potrdilom o skladnosti po 1. oktobru 2022, se priloži računalniško orodje za izračun, ki služi za uporabo zgoraj navedenih pravil izračunavanja in za izvoz informacij, zahtevanih v členu R. 171-17 Zakonika o gradnji in stanovanjih in v členu 3 te odredbe, skupaj s seznamom zgoraj navedenih spremenljivih parametrov in njihovih povezanih vrednosti. Vse te informacije se izvozijo kot računalniška datoteka v obliki, ki je določena na spletni strani ministrstva, pristojnega za gradnjo.</w:t>
      </w:r>
      <w:r>
        <w:rPr>
          <w:rFonts w:ascii="Times New Roman" w:hAnsi="Times New Roman"/>
          <w:sz w:val="24"/>
        </w:rPr>
        <w:br/>
        <w:t>Neodvisno preverjanje tretjih oseb opredeljenih v členu R. 171-18 Zakonika o gradnji in stanovanjih in navedenih v členu R. 171-29 Zakonika o gradbeništvu in stanovanjih mora zajemati, v primeru prenosljive izjave, tudi pravila za izračun iz tega člena in računalniško orodje za izračun iz prejšnjega odstavka.</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Šteje se, da je potrdilo o okoljskih lastnostih iz člena R. 171-27  Zakonika o gradbeništvu in stanovanjih skladno, če izpolnjuje vse zahteve standarda NF EN ISO 14024: 2018-03. To potrdilo o gradbenih proizvodih ali opremi izda organizacija, ki jo je v za namen pooblastila francoska akreditacijska komisija (COFRAC) ali drug akreditacijski organ, ki je podpisnik večstranskih sporazumov o vzajemnem priznavanju.</w:t>
      </w:r>
      <w:r>
        <w:rPr>
          <w:rFonts w:ascii="Times New Roman" w:hAnsi="Times New Roman"/>
          <w:sz w:val="24"/>
        </w:rPr>
        <w:br/>
        <w:t>Ta oddelek se ne uporablja za okoljske izjave, ki se uporabljajo pri izračunu okoljske učinkovitosti stavb.</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Odredba z dne 23. decembra 2013 o okoljski izjavi gradbenih in dekorativnih izdelkov za uporabo v gradbenih objektih se razveljavi.</w:t>
      </w:r>
      <w:r>
        <w:rPr>
          <w:rFonts w:ascii="Times New Roman" w:hAnsi="Times New Roman"/>
          <w:sz w:val="24"/>
        </w:rPr>
        <w:br/>
        <w:t>Odredba z dne 31. avgusta 2015 o okoljski izjavi električne in elektronske opreme in klimatskih naprav za uporabo v gradbenih objektih se razveljavi.</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14</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Določbe te odredbe začnejo veljati 1. januarja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izvajanje te odredbe, ki se objavi v Uradnem listu Francoske republike, je odgovoren direktor službe za stanovanja, urbani razvoj in krajine.</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Priloga</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PRILOGE</w:t>
      </w:r>
      <w:r>
        <w:rPr>
          <w:rFonts w:ascii="Times New Roman" w:hAnsi="Times New Roman"/>
          <w:sz w:val="24"/>
        </w:rPr>
        <w:br/>
        <w:t>PRILOGA I</w:t>
      </w:r>
      <w:r>
        <w:rPr>
          <w:rFonts w:ascii="Times New Roman" w:hAnsi="Times New Roman"/>
          <w:sz w:val="24"/>
        </w:rPr>
        <w:br/>
        <w:t>OBLIKE FUNKCIONALNIH ENOT ZA VSAKO KATEGORIJO GRADBENIH PROIZVODOV ALI DEKORATIVNIH IZDELKOV</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0"/>
        <w:gridCol w:w="1974"/>
        <w:gridCol w:w="2782"/>
        <w:gridCol w:w="3809"/>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Št.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OBLIKA ENOTE</w:t>
            </w:r>
            <w:r>
              <w:rPr>
                <w:rFonts w:ascii="Times New Roman" w:hAnsi="Times New Roman"/>
                <w:b/>
                <w:sz w:val="24"/>
              </w:rPr>
              <w:br/>
              <w:t>funkcionalno v enotah</w:t>
            </w:r>
            <w:r>
              <w:rPr>
                <w:rFonts w:ascii="Times New Roman" w:hAnsi="Times New Roman"/>
                <w:b/>
                <w:sz w:val="24"/>
              </w:rPr>
              <w:br/>
              <w:t>mednarodnega sistema</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Ceste, razna omrežja (vključno z notranjimi omrežji)</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Rezervoarji in zalogovniki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Enota danega volumna</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Kanalizacijska in sanitarna omrežja (deževna voda in odpadna voda)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povprečno</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Vodovodna omrežja (notranja in zunanja)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povprečno</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Omrežja za oskrbo s plinom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povprečno</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Drenažni sistemi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povprečno</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Ceste in zunanje površine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površin za določeno uporabo (zunanja terasa, nizko prometne ceste, parkirišča itd.)</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Ograje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ograje</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Cevi/vodi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Struktura, zidarstvo, večja dela, ogrodje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Dimni bloki in dimne cevi</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danega notranjega odseka voda</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Estrihi/plavajoči estrihi</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za dano debelino</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Ogrodja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pokrita površina ali m</w:t>
            </w:r>
            <w:r>
              <w:rPr>
                <w:rFonts w:ascii="Times New Roman" w:hAnsi="Times New Roman"/>
                <w:sz w:val="24"/>
                <w:vertAlign w:val="superscript"/>
              </w:rPr>
              <w:t>3</w:t>
            </w:r>
            <w:r>
              <w:rPr>
                <w:rFonts w:ascii="Times New Roman" w:hAnsi="Times New Roman"/>
                <w:sz w:val="24"/>
              </w:rPr>
              <w:t xml:space="preserve"> ali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Opornice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opornic ali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Plošče in montažne plošče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Vodoravni nosilni elementi (trami, nosilci, izolacija, plošče z votlim jedrom, votle plošče, preklade)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nosilnega elementa (navedite obseg in odsek) ali m² (za površinski element) ali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Navpični nosilni elementi (koli/stolpi/stebri)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elementa (navedite odsek) ali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Stopnice (notranja in zunanja)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Enota za določeno višino</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Temelji</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Majhne zidane komponente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(navedite toplotno odpornost)</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Tla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talnih oblog (navedite dopustno obremenitev)</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Stene (arhitekturni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(navedite debelino)</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Obloge (obloge, obloge za zašito pred vremenskimi vplivi, premazi)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fasade</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Obešene fasade in strešna okna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fasade (navedite odstotek neprepustne površine)</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Zunanja površina fasad (vključno s sestavljenimi zunanjimi toplotno izolacijskimi sistemi)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fasade (navedite toplotno odpornost, če je ustrezno)</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Strešna kritina/tesnitev</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Veliki strešni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pokritosti</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Majhni strešni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pokritosti</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Izdelki za hidroizolacijo in tesnjenje za zakopane stene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pokritosti</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Izdelki za tesnjenje strehe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pokritosti</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Zeleni strešni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pokritosti (navedite vrsto podprte vegetacije in toplotne značilnosti, če je ustrezno)</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Notranje in zunanje stavbno pohištvo, zapirala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Okna, francoska okna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stavbnega pohištva (odprta površina pred namestitvijo) (navedite vrednost U, solarni faktor, odpornost na zrak, vodo in veter ter prepustnost)</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Varovalne ograje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varovalnih ograj</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Vrata (notranja, zunanja, vhodni portali itd.)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(odprta površina pred namestitvijo)</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Rolete, žaluzije, rešetke, senčila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neprozorne/zaščitene površine</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Strešna okna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stavbnega pohištva (odprta površina pred namestitvijo) (navedite vrednost U, solarni faktor, odpornost na zrak, vodo in veter ter prepustnost)</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Dekorativne plošče, strešne plošče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Sistemi za obloge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Dodatna izolacija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Votle plošče, izolacijske plošče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Izolatorji za toplotno in zvočno izolacijo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 ali zvočno zmogljivost)</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Toplotni n zvočni izolatorji za podstrešje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Toplotna in zvočna izolacija v razsutem stanju</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Toplotni in zvočni izolatorji za strešne terase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Toplotna in zvočna izolacija pod estrih</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 ali zvočno zmogljivost)</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Porazdeljena izolacija brez nosilnosti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Toplotni in zvočni izolatorji za stene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Zvočni izolatorji za predelne stene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zvočno zmogljivost)</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Toplotna in zvočna izolacija pod ploščami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 ali zvočno zmogljivost)</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Izolacija pod tlakovnimi in talnimi ploščami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(navedite toplotno odpornost)</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Pregrade, spuščeni stropi</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Pregrade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pregrade (navedite zvočno učinkovitost, če je ustrezno)</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Viseči stropi, vpenjalne strehe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visečega stropa (navedite zvočno učinkovitost)</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Talne in stenske obloge, barve, izdelki za dekoracijo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Barve, sredstva za barvanje in laki, ometi (brez nasičenih materialov)</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pokrite površine</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Obzidne letve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obzidnih letev</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Stenski in stropni premazi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premaza</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Trde talne obloge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premaza (navedite razred uporabe ali klasifikacijo odpornosti proti obrabi in udarcu, obnašanja vode in odpornosti proti kemičnim dejavnikom ali enakovrednega)</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Mehke talne obloge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premaza (navedite razred uporabe ali klasifikacijo odpornosti proti obrabi in udarcu, obnašanja vode in odpornosti proti kemičnim dejavnikom ali enakovrednega)</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Zvočni izdelki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premaza (navedite razred uporabe ali klasifikacijo odpornosti proti obrabi in udarcu, obnašanja vode in odpornosti proti kemičnim dejavnikom ali enakovrednega)</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Nasičevalci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pokrite površine</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Proizvodi za pripravo in izvajanje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Tesarska lepila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(navedite gostoto)</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Popravila in montaža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(navedite gostoto)</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Tla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lepila na tla</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Malta za zidanje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(navedite gostoto)</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Ploščice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ploščic</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Dekoracija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(navedite gostoto)</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Mastiksi in poliuretanske pene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(navedite linearno maso)</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Kemijski proizvodi za gradbeništvo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(navedite gostoto)</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Izdelki za beton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(navedite gostoto)</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Sintetične smole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(navedite gostoto)</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Sanitarna in kopalniška oprema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Pipe in stebrni sistemi za prho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Enota (navedite vrsto)</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Enota (navedite prostornino v litrih in obliko)</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Plitve kadi za prho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Enota (navedite mere: širina in dolžina)</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Kuhinjska korita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Enota (navedite mere: širina, dolžina in število prekatov)</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Pralno korito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Enota (navedite mere: širina, dolžina in število prekatov)</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stranišče – školjka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Enota (navedite mere: širina in dolžina)</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Drugo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Priloga</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Priloga II</w:t>
      </w:r>
      <w:r>
        <w:rPr>
          <w:rFonts w:ascii="Times New Roman" w:hAnsi="Times New Roman"/>
          <w:sz w:val="24"/>
        </w:rPr>
        <w:br/>
        <w:t>Oblike funkcionalnih enot ali enot, priglašenih za objekte</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9"/>
        <w:gridCol w:w="1863"/>
        <w:gridCol w:w="1570"/>
        <w:gridCol w:w="1504"/>
        <w:gridCol w:w="1170"/>
        <w:gridCol w:w="1917"/>
        <w:gridCol w:w="2437"/>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Št.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Kategorija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Funkcionalna 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Priglašena 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Skupina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Rešitev</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Objekt za namestitev elektroenergetskih in komunikacijskih omrežij</w:t>
            </w:r>
            <w:r>
              <w:rPr>
                <w:rFonts w:ascii="Times New Roman" w:hAnsi="Times New Roman"/>
                <w:sz w:val="24"/>
              </w:rPr>
              <w:br/>
              <w:t>≤ 63 amp.</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Stenska armatura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Avtomatizirani sistemi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Senzorji gibanja</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Termostati</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Zatemnitvena stikala</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Omarice za naprave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 suhe stene</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 zidane stene</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Upravljanje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Stikala</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Pritisni gumbi</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Drugo: Prezračevalni kanal, rolete itd.</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Plošče in nosilci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Stenske naprave – podsklopi</w:t>
            </w:r>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Vtičnice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Nizko tokovne vtičnice</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Visoko tokovne vtičnice</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Različne vtičnice (TV, zvočnik, IT itd.)</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Signalne naprave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Avdio izhod: zvočnik</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Avdio izhod: zvonec in glasovni signal</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Svetlobni indikatorji</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Dodatki</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Daljinski upravljalniki, polkna, pritrdilne enote</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Modularna oprema za ograjene prostore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Splošna zaščitna oprema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Povezave</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Prekinjevalci tokokroga</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Prekinjevalci tokokrogov za omrežne povezave</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Stikala/izolatorji</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Pretvorniki vira</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Diferencialni releji</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Zaščita pred strelo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Strelovodi</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Telekomunikacijski strelovodi</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Zaščita linije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Prekinjevalci tokokroga</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Oddelčni prekinjevalci tokokroga</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Prekinjevalci tokokroga motorja</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Varovalke</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Zaščitna stikala kvarnega toka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Diferencialni bloki</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Odklopniki tokokrogov RCD</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Stikala RCD</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Upravljanje razsvetljave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Stikala za fotocelice</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Upravljanje s sončno energijo</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Zatemnitvena stikala</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Upravljanje z energijo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Sistemi za zmanjšanje obremenitve</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Upravljavci z energijo</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Upravljanje zaslonk in zaklopk</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Upravljanje zaslonk in zaklopk</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Časovno upravljanje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Presečni časovni razporedi</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Časovniki</w:t>
            </w:r>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Releji časovnika</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Toplotno upravljanje (ogrevanje, prezračevanje)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Termostati</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Meritve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Merilniki energije</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Dežni, sončni senzorji itd.</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Voltmetri, ampermetri</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Krmilne naprave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Pritisni gumbi</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Kontaktorji</w:t>
            </w:r>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Stikala, pretvorniki, komutatorji itd.</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Daljinska impulzna stikala</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Signalizacijske naprave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Zvonci in zvonjenje</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Svetlobni indikatorji</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Avtomatizacija doma in komunikacijski sistemi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Večpredstavnostna omrežja in VDI (Voice Data Image)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Modularna oprema za avtomatizacijo doma</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Terminalska oprema za avtomatizacijo doma</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Distributerji signalizacije/zaznavanja</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Dostopne točke Wi-Fi</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Zaprti prostori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Omarice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Omarice iz poliestra</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Kovinske omarice</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Povezave</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omarice</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Ohišja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Pokrovi terminalov</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Ohišja za pritrditev splakovanja</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Vodotesna ohišja</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Izbočena ohišja škatle</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Ohišja VDI</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Priključna polja</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Drugo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Pulti, upravljanje s toploto v zaprtih prostorih</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Rešitve za napeljavo kablov</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Meter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Sistemi za kabelske napeljave in stojala za kable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Kanali za žične kable</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Pokriti kanali za kable</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Stojala za kable</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Kanalski sistemi in vodi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Vodi</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Profilirani vodi</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Toge cevi in vodi</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Napajalni vodi</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Talni vodi</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Vgradni vodi</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Profilne in obrobne letve</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Drugi točkovni izdelki za upravljanje s kabli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Tehnična ohišja za vgradnjo (GTL)</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Talni vodi</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Razdelilniki in navpični montažni stebri</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Kabelska korita za omarice</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Drugo in dodatki</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Drugo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Povezave/spoji (zunaj zaprte omarice)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Spojni bloki</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Konektorji</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Industrijske vtičnice</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Napajalniki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Transformatorji</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Centralni viri</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Mobilna električna oprema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Luč za video nadzor</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Vtičnice z več priključki, vtičnice za telefonski razdelilnik, drugo</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Motor za odpiranje lopute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Motorizacija vrat, dvoriščnih vrat itd.</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Motorizacija roletnih žaluzij</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Žice in kabli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Električna omrežja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Srednjenapetostni kabli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Nizkonapetostni kabli &lt;1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Dodatki za električno omrežje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Prenos elektrike in podatkov v stavbi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Energetske žice in kabli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Bakreni in optični </w:t>
            </w:r>
            <w:r>
              <w:rPr>
                <w:rFonts w:ascii="Times New Roman" w:hAnsi="Times New Roman"/>
                <w:sz w:val="24"/>
              </w:rPr>
              <w:lastRenderedPageBreak/>
              <w:t>komunikacijski kabli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Dodatki v stavbi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Druge žice in kabli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Neizolirani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Ogrevalni kabli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Varnost posameznikov in nadzor dostopa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Odkrivanje dostopa in nadzor</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 za odkrivanje vsiljivcev</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odkrivanje vsiljivcev</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nadzor (tipkovnica, daljinski upravljalnik itd.)</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Alarmne konzole</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signalizacijo (sirena, oddajnik itd.)</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 za nadzor dostopa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Avdio sistemi za vhodna vrata</w:t>
            </w:r>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Video sistemi za vhodna vrata</w:t>
            </w:r>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Videonadzor</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 video nadzora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zajemanje slik (kamere)</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upravljanje s slikami</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Medsebojne povezave</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Varnost stavbe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 varnostne razsvetljave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Okolica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Samozadostne zasilne svetlobne enote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Svetlobna napeljava za osrednji vir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Enote za reflektorje</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Evakuacija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Samozadostne zasilne svetlobne enote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Neodvisne stanovanjske svetlobne enote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Dvojna funkcionalna enota (B.A.E.S + B.A.E.H)</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Svetlobna napeljava za osrednji vir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(svetlobna naprava)</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(nadgrajena identifikacijska naprava)</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Zasilna razsvetljava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Neodvisne stanovanjske svetlobne enote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Dvojna funkcionalna enota (B.A.E.S + B.A.E.H)</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Prenosne samostojne intervencijske enote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Dobava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Osrednji vir za vgradnjo zasilne svetlobne napeljave</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Požarna varnost</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Požarna varnost in tehnični alarm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Neodvisni detektorji dima/alarmi</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Tehnični alarmi in detektorji (izliv vode, uhajanje plina itd.)</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Samostojni detektorji ogljikovega monoksida</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Tehnični alarmi in detektorji</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Oprema za HVAC</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Ogrevanje in/ali hlajenje in/ali preskrba s toplo vodo v gospodinjstvih</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Kotel (samo ogrevanje)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Kotel na plin</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Kotel na kurilno olje</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Hibridni kotel</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Kotel na biomaso</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Mešani kotel (ogrevanje in topla voda za gospodinjstvo)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Kotel na plin</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Kotel na kurilno olje</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Neodvisne naprave na biomaso</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Toplotna črpalka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Električna tlačna toplotna črpalka</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Hibridna toplotna črpalka</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Črpalka za kroženje vode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Ogrevano stojalo za brisače</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Neposredno električno ogrevanje prek vidne fiksne enote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Grelec</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Sevalo</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s sekundarno funkcijo kot ogrevano stojalo za brisače</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Proizvodnja tople vode za gospodinjstva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Liter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Individualni zalogovnik in grelnik vode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Električni grelnik vode</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Termodinamični grelnik vode</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Plinski grelnik vode</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Samostojni sončni grelnik vode</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Končne enote udobja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Ventilatorski grelniki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Ventilatorski grelniki</w:t>
            </w:r>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ali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Klimatizacijske grede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Pasivne klimatizacijske grede</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Aktivne klimatizacijske grede</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Dinamični radiatorji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Dinamični radiatorji</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Vodi in omrežni dodatki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Zavoji in dodatki</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Gibljivi vodi</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Togi vodi</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Difuzija zraka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Vhodne odprtine za zrak</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Pasivni terminali</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Difuzorji</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Zračni filter</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Odprtine za odzračevalnike in ventilatorje</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Čiščenje zraka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Naprava za čiščenje zraka</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Enota z dvojnim pretokom</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Prezračevalna omarica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Mehansko krmiljeno prezračevanje s sistemom enega toka (VMC)</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Mehansko krmiljeno prezračevanje s sistemom dvojnega toka (VMC)</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Prezračevalna omarica</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Hlajenje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Enota za proizvodnjo ledene vode</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Hladilni stolp</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Naprave za hlajenje zraka</w:t>
            </w:r>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Mehanski dimni ekstraktor</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Kupola, ventilator</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Dušilec ognja ali požarni zid, dušilec, zaklop</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Omarica z releji</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Lokalna proizvodnja električne energije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Generator električne energije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Fotonapetostni moduli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Kristalni silicij (monokristalni ali polikristalni)</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Tanke plasti</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Vetrne turbine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Vodoravne</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Navpične</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Pretvorba in reguliranje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Pretvorba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Sinhroni inverterji</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Avtonomni inverterji</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DC/DC pretvornik</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AC/DC pretvornik</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Reguliranje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Regulator obremenitve</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Skladiščenje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Elektrokemična baterija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Svinec – kislina</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Litij – ion</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Drugo</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Nadzor</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Nadzor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nadzor</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Oprema za razsvetljavo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Oprema za notranjo razsvetljavo in napajalniki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Vgradna razsvetljava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Linearna notranja podometna pisarniška razsvetljava</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Nelinearna notranja vgradna pisarniška razsvetljava</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Notranja vgradna točkovna razsvetljava (točke)</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Luči, nameščene na površino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Stropne svetilke, linearne notranje viseče napeljave za pisarniško ali industrijsko razsvetljavo</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Funkcionalna notranja </w:t>
            </w:r>
            <w:r>
              <w:rPr>
                <w:rFonts w:ascii="Times New Roman" w:hAnsi="Times New Roman"/>
                <w:sz w:val="24"/>
              </w:rPr>
              <w:lastRenderedPageBreak/>
              <w:t>linearna pritrjena stenska razsvetljava</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Stropne luči, pritrjena stenska razsvetljava, dekorativna notranja viseča napeljava</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Notranje odprtine</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Notranje svetlobne letve (brez optičnih naprav, v nasprotju z linearnimi izdelki)</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Notranji reflektorji, stenski ali letveni ali obešeni, za točkovno razsvetljavo</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Vodoodporne notranje svetlobne napeljave</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Fleksibilni drogovi in letve z LED (vključno z napajanjem)</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Viseče napeljave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Industrijske napeljave</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Strukture za industrijsko ali komercialno razsvetljavo neprekinjeno povezane z omrežjem</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Pritrdilni in sidrni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Letve za napajanje reflektorjev</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Oprema za zunanjo razsvetljavo in napajalnike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Reflektorji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Reflektorji za športne in večje površine</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Zunanji reflektorji za dekorativno razsvetljavo</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Oprema za zunanjo razsvetljavo, razen reflektorjev</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dekorativno razsvetljavo</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funkcionalno razsvetljavo</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periodično osvetlitev</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Vgradni reflektorji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Zunanji reflektorji, ki se vgradijo v tla ali stene</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Vgradna razsvetljava za orientacijo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Zunanja razsvetljava za orientacijo, ki se vgradi v tla ali stene</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Stebri in stolpci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Okrasni zunanji terminali</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Okrasni zunanji svetlobni stebri</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Vodoodporna svetila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Stenske luči za vsidranje v steno in vodoodporna ohišja</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Podvodna vgradna razsvetljava za bazene ali fontane</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Podvodni reflektorji za bazene ali fontane</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enota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Drogovi in sidrni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Drogovi</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Tečaji</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Razni sidrni elementi za zunanjo razsvetljavo</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Drugo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Priloga</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Priloga III</w:t>
      </w:r>
      <w:r>
        <w:rPr>
          <w:rFonts w:ascii="Times New Roman" w:hAnsi="Times New Roman"/>
          <w:caps/>
          <w:sz w:val="24"/>
        </w:rPr>
        <w:br/>
        <w:t>Izračun koristi in izdatkov, povezanih z vrednotenjem ob koncu življenjske dobe</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Rezultat prikaza pozitivne vrednosti je neto obremenitev, rezultat prikaza negativne vrednosti pa neto korist.</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Pri recikliranju se za dani pretok recikliranih odpadkov (in s tem danega materiala lambda) uporablja naslednja formula:</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Neto odhodki recikliranje = MSval (Isval - IVval) - MS (IS - IV),</w:t>
      </w:r>
      <w:r>
        <w:rPr>
          <w:rFonts w:ascii="Times New Roman" w:hAnsi="Times New Roman"/>
          <w:sz w:val="24"/>
        </w:rPr>
        <w:br/>
        <w:t>pri čemer je</w:t>
      </w:r>
      <w:r>
        <w:rPr>
          <w:rFonts w:ascii="Times New Roman" w:hAnsi="Times New Roman"/>
          <w:sz w:val="24"/>
        </w:rPr>
        <w:br/>
        <w:t>MSval = masa (kg) sekundarnega materiala, dejansko pridobljenega iz mase zbranih zalog (lambda komponenta materiala v toku „materialov, namenjenih za recikliranje“);</w:t>
      </w:r>
      <w:r>
        <w:rPr>
          <w:rFonts w:ascii="Times New Roman" w:hAnsi="Times New Roman"/>
          <w:sz w:val="24"/>
        </w:rPr>
        <w:br/>
        <w:t>IVval = proizvodni inventar (na kg) materiala (ali mešanice), katerega nadomesti reciklirani sekundarni material lambda v dobavnem sistemu, kjer se uporablja (torej ne proizvodni inventar končnega proizvoda, temveč proizvodni material inventarja, ki sestavlja ta dobavni proizvod);</w:t>
      </w:r>
      <w:r>
        <w:rPr>
          <w:rFonts w:ascii="Times New Roman" w:hAnsi="Times New Roman"/>
          <w:sz w:val="24"/>
        </w:rPr>
        <w:br/>
        <w:t>Isval = inventar (na kg) proizvodnega sekundarnega materiala, pripravljenega za uporabo, v dobavnem sistemu iz zaloge;</w:t>
      </w:r>
      <w:r>
        <w:rPr>
          <w:rFonts w:ascii="Times New Roman" w:hAnsi="Times New Roman"/>
          <w:sz w:val="24"/>
        </w:rPr>
        <w:br/>
        <w:t>MS = masa (kg) sekundarnega materiala, vključenega v proizvod, za katerega velja izjava pri proizvodnji (lambda komponenta materiala za tok „uporabe sekundarnih materialov“);</w:t>
      </w:r>
      <w:r>
        <w:rPr>
          <w:rFonts w:ascii="Times New Roman" w:hAnsi="Times New Roman"/>
          <w:sz w:val="24"/>
        </w:rPr>
        <w:br/>
        <w:t>IV = proizvodni inventar (na kg) neobdelanega materiala, ki se uporablja za proizvodnjo proizvoda, na katerega se nanaša izjava, če se material ne reciklira;</w:t>
      </w:r>
      <w:r>
        <w:rPr>
          <w:rFonts w:ascii="Times New Roman" w:hAnsi="Times New Roman"/>
          <w:sz w:val="24"/>
        </w:rPr>
        <w:br/>
        <w:t>Is = inventar (na kg) proizvodnje sekundarnega materiala, pripravljenega za uporabo, ki se uporablja za proizvodnjo proizvoda, na katerega se nanaša izjava.</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Pri rekuperaciji energije se za dani tok recikliranih odpadkov uporablja naslednja formula:</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Zaračunavanje neto valorizacije NRJ = MSval (ISval - PCISval × REval × IVval),</w:t>
      </w:r>
      <w:r>
        <w:rPr>
          <w:rFonts w:ascii="Times New Roman" w:hAnsi="Times New Roman"/>
          <w:sz w:val="24"/>
        </w:rPr>
        <w:br/>
        <w:t>pri čemer je</w:t>
      </w:r>
      <w:r>
        <w:rPr>
          <w:rFonts w:ascii="Times New Roman" w:hAnsi="Times New Roman"/>
          <w:sz w:val="24"/>
        </w:rPr>
        <w:br/>
        <w:t>MSval = masa (v kg) sekundarnega materiala, ki je dejansko pridobljen iz zbrane mase zaloge (lambda komponenta(-e) toka snovi „materialov za rekuperacijo energije“);</w:t>
      </w:r>
      <w:r>
        <w:rPr>
          <w:rFonts w:ascii="Times New Roman" w:hAnsi="Times New Roman"/>
          <w:sz w:val="24"/>
        </w:rPr>
        <w:br/>
      </w:r>
      <w:r>
        <w:rPr>
          <w:rFonts w:ascii="Times New Roman" w:hAnsi="Times New Roman"/>
          <w:sz w:val="24"/>
        </w:rPr>
        <w:lastRenderedPageBreak/>
        <w:t>IVval = proizvodni inventar (na kg) energije, za katero se energija, pridobljena z energetskim recikliranjem sekundarnih materialov, nadomesti nižje v dobavnem sistemu (torej ne proizvodni inventar dobavnega sistema, h kateremu bo prispeval sekundarni material, temveč proizvodni inventar energije, porabljene v dobavnem sistemu, izražen v dobavljenem MJ);</w:t>
      </w:r>
      <w:r>
        <w:rPr>
          <w:rFonts w:ascii="Times New Roman" w:hAnsi="Times New Roman"/>
          <w:sz w:val="24"/>
        </w:rPr>
        <w:br/>
        <w:t>ISval = inventar (na kg) energetskega recikliranja sekundarnega materiala iz zaloge, za katerega je referenčni tok masa recikliranega sekundarnega materiala;</w:t>
      </w:r>
      <w:r>
        <w:rPr>
          <w:rFonts w:ascii="Times New Roman" w:hAnsi="Times New Roman"/>
          <w:sz w:val="24"/>
        </w:rPr>
        <w:br/>
        <w:t>PCISval = IBD (MJ/kg) pridobljenega sekundarnega materiala;</w:t>
      </w:r>
      <w:r>
        <w:rPr>
          <w:rFonts w:ascii="Times New Roman" w:hAnsi="Times New Roman"/>
          <w:sz w:val="24"/>
        </w:rPr>
        <w:br/>
        <w:t>REval = izhodna energija v obratu za recikliranje energije predelanega sekundarnega materiala.</w:t>
      </w:r>
      <w:r>
        <w:rPr>
          <w:rFonts w:ascii="Times New Roman" w:hAnsi="Times New Roman"/>
          <w:sz w:val="24"/>
        </w:rPr>
        <w:br/>
        <w:t>Skupna korist za priglašeni proizvod se nato pridobi kot vsota vseh skupnih koristi, izračunanih za vsak material/tok.</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Priloga</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PRILOGA IV</w:t>
      </w:r>
      <w:r>
        <w:rPr>
          <w:rFonts w:ascii="Times New Roman" w:hAnsi="Times New Roman"/>
          <w:sz w:val="24"/>
        </w:rPr>
        <w:br/>
        <w:t>OKVIR ZA VELJAVNOST SKUPNIH OKOLJSKIH IZJAV ZA PROIZVODE</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Homogenost</w:t>
      </w:r>
      <w:r>
        <w:rPr>
          <w:rFonts w:ascii="Times New Roman" w:hAnsi="Times New Roman"/>
          <w:sz w:val="24"/>
        </w:rPr>
        <w:br/>
        <w:t>Analiza življenjskega cikla (AŽC) vključuje veliko podatkov za različne situacije. Nekateri podatki se zbirajo na kraju samem, nekateri so izračunani, nekateri pa so ocenjeni. Podatki, ki omogočajo AŽC, so torej podani z določeno stopnjo negotovosti. Rezultat AŽC je torej precej občutljiv na spremembe vhodnih podatkov.</w:t>
      </w:r>
      <w:r>
        <w:rPr>
          <w:rFonts w:ascii="Times New Roman" w:hAnsi="Times New Roman"/>
          <w:sz w:val="24"/>
        </w:rPr>
        <w:br/>
        <w:t>Člen 8 te odredbe zahteva, da je vpliv na okolje tistih registracijskih zavezancev, ki uporabljajo isto skupno okoljsko izjavo, homogen. Tako bo skupna okoljska izjava zajemala okoljsko homogene proizvode, če bo mogoče zagotoviti, da so pri vseh zajetih proizvodih vplivi na okolje pod mejno vrednostjo, če so skladni z okvirom veljavnosti, ki se nanaša na skupno okoljsko izjavo.</w:t>
      </w:r>
      <w:r>
        <w:rPr>
          <w:rFonts w:ascii="Times New Roman" w:hAnsi="Times New Roman"/>
          <w:sz w:val="24"/>
        </w:rPr>
        <w:br/>
        <w:t>Sprejemljivo je, da se to homogenost dokazuje le za nekatere kontrolne kazalnike.</w:t>
      </w:r>
      <w:r>
        <w:rPr>
          <w:rFonts w:ascii="Times New Roman" w:hAnsi="Times New Roman"/>
          <w:sz w:val="24"/>
        </w:rPr>
        <w:br/>
        <w:t>Za kazalnike AŽC se prikaz homogenosti izvaja z analizo občutljivosti negotovih parametrov in parametrov, ki se razlikujejo od enega registracijskega zavezanca do drugega. Izrecno se priporoča, da se ta analiza izvede že na začetku postopka AŽC in da se na podlagi te analize oblikuje skupna okoljska izjava.</w:t>
      </w:r>
      <w:r>
        <w:rPr>
          <w:rFonts w:ascii="Times New Roman" w:hAnsi="Times New Roman"/>
          <w:sz w:val="24"/>
        </w:rPr>
        <w:br/>
        <w:t>2. Analiza občutljivosti</w:t>
      </w:r>
      <w:r>
        <w:rPr>
          <w:rFonts w:ascii="Times New Roman" w:hAnsi="Times New Roman"/>
          <w:sz w:val="24"/>
        </w:rPr>
        <w:br/>
        <w:t>Analiza občutljivosti AŽC mora vključevati naslednje faze:</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izbira kontrolnih kazalnikov;</w:t>
      </w:r>
      <w:r>
        <w:rPr>
          <w:rFonts w:ascii="Times New Roman" w:hAnsi="Times New Roman"/>
          <w:sz w:val="24"/>
        </w:rPr>
        <w:br/>
        <w:t>b) opredelitev občutljivih parametrov: študija vseh, ki prispevajo za opredelitev tistih vhodnih parametrov, ki najbolje prispevajo k pojasnjevanju vrednosti kontrolnih kazalnikov (rezultati AŽC);</w:t>
      </w:r>
      <w:r>
        <w:rPr>
          <w:rFonts w:ascii="Times New Roman" w:hAnsi="Times New Roman"/>
          <w:sz w:val="24"/>
        </w:rPr>
        <w:br/>
        <w:t>c) določitev razponov variacij za občutljive parametre (mejni parametri in kakršna koli statistična porazdelitev);</w:t>
      </w:r>
      <w:r>
        <w:rPr>
          <w:rFonts w:ascii="Times New Roman" w:hAnsi="Times New Roman"/>
          <w:sz w:val="24"/>
        </w:rPr>
        <w:br/>
        <w:t>d) parametrske simulacije na podlagi faz b in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Analiza občutljivosti je lahko iterativna. Rezultat analize občutljivosti mora biti:</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seznam dejavnikov, ki vplivajo na rezultate AŽC (občutljivi parametri) in njihova odobrena polja variacije (ta seznam predstavlja polje veljavnosti);</w:t>
      </w:r>
      <w:r>
        <w:rPr>
          <w:rFonts w:ascii="Times New Roman" w:hAnsi="Times New Roman"/>
          <w:sz w:val="24"/>
        </w:rPr>
        <w:br/>
        <w:t>b) za vsak kontrolni kazalnik verjetni variacijski interval (95-odstotni interval zaupanja) vrednosti kazalnika, dobljene s simulacijami parametrov.</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Faza 1: izbor kontrolnih kazalnikov</w:t>
      </w:r>
      <w:r>
        <w:rPr>
          <w:rFonts w:ascii="Times New Roman" w:hAnsi="Times New Roman"/>
          <w:sz w:val="24"/>
        </w:rPr>
        <w:br/>
        <w:t>Izbor kontrolnih kazalnikov mora biti smiseln. Izbirajo se lahko med tistimi iz člena 3 te odredbe za vsak primer posebej. Izbor mora biti upravičen. Preučiti je treba vsaj naslednje kazalnike:</w:t>
      </w:r>
    </w:p>
    <w:p w14:paraId="3EA16B40" w14:textId="016D0875"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globalno segrevanje,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uporaba neobnovljive primarne energije, razen neobnovljivih primarnih virov energije, ki se uporabljajo kot surovine,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nenevarni odpadki, ki se odlagajo.</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Faza 2: opredelitev občutljivih parametrov</w:t>
      </w:r>
      <w:r>
        <w:rPr>
          <w:rFonts w:ascii="Times New Roman" w:hAnsi="Times New Roman"/>
          <w:sz w:val="24"/>
        </w:rPr>
        <w:br/>
        <w:t>Za vsak kontrolni kazalnik je treba izvesti analizo občutljivih parametrov. V ta namen se predlaga, da se kot začetni pristop učinki razdelijo glede na postopke, ki so del življenjskega cikla. Ta analiza bi morala temeljiti na referenčnem scenariju, opisanem v analizi občutljivosti.</w:t>
      </w:r>
      <w:r>
        <w:rPr>
          <w:rFonts w:ascii="Times New Roman" w:hAnsi="Times New Roman"/>
          <w:sz w:val="24"/>
        </w:rPr>
        <w:br/>
        <w:t>Priporoča se, da se v osnovnem scenariju upoštevajo vsi postopki:</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ki prispevajo več kot 5 % k enemu od kontrolnih kazalnikov;</w:t>
      </w:r>
      <w:r>
        <w:rPr>
          <w:rFonts w:ascii="Times New Roman" w:hAnsi="Times New Roman"/>
          <w:sz w:val="24"/>
        </w:rPr>
        <w:br/>
        <w:t>- ali kumulativni vplivi, ki predstavljajo vsaj 80 % učinkov enega od kontrolnih kazalnikov.</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Nato je treba identificirati parametre modela AŽC (vstop ali izstop iz postopka, parameter notranjega modeliranja procesov itd.), ki spremenijo ta prispevek. To so parametri, ki veljajo za občutljive.</w:t>
      </w:r>
      <w:r>
        <w:rPr>
          <w:rFonts w:ascii="Times New Roman" w:hAnsi="Times New Roman"/>
          <w:sz w:val="24"/>
        </w:rPr>
        <w:br/>
        <w:t>Na koncu te analize bo imel registracijski zavezanec seznam postopkov, ki najizraziteje prispevajo h kontrolnim kazalnikom skozi celoten življenjski cikel, in seznam občutljivih parametrov.</w:t>
      </w:r>
      <w:r>
        <w:rPr>
          <w:rFonts w:ascii="Times New Roman" w:hAnsi="Times New Roman"/>
          <w:sz w:val="24"/>
        </w:rPr>
        <w:br/>
        <w:t>Faza 3: opredelitev razponov variacij občutljivih parametrov</w:t>
      </w:r>
      <w:r>
        <w:rPr>
          <w:rFonts w:ascii="Times New Roman" w:hAnsi="Times New Roman"/>
          <w:sz w:val="24"/>
        </w:rPr>
        <w:br/>
        <w:t>Ta faza je sestavljena iz opredelitve razpona variacije za vsak občutljiv parameter. Ta razpon je nato treba v obliki intervalov predlagati kot minimalen pogoj. Če je znan, se lahko določi zakon za porazdelitev parametrov v zgoraj navedene intervale.</w:t>
      </w:r>
      <w:r>
        <w:rPr>
          <w:rFonts w:ascii="Times New Roman" w:hAnsi="Times New Roman"/>
          <w:sz w:val="24"/>
        </w:rPr>
        <w:br/>
        <w:t>Po tej fazi je vsak občutljiv parameter povezan z določenim razponom variacij.</w:t>
      </w:r>
      <w:r>
        <w:rPr>
          <w:rFonts w:ascii="Times New Roman" w:hAnsi="Times New Roman"/>
          <w:sz w:val="24"/>
        </w:rPr>
        <w:br/>
        <w:t>Faza 4: izračun variabilnosti kazalnikov Na podlagi faz 2 in 3 ta faza vključuje uporabo ustrezne matematične metode za določitev razponov variacij kazalnikov (največje vrednosti, srednje vrednosti in najmanjše vrednosti), v primeru, da je model AŽC podvržen spremembam občutljivih parametrov.</w:t>
      </w:r>
      <w:r>
        <w:rPr>
          <w:rFonts w:ascii="Times New Roman" w:hAnsi="Times New Roman"/>
          <w:sz w:val="24"/>
        </w:rPr>
        <w:br/>
      </w:r>
      <w:r>
        <w:rPr>
          <w:rFonts w:ascii="Times New Roman" w:hAnsi="Times New Roman"/>
          <w:sz w:val="24"/>
        </w:rPr>
        <w:lastRenderedPageBreak/>
        <w:t>Rezultat faze 4 je niz razponov vrednosti glede na vsak kazalnik, ki je zajet v analizi občutljivosti.</w:t>
      </w:r>
      <w:r>
        <w:rPr>
          <w:rFonts w:ascii="Times New Roman" w:hAnsi="Times New Roman"/>
          <w:sz w:val="24"/>
        </w:rPr>
        <w:br/>
        <w:t>Izračun spremenljivosti kazalnikov mora zajemati vsaj občutljive parametre, ki se nanašajo na elemente iz člena 8 te odredbe.</w:t>
      </w:r>
      <w:r>
        <w:rPr>
          <w:rFonts w:ascii="Times New Roman" w:hAnsi="Times New Roman"/>
          <w:sz w:val="24"/>
        </w:rPr>
        <w:br/>
        <w:t>Fazi 3 in 4 se lahko izvedeta na podlagi iteracije, da se razpon občutljivih parametrov prilagodi zahtevanim pogojem homogenosti.</w:t>
      </w:r>
      <w:r>
        <w:rPr>
          <w:rFonts w:ascii="Times New Roman" w:hAnsi="Times New Roman"/>
          <w:sz w:val="24"/>
        </w:rPr>
        <w:br/>
        <w:t>Poročilo o analizi občutljivosti</w:t>
      </w:r>
      <w:r>
        <w:rPr>
          <w:rFonts w:ascii="Times New Roman" w:hAnsi="Times New Roman"/>
          <w:sz w:val="24"/>
        </w:rPr>
        <w:br/>
        <w:t>Poročilo mora vsebovati postavke, ki ustrezajo štirim fazam analize občutljivosti in končnemu rezultatu analize občutljivosti, vključno z obsegom veljavnosti skupne okoljske izjave in obsegom variacije kontrolnih kazalnikov.</w:t>
      </w:r>
      <w:r>
        <w:rPr>
          <w:rFonts w:ascii="Times New Roman" w:hAnsi="Times New Roman"/>
          <w:sz w:val="24"/>
        </w:rPr>
        <w:br/>
        <w:t>3. Priglasitev analize občutljivosti in okoljskih vrednosti</w:t>
      </w:r>
      <w:r>
        <w:rPr>
          <w:rFonts w:ascii="Times New Roman" w:hAnsi="Times New Roman"/>
          <w:sz w:val="24"/>
        </w:rPr>
        <w:br/>
        <w:t>Rezultati analize občutljivosti pogojujejo okoljske vrednosti, navedene v skupni okoljski izjavi, kot je določeno v členu 8 te odredbe.</w:t>
      </w:r>
      <w:r>
        <w:rPr>
          <w:rFonts w:ascii="Times New Roman" w:hAnsi="Times New Roman"/>
          <w:sz w:val="24"/>
        </w:rPr>
        <w:br/>
        <w:t>Ko je največja vrednost (ali največ 95 % zaupanje, če se uporabi statistični pristop) razpona variacij vsakega kazalnika nadzora vplivov na okolje manjša ali enaka srednji vrednosti kazalnika, pomnoženi z mejno vrednostjo (kot je določeno v členu 8 te odredbe), se vrednosti priglašenih kazalnikov vplivov na okolje izračunajo s povprečnimi vrednostmi občutljivih parametrov. V nasprotnem primeru, torej če ima vsaj eden od kazalnikov za nadzor vplivov na okolje največjo vrednost, večjo od povprečne vrednosti kazalnika, pomnožene z mejno vrednostjo (kot je določeno v členu 8 te odredbe), potem je treba navesti najmanj ugodno mejo (največjo vrednost, ki jo lahko doseže kazalnik, če odraža odhodek, in najmanjšo vrednost, če odraža dobiček). Če kazalniki odražajo strošek, mejna vrednost ustreza vrednosti kazalnikov, dobljenih pri uporabi najvišjih vrednosti (ali maksimalnih z verjetnostjo 95 %, če se uporabi statistični pristop) občutljivih parametrov.</w:t>
      </w:r>
      <w:r>
        <w:rPr>
          <w:rFonts w:ascii="Times New Roman" w:hAnsi="Times New Roman"/>
          <w:sz w:val="24"/>
        </w:rPr>
        <w:br/>
        <w:t>4. Natančna identifikacija proizvodov, zajetih v izjavi</w:t>
      </w:r>
      <w:r>
        <w:rPr>
          <w:rFonts w:ascii="Times New Roman" w:hAnsi="Times New Roman"/>
          <w:sz w:val="24"/>
        </w:rPr>
        <w:br/>
        <w:t>Za ugotovitev, ali je verjetno, da bo proizvod zajet v skupni okoljski izjavi, je treba ugotoviti, ali je proizvod podoben standardnemu zajetemu proizvodu in ali je registracijski zavezanec za dani proizvod pooblaščen za uporabo te skupne okoljske izjave.</w:t>
      </w:r>
      <w:r>
        <w:rPr>
          <w:rFonts w:ascii="Times New Roman" w:hAnsi="Times New Roman"/>
          <w:sz w:val="24"/>
        </w:rPr>
        <w:br/>
        <w:t>Identifikacija standardnega proizvoda</w:t>
      </w:r>
      <w:r>
        <w:rPr>
          <w:rFonts w:ascii="Times New Roman" w:hAnsi="Times New Roman"/>
          <w:sz w:val="24"/>
        </w:rPr>
        <w:br/>
        <w:t>Standardni proizvod mora biti pravilno opredeljen in opisan z namenom lažje uskladitve med opisom danega proizvoda in opisom standardnega proizvoda. Opis standardnega proizvoda mora vsebovati najmanj naslednje:</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seznam glavnih sestavnih delov ali prevladujočih materialov;</w:t>
      </w:r>
      <w:r>
        <w:rPr>
          <w:rFonts w:ascii="Times New Roman" w:hAnsi="Times New Roman"/>
          <w:sz w:val="24"/>
        </w:rPr>
        <w:br/>
        <w:t>b) informacije o funkcionalnosti ali stopnji učinkovitosti.</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Ta identifikacija mora zadostovati, da se hitro in nedvoumno ugotovi, ali je določen proizvod lahko zajet v skupni izjavi.</w:t>
      </w:r>
      <w:r>
        <w:rPr>
          <w:rFonts w:ascii="Times New Roman" w:hAnsi="Times New Roman"/>
          <w:sz w:val="24"/>
        </w:rPr>
        <w:br/>
        <w:t>Identifikacija registracijskih zavezancev, ki lahko uporabljajo skupno okoljsko izjavo</w:t>
      </w:r>
      <w:r>
        <w:rPr>
          <w:rFonts w:ascii="Times New Roman" w:hAnsi="Times New Roman"/>
          <w:sz w:val="24"/>
        </w:rPr>
        <w:br/>
        <w:t>Ker je skupna okoljska izjava lastnina in odgovornost skupnosti, se lahko skupnost odloči, da to skupno okoljsko izjavo smejo uporabiti samo nekateri registracijski zavezanci.</w:t>
      </w:r>
      <w:r>
        <w:rPr>
          <w:rFonts w:ascii="Times New Roman" w:hAnsi="Times New Roman"/>
          <w:sz w:val="24"/>
        </w:rPr>
        <w:br/>
        <w:t>Predložiti je treba seznam registracijskih zavezancev, ki imajo dovoljenje za uporabo posamezne skupne okoljske izjave:</w:t>
      </w:r>
    </w:p>
    <w:p w14:paraId="2AB81917" w14:textId="62A8CE0E"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r>
      <w:r w:rsidR="00A77396">
        <w:rPr>
          <w:rFonts w:ascii="Times New Roman" w:hAnsi="Times New Roman"/>
          <w:sz w:val="24"/>
        </w:rPr>
        <w:t xml:space="preserve">- </w:t>
      </w:r>
      <w:r>
        <w:rPr>
          <w:rFonts w:ascii="Times New Roman" w:hAnsi="Times New Roman"/>
          <w:sz w:val="24"/>
        </w:rPr>
        <w:t>bodisi v obliki izčrpnega seznama imen;</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ali v obliki pogojev za članstvo v kolektivnem subjektu (združenje, sindikat, podpisniki listine dobrih praks itd.). V tem primeru mora biti seznam članov takšne skupnosti javno dostopen.</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Vsebina okvira veljavnosti</w:t>
      </w:r>
      <w:r>
        <w:rPr>
          <w:rFonts w:ascii="Times New Roman" w:hAnsi="Times New Roman"/>
          <w:sz w:val="24"/>
        </w:rPr>
        <w:br/>
        <w:t>Okvir veljavnosti mora vsebovati najmanj:</w:t>
      </w:r>
    </w:p>
    <w:p w14:paraId="76B32132" w14:textId="6CA220EA"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identifikacijo standardnega proizvoda (obvezno);</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proizvode, zajete v skupni okoljski izjavi;</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opredelitev registracijskih zavezancev, ki smejo uporabiti skupno okoljsko izjavo;</w:t>
      </w:r>
      <w:r>
        <w:rPr>
          <w:rFonts w:ascii="Times New Roman" w:hAnsi="Times New Roman"/>
          <w:sz w:val="24"/>
        </w:rPr>
        <w:br/>
        <w:t>poročilo o študiji občutljivosti, ki vključuje razpon veljavnosti in zagotavlja dokaze, da so navedene vrednosti kazalnikov homogene.</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Uporaba okvira veljavnosti</w:t>
      </w:r>
      <w:r>
        <w:rPr>
          <w:rFonts w:ascii="Times New Roman" w:hAnsi="Times New Roman"/>
          <w:sz w:val="24"/>
        </w:rPr>
        <w:br/>
        <w:t>Da bi registracijski zavezanec lahko uporabil skupno okoljsko izjavo za svoj proizvod, mora predložiti naslednja dokazila:</w:t>
      </w:r>
    </w:p>
    <w:p w14:paraId="0B262F36" w14:textId="4DA01164"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da je njihov proizvod skladen s „standardnim proizvodom“, ki je zajet v skupni okoljski izjavi;</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da je na seznamu registracijskih zavezancev, ki so upravičeni za uporabo dane skupne okoljske izjave;</w:t>
      </w:r>
      <w:r>
        <w:rPr>
          <w:rFonts w:ascii="Times New Roman" w:hAnsi="Times New Roman"/>
          <w:sz w:val="24"/>
        </w:rPr>
        <w:br/>
      </w:r>
      <w:r w:rsidR="00A77396">
        <w:rPr>
          <w:rFonts w:ascii="Times New Roman" w:hAnsi="Times New Roman"/>
          <w:sz w:val="24"/>
        </w:rPr>
        <w:t xml:space="preserve">- </w:t>
      </w:r>
      <w:r>
        <w:rPr>
          <w:rFonts w:ascii="Times New Roman" w:hAnsi="Times New Roman"/>
          <w:sz w:val="24"/>
        </w:rPr>
        <w:t>da je v skladu z obsegom veljavnosti zadevne skupne okoljske izjave.</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Sestavljeno 14. decembra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Pooblaščenec ministra za ekološko preoblikovanje, pristojen za stanovanjska vprašanja,</w:t>
      </w:r>
      <w:r>
        <w:rPr>
          <w:rFonts w:ascii="Times New Roman" w:hAnsi="Times New Roman"/>
          <w:sz w:val="24"/>
        </w:rPr>
        <w:br/>
        <w:t>Za ministra in s pooblastilom:</w:t>
      </w:r>
      <w:r>
        <w:rPr>
          <w:rFonts w:ascii="Times New Roman" w:hAnsi="Times New Roman"/>
          <w:sz w:val="24"/>
        </w:rPr>
        <w:br/>
        <w:t>Direktor službe za stanovanja, urbani razvoj in krajine,</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ekološki prehod, za ministra in delegacijo:</w:t>
      </w:r>
      <w:r>
        <w:rPr>
          <w:rFonts w:ascii="Times New Roman" w:hAnsi="Times New Roman"/>
          <w:sz w:val="24"/>
        </w:rPr>
        <w:br/>
        <w:t>Za ministra in s pooblastilom:</w:t>
      </w:r>
      <w:r>
        <w:rPr>
          <w:rFonts w:ascii="Times New Roman" w:hAnsi="Times New Roman"/>
          <w:sz w:val="24"/>
        </w:rPr>
        <w:br/>
        <w:t>Direktor službe za stanovanja, urbani razvoj in krajine,</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81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C6E58"/>
    <w:rsid w:val="00657670"/>
    <w:rsid w:val="00A77396"/>
    <w:rsid w:val="00B77F10"/>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6133</Words>
  <Characters>38456</Characters>
  <Application>Microsoft Office Word</Application>
  <DocSecurity>0</DocSecurity>
  <Lines>3845</Lines>
  <Paragraphs>825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2022-05-05T06:13:00Z</dcterms:created>
  <dcterms:modified xsi:type="dcterms:W3CDTF">2022-05-05T06:13:00Z</dcterms:modified>
</cp:coreProperties>
</file>